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2.xml" ContentType="application/vnd.openxmlformats-officedocument.drawingml.chartshapes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drawings/drawing3.xml" ContentType="application/vnd.openxmlformats-officedocument.drawingml.chartshapes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drawings/drawing4.xml" ContentType="application/vnd.openxmlformats-officedocument.drawingml.chartshapes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5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bookmarkStart w:id="0" w:name="_GoBack"/>
    <w:bookmarkEnd w:id="0"/>
    <w:p w14:paraId="6E0B0A11" w14:textId="1CF254AF" w:rsidR="00627E8E" w:rsidRPr="004E7D24" w:rsidRDefault="00032ED5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20BB7B65" wp14:editId="40958EBE">
                <wp:simplePos x="0" y="0"/>
                <wp:positionH relativeFrom="column">
                  <wp:posOffset>5351228</wp:posOffset>
                </wp:positionH>
                <wp:positionV relativeFrom="paragraph">
                  <wp:posOffset>579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4F872" w14:textId="0778A8A8" w:rsidR="00E956AE" w:rsidRDefault="00E956AE" w:rsidP="00032ED5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29.06.2022 r.</w:t>
                            </w:r>
                          </w:p>
                          <w:p w14:paraId="1D9C2035" w14:textId="6364C3B0" w:rsidR="00E956AE" w:rsidRPr="00A7182C" w:rsidRDefault="00E956AE" w:rsidP="00032ED5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05/2022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B7B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1.35pt;margin-top:.05pt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DsVRBo3AAAAAkBAAAPAAAAZHJzL2Rvd25y&#10;ZXYueG1sTI/BTsMwDIbvSLxDZCQuiKXrBnSl6TRNmpC4MfYAXuO1hcSpmmwLb096gput79fvz9U6&#10;WiMuNPresYL5LANB3Djdc6vg8Ll7LED4gKzROCYFP+RhXd/eVFhqd+UPuuxDK1IJ+xIVdCEMpZS+&#10;6ciin7mBOLGTGy2GtI6t1CNeU7k1Ms+yZ2mx53Shw4G2HTXf+7NVcPrauuIhf4+Hp/mwi2jenN0s&#10;lLq/i5tXEIFi+AvDpJ/UoU5OR3dm7YVRUCzzlxSdgJhwtlquQBynqViArCv5/4P6FwAA//8DAFBL&#10;AQItABQABgAIAAAAIQC2gziS/gAAAOEBAAATAAAAAAAAAAAAAAAAAAAAAABbQ29udGVudF9UeXBl&#10;c10ueG1sUEsBAi0AFAAGAAgAAAAhADj9If/WAAAAlAEAAAsAAAAAAAAAAAAAAAAALwEAAF9yZWxz&#10;Ly5yZWxzUEsBAi0AFAAGAAgAAAAhAGleQmgsAgAASgQAAA4AAAAAAAAAAAAAAAAALgIAAGRycy9l&#10;Mm9Eb2MueG1sUEsBAi0AFAAGAAgAAAAhAOxVEGjcAAAACQEAAA8AAAAAAAAAAAAAAAAAhgQAAGRy&#10;cy9kb3ducmV2LnhtbFBLBQYAAAAABAAEAPMAAACPBQAAAAA=&#10;" fillcolor="black [3213]">
                <v:textbox>
                  <w:txbxContent>
                    <w:p w14:paraId="5564F872" w14:textId="0778A8A8" w:rsidR="00E956AE" w:rsidRDefault="00E956AE" w:rsidP="00032ED5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29.06.2022 r.</w:t>
                      </w:r>
                    </w:p>
                    <w:p w14:paraId="1D9C2035" w14:textId="6364C3B0" w:rsidR="00E956AE" w:rsidRPr="00A7182C" w:rsidRDefault="00E956AE" w:rsidP="00032ED5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05/2022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4E7D2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4E7D2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4E7D24">
        <w:rPr>
          <w:noProof/>
          <w:spacing w:val="-6"/>
          <w:highlight w:val="black"/>
          <w:shd w:val="clear" w:color="auto" w:fill="FFFFFF"/>
        </w:rPr>
        <w:t>a</w:t>
      </w:r>
      <w:r w:rsidR="00440846" w:rsidRPr="004E7D24">
        <w:rPr>
          <w:noProof/>
          <w:spacing w:val="-6"/>
          <w:highlight w:val="black"/>
          <w:shd w:val="clear" w:color="auto" w:fill="FFFFFF"/>
        </w:rPr>
        <w:t>ckiego</w:t>
      </w:r>
      <w:r w:rsidR="004251FF" w:rsidRPr="004E7D24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4E7D24">
        <w:rPr>
          <w:noProof/>
          <w:spacing w:val="-6"/>
          <w:highlight w:val="black"/>
          <w:shd w:val="clear" w:color="auto" w:fill="FFFFFF"/>
        </w:rPr>
        <w:t xml:space="preserve">w </w:t>
      </w:r>
      <w:r w:rsidR="00EC7E83" w:rsidRPr="004E7D24">
        <w:rPr>
          <w:noProof/>
          <w:spacing w:val="-6"/>
          <w:highlight w:val="black"/>
          <w:shd w:val="clear" w:color="auto" w:fill="FFFFFF"/>
        </w:rPr>
        <w:t>maj</w:t>
      </w:r>
      <w:r w:rsidR="00861330" w:rsidRPr="004E7D24">
        <w:rPr>
          <w:noProof/>
          <w:spacing w:val="-6"/>
          <w:highlight w:val="black"/>
          <w:shd w:val="clear" w:color="auto" w:fill="FFFFFF"/>
        </w:rPr>
        <w:t>u</w:t>
      </w:r>
      <w:r w:rsidR="00831592" w:rsidRPr="004E7D2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4E7D24">
        <w:rPr>
          <w:noProof/>
          <w:spacing w:val="-6"/>
          <w:highlight w:val="black"/>
          <w:shd w:val="clear" w:color="auto" w:fill="FFFFFF"/>
        </w:rPr>
        <w:t>202</w:t>
      </w:r>
      <w:r w:rsidR="00815ECD" w:rsidRPr="004E7D24">
        <w:rPr>
          <w:noProof/>
          <w:spacing w:val="-6"/>
          <w:highlight w:val="black"/>
          <w:shd w:val="clear" w:color="auto" w:fill="FFFFFF"/>
        </w:rPr>
        <w:t>2</w:t>
      </w:r>
      <w:r w:rsidR="00FE0C01" w:rsidRPr="004E7D2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4E7D24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4E7D24" w14:paraId="012B0DB3" w14:textId="77777777" w:rsidTr="004E7D24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787D27D8" w:rsidR="00CD19B8" w:rsidRPr="004E7D24" w:rsidRDefault="00460D0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maju 2022 r. przeciętne zatrudnienie w sektorze przedsiębiorstw było wyższe niż przed rokiem (o 3,1%), a niższe niż przed miesiącem (o 0,2%).</w:t>
            </w:r>
          </w:p>
          <w:p w14:paraId="4EB39A73" w14:textId="53A5013C" w:rsidR="0070252F" w:rsidRPr="004E7D24" w:rsidRDefault="0090604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3,6% niższa niż przed miesiącem i o 14,3% niższa niż przed rokiem. Stopa bezrobocia rejestrowanego w końcu maja 2022 r. wyniosła 7,5% i zmniejszyła się w porównaniu z poprzednim miesiącem, a także w odniesieniu do maja 2021 r.</w:t>
            </w:r>
          </w:p>
          <w:p w14:paraId="011D58E6" w14:textId="4C0F8988" w:rsidR="00CD19B8" w:rsidRPr="004E7D24" w:rsidRDefault="00315893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maju 2021 r. (o 11,4%), a niższe niż w kwietniu 2022 r. (o 2,7%).</w:t>
            </w:r>
          </w:p>
          <w:p w14:paraId="17A283D7" w14:textId="5B6CCA93" w:rsidR="004F31B7" w:rsidRPr="004E7D24" w:rsidRDefault="006D4AB6" w:rsidP="004F31B7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kwartale 2022</w:t>
            </w:r>
            <w:r w:rsidR="004F31B7"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r., w porównaniu z analogicznym okresem poprzedniego roku, wystąpił wzrost cen towa</w:t>
            </w: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rów i usług konsumpcyjnych o 9,5</w:t>
            </w:r>
            <w:r w:rsidR="004F31B7"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BF051" w14:textId="01F5DD0D" w:rsidR="00903A7C" w:rsidRPr="004E7D24" w:rsidRDefault="00BF12B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kwietniem br. niższe były ceny skupu żywca wieprzowego i drobiowego. W obrocie targowiskowym w skali miesiąca więcej płacono za żyto.</w:t>
            </w:r>
          </w:p>
          <w:p w14:paraId="2CD9E3FD" w14:textId="7ED6EEA4" w:rsidR="00CD19B8" w:rsidRPr="004E7D24" w:rsidRDefault="00165F9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6828,2 mln zł i była (w cenach stałych) o 14,6% wyższa niż w maju 2021 r., kiedy notowano wzrost produkcji o 41,3%. W porównaniu z poprzednim miesiącem produkcja przemysłowa wzrosła o 1,8%.</w:t>
            </w:r>
          </w:p>
          <w:p w14:paraId="720399C9" w14:textId="61A916BA" w:rsidR="00CD19B8" w:rsidRPr="004E7D24" w:rsidRDefault="00071DE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16,9%) i wyższa niż przed miesiącem (o 6,1%).</w:t>
            </w:r>
          </w:p>
          <w:p w14:paraId="66804000" w14:textId="031D826B" w:rsidR="00255CD6" w:rsidRPr="004E7D24" w:rsidRDefault="0038796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/>
                <w:sz w:val="19"/>
                <w:szCs w:val="19"/>
                <w:highlight w:val="black"/>
              </w:rPr>
              <w:t xml:space="preserve">W </w:t>
            </w:r>
            <w:r w:rsidRPr="004E7D24">
              <w:rPr>
                <w:rFonts w:ascii="Fira Sans" w:hAnsi="Fira Sans"/>
                <w:spacing w:val="-2"/>
                <w:sz w:val="19"/>
                <w:szCs w:val="19"/>
                <w:highlight w:val="black"/>
              </w:rPr>
              <w:t xml:space="preserve">maju </w:t>
            </w:r>
            <w:r w:rsidRPr="004E7D24">
              <w:rPr>
                <w:rFonts w:ascii="Fira Sans" w:hAnsi="Fira Sans"/>
                <w:sz w:val="19"/>
                <w:szCs w:val="19"/>
                <w:highlight w:val="black"/>
              </w:rPr>
              <w:t>2022 r., w porównaniu z analogicznym okresem 2021 r., wzrosła liczba mieszkań oddanych do użytkowania (ponad 2-krotnie), liczba mieszkań, których budowę rozpoczęto (ponad 2-krotnie) oraz liczba mieszkań, na realizację których wydano pozwolenia lub dokonano zgłoszenia z projektem budowlanym (o 14,4%).</w:t>
            </w:r>
          </w:p>
          <w:p w14:paraId="3CFBC151" w14:textId="39BB6212" w:rsidR="00CD19B8" w:rsidRPr="004E7D24" w:rsidRDefault="008E775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maju 2022 r. była wyższa o 30,2% niż przed rokiem (wobec wzrostu o 16,7% w maju 2021 r.) i wyższa o 2,9% niż przed miesiącem.</w:t>
            </w:r>
          </w:p>
          <w:p w14:paraId="3D7E7D5B" w14:textId="352DF65D" w:rsidR="007002EA" w:rsidRPr="004E7D24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4E7D24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73F5CD81" w:rsidR="008C4DB4" w:rsidRPr="004E7D24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4E7D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C86C79" w:rsidRPr="004E7D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czerwc</w:t>
            </w:r>
            <w:r w:rsidR="00550E22" w:rsidRPr="004E7D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u 2022 r. w </w:t>
            </w:r>
            <w:r w:rsidRPr="004E7D24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4E7D24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4E7D24">
        <w:rPr>
          <w:rFonts w:ascii="Arial" w:hAnsi="Arial" w:cs="Arial"/>
          <w:b/>
          <w:noProof/>
          <w:highlight w:val="black"/>
        </w:rPr>
        <w:br w:type="page"/>
      </w:r>
    </w:p>
    <w:p w14:paraId="1653B610" w14:textId="77777777" w:rsidR="00DA676F" w:rsidRPr="004E7D24" w:rsidRDefault="003A10CF" w:rsidP="00B473F9">
      <w:pPr>
        <w:pStyle w:val="Spistreci"/>
        <w:rPr>
          <w:noProof/>
          <w:highlight w:val="black"/>
        </w:rPr>
      </w:pPr>
      <w:r w:rsidRPr="004E7D24">
        <w:rPr>
          <w:highlight w:val="black"/>
        </w:rPr>
        <w:lastRenderedPageBreak/>
        <w:t>Spis treści</w:t>
      </w:r>
      <w:r w:rsidR="00650939" w:rsidRPr="004E7D24">
        <w:rPr>
          <w:szCs w:val="19"/>
          <w:highlight w:val="black"/>
        </w:rPr>
        <w:fldChar w:fldCharType="begin"/>
      </w:r>
      <w:r w:rsidR="00650939" w:rsidRPr="004E7D24">
        <w:rPr>
          <w:szCs w:val="19"/>
          <w:highlight w:val="black"/>
        </w:rPr>
        <w:instrText xml:space="preserve"> TOC \h \z \t "Nagłówek 1;1" </w:instrText>
      </w:r>
      <w:r w:rsidR="00650939" w:rsidRPr="004E7D24">
        <w:rPr>
          <w:szCs w:val="19"/>
          <w:highlight w:val="black"/>
        </w:rPr>
        <w:fldChar w:fldCharType="end"/>
      </w:r>
      <w:r w:rsidR="00560533" w:rsidRPr="004E7D24">
        <w:rPr>
          <w:szCs w:val="19"/>
          <w:highlight w:val="black"/>
        </w:rPr>
        <w:fldChar w:fldCharType="begin"/>
      </w:r>
      <w:r w:rsidR="00560533" w:rsidRPr="004E7D24">
        <w:rPr>
          <w:szCs w:val="19"/>
          <w:highlight w:val="black"/>
        </w:rPr>
        <w:instrText xml:space="preserve"> TOC \f \h \z \t "Nagłówek 1;1" </w:instrText>
      </w:r>
      <w:r w:rsidR="00560533" w:rsidRPr="004E7D24">
        <w:rPr>
          <w:szCs w:val="19"/>
          <w:highlight w:val="black"/>
        </w:rPr>
        <w:fldChar w:fldCharType="separate"/>
      </w:r>
    </w:p>
    <w:p w14:paraId="247C3CAF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59" w:history="1">
        <w:r w:rsidR="00DA676F" w:rsidRPr="004E7D24">
          <w:rPr>
            <w:rStyle w:val="Hipercze"/>
            <w:highlight w:val="black"/>
          </w:rPr>
          <w:t>Rynek pracy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_Toc107385859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6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4D30DA3E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0" w:history="1">
        <w:r w:rsidR="00DA676F" w:rsidRPr="004E7D24">
          <w:rPr>
            <w:rStyle w:val="Hipercze"/>
            <w:highlight w:val="black"/>
          </w:rPr>
          <w:t>Wynagrodzenia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_Toc107385860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10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6631601A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1" w:history="1">
        <w:r w:rsidR="00DA676F" w:rsidRPr="004E7D24">
          <w:rPr>
            <w:rStyle w:val="Hipercze"/>
            <w:highlight w:val="black"/>
          </w:rPr>
          <w:t>Ceny detaliczne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_Toc107385861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12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0F40AEA6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2" w:history="1">
        <w:r w:rsidR="00DA676F" w:rsidRPr="004E7D24">
          <w:rPr>
            <w:rStyle w:val="Hipercze"/>
            <w:highlight w:val="black"/>
          </w:rPr>
          <w:t>Rolnictwo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_Toc107385862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13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3F78CAAE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3" w:history="1">
        <w:r w:rsidR="00DA676F" w:rsidRPr="004E7D24">
          <w:rPr>
            <w:rStyle w:val="Hipercze"/>
            <w:highlight w:val="black"/>
          </w:rPr>
          <w:t>Przemysł i budownictwo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_Toc107385863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16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18044DC7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4" w:history="1">
        <w:r w:rsidR="00DA676F" w:rsidRPr="004E7D24">
          <w:rPr>
            <w:rStyle w:val="Hipercze"/>
            <w:highlight w:val="black"/>
          </w:rPr>
          <w:t>Budownictwo mieszkaniowe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_Toc107385864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18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78289997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5" w:history="1">
        <w:r w:rsidR="00DA676F" w:rsidRPr="004E7D24">
          <w:rPr>
            <w:rStyle w:val="Hipercze"/>
            <w:highlight w:val="black"/>
          </w:rPr>
          <w:t>Rynek wewnętrzny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_Toc107385865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21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48992EF0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6" w:history="1">
        <w:r w:rsidR="00DA676F" w:rsidRPr="004E7D24">
          <w:rPr>
            <w:rStyle w:val="Hipercze"/>
            <w:highlight w:val="black"/>
          </w:rPr>
          <w:t>Podmioty gospodarki narodowej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_Toc107385866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22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37AA9B68" w14:textId="77777777" w:rsidR="00DA676F" w:rsidRPr="004E7D24" w:rsidRDefault="008638D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7385867" w:history="1">
        <w:r w:rsidR="00DA676F" w:rsidRPr="004E7D24">
          <w:rPr>
            <w:rStyle w:val="Hipercze"/>
            <w:highlight w:val="black"/>
          </w:rPr>
          <w:t>Koniunktura gospodarcza</w:t>
        </w:r>
        <w:r w:rsidR="00DA676F" w:rsidRPr="004E7D24">
          <w:rPr>
            <w:webHidden/>
            <w:highlight w:val="black"/>
          </w:rPr>
          <w:tab/>
        </w:r>
        <w:r w:rsidR="00DA676F" w:rsidRPr="004E7D24">
          <w:rPr>
            <w:webHidden/>
            <w:highlight w:val="black"/>
          </w:rPr>
          <w:fldChar w:fldCharType="begin"/>
        </w:r>
        <w:r w:rsidR="00DA676F" w:rsidRPr="004E7D24">
          <w:rPr>
            <w:webHidden/>
            <w:highlight w:val="black"/>
          </w:rPr>
          <w:instrText xml:space="preserve"> PAGEREF _Toc107385867 \h </w:instrText>
        </w:r>
        <w:r w:rsidR="00DA676F" w:rsidRPr="004E7D24">
          <w:rPr>
            <w:webHidden/>
            <w:highlight w:val="black"/>
          </w:rPr>
        </w:r>
        <w:r w:rsidR="00DA676F" w:rsidRPr="004E7D24">
          <w:rPr>
            <w:webHidden/>
            <w:highlight w:val="black"/>
          </w:rPr>
          <w:fldChar w:fldCharType="separate"/>
        </w:r>
        <w:r w:rsidR="005C6C29">
          <w:rPr>
            <w:webHidden/>
            <w:highlight w:val="black"/>
          </w:rPr>
          <w:t>25</w:t>
        </w:r>
        <w:r w:rsidR="00DA676F" w:rsidRPr="004E7D24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4E7D24" w:rsidRDefault="00560533" w:rsidP="001E694B">
      <w:pPr>
        <w:pStyle w:val="Spistreci"/>
        <w:rPr>
          <w:highlight w:val="black"/>
        </w:rPr>
      </w:pPr>
      <w:r w:rsidRPr="004E7D24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4E7D24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4E7D24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4E7D24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4E7D24" w:rsidRDefault="00292906" w:rsidP="00B616E2">
      <w:pPr>
        <w:pStyle w:val="Tekstwypunktowany"/>
        <w:spacing w:line="288" w:lineRule="auto"/>
        <w:rPr>
          <w:highlight w:val="black"/>
        </w:rPr>
      </w:pPr>
      <w:r w:rsidRPr="004E7D2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4E7D24">
        <w:rPr>
          <w:highlight w:val="black"/>
        </w:rPr>
        <w:t>a pracujących przekracza 9 osób;</w:t>
      </w:r>
    </w:p>
    <w:p w14:paraId="11D10930" w14:textId="7D0CEC17" w:rsidR="00B3482C" w:rsidRPr="004E7D24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4E7D24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4E7D24">
        <w:rPr>
          <w:noProof/>
          <w:spacing w:val="-4"/>
          <w:szCs w:val="19"/>
          <w:highlight w:val="black"/>
        </w:rPr>
        <w:t>odarczą w zakresie: leśnictwa i </w:t>
      </w:r>
      <w:r w:rsidRPr="004E7D2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4E7D24">
        <w:rPr>
          <w:noProof/>
          <w:spacing w:val="-4"/>
          <w:szCs w:val="19"/>
          <w:highlight w:val="black"/>
        </w:rPr>
        <w:t xml:space="preserve">; wytwarzania i zaopatrywania w </w:t>
      </w:r>
      <w:r w:rsidRPr="004E7D2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4E7D24">
        <w:rPr>
          <w:noProof/>
          <w:spacing w:val="-4"/>
          <w:szCs w:val="19"/>
          <w:highlight w:val="black"/>
        </w:rPr>
        <w:t>-</w:t>
      </w:r>
      <w:r w:rsidRPr="004E7D24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4E7D24">
        <w:rPr>
          <w:noProof/>
          <w:spacing w:val="-4"/>
          <w:szCs w:val="19"/>
          <w:highlight w:val="black"/>
        </w:rPr>
        <w:t xml:space="preserve">i oraz działalności związanej z </w:t>
      </w:r>
      <w:r w:rsidRPr="004E7D24">
        <w:rPr>
          <w:noProof/>
          <w:spacing w:val="-4"/>
          <w:szCs w:val="19"/>
          <w:highlight w:val="black"/>
        </w:rPr>
        <w:t>rekultywacją; budowni</w:t>
      </w:r>
      <w:r w:rsidR="00454E28" w:rsidRPr="004E7D24">
        <w:rPr>
          <w:noProof/>
          <w:spacing w:val="-4"/>
          <w:szCs w:val="19"/>
          <w:highlight w:val="black"/>
        </w:rPr>
        <w:t>-</w:t>
      </w:r>
      <w:r w:rsidRPr="004E7D2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4E7D24">
        <w:rPr>
          <w:noProof/>
          <w:spacing w:val="-4"/>
          <w:szCs w:val="19"/>
          <w:highlight w:val="black"/>
        </w:rPr>
        <w:t> </w:t>
      </w:r>
      <w:r w:rsidRPr="004E7D24">
        <w:rPr>
          <w:noProof/>
          <w:spacing w:val="-4"/>
          <w:szCs w:val="19"/>
          <w:highlight w:val="black"/>
        </w:rPr>
        <w:t>gospodarki magazynowej; działalnośc</w:t>
      </w:r>
      <w:r w:rsidR="00170047" w:rsidRPr="004E7D24">
        <w:rPr>
          <w:noProof/>
          <w:spacing w:val="-4"/>
          <w:szCs w:val="19"/>
          <w:highlight w:val="black"/>
        </w:rPr>
        <w:t xml:space="preserve">i związanej z zakwaterowaniem i </w:t>
      </w:r>
      <w:r w:rsidRPr="004E7D24">
        <w:rPr>
          <w:noProof/>
          <w:spacing w:val="-4"/>
          <w:szCs w:val="19"/>
          <w:highlight w:val="black"/>
        </w:rPr>
        <w:t>usługami</w:t>
      </w:r>
      <w:r w:rsidR="0071034B" w:rsidRPr="004E7D2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4E7D24">
        <w:rPr>
          <w:noProof/>
          <w:spacing w:val="-4"/>
          <w:szCs w:val="19"/>
          <w:highlight w:val="black"/>
        </w:rPr>
        <w:t> </w:t>
      </w:r>
      <w:r w:rsidRPr="004E7D2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4E7D24">
        <w:rPr>
          <w:noProof/>
          <w:spacing w:val="-4"/>
          <w:szCs w:val="19"/>
          <w:highlight w:val="black"/>
        </w:rPr>
        <w:t> </w:t>
      </w:r>
      <w:r w:rsidRPr="004E7D24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4E7D24">
        <w:rPr>
          <w:noProof/>
          <w:spacing w:val="-4"/>
          <w:szCs w:val="19"/>
          <w:highlight w:val="black"/>
        </w:rPr>
        <w:t xml:space="preserve">j i </w:t>
      </w:r>
      <w:r w:rsidR="00170047" w:rsidRPr="004E7D24">
        <w:rPr>
          <w:noProof/>
          <w:spacing w:val="-4"/>
          <w:szCs w:val="19"/>
          <w:highlight w:val="black"/>
        </w:rPr>
        <w:t xml:space="preserve">technicznej; działalności w </w:t>
      </w:r>
      <w:r w:rsidRPr="004E7D24">
        <w:rPr>
          <w:noProof/>
          <w:spacing w:val="-4"/>
          <w:szCs w:val="19"/>
          <w:highlight w:val="black"/>
        </w:rPr>
        <w:t>z</w:t>
      </w:r>
      <w:r w:rsidR="00170047" w:rsidRPr="004E7D24">
        <w:rPr>
          <w:noProof/>
          <w:spacing w:val="-4"/>
          <w:szCs w:val="19"/>
          <w:highlight w:val="black"/>
        </w:rPr>
        <w:t>akresie usług administro</w:t>
      </w:r>
      <w:r w:rsidR="00454E28" w:rsidRPr="004E7D24">
        <w:rPr>
          <w:noProof/>
          <w:spacing w:val="-4"/>
          <w:szCs w:val="19"/>
          <w:highlight w:val="black"/>
        </w:rPr>
        <w:t>-</w:t>
      </w:r>
      <w:r w:rsidR="00170047" w:rsidRPr="004E7D24">
        <w:rPr>
          <w:noProof/>
          <w:spacing w:val="-4"/>
          <w:szCs w:val="19"/>
          <w:highlight w:val="black"/>
        </w:rPr>
        <w:t xml:space="preserve">wania i </w:t>
      </w:r>
      <w:r w:rsidRPr="004E7D24">
        <w:rPr>
          <w:noProof/>
          <w:spacing w:val="-4"/>
          <w:szCs w:val="19"/>
          <w:highlight w:val="black"/>
        </w:rPr>
        <w:t>działalności wspiera</w:t>
      </w:r>
      <w:r w:rsidR="00C4541A" w:rsidRPr="004E7D24">
        <w:rPr>
          <w:noProof/>
          <w:spacing w:val="-4"/>
          <w:szCs w:val="19"/>
          <w:highlight w:val="black"/>
        </w:rPr>
        <w:t xml:space="preserve">jącej; działalności związanej z </w:t>
      </w:r>
      <w:r w:rsidRPr="004E7D24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4E7D24">
        <w:rPr>
          <w:noProof/>
          <w:spacing w:val="-4"/>
          <w:szCs w:val="19"/>
          <w:highlight w:val="black"/>
        </w:rPr>
        <w:t xml:space="preserve"> </w:t>
      </w:r>
      <w:r w:rsidRPr="004E7D2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4E7D24">
        <w:rPr>
          <w:noProof/>
          <w:spacing w:val="-4"/>
          <w:szCs w:val="19"/>
          <w:highlight w:val="black"/>
        </w:rPr>
        <w:t xml:space="preserve">i artykułów użytku osobistego i </w:t>
      </w:r>
      <w:r w:rsidRPr="004E7D24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4E7D24">
        <w:rPr>
          <w:spacing w:val="-4"/>
          <w:highlight w:val="black"/>
        </w:rPr>
        <w:t>;</w:t>
      </w:r>
    </w:p>
    <w:p w14:paraId="1B5A3C46" w14:textId="2F014EC5" w:rsidR="00B3482C" w:rsidRPr="004E7D24" w:rsidRDefault="001B0E1A" w:rsidP="00B616E2">
      <w:pPr>
        <w:pStyle w:val="Tekstwypunktowany"/>
        <w:spacing w:line="288" w:lineRule="auto"/>
        <w:rPr>
          <w:highlight w:val="black"/>
        </w:rPr>
      </w:pPr>
      <w:r w:rsidRPr="004E7D2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4E7D24">
        <w:rPr>
          <w:noProof/>
          <w:szCs w:val="19"/>
          <w:highlight w:val="black"/>
        </w:rPr>
        <w:t>ch oraz usług, które pochodzą z </w:t>
      </w:r>
      <w:r w:rsidRPr="004E7D2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</w:t>
      </w:r>
      <w:r w:rsidR="006F66BF" w:rsidRPr="004E7D24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4E7D24" w:rsidRDefault="00D07EBC" w:rsidP="00B616E2">
      <w:pPr>
        <w:pStyle w:val="Tekstwypunktowany"/>
        <w:spacing w:line="288" w:lineRule="auto"/>
        <w:rPr>
          <w:highlight w:val="black"/>
        </w:rPr>
      </w:pPr>
      <w:r w:rsidRPr="004E7D24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4E7D24">
        <w:rPr>
          <w:noProof/>
          <w:szCs w:val="19"/>
          <w:highlight w:val="black"/>
        </w:rPr>
        <w:t xml:space="preserve">ealizowany przez osoby prawne i </w:t>
      </w:r>
      <w:r w:rsidRPr="004E7D24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4E7D24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4E7D24" w:rsidRDefault="00D07EBC" w:rsidP="00B616E2">
      <w:pPr>
        <w:pStyle w:val="Tekstwypunktowany"/>
        <w:spacing w:line="288" w:lineRule="auto"/>
        <w:rPr>
          <w:highlight w:val="black"/>
        </w:rPr>
      </w:pPr>
      <w:r w:rsidRPr="004E7D2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4E7D24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4E7D24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4E7D2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4E7D24">
        <w:rPr>
          <w:noProof/>
          <w:spacing w:val="-2"/>
          <w:szCs w:val="19"/>
          <w:highlight w:val="black"/>
        </w:rPr>
        <w:t>iczba pracujących przekracza 49</w:t>
      </w:r>
      <w:r w:rsidR="00EF1D3A" w:rsidRPr="004E7D24">
        <w:rPr>
          <w:noProof/>
          <w:spacing w:val="-2"/>
          <w:szCs w:val="19"/>
          <w:highlight w:val="black"/>
        </w:rPr>
        <w:t xml:space="preserve"> </w:t>
      </w:r>
      <w:r w:rsidRPr="004E7D24">
        <w:rPr>
          <w:noProof/>
          <w:spacing w:val="-2"/>
          <w:szCs w:val="19"/>
          <w:highlight w:val="black"/>
        </w:rPr>
        <w:t>osób</w:t>
      </w:r>
      <w:r w:rsidR="00104786" w:rsidRPr="004E7D24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4E7D24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4E7D24">
        <w:rPr>
          <w:highlight w:val="black"/>
        </w:rPr>
        <w:br w:type="page"/>
      </w:r>
    </w:p>
    <w:p w14:paraId="360189E2" w14:textId="77777777" w:rsidR="00E949F3" w:rsidRPr="004E7D24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E7D24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4E7D24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4E7D2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4E7D24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4E7D24">
        <w:rPr>
          <w:highlight w:val="black"/>
        </w:rPr>
        <w:t>Dane prezentuje się w układzie Polskiej Klasyfikacji Działalności — PKD 2007</w:t>
      </w:r>
      <w:r w:rsidR="00DF28F3" w:rsidRPr="004E7D24">
        <w:rPr>
          <w:highlight w:val="black"/>
        </w:rPr>
        <w:t>.</w:t>
      </w:r>
      <w:r w:rsidR="00946BC7" w:rsidRPr="004E7D24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4E7D24" w:rsidRDefault="000C2165" w:rsidP="001E694B">
      <w:pPr>
        <w:pStyle w:val="Spistreci"/>
        <w:rPr>
          <w:noProof/>
          <w:highlight w:val="black"/>
        </w:rPr>
      </w:pPr>
      <w:r w:rsidRPr="004E7D24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4E7D24" w14:paraId="05004863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4E7D2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4E7D2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4E7D24" w14:paraId="643F9472" w14:textId="77777777" w:rsidTr="004E7D2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4E7D2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4E7D24" w14:paraId="1EBFB7B3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4E7D2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E7D24" w14:paraId="14860AC9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E7D24" w14:paraId="433ACFC0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4E7D24" w14:paraId="6D17539B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4E7D24" w14:paraId="47368E68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4E7D24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4E7D24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4E7D24" w14:paraId="4F1A3C62" w14:textId="77777777" w:rsidTr="004E7D2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4E7D2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4E7D24" w14:paraId="2FB72B89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4E7D24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4E7D24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4E7D24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4E7D24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4E7D24" w14:paraId="5285A1FC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4E7D24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4E7D24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4E7D24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4E7D24" w14:paraId="07FB87C6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4E7D24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E7D24" w14:paraId="41081043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E7D24" w14:paraId="7F0994C2" w14:textId="77777777" w:rsidTr="004E7D2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4E7D24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4E7D24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4E7D24" w14:paraId="60A3EBF8" w14:textId="77777777" w:rsidTr="004E7D2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4E7D24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4E7D24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4E7D24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4E7D24" w:rsidRDefault="00237809" w:rsidP="001E694B">
      <w:pPr>
        <w:pStyle w:val="Spistreci"/>
        <w:rPr>
          <w:noProof/>
          <w:highlight w:val="black"/>
        </w:rPr>
      </w:pPr>
      <w:r w:rsidRPr="004E7D24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4E7D24" w14:paraId="5BB5D55D" w14:textId="77777777" w:rsidTr="004E7D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4E7D24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4E7D24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4E7D24" w14:paraId="21770883" w14:textId="77777777" w:rsidTr="004E7D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4E7D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4E7D24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4E7D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E7D24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4E7D24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4E7D24" w14:paraId="0D0ED342" w14:textId="77777777" w:rsidTr="004E7D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4E7D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4E7D24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4E7D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E7D24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4E7D24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4E7D24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4E7D24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4E7D24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4E7D24" w14:paraId="1215AF80" w14:textId="77777777" w:rsidTr="004E7D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4E7D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Znak</w:t>
            </w:r>
            <w:r w:rsidRPr="004E7D24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4E7D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E7D24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4E7D24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4E7D24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4E7D24" w14:paraId="5AA9EDD9" w14:textId="77777777" w:rsidTr="004E7D2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4E7D2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Znak</w:t>
            </w:r>
            <w:r w:rsidRPr="004E7D24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4E7D2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4E7D24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4E7D24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4E7D24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4E7D24" w:rsidRDefault="001A35A1" w:rsidP="00170047">
      <w:pPr>
        <w:pStyle w:val="podstawowyFira95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Pr="004E7D24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4E7D24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4E7D24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4E7D24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4E7D24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45546493" w:rsidR="00502C57" w:rsidRPr="004E7D24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4E7D24">
        <w:rPr>
          <w:noProof/>
          <w:highlight w:val="black"/>
        </w:rPr>
        <w:t>Raport „Koniunktura gospodarcza w w</w:t>
      </w:r>
      <w:r w:rsidR="00100B33" w:rsidRPr="004E7D24">
        <w:rPr>
          <w:noProof/>
          <w:highlight w:val="black"/>
        </w:rPr>
        <w:t>oj</w:t>
      </w:r>
      <w:r w:rsidR="00B02551" w:rsidRPr="004E7D24">
        <w:rPr>
          <w:noProof/>
          <w:highlight w:val="black"/>
        </w:rPr>
        <w:t xml:space="preserve">ewództwie </w:t>
      </w:r>
      <w:r w:rsidR="00BB37D0" w:rsidRPr="004E7D24">
        <w:rPr>
          <w:noProof/>
          <w:highlight w:val="black"/>
        </w:rPr>
        <w:t>podkarpackim</w:t>
      </w:r>
      <w:r w:rsidR="009D2CA6" w:rsidRPr="004E7D24">
        <w:rPr>
          <w:noProof/>
          <w:highlight w:val="black"/>
        </w:rPr>
        <w:t>. Czerwiec</w:t>
      </w:r>
      <w:r w:rsidR="003C7F22" w:rsidRPr="004E7D24">
        <w:rPr>
          <w:noProof/>
          <w:highlight w:val="black"/>
        </w:rPr>
        <w:t xml:space="preserve"> </w:t>
      </w:r>
      <w:r w:rsidR="005F6BFD" w:rsidRPr="004E7D24">
        <w:rPr>
          <w:noProof/>
          <w:highlight w:val="black"/>
        </w:rPr>
        <w:t>2022</w:t>
      </w:r>
      <w:r w:rsidRPr="004E7D24">
        <w:rPr>
          <w:noProof/>
          <w:highlight w:val="black"/>
        </w:rPr>
        <w:t xml:space="preserve"> r.” </w:t>
      </w:r>
      <w:r w:rsidR="007524D7" w:rsidRPr="004E7D24">
        <w:rPr>
          <w:noProof/>
          <w:highlight w:val="black"/>
        </w:rPr>
        <w:t>uka</w:t>
      </w:r>
      <w:r w:rsidR="005972FA" w:rsidRPr="004E7D24">
        <w:rPr>
          <w:noProof/>
          <w:highlight w:val="black"/>
        </w:rPr>
        <w:t>że</w:t>
      </w:r>
      <w:r w:rsidR="007524D7" w:rsidRPr="004E7D24">
        <w:rPr>
          <w:noProof/>
          <w:highlight w:val="black"/>
        </w:rPr>
        <w:t xml:space="preserve"> się</w:t>
      </w:r>
      <w:r w:rsidRPr="004E7D24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4E7D24">
        <w:rPr>
          <w:noProof/>
          <w:highlight w:val="black"/>
        </w:rPr>
        <w:t xml:space="preserve"> </w:t>
      </w:r>
      <w:r w:rsidR="009D2CA6" w:rsidRPr="004E7D24">
        <w:rPr>
          <w:noProof/>
          <w:highlight w:val="black"/>
        </w:rPr>
        <w:t>30 czerwc</w:t>
      </w:r>
      <w:r w:rsidR="001B2F61" w:rsidRPr="004E7D24">
        <w:rPr>
          <w:noProof/>
          <w:highlight w:val="black"/>
        </w:rPr>
        <w:t>a</w:t>
      </w:r>
      <w:r w:rsidR="006E35D2" w:rsidRPr="004E7D24">
        <w:rPr>
          <w:noProof/>
          <w:highlight w:val="black"/>
        </w:rPr>
        <w:t xml:space="preserve"> </w:t>
      </w:r>
      <w:r w:rsidR="006A7608" w:rsidRPr="004E7D24">
        <w:rPr>
          <w:noProof/>
          <w:highlight w:val="black"/>
        </w:rPr>
        <w:t>202</w:t>
      </w:r>
      <w:r w:rsidR="005F6BFD" w:rsidRPr="004E7D24">
        <w:rPr>
          <w:noProof/>
          <w:highlight w:val="black"/>
        </w:rPr>
        <w:t>2</w:t>
      </w:r>
      <w:r w:rsidR="00C54FAC" w:rsidRPr="004E7D24">
        <w:rPr>
          <w:noProof/>
          <w:highlight w:val="black"/>
        </w:rPr>
        <w:t xml:space="preserve"> </w:t>
      </w:r>
      <w:r w:rsidRPr="004E7D24">
        <w:rPr>
          <w:noProof/>
          <w:highlight w:val="black"/>
        </w:rPr>
        <w:t>r.</w:t>
      </w:r>
    </w:p>
    <w:p w14:paraId="4D7AE6B7" w14:textId="6207D866" w:rsidR="00EE6AAF" w:rsidRPr="004E7D24" w:rsidRDefault="00EE6AAF" w:rsidP="007E6E06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4E7D24">
        <w:rPr>
          <w:highlight w:val="black"/>
        </w:rPr>
        <w:t xml:space="preserve">w </w:t>
      </w:r>
      <w:r w:rsidRPr="004E7D24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4E7D24">
        <w:rPr>
          <w:highlight w:val="black"/>
        </w:rPr>
        <w:t>łasne na podstawie danych GUS”.</w:t>
      </w:r>
    </w:p>
    <w:p w14:paraId="7EF1DE5B" w14:textId="77777777" w:rsidR="00502C57" w:rsidRPr="004E7D24" w:rsidRDefault="00502C57" w:rsidP="00502C57">
      <w:pPr>
        <w:rPr>
          <w:noProof/>
          <w:highlight w:val="black"/>
        </w:rPr>
      </w:pPr>
      <w:r w:rsidRPr="004E7D24">
        <w:rPr>
          <w:noProof/>
          <w:highlight w:val="black"/>
        </w:rPr>
        <w:br w:type="page"/>
      </w:r>
    </w:p>
    <w:p w14:paraId="1FEC4E22" w14:textId="77777777" w:rsidR="00502C57" w:rsidRPr="004E7D24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07385859"/>
      <w:r w:rsidRPr="004E7D24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5FC913B4" w14:textId="77777777" w:rsidR="00833299" w:rsidRPr="004E7D24" w:rsidRDefault="00833299" w:rsidP="00833299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4E7D24">
        <w:rPr>
          <w:highlight w:val="black"/>
        </w:rPr>
        <w:t>W maju 2022 r. w sektorze przedsiębiorstw przeciętne zatrudnienie wzrosło w odniesieniu do analogicznego miesiąca 2021 r., a tempo tego wzrostu było niższe niż w kwietniu br. W skali roku zmniejszyła się liczba zarejestrowanych bezrobotnych, a także stopa bezrobocia rejestrowanego.</w:t>
      </w:r>
    </w:p>
    <w:p w14:paraId="4005C325" w14:textId="77777777" w:rsidR="00833299" w:rsidRPr="004E7D24" w:rsidRDefault="00833299" w:rsidP="00833299">
      <w:pPr>
        <w:spacing w:before="120" w:after="120" w:line="288" w:lineRule="auto"/>
        <w:rPr>
          <w:highlight w:val="black"/>
        </w:rPr>
      </w:pPr>
      <w:r w:rsidRPr="004E7D24">
        <w:rPr>
          <w:b/>
          <w:highlight w:val="black"/>
        </w:rPr>
        <w:t>Przeciętne zatrudnienie</w:t>
      </w:r>
      <w:r w:rsidRPr="004E7D24">
        <w:rPr>
          <w:highlight w:val="black"/>
        </w:rPr>
        <w:t xml:space="preserve"> w sektorze przedsiębiorstw w maju 2022 r. wyniosło 254,0 tys. osób i było wyższe o 3,1% niż przed rokiem (wobec wzrostu o 3,6% w maju 2021 r.), a niższe o 0,2% niż przed miesiącem. W kraju przeciętne zatrudnienie wzrosło w odniesieniu do maja 2021 r. (o 2,4%), a obniżyło się w stosunku do kwietnia br. (o 0,1%).</w:t>
      </w:r>
    </w:p>
    <w:p w14:paraId="381C4BB7" w14:textId="77777777" w:rsidR="00833299" w:rsidRPr="004E7D24" w:rsidRDefault="00833299" w:rsidP="00833299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>W odniesieniu do maja 2021 r. wzrost zatrudnienia wystąpił w dziewięciu sekcjach, w tym najwyższy w dostawie wody; gospodarowaniu ściekami i odpadami; rekultywacji (o 13,8%), natomiast istotny spadek zatrudnienia odnotowano w obsłudze rynku nieruchomości (o 2,9%).</w:t>
      </w:r>
    </w:p>
    <w:p w14:paraId="30918D30" w14:textId="6144795A" w:rsidR="00833299" w:rsidRPr="004E7D24" w:rsidRDefault="00833299" w:rsidP="00CB174D">
      <w:pPr>
        <w:numPr>
          <w:ilvl w:val="0"/>
          <w:numId w:val="4"/>
        </w:numPr>
        <w:spacing w:before="360" w:after="120"/>
        <w:ind w:left="0" w:firstLine="0"/>
        <w:rPr>
          <w:rFonts w:cs="Arial"/>
          <w:b/>
          <w:highlight w:val="black"/>
        </w:rPr>
      </w:pPr>
      <w:r w:rsidRPr="004E7D24">
        <w:rPr>
          <w:rFonts w:cs="Arial"/>
          <w:b/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w załączonym pliku excel."/>
      </w:tblPr>
      <w:tblGrid>
        <w:gridCol w:w="4111"/>
        <w:gridCol w:w="1559"/>
        <w:gridCol w:w="1560"/>
        <w:gridCol w:w="1559"/>
        <w:gridCol w:w="1417"/>
      </w:tblGrid>
      <w:tr w:rsidR="00833299" w:rsidRPr="004E7D24" w14:paraId="0EFE7A64" w14:textId="77777777" w:rsidTr="004E7D24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23EE1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9332C7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E0FCB7F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2022</w:t>
            </w:r>
          </w:p>
        </w:tc>
      </w:tr>
      <w:tr w:rsidR="004E7D24" w:rsidRPr="004E7D24" w14:paraId="449F511D" w14:textId="77777777" w:rsidTr="004E7D24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A0B18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87D79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2580F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90DC5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B81FBA1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2021=100</w:t>
            </w:r>
          </w:p>
        </w:tc>
      </w:tr>
      <w:tr w:rsidR="004E7D24" w:rsidRPr="004E7D24" w14:paraId="64B3D32B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7A8AB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E678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254,0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A5D9B1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D31B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254,0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B883DB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103,6</w:t>
            </w:r>
          </w:p>
        </w:tc>
      </w:tr>
      <w:tr w:rsidR="004E7D24" w:rsidRPr="004E7D24" w14:paraId="1CF88846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8FC0D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AA59FD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AFB86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A041DC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C0B6A44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52E1E904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90A98B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4F13F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67B6C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B0526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9614005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4E7D24" w:rsidRPr="004E7D24" w14:paraId="489FA951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51931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94455E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5F573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60F80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65D695C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747EC6D0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F596D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66BA3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125,6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DC192A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E4F00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125,6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3E99ED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4E7D24" w:rsidRPr="004E7D24" w14:paraId="401A805A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E0250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B8E81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26C3BA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A0BE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23681B3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113,3</w:t>
            </w:r>
          </w:p>
        </w:tc>
      </w:tr>
      <w:tr w:rsidR="004E7D24" w:rsidRPr="004E7D24" w14:paraId="77798B4E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BACBBE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272A11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85932F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C5714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B556E69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4E7D24" w:rsidRPr="004E7D24" w14:paraId="554089D5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E23563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E7D2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26C8CA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1E59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00D300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AB9358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4E7D24" w:rsidRPr="004E7D24" w14:paraId="5BF0C3D4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49BAE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519E1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BECB5E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CAE17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FF7322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107,6</w:t>
            </w:r>
          </w:p>
        </w:tc>
      </w:tr>
      <w:tr w:rsidR="004E7D24" w:rsidRPr="004E7D24" w14:paraId="44C763D6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58C1C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Zakwaterowanie i gastronomia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CDDD3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469E59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35AD1A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C3E8028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107,3</w:t>
            </w:r>
          </w:p>
        </w:tc>
      </w:tr>
      <w:tr w:rsidR="004E7D24" w:rsidRPr="004E7D24" w14:paraId="07D9B129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DD266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Obsługa rynku nieruchomości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D5BBC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51C7B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97,1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264B7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37E85A3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96,9</w:t>
            </w:r>
          </w:p>
        </w:tc>
      </w:tr>
      <w:tr w:rsidR="004E7D24" w:rsidRPr="004E7D24" w14:paraId="730BB55A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6E176F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Działalność profesjonalna, naukowa i techniczna</w:t>
            </w:r>
            <w:r w:rsidRPr="004E7D24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5D73D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9F17CD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0E8BE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2CD8FA0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833299" w:rsidRPr="004E7D24" w14:paraId="36899970" w14:textId="77777777" w:rsidTr="004E7D24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3941CC" w14:textId="77777777" w:rsidR="00833299" w:rsidRPr="004E7D24" w:rsidRDefault="00833299" w:rsidP="0083329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9DEB93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6356A5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FFD587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5AF70DE" w14:textId="77777777" w:rsidR="00833299" w:rsidRPr="004E7D24" w:rsidRDefault="00833299" w:rsidP="0083329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101,9</w:t>
            </w:r>
          </w:p>
        </w:tc>
      </w:tr>
    </w:tbl>
    <w:p w14:paraId="57D03EA5" w14:textId="77777777" w:rsidR="00833299" w:rsidRPr="004E7D24" w:rsidRDefault="00833299" w:rsidP="00833299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E7D24">
        <w:rPr>
          <w:sz w:val="16"/>
          <w:szCs w:val="16"/>
          <w:highlight w:val="black"/>
        </w:rPr>
        <w:t xml:space="preserve">a </w:t>
      </w:r>
      <w:r w:rsidRPr="004E7D2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B001B6D" w14:textId="0C89A838" w:rsidR="00833299" w:rsidRPr="004E7D24" w:rsidRDefault="00833299" w:rsidP="00833299">
      <w:pPr>
        <w:spacing w:before="240" w:after="120" w:line="288" w:lineRule="auto"/>
        <w:rPr>
          <w:rFonts w:cs="Arial"/>
          <w:szCs w:val="19"/>
          <w:highlight w:val="black"/>
        </w:rPr>
      </w:pPr>
      <w:r w:rsidRPr="004E7D24">
        <w:rPr>
          <w:rFonts w:cs="Arial"/>
          <w:szCs w:val="19"/>
          <w:highlight w:val="black"/>
        </w:rPr>
        <w:t>W stosunku do poprzedniego miesiąca zatrudnienie obniżyło się m.in. w</w:t>
      </w:r>
      <w:r w:rsidRPr="004E7D24">
        <w:rPr>
          <w:highlight w:val="black"/>
        </w:rPr>
        <w:t xml:space="preserve"> </w:t>
      </w:r>
      <w:r w:rsidRPr="004E7D24">
        <w:rPr>
          <w:rFonts w:cs="Arial"/>
          <w:szCs w:val="19"/>
          <w:highlight w:val="black"/>
        </w:rPr>
        <w:t>administrowaniu</w:t>
      </w:r>
      <w:r w:rsidR="00553039" w:rsidRPr="004E7D24">
        <w:rPr>
          <w:rFonts w:cs="Arial"/>
          <w:szCs w:val="19"/>
          <w:highlight w:val="black"/>
        </w:rPr>
        <w:t xml:space="preserve"> i działalności wspierającej (o </w:t>
      </w:r>
      <w:r w:rsidRPr="004E7D24">
        <w:rPr>
          <w:rFonts w:cs="Arial"/>
          <w:szCs w:val="19"/>
          <w:highlight w:val="black"/>
        </w:rPr>
        <w:t>0,7%), zakwaterowaniu i gastronomii (o 0,5%), a także w przetwórstwie przemysłowym oraz w działalności profesjonalnej, naukowej i technicznej (po 0,3%). Natomiast wzrost zatrudnienia odnotowano m.in. w dostawie wody; gospodarowaniu ściekami i odpadami; rekultywacji (o 0,5%) oraz w transporcie i gospodarce magazynowej (o 0,1%).</w:t>
      </w:r>
    </w:p>
    <w:p w14:paraId="7E291C7B" w14:textId="77777777" w:rsidR="00833299" w:rsidRPr="004E7D24" w:rsidRDefault="00833299" w:rsidP="0083329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0A368C81" w14:textId="7D1A4980" w:rsidR="00833299" w:rsidRPr="004E7D24" w:rsidRDefault="00E956AE" w:rsidP="00833299">
      <w:pPr>
        <w:suppressAutoHyphens/>
        <w:spacing w:before="120" w:after="120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482A457" wp14:editId="08FE708C">
            <wp:extent cx="6400800" cy="2548800"/>
            <wp:effectExtent l="0" t="0" r="0" b="4445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686ABF" w14:textId="0EE39670" w:rsidR="0011525F" w:rsidRPr="004E7D24" w:rsidRDefault="00833299" w:rsidP="00833299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>Od stycznia do maja br. przeciętne zatrudnienie w sektorze przedsiębiorstw ukształtowało się na poziomie 254,0 tys. osób i było o 3,6% wyższe (w kraju o 2,4%) niż w analogicznym okresie ubiegłego roku. Najbardziej zatrudnienie wzrosło w dostawie wody; gospodarowaniu ściekami i odpadami; rekultywacji (o 13,3%), natomiast znaczący spadek odnotowano w obsłudze rynku nieruchomości (o 3,1%).</w:t>
      </w:r>
    </w:p>
    <w:p w14:paraId="62E20463" w14:textId="77777777" w:rsidR="00F74D70" w:rsidRPr="004E7D24" w:rsidRDefault="00F74D70" w:rsidP="00F74D70">
      <w:pPr>
        <w:spacing w:before="120" w:after="120" w:line="288" w:lineRule="auto"/>
        <w:rPr>
          <w:rFonts w:eastAsia="Times New Roman"/>
          <w:b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W końcu maja 2022 r. </w:t>
      </w:r>
      <w:r w:rsidRPr="004E7D2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w urzędach pracy wyniosła 71339 osób i była niższa o 2691 osób niż w poprzednim miesiącu i o 11920 niższa niż w maju 2021 r. Kobiety stanowiły 53,6% ogółu zarejestrowanych bezrobotnych (przed rokiem 53,3%).</w:t>
      </w:r>
    </w:p>
    <w:p w14:paraId="13CF3B09" w14:textId="77777777" w:rsidR="00F74D70" w:rsidRPr="004E7D24" w:rsidRDefault="00F74D70" w:rsidP="00F74D7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E7D24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F74D70" w:rsidRPr="004E7D24" w14:paraId="5B5D3844" w14:textId="77777777" w:rsidTr="004E7D24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0187F6C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DCF9B9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64FD7B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4E7D24" w:rsidRPr="004E7D24" w14:paraId="0608BBA5" w14:textId="77777777" w:rsidTr="004E7D2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467B7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B973F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61578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A25E4F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</w:tr>
      <w:tr w:rsidR="004E7D24" w:rsidRPr="004E7D24" w14:paraId="457C175A" w14:textId="77777777" w:rsidTr="004E7D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134C3C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60627A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83,3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AEC382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74,0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8EF5E4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71,3</w:t>
            </w:r>
          </w:p>
        </w:tc>
      </w:tr>
      <w:tr w:rsidR="004E7D24" w:rsidRPr="004E7D24" w14:paraId="48D6763C" w14:textId="77777777" w:rsidTr="004E7D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8A446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E2DD55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51DFCB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034762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6,5</w:t>
            </w:r>
          </w:p>
        </w:tc>
      </w:tr>
      <w:tr w:rsidR="004E7D24" w:rsidRPr="004E7D24" w14:paraId="6102AB29" w14:textId="77777777" w:rsidTr="004E7D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82AA8B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D59307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764909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DCC1C6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</w:tr>
      <w:tr w:rsidR="00F74D70" w:rsidRPr="004E7D24" w14:paraId="6FF896E7" w14:textId="77777777" w:rsidTr="004E7D24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E6D22C1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B1E4D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66829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76ADDB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</w:tr>
    </w:tbl>
    <w:p w14:paraId="2EC20EEF" w14:textId="77777777" w:rsidR="00F74D70" w:rsidRPr="004E7D24" w:rsidRDefault="00F74D70" w:rsidP="00F74D7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w końcu maja 2022 r. wyniosła 7,5% </w:t>
      </w:r>
      <w:r w:rsidRPr="004E7D24">
        <w:rPr>
          <w:rFonts w:cs="Arial"/>
          <w:noProof/>
          <w:highlight w:val="black"/>
        </w:rPr>
        <w:t>i zmniejszyła się w odniesieniu do</w:t>
      </w:r>
      <w:r w:rsidRPr="004E7D24">
        <w:rPr>
          <w:highlight w:val="black"/>
        </w:rPr>
        <w:t xml:space="preserve"> </w:t>
      </w:r>
      <w:r w:rsidRPr="004E7D24">
        <w:rPr>
          <w:rFonts w:cs="Arial"/>
          <w:noProof/>
          <w:highlight w:val="black"/>
        </w:rPr>
        <w:t>poprzedniego miesiąca o 0,3 p.proc., a także zmalała o 1,3 p.proc. w odniesieniu do maja 2021 r</w:t>
      </w:r>
      <w:r w:rsidRPr="004E7D24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2,8%, a najwyższą w warmińsko-mazurskim – 7,9%). W kraju stopa bezrobocia wyniosła 5,1%, wobec 6,1% przed rokiem.</w:t>
      </w:r>
    </w:p>
    <w:p w14:paraId="65C3B9C5" w14:textId="77777777" w:rsidR="00F74D70" w:rsidRPr="004E7D24" w:rsidRDefault="00F74D70" w:rsidP="00F74D70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20BA9754" w14:textId="51249952" w:rsidR="00F74D70" w:rsidRPr="004E7D24" w:rsidRDefault="009758D9" w:rsidP="00F74D7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041AB30D" wp14:editId="779DC6C4">
            <wp:extent cx="6620400" cy="30924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4C4669" w14:textId="77777777" w:rsidR="00F74D70" w:rsidRPr="004E7D24" w:rsidRDefault="00F74D70" w:rsidP="00F74D70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maja 2022 r. wystąpiła w powiatach brzozowskim i niżańskim (po 14,3%), a najniższy jej poziom odnotowano w Krośnie (2,6%). </w:t>
      </w:r>
      <w:r w:rsidRPr="004E7D24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</w:t>
      </w:r>
      <w:r w:rsidRPr="004E7D24">
        <w:rPr>
          <w:rFonts w:eastAsia="Times New Roman" w:cs="Arial"/>
          <w:spacing w:val="2"/>
          <w:szCs w:val="19"/>
          <w:highlight w:val="black"/>
          <w:lang w:eastAsia="pl-PL"/>
        </w:rPr>
        <w:t>spadek stopy bezrobocia odnotowano we wszystkich dwudziestu pięciu powiatach, w tym największy w leskim (o 0,9 p.proc.).</w:t>
      </w:r>
    </w:p>
    <w:p w14:paraId="5635FC44" w14:textId="77777777" w:rsidR="00F74D70" w:rsidRPr="004E7D24" w:rsidRDefault="00F74D70" w:rsidP="00F74D70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E7D24">
        <w:rPr>
          <w:rFonts w:eastAsia="Times New Roman" w:cs="Arial"/>
          <w:szCs w:val="19"/>
          <w:highlight w:val="black"/>
          <w:lang w:eastAsia="pl-PL"/>
        </w:rPr>
        <w:t>W porównaniu z majem 2021 r. spadek stopy bezrobocia rejestrowanego zanotowano we wszystkich dwudziestu pięciu powiatach, w tym największy w jarosławskim (o 2,1 p.proc.).</w:t>
      </w:r>
    </w:p>
    <w:p w14:paraId="701B9989" w14:textId="77777777" w:rsidR="00F74D70" w:rsidRPr="004E7D24" w:rsidRDefault="00F74D70" w:rsidP="00F74D70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4E7D24">
        <w:rPr>
          <w:rFonts w:eastAsia="Times New Roman"/>
          <w:b/>
          <w:highlight w:val="black"/>
          <w:lang w:eastAsia="pl-PL"/>
        </w:rPr>
        <w:t>Mapa 1. Stopa bezrobocia rejestrowanego według powiatów w 2022 r. (stan w końcu maja)</w:t>
      </w:r>
    </w:p>
    <w:p w14:paraId="6DDE1EFE" w14:textId="77777777" w:rsidR="00F74D70" w:rsidRPr="004E7D24" w:rsidRDefault="00F74D70" w:rsidP="00F74D7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7D57EAC9" w14:textId="018214EE" w:rsidR="00F74D70" w:rsidRPr="004E7D24" w:rsidRDefault="00032ED5" w:rsidP="00F74D7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669AD9F" wp14:editId="70F566C5">
            <wp:extent cx="4187974" cy="4834800"/>
            <wp:effectExtent l="0" t="0" r="3175" b="444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topa bezrobocia_05_2022 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74" cy="48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70C3E" w14:textId="77777777" w:rsidR="00F74D70" w:rsidRPr="004E7D24" w:rsidRDefault="00F74D70" w:rsidP="00F74D70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maju 2022 r. w urzędach pracy </w:t>
      </w:r>
      <w:r w:rsidRPr="004E7D24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4E7D24">
        <w:rPr>
          <w:rFonts w:eastAsia="Times New Roman"/>
          <w:spacing w:val="2"/>
          <w:szCs w:val="19"/>
          <w:highlight w:val="black"/>
          <w:lang w:eastAsia="pl-PL"/>
        </w:rPr>
        <w:t xml:space="preserve"> 6,5 tys. osób bezrobotnych, tj. o 5,6% mniej niż przed miesiącem, a o </w:t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>8,3% więcej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maja 2021 r. (o 0,3 p.proc. do 77,1%). Zmniejszył się również udział absolwentów (o 2,5 p.proc. do 10,1%), a także udział osób zwolnionych z przyczyn dotyczących zakładu pracy (o 0,9 p.proc. do 3,0%). Wzrósł natomiast udział osób bez doświadczenia zawodowego (o 2,2 p.proc. do 27,6%). </w:t>
      </w:r>
      <w:r w:rsidRPr="004E7D24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44FD7DAA" w14:textId="77777777" w:rsidR="00F74D70" w:rsidRPr="004E7D24" w:rsidRDefault="00F74D70" w:rsidP="00F74D7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W maju 2022 r. z ewidencji bezrobotnych </w:t>
      </w:r>
      <w:r w:rsidRPr="004E7D24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9,2 tys. osób, tj. o 4,0% mniej niż w poprzednim miesiącu, a o 7,7</w:t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>% więcej niż w maju 2021 roku.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5,0 tys. osób (przed rokiem – 5,5 tys.). Udział tej kategorii osób w ogólnej liczbie wyrejestrowanych zmniejszył się w ujęciu rocznym (o 10,5 p.proc. do 54,4%).</w:t>
      </w:r>
    </w:p>
    <w:p w14:paraId="4BCAC61D" w14:textId="77777777" w:rsidR="00F74D70" w:rsidRPr="004E7D24" w:rsidRDefault="00F74D70" w:rsidP="00F74D7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4E7D24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4E7D24">
        <w:rPr>
          <w:rFonts w:eastAsia="Times New Roman"/>
          <w:szCs w:val="19"/>
          <w:highlight w:val="black"/>
          <w:lang w:eastAsia="pl-PL"/>
        </w:rPr>
        <w:t>, które nie potwierdziły gotowości do podjęcia pracy (o 4,8 p.proc. do 13,5%)</w:t>
      </w:r>
      <w:r w:rsidRPr="004E7D24">
        <w:rPr>
          <w:szCs w:val="19"/>
          <w:highlight w:val="black"/>
        </w:rPr>
        <w:t>. Zwiększył się także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4E7D24">
        <w:rPr>
          <w:szCs w:val="19"/>
          <w:highlight w:val="black"/>
        </w:rPr>
        <w:t xml:space="preserve">osób, 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2,9 p.proc. do 8,6%) oraz osób </w:t>
      </w:r>
      <w:r w:rsidRPr="004E7D24">
        <w:rPr>
          <w:szCs w:val="19"/>
          <w:highlight w:val="black"/>
        </w:rPr>
        <w:t xml:space="preserve">które 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 pracodawców </w:t>
      </w:r>
      <w:r w:rsidRPr="004E7D24">
        <w:rPr>
          <w:szCs w:val="19"/>
          <w:highlight w:val="black"/>
        </w:rPr>
        <w:t>(o 2,7 p.proc. do 11,5%)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. Względem maja 2021 r. zmniejszył się natomiast udział </w:t>
      </w:r>
      <w:r w:rsidRPr="004E7D24">
        <w:rPr>
          <w:szCs w:val="19"/>
          <w:highlight w:val="black"/>
        </w:rPr>
        <w:t>osób,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</w:t>
      </w:r>
      <w:r w:rsidRPr="004E7D24">
        <w:rPr>
          <w:szCs w:val="19"/>
          <w:highlight w:val="black"/>
        </w:rPr>
        <w:t xml:space="preserve">które </w:t>
      </w:r>
      <w:r w:rsidRPr="004E7D24">
        <w:rPr>
          <w:rFonts w:eastAsia="Times New Roman"/>
          <w:spacing w:val="-2"/>
          <w:szCs w:val="19"/>
          <w:highlight w:val="black"/>
          <w:lang w:eastAsia="pl-PL"/>
        </w:rPr>
        <w:t>osiągnęły wiek emerytalny (o 0,2 p.proc. do 1,6%).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</w:t>
      </w:r>
      <w:r w:rsidRPr="004E7D24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4E7D24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12,4%.</w:t>
      </w:r>
    </w:p>
    <w:p w14:paraId="3D1F1AD4" w14:textId="77777777" w:rsidR="00F74D70" w:rsidRPr="004E7D24" w:rsidRDefault="00F74D70" w:rsidP="00F74D7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W końcu maja 2022 r. </w:t>
      </w:r>
      <w:r w:rsidRPr="004E7D24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pozostawało 61,6 tys. bezrobotnych, a ich udział w ogólnej liczbie bezrobotnych zwiększył się w porównaniu z analogicznym miesiącem 2021 r. (z 86,2% do 86,3%).</w:t>
      </w:r>
    </w:p>
    <w:p w14:paraId="6D551E1D" w14:textId="77777777" w:rsidR="00F74D70" w:rsidRPr="004E7D24" w:rsidRDefault="00F74D70" w:rsidP="00F74D7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4E7D24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w końcu maja 2022 r. stanowili 87,2% ogółu bezrobotnych (przed rokiem 86,8%). Do bezrobotnych w szczególnej sytuacji na rynku pracy zaliczane są m.in. osoby długotrwale bezrobotne</w:t>
      </w:r>
      <w:r w:rsidRPr="004E7D24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4E7D24">
        <w:rPr>
          <w:rFonts w:eastAsia="Times New Roman"/>
          <w:szCs w:val="19"/>
          <w:highlight w:val="black"/>
          <w:lang w:eastAsia="pl-PL"/>
        </w:rPr>
        <w:t>, których udział w liczbie zarejestrowanych ogółem zwiększył się w skali roku (o 1,8 p.proc. do 60,8%). Zwiększył się również udział osób bezrobotnych powyżej 50. roku życia (o 1,4 p.proc. do 24,9%) oraz osób niepełnosprawnych (o 2,1 p.proc. do 6,2%). Zmniejszył się natomiast udział osób do 25. roku życia (o 1,3 p.proc. do 11,6%).</w:t>
      </w:r>
    </w:p>
    <w:p w14:paraId="75713C56" w14:textId="77777777" w:rsidR="00F74D70" w:rsidRPr="004E7D24" w:rsidRDefault="00F74D70" w:rsidP="00F74D7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4E7D24">
        <w:rPr>
          <w:rFonts w:cs="Arial"/>
          <w:b/>
          <w:szCs w:val="19"/>
          <w:highlight w:val="black"/>
          <w:lang w:eastAsia="pl-PL"/>
        </w:rPr>
        <w:t>Wybrane kategorie bezrobotnych</w:t>
      </w:r>
      <w:r w:rsidRPr="004E7D24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r w:rsidRPr="004E7D24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F74D70" w:rsidRPr="004E7D24" w14:paraId="1D9E6049" w14:textId="77777777" w:rsidTr="004E7D2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24AE8C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8FBB6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D6091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F74D70" w:rsidRPr="004E7D24" w14:paraId="007C328C" w14:textId="77777777" w:rsidTr="004E7D24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E0A08B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BCE09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C0B6E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6F64D6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</w:tr>
      <w:tr w:rsidR="00F74D70" w:rsidRPr="004E7D24" w14:paraId="103769B2" w14:textId="77777777" w:rsidTr="004E7D24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BDF4E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A280E3" w14:textId="77777777" w:rsidR="00F74D70" w:rsidRPr="004E7D24" w:rsidRDefault="00F74D70" w:rsidP="00F74D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4E7D24" w:rsidRPr="004E7D24" w14:paraId="6D9B44FE" w14:textId="77777777" w:rsidTr="004E7D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945A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E0D7F" w14:textId="77777777" w:rsidR="00F74D70" w:rsidRPr="004E7D24" w:rsidRDefault="00F74D70" w:rsidP="00F74D7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88A1F2" w14:textId="77777777" w:rsidR="00F74D70" w:rsidRPr="004E7D24" w:rsidRDefault="00F74D70" w:rsidP="00F74D7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B98E77" w14:textId="77777777" w:rsidR="00F74D70" w:rsidRPr="004E7D24" w:rsidRDefault="00F74D70" w:rsidP="00F74D7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E7D24" w:rsidRPr="004E7D24" w14:paraId="0A3F75BB" w14:textId="77777777" w:rsidTr="004E7D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B2B556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3A830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12,9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834B3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11,6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CA62DC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11,6</w:t>
            </w:r>
          </w:p>
        </w:tc>
      </w:tr>
      <w:tr w:rsidR="004E7D24" w:rsidRPr="004E7D24" w14:paraId="4BE0AF17" w14:textId="77777777" w:rsidTr="004E7D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943850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412370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95960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E6A1FA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24,9</w:t>
            </w:r>
          </w:p>
        </w:tc>
      </w:tr>
      <w:tr w:rsidR="004E7D24" w:rsidRPr="004E7D24" w14:paraId="0265D4A3" w14:textId="77777777" w:rsidTr="004E7D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9D2D6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A082C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59,0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8752D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60,3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E3F61F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60,8</w:t>
            </w:r>
          </w:p>
        </w:tc>
      </w:tr>
      <w:tr w:rsidR="00F74D70" w:rsidRPr="004E7D24" w14:paraId="0F023229" w14:textId="77777777" w:rsidTr="004E7D2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9B2EBC" w14:textId="77777777" w:rsidR="00F74D70" w:rsidRPr="004E7D24" w:rsidRDefault="00F74D70" w:rsidP="00F74D70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5C9AA5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A58D32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826AE86" w14:textId="77777777" w:rsidR="00F74D70" w:rsidRPr="004E7D24" w:rsidRDefault="00F74D70" w:rsidP="00F74D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6,2</w:t>
            </w:r>
          </w:p>
        </w:tc>
      </w:tr>
    </w:tbl>
    <w:p w14:paraId="624AFC73" w14:textId="77777777" w:rsidR="00F74D70" w:rsidRPr="004E7D24" w:rsidRDefault="00F74D70" w:rsidP="00F74D70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4E7D24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4E7D24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4E7D2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71C3B266" w14:textId="77777777" w:rsidR="00F74D70" w:rsidRPr="004E7D24" w:rsidRDefault="00F74D70" w:rsidP="00F74D70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4E7D24">
        <w:rPr>
          <w:rFonts w:eastAsia="Times New Roman"/>
          <w:spacing w:val="-4"/>
          <w:szCs w:val="19"/>
          <w:highlight w:val="black"/>
          <w:lang w:eastAsia="pl-PL"/>
        </w:rPr>
        <w:t xml:space="preserve">W maju 2022 r. do urzędów pracy zgłoszono 4988 </w:t>
      </w:r>
      <w:r w:rsidRPr="004E7D24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4E7D24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>, tj. o 281 więcej niż przed miesiącem i o 476 więcej niż przed rokiem. W końcu miesiąca na 1 ofertę pracy przypadało 20 bezrobotnych (przed miesiącem 26, a przed rokiem 29).</w:t>
      </w:r>
    </w:p>
    <w:p w14:paraId="7B9FDF19" w14:textId="77777777" w:rsidR="00F74D70" w:rsidRPr="004E7D24" w:rsidRDefault="00F74D70" w:rsidP="00F74D70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4E7D24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3F3EBF96" w14:textId="78DF63A7" w:rsidR="00F74D70" w:rsidRPr="004E7D24" w:rsidRDefault="009758D9" w:rsidP="00F74D70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CFEFE06" wp14:editId="19D87101">
            <wp:extent cx="6634800" cy="3139200"/>
            <wp:effectExtent l="0" t="0" r="0" b="4445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6548C0EC" w:rsidR="00D953C5" w:rsidRPr="004E7D24" w:rsidRDefault="00F74D70" w:rsidP="00F74D70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4E7D24">
        <w:rPr>
          <w:rFonts w:eastAsia="Times New Roman"/>
          <w:spacing w:val="-4"/>
          <w:highlight w:val="black"/>
          <w:lang w:eastAsia="pl-PL"/>
        </w:rPr>
        <w:t>Wydatki Funduszu Pracy w maju 2022 r. wyniosły 43,8 mln zł, z których 32,4% przeznaczono na zasiłki dla bezrobotnych.</w:t>
      </w:r>
    </w:p>
    <w:p w14:paraId="333BE970" w14:textId="744ED2E1" w:rsidR="00502C57" w:rsidRPr="004E7D24" w:rsidRDefault="00A40037" w:rsidP="00CE3E17">
      <w:pPr>
        <w:pStyle w:val="Nagwek1"/>
        <w:rPr>
          <w:highlight w:val="black"/>
        </w:rPr>
      </w:pPr>
      <w:bookmarkStart w:id="17" w:name="_Toc107385860"/>
      <w:bookmarkEnd w:id="12"/>
      <w:r w:rsidRPr="004E7D24">
        <w:rPr>
          <w:highlight w:val="black"/>
        </w:rPr>
        <w:t>W</w:t>
      </w:r>
      <w:r w:rsidR="00502C57" w:rsidRPr="004E7D24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494A673F" w14:textId="02540760" w:rsidR="00457BBF" w:rsidRPr="004E7D24" w:rsidRDefault="00457BBF" w:rsidP="00457BBF">
      <w:pPr>
        <w:spacing w:before="120" w:after="120" w:line="288" w:lineRule="auto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4E7D24">
        <w:rPr>
          <w:highlight w:val="black"/>
        </w:rPr>
        <w:t>W maju 2022 r. przeciętne miesięczne wynagrodzenie brutto</w:t>
      </w:r>
      <w:r w:rsidRPr="004E7D24">
        <w:rPr>
          <w:b/>
          <w:highlight w:val="black"/>
        </w:rPr>
        <w:t xml:space="preserve"> </w:t>
      </w:r>
      <w:r w:rsidRPr="004E7D24">
        <w:rPr>
          <w:highlight w:val="black"/>
        </w:rPr>
        <w:t>zwiększyło się w skali roku (maj 2022 r. do maja 2021 r.), a</w:t>
      </w:r>
      <w:r w:rsidR="00495AE8" w:rsidRPr="004E7D24">
        <w:rPr>
          <w:highlight w:val="black"/>
        </w:rPr>
        <w:t> </w:t>
      </w:r>
      <w:r w:rsidRPr="004E7D24">
        <w:rPr>
          <w:highlight w:val="black"/>
        </w:rPr>
        <w:t>tempo tego wzrostu było niższe od notowanego w maju 2021 r.</w:t>
      </w:r>
    </w:p>
    <w:p w14:paraId="4667BBF2" w14:textId="77777777" w:rsidR="00457BBF" w:rsidRPr="004E7D24" w:rsidRDefault="00457BBF" w:rsidP="00457BBF">
      <w:pPr>
        <w:spacing w:before="120" w:after="120" w:line="288" w:lineRule="auto"/>
        <w:rPr>
          <w:highlight w:val="black"/>
        </w:rPr>
      </w:pPr>
      <w:r w:rsidRPr="004E7D24">
        <w:rPr>
          <w:b/>
          <w:highlight w:val="black"/>
        </w:rPr>
        <w:t>Przeciętne miesięczne wynagrodzenie brutto</w:t>
      </w:r>
      <w:r w:rsidRPr="004E7D24">
        <w:rPr>
          <w:highlight w:val="black"/>
        </w:rPr>
        <w:t xml:space="preserve"> w sektorze przedsiębiorstw w maju 2022 r. ukształtowało się na poziomie 5270,36 zł i było o 11,4% wyższe niż w maju 2021 r., kiedy notowano wzrost o 13,0%. W porównaniu z poprzednim miesiącem płace obniżyły się o 2,7%. W Polsce przeciętne miesięczne wynagrodzenie brutto wyniosło 6399,59 zł i wzrosło w stosunku do maja 2021 r. (o 13,5%), a obniżyło się w odniesieniu do kwietnia 2022 r. (o 3,4%).</w:t>
      </w:r>
    </w:p>
    <w:p w14:paraId="14A20783" w14:textId="77777777" w:rsidR="00457BBF" w:rsidRPr="004E7D24" w:rsidRDefault="00457BBF" w:rsidP="00457BBF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>W odniesieniu do maja 2021 r. wzrost wynagrodzeń odnotowano w większości badanych sekcji, w tym najwyższy w transporcie i gospodarce magazynowej (o 23,4%). Wzrosty płac wystąpiły m.in. w zakwaterowaniu i gastronomii (o 15,3%), obsłudze rynku nieruchomości (o 14,5%), dostawie wody; gospodarowaniu ściekami i odpadami; rekultywacji (o 14,2%), administrowaniu i działalności wspierającej (o 14,1%), handlu; naprawie pojazdów samochodowych (o 13,5%), budownictwie (o 12,7%) oraz w działalności profesjonalnej, naukowej i technicznej (o 12,5%).</w:t>
      </w:r>
    </w:p>
    <w:p w14:paraId="417094E4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61F1C789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1380CD81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4F589592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146ED55D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7AFC03A8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3125510C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7FA30D80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2D49E708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0730D761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77C363ED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1DDD6413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5154F2CF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42F3DB19" w14:textId="77777777" w:rsidR="00601C1D" w:rsidRPr="004E7D24" w:rsidRDefault="00601C1D" w:rsidP="00457BBF">
      <w:pPr>
        <w:spacing w:before="120" w:after="120" w:line="288" w:lineRule="auto"/>
        <w:rPr>
          <w:highlight w:val="black"/>
        </w:rPr>
      </w:pPr>
    </w:p>
    <w:p w14:paraId="2706E2D7" w14:textId="77777777" w:rsidR="00457BBF" w:rsidRPr="004E7D24" w:rsidRDefault="00457BBF" w:rsidP="00457BB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w załączonym pliku excel."/>
      </w:tblPr>
      <w:tblGrid>
        <w:gridCol w:w="4962"/>
        <w:gridCol w:w="1311"/>
        <w:gridCol w:w="1311"/>
        <w:gridCol w:w="1311"/>
        <w:gridCol w:w="1311"/>
      </w:tblGrid>
      <w:tr w:rsidR="00457BBF" w:rsidRPr="004E7D24" w14:paraId="58F7344E" w14:textId="77777777" w:rsidTr="004E7D24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91910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83552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C677B6F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2022</w:t>
            </w:r>
          </w:p>
        </w:tc>
      </w:tr>
      <w:tr w:rsidR="004E7D24" w:rsidRPr="004E7D24" w14:paraId="0424351A" w14:textId="77777777" w:rsidTr="004E7D24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E6C3B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AC962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C860D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F6535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CA7CD8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2021=100</w:t>
            </w:r>
          </w:p>
        </w:tc>
      </w:tr>
      <w:tr w:rsidR="004E7D24" w:rsidRPr="004E7D24" w14:paraId="57538F0D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5D69F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78A18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5270,36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D9B022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46D41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5254,54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43DBC9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110,6</w:t>
            </w:r>
          </w:p>
        </w:tc>
      </w:tr>
      <w:tr w:rsidR="004E7D24" w:rsidRPr="004E7D24" w14:paraId="1E721B8F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3C82E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35A1D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4D65D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80B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5762B1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530C7AA6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80F13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870260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5458,20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72F8BD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38A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5475,83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33889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4E7D24" w:rsidRPr="004E7D24" w14:paraId="1A7B7D2B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A1211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3CEE7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C5144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A82059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EDA90F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7A2BB373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D907F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1D229F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5428,14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C5D001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C99094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5450,25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BC62E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108,8</w:t>
            </w:r>
          </w:p>
        </w:tc>
      </w:tr>
      <w:tr w:rsidR="004E7D24" w:rsidRPr="004E7D24" w14:paraId="457E9BFD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903A23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33831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5270,24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5F83CB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4FF456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5102,88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5D6F2B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110,0</w:t>
            </w:r>
          </w:p>
        </w:tc>
      </w:tr>
      <w:tr w:rsidR="004E7D24" w:rsidRPr="004E7D24" w14:paraId="53919CAC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30ACF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326F22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4985,88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DE2D36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963D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4893,81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F8B057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112,5</w:t>
            </w:r>
          </w:p>
        </w:tc>
      </w:tr>
      <w:tr w:rsidR="004E7D24" w:rsidRPr="004E7D24" w14:paraId="0ED69D8C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44CA0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4E7D24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C5D4F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4895,11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4689B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DD208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4862,84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1F60F0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113,1</w:t>
            </w:r>
          </w:p>
        </w:tc>
      </w:tr>
      <w:tr w:rsidR="004E7D24" w:rsidRPr="004E7D24" w14:paraId="1A2FD9C6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6CCD7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D2AC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5070,08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FB405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123,4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D9EA7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4925,00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0508CF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119,9</w:t>
            </w:r>
          </w:p>
        </w:tc>
      </w:tr>
      <w:tr w:rsidR="004E7D24" w:rsidRPr="004E7D24" w14:paraId="1EAB3ED7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23BF9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Zakwaterowanie i gastronomia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839E65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4387,78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60417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D261D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4384,00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6BE7E0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119,7</w:t>
            </w:r>
          </w:p>
        </w:tc>
      </w:tr>
      <w:tr w:rsidR="004E7D24" w:rsidRPr="004E7D24" w14:paraId="7DE3F36C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967601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Obsługa rynku nieruchomości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9CB2B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5215,20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42369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3F577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5317,18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0B9F1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111,3</w:t>
            </w:r>
          </w:p>
        </w:tc>
      </w:tr>
      <w:tr w:rsidR="004E7D24" w:rsidRPr="004E7D24" w14:paraId="29387A9B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E78E9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Działalność profesjonalna, naukowa i techniczna</w:t>
            </w:r>
            <w:r w:rsidRPr="004E7D24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715418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5468,56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3E134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D3627A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5490,57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75D351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106,6</w:t>
            </w:r>
          </w:p>
        </w:tc>
      </w:tr>
      <w:tr w:rsidR="00457BBF" w:rsidRPr="004E7D24" w14:paraId="71614D35" w14:textId="77777777" w:rsidTr="004E7D24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C45E47" w14:textId="77777777" w:rsidR="00457BBF" w:rsidRPr="004E7D24" w:rsidRDefault="00457BBF" w:rsidP="00457B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61BF0E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3867,46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EB6044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D8E4EC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3795,94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9D311DE" w14:textId="77777777" w:rsidR="00457BBF" w:rsidRPr="004E7D24" w:rsidRDefault="00457BBF" w:rsidP="00457B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112,1</w:t>
            </w:r>
          </w:p>
        </w:tc>
      </w:tr>
    </w:tbl>
    <w:p w14:paraId="3CDBE91C" w14:textId="77777777" w:rsidR="00457BBF" w:rsidRPr="004E7D24" w:rsidRDefault="00457BBF" w:rsidP="00457BBF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4E7D24">
        <w:rPr>
          <w:sz w:val="16"/>
          <w:szCs w:val="16"/>
          <w:highlight w:val="black"/>
        </w:rPr>
        <w:t xml:space="preserve">a </w:t>
      </w:r>
      <w:r w:rsidRPr="004E7D2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B8A9E94" w14:textId="77777777" w:rsidR="00457BBF" w:rsidRPr="004E7D24" w:rsidRDefault="00457BBF" w:rsidP="00457B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t>Odchylenia względne przeciętnych miesięcznych wynagrodzeń brutto od średniego wynagrodzenia w województwie według wybranych sekcji w maju 2022 r.</w:t>
      </w:r>
    </w:p>
    <w:p w14:paraId="7E44D7E0" w14:textId="5EF41122" w:rsidR="00F31E13" w:rsidRPr="004E7D24" w:rsidRDefault="00E956AE" w:rsidP="00457BB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442390A" wp14:editId="0CFE379F">
            <wp:extent cx="6498000" cy="303120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2FBFE20" w14:textId="77777777" w:rsidR="00457BBF" w:rsidRPr="004E7D24" w:rsidRDefault="00457BBF" w:rsidP="00457BBF">
      <w:pPr>
        <w:spacing w:before="120" w:after="120" w:line="240" w:lineRule="exact"/>
        <w:rPr>
          <w:sz w:val="16"/>
          <w:szCs w:val="16"/>
          <w:highlight w:val="black"/>
        </w:rPr>
      </w:pPr>
      <w:r w:rsidRPr="004E7D24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850F6DA" w14:textId="5C5FCFB6" w:rsidR="00457BBF" w:rsidRPr="004E7D24" w:rsidRDefault="00457BBF" w:rsidP="00457BBF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4E7D24">
        <w:rPr>
          <w:bCs/>
          <w:highlight w:val="black"/>
        </w:rPr>
        <w:t>W porównaniu z poprzednim miesiącem płace obniżyły się m.in. w przetwórstwie przemysłowym (o 4,2%), obsłudze rynku nieruchomości (o 3,9%), transporcie i gospodarce magazynowej (o 2,8%) oraz w działaln</w:t>
      </w:r>
      <w:r w:rsidR="00625E83" w:rsidRPr="004E7D24">
        <w:rPr>
          <w:bCs/>
          <w:highlight w:val="black"/>
        </w:rPr>
        <w:t xml:space="preserve">ości profesjonalnej, naukowej </w:t>
      </w:r>
      <w:r w:rsidR="00625E83" w:rsidRPr="004E7D24">
        <w:rPr>
          <w:bCs/>
          <w:highlight w:val="black"/>
        </w:rPr>
        <w:lastRenderedPageBreak/>
        <w:t>i </w:t>
      </w:r>
      <w:r w:rsidRPr="004E7D24">
        <w:rPr>
          <w:bCs/>
          <w:highlight w:val="black"/>
        </w:rPr>
        <w:t xml:space="preserve">technicznej (o 1,0%). Natomiast wzrost wynagrodzeń odnotowano m.in. w dostawie </w:t>
      </w:r>
      <w:r w:rsidR="00625E83" w:rsidRPr="004E7D24">
        <w:rPr>
          <w:bCs/>
          <w:highlight w:val="black"/>
        </w:rPr>
        <w:t>wody; gospodarowaniu ściekami i </w:t>
      </w:r>
      <w:r w:rsidRPr="004E7D24">
        <w:rPr>
          <w:bCs/>
          <w:highlight w:val="black"/>
        </w:rPr>
        <w:t>odpadami; rekultywacji (o 2,9%), administrowaniu i działalności wspierającej (o 2,3%) oraz w zakwaterowaniu i gastronomii (o 1,2%).</w:t>
      </w:r>
    </w:p>
    <w:p w14:paraId="351AF23F" w14:textId="3ECAEC22" w:rsidR="00457BBF" w:rsidRPr="004E7D24" w:rsidRDefault="00457BBF" w:rsidP="00457BB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4E7D24">
        <w:rPr>
          <w:bCs/>
          <w:highlight w:val="black"/>
        </w:rPr>
        <w:t xml:space="preserve">W okresie styczeń–maj br. przeciętne miesięczne wynagrodzenie brutto w sektorze przedsiębiorstw wyniosło 5254,54 zł </w:t>
      </w:r>
      <w:r w:rsidR="00625E83" w:rsidRPr="004E7D24">
        <w:rPr>
          <w:bCs/>
          <w:highlight w:val="black"/>
        </w:rPr>
        <w:t>i </w:t>
      </w:r>
      <w:r w:rsidRPr="004E7D24">
        <w:rPr>
          <w:bCs/>
          <w:highlight w:val="black"/>
        </w:rPr>
        <w:t>było o 10,6% wyższe (w Polsce o 12,6%) niż w analogicznym okresie ubiegłego roku. We wszystkich badanych sekcjach odnotowano wzrost płac, w tym najwyższy w transporcie i gospodarce magazynowej (o 19,9%).</w:t>
      </w:r>
    </w:p>
    <w:p w14:paraId="65CC27B0" w14:textId="77777777" w:rsidR="00457BBF" w:rsidRPr="004E7D24" w:rsidRDefault="00457BBF" w:rsidP="00457BB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t>Dynamika przeciętnego miesięcznego wynagrodzenia brutto w sektorze przedsiębiorstw</w:t>
      </w:r>
      <w:r w:rsidRPr="004E7D24">
        <w:rPr>
          <w:b/>
          <w:szCs w:val="19"/>
          <w:highlight w:val="black"/>
        </w:rPr>
        <w:br/>
        <w:t>(przeciętna miesięczna 2015=100)</w:t>
      </w:r>
    </w:p>
    <w:p w14:paraId="641B6BBE" w14:textId="16A6BC4E" w:rsidR="00457BBF" w:rsidRPr="004E7D24" w:rsidRDefault="00E956AE" w:rsidP="00457BBF">
      <w:pPr>
        <w:suppressAutoHyphens/>
        <w:spacing w:before="120" w:after="120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592C6E4" wp14:editId="3746F106">
            <wp:extent cx="6480000" cy="2523600"/>
            <wp:effectExtent l="0" t="0" r="0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F6648D4" w14:textId="32485780" w:rsidR="004072E2" w:rsidRPr="004E7D24" w:rsidRDefault="004072E2" w:rsidP="004072E2">
      <w:pPr>
        <w:pStyle w:val="Nagwek1"/>
        <w:rPr>
          <w:highlight w:val="black"/>
        </w:rPr>
      </w:pPr>
      <w:bookmarkStart w:id="22" w:name="_Toc107385861"/>
      <w:r w:rsidRPr="004E7D24">
        <w:rPr>
          <w:highlight w:val="black"/>
        </w:rPr>
        <w:t>Ceny detaliczne</w:t>
      </w:r>
      <w:bookmarkEnd w:id="22"/>
    </w:p>
    <w:p w14:paraId="6E2C738D" w14:textId="63B8A446" w:rsidR="004072E2" w:rsidRPr="004E7D24" w:rsidRDefault="004072E2" w:rsidP="001625B6">
      <w:pPr>
        <w:spacing w:before="120" w:after="120" w:line="288" w:lineRule="auto"/>
        <w:rPr>
          <w:rFonts w:eastAsia="Times New Roman" w:cs="Arial"/>
          <w:bCs/>
          <w:szCs w:val="19"/>
          <w:highlight w:val="black"/>
          <w:lang w:eastAsia="pl-PL"/>
        </w:rPr>
      </w:pPr>
      <w:r w:rsidRPr="004E7D24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1 kwartale 2022 r., </w:t>
      </w:r>
      <w:r w:rsidRPr="004E7D24">
        <w:rPr>
          <w:rFonts w:cs="Arial"/>
          <w:bCs/>
          <w:szCs w:val="19"/>
          <w:highlight w:val="black"/>
        </w:rPr>
        <w:t>w porównaniu z analogicznym okresem poprzedniego roku,</w:t>
      </w:r>
      <w:r w:rsidRPr="004E7D24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 usług konsumpcyjnych o 9,5% (wobec wzrostu o 7,6% w </w:t>
      </w:r>
      <w:r w:rsidR="00454E4B" w:rsidRPr="004E7D24">
        <w:rPr>
          <w:rFonts w:eastAsia="Times New Roman" w:cs="Arial"/>
          <w:bCs/>
          <w:szCs w:val="19"/>
          <w:highlight w:val="black"/>
          <w:lang w:eastAsia="pl-PL"/>
        </w:rPr>
        <w:t>4 kwartale 2021 r.). W</w:t>
      </w:r>
      <w:r w:rsidRPr="004E7D24">
        <w:rPr>
          <w:rFonts w:eastAsia="Times New Roman" w:cs="Arial"/>
          <w:bCs/>
          <w:szCs w:val="19"/>
          <w:highlight w:val="black"/>
          <w:lang w:eastAsia="pl-PL"/>
        </w:rPr>
        <w:t>zrost</w:t>
      </w:r>
      <w:r w:rsidR="00454E4B" w:rsidRPr="004E7D24">
        <w:rPr>
          <w:rFonts w:eastAsia="Times New Roman" w:cs="Arial"/>
          <w:bCs/>
          <w:szCs w:val="19"/>
          <w:highlight w:val="black"/>
          <w:lang w:eastAsia="pl-PL"/>
        </w:rPr>
        <w:t xml:space="preserve"> cen odnotowano</w:t>
      </w:r>
      <w:r w:rsidRPr="004E7D24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E95880" w:rsidRPr="004E7D24">
        <w:rPr>
          <w:rFonts w:eastAsia="Times New Roman" w:cs="Arial"/>
          <w:bCs/>
          <w:szCs w:val="19"/>
          <w:highlight w:val="black"/>
          <w:lang w:eastAsia="pl-PL"/>
        </w:rPr>
        <w:t xml:space="preserve">m.in. </w:t>
      </w:r>
      <w:r w:rsidRPr="004E7D24">
        <w:rPr>
          <w:rFonts w:eastAsia="Times New Roman" w:cs="Arial"/>
          <w:bCs/>
          <w:szCs w:val="19"/>
          <w:highlight w:val="black"/>
          <w:lang w:eastAsia="pl-PL"/>
        </w:rPr>
        <w:t>w grupie</w:t>
      </w:r>
      <w:r w:rsidR="00DE443B" w:rsidRPr="004E7D24">
        <w:rPr>
          <w:rFonts w:eastAsia="Times New Roman" w:cs="Arial"/>
          <w:bCs/>
          <w:szCs w:val="19"/>
          <w:highlight w:val="black"/>
          <w:lang w:eastAsia="pl-PL"/>
        </w:rPr>
        <w:t>:</w:t>
      </w:r>
      <w:r w:rsidRPr="004E7D24">
        <w:rPr>
          <w:rFonts w:eastAsia="Times New Roman" w:cs="Arial"/>
          <w:bCs/>
          <w:szCs w:val="19"/>
          <w:highlight w:val="black"/>
          <w:lang w:eastAsia="pl-PL"/>
        </w:rPr>
        <w:t xml:space="preserve"> transport (o 18,9%), mieszkanie (o 12,2%), żywność i napoje bezalkoholowe (o 9,5%), rekreacja i kultura (o</w:t>
      </w:r>
      <w:r w:rsidR="00A72990" w:rsidRPr="004E7D24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4E7D24">
        <w:rPr>
          <w:rFonts w:eastAsia="Times New Roman" w:cs="Arial"/>
          <w:bCs/>
          <w:szCs w:val="19"/>
          <w:highlight w:val="black"/>
          <w:lang w:eastAsia="pl-PL"/>
        </w:rPr>
        <w:t>7,9%) oraz edukacja (o 5,3%). W tym okresie w kraju odnotowano wzrost cen o 9,7%.</w:t>
      </w:r>
    </w:p>
    <w:p w14:paraId="3A59E14F" w14:textId="77777777" w:rsidR="004072E2" w:rsidRPr="004E7D24" w:rsidRDefault="004072E2" w:rsidP="004072E2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4E7D24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4072E2" w:rsidRPr="004E7D24" w14:paraId="32BB9586" w14:textId="77777777" w:rsidTr="004E7D24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55B8F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783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637D8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2020</w:t>
            </w:r>
          </w:p>
          <w:p w14:paraId="2C092A78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AEFEA1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2021</w:t>
            </w:r>
          </w:p>
        </w:tc>
        <w:tc>
          <w:tcPr>
            <w:tcW w:w="781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326B59CE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2022</w:t>
            </w:r>
          </w:p>
          <w:p w14:paraId="5B60FC4A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 kw.</w:t>
            </w:r>
          </w:p>
        </w:tc>
      </w:tr>
      <w:tr w:rsidR="004072E2" w:rsidRPr="004E7D24" w14:paraId="5169F970" w14:textId="77777777" w:rsidTr="004E7D24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1640C12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FF8F0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DE655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A07DF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1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7CCA4E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4072E2" w:rsidRPr="004E7D24" w14:paraId="3A9C745F" w14:textId="77777777" w:rsidTr="004E7D24">
        <w:tc>
          <w:tcPr>
            <w:tcW w:w="1870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1520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9E6BDA" w14:textId="77777777" w:rsidR="004072E2" w:rsidRPr="004E7D24" w:rsidRDefault="004072E2" w:rsidP="004072E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4E7D24" w:rsidRPr="004E7D24" w14:paraId="6AB8BECB" w14:textId="77777777" w:rsidTr="004E7D24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2922C0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26E91C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C983FA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D8FF7C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7CE26F0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109,5</w:t>
            </w:r>
          </w:p>
        </w:tc>
      </w:tr>
      <w:tr w:rsidR="004E7D24" w:rsidRPr="004E7D24" w14:paraId="2611816C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7C6A61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09F602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2FA4B7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CEA8DF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63122D2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109,5</w:t>
            </w:r>
          </w:p>
        </w:tc>
      </w:tr>
      <w:tr w:rsidR="004E7D24" w:rsidRPr="004E7D24" w14:paraId="6C5BAF4C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9EC961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A04A1B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47CCAA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839450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1DD92F6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4E7D24" w:rsidRPr="004E7D24" w14:paraId="088E68E1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60DED6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5184B1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5C690B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36B6AA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30A98A2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4E7D24" w:rsidRPr="004E7D24" w14:paraId="2340A2E6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5A3409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8B353B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5EADA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8FA5E9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DC80A9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4E7D24" w:rsidRPr="004E7D24" w14:paraId="1182E35E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B605D2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0A0438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50C002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E2F5D9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FE800A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4E7D24" w:rsidRPr="004E7D24" w14:paraId="5942EC5B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5937A1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B81B51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94,4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CC79E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82E665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126,8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CD7D0C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118,9</w:t>
            </w:r>
          </w:p>
        </w:tc>
      </w:tr>
      <w:tr w:rsidR="004E7D24" w:rsidRPr="004E7D24" w14:paraId="46CD564B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724555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DACBC1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C7B14F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EA09D4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87D399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107,9</w:t>
            </w:r>
          </w:p>
        </w:tc>
      </w:tr>
      <w:tr w:rsidR="004072E2" w:rsidRPr="004E7D24" w14:paraId="1D9CDF0F" w14:textId="77777777" w:rsidTr="004E7D24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E74608C" w14:textId="77777777" w:rsidR="004072E2" w:rsidRPr="004E7D24" w:rsidRDefault="004072E2" w:rsidP="004072E2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1A8CAE0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37BE26C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AA040D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F6A571E" w14:textId="77777777" w:rsidR="004072E2" w:rsidRPr="004E7D24" w:rsidRDefault="004072E2" w:rsidP="004072E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105,3</w:t>
            </w:r>
          </w:p>
        </w:tc>
      </w:tr>
    </w:tbl>
    <w:p w14:paraId="42F49F83" w14:textId="1AAB304C" w:rsidR="00502C57" w:rsidRPr="004E7D24" w:rsidRDefault="00502C57" w:rsidP="00B934B6">
      <w:pPr>
        <w:pStyle w:val="Nagwek1"/>
        <w:rPr>
          <w:highlight w:val="black"/>
        </w:rPr>
      </w:pPr>
      <w:bookmarkStart w:id="23" w:name="_Toc107385862"/>
      <w:r w:rsidRPr="004E7D24">
        <w:rPr>
          <w:highlight w:val="black"/>
        </w:rPr>
        <w:lastRenderedPageBreak/>
        <w:t>Rolnictwo</w:t>
      </w:r>
      <w:bookmarkEnd w:id="18"/>
      <w:bookmarkEnd w:id="19"/>
      <w:bookmarkEnd w:id="20"/>
      <w:bookmarkEnd w:id="21"/>
      <w:bookmarkEnd w:id="23"/>
    </w:p>
    <w:p w14:paraId="715A3285" w14:textId="2D2A9718" w:rsidR="00D26B30" w:rsidRPr="004E7D24" w:rsidRDefault="00D26B30" w:rsidP="00D26B30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4" w:name="_Toc328389333"/>
      <w:bookmarkStart w:id="25" w:name="_Toc507071634"/>
      <w:bookmarkStart w:id="26" w:name="_Toc507072377"/>
      <w:bookmarkStart w:id="27" w:name="_Toc507417429"/>
      <w:r w:rsidRPr="004E7D24">
        <w:rPr>
          <w:rFonts w:eastAsia="Times New Roman" w:cs="Arial"/>
          <w:szCs w:val="19"/>
          <w:highlight w:val="black"/>
          <w:lang w:eastAsia="pl-PL"/>
        </w:rPr>
        <w:t xml:space="preserve">Na rynku rolnym w maju 2022 r. przeciętne ceny skupu podstawowych produktów rolnych były wyższe niż przed rokiem. W porównaniu z kwietniem br. niższe były ceny skupu żywca wieprzowego i drobiowego. W obrocie targowiskowym, w odniesieniu do kwietnia </w:t>
      </w:r>
      <w:r w:rsidRPr="004E7D24">
        <w:rPr>
          <w:noProof/>
          <w:szCs w:val="19"/>
          <w:highlight w:val="black"/>
        </w:rPr>
        <w:t xml:space="preserve">br. </w:t>
      </w:r>
      <w:r w:rsidRPr="004E7D24">
        <w:rPr>
          <w:rFonts w:eastAsia="Times New Roman" w:cs="Arial"/>
          <w:szCs w:val="19"/>
          <w:highlight w:val="black"/>
          <w:lang w:eastAsia="pl-PL"/>
        </w:rPr>
        <w:t>więcej płacono za żyto. Wskaźnik opłacalności tuczu trzody chlewnej był niższy od notowanego przed miesiącem.</w:t>
      </w:r>
    </w:p>
    <w:p w14:paraId="2C511333" w14:textId="77777777" w:rsidR="00D26B30" w:rsidRPr="004E7D24" w:rsidRDefault="00D26B30" w:rsidP="00D26B30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E7D24">
        <w:rPr>
          <w:rFonts w:eastAsia="Times New Roman" w:cs="Arial"/>
          <w:szCs w:val="19"/>
          <w:highlight w:val="black"/>
          <w:lang w:eastAsia="pl-PL"/>
        </w:rPr>
        <w:t>W maju 2022 r. średnia temperatura powietrza wyniosła 14,6°C i była wyższa o 0,6°C od średniej z lat 1991</w:t>
      </w:r>
      <w:r w:rsidRPr="004E7D24">
        <w:rPr>
          <w:rFonts w:cs="Arial"/>
          <w:szCs w:val="19"/>
          <w:highlight w:val="black"/>
        </w:rPr>
        <w:t>–</w:t>
      </w:r>
      <w:r w:rsidRPr="004E7D24">
        <w:rPr>
          <w:rFonts w:eastAsia="Times New Roman" w:cs="Arial"/>
          <w:szCs w:val="19"/>
          <w:highlight w:val="black"/>
          <w:lang w:eastAsia="pl-PL"/>
        </w:rPr>
        <w:t>2020, przy czym maksymalna temperatura wyniosła 28,9°C, a minimalna 0,8°C. Średnia suma opadów atmosferycznych (38,8 mm) stanowiła 49% normy z wielolecia</w:t>
      </w:r>
      <w:r w:rsidRPr="004E7D2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4E7D24">
        <w:rPr>
          <w:rFonts w:eastAsia="Times New Roman" w:cs="Arial"/>
          <w:szCs w:val="19"/>
          <w:highlight w:val="black"/>
          <w:lang w:eastAsia="pl-PL"/>
        </w:rPr>
        <w:t>. Odnotowano 12 dni z opadami.</w:t>
      </w:r>
    </w:p>
    <w:p w14:paraId="3D5A612C" w14:textId="77777777" w:rsidR="00D26B30" w:rsidRPr="004E7D24" w:rsidRDefault="00D26B30" w:rsidP="00D26B30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E7D24">
        <w:rPr>
          <w:rFonts w:eastAsia="Times New Roman" w:cs="Arial"/>
          <w:szCs w:val="19"/>
          <w:highlight w:val="black"/>
          <w:lang w:eastAsia="pl-PL"/>
        </w:rPr>
        <w:t xml:space="preserve">Maj br. był słoneczny, ciepły z niewielkimi opadami deszczu. Niedobór wilgoci spowolnił wzrost roślin. Stan rzepaku i zbóż, zwłaszcza jarych, był gorszy niż przed rokiem ze względu na suszę. Drzewa owocowe kwitły obficie w okresie ciepłej, słonecznej pogody. Pomimo obfitego kwitnienia zawiązki kwiatów opadały, co może się przyczynić do spadku plonów owoców. </w:t>
      </w:r>
    </w:p>
    <w:p w14:paraId="4F4EA010" w14:textId="77777777" w:rsidR="00D26B30" w:rsidRPr="004E7D24" w:rsidRDefault="00D26B30" w:rsidP="00D26B30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 w:rsidRPr="004E7D24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D26B30" w:rsidRPr="004E7D24" w14:paraId="7A023244" w14:textId="77777777" w:rsidTr="004E7D24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65F5FCE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B1B14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07 2021</w:t>
            </w:r>
            <w:r w:rsidRPr="004E7D24">
              <w:rPr>
                <w:rFonts w:cs="Arial"/>
                <w:szCs w:val="19"/>
                <w:highlight w:val="black"/>
              </w:rPr>
              <w:t>–</w:t>
            </w: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05 2022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7AC5C7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05 2022</w:t>
            </w:r>
          </w:p>
        </w:tc>
      </w:tr>
      <w:tr w:rsidR="004E7D24" w:rsidRPr="004E7D24" w14:paraId="54820040" w14:textId="77777777" w:rsidTr="004E7D24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F45C7" w14:textId="77777777" w:rsidR="00D26B30" w:rsidRPr="004E7D24" w:rsidRDefault="00D26B30" w:rsidP="00E956AE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4AC80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A6FBD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D52D8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FF040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05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40A18B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04 2022=100</w:t>
            </w:r>
          </w:p>
        </w:tc>
      </w:tr>
      <w:tr w:rsidR="004E7D24" w:rsidRPr="004E7D24" w14:paraId="4CC7DEAD" w14:textId="77777777" w:rsidTr="004E7D2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07E47" w14:textId="77777777" w:rsidR="00D26B30" w:rsidRPr="004E7D24" w:rsidRDefault="00D26B30" w:rsidP="00E956AE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Ziarno zbóż podstawowych</w:t>
            </w:r>
            <w:r w:rsidRPr="004E7D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093A4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165581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0D1FB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115,5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858CB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12103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74F46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246,3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D18AD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124,7</w:t>
            </w:r>
          </w:p>
        </w:tc>
      </w:tr>
      <w:tr w:rsidR="004E7D24" w:rsidRPr="004E7D24" w14:paraId="7DB56BC3" w14:textId="77777777" w:rsidTr="004E7D2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66FC3" w14:textId="77777777" w:rsidR="00D26B30" w:rsidRPr="004E7D24" w:rsidRDefault="00D26B30" w:rsidP="00E956AE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EA484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E4C894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EFB35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C05883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8108B1C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E7D24" w:rsidRPr="004E7D24" w14:paraId="1E5E8184" w14:textId="77777777" w:rsidTr="004E7D2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419B1" w14:textId="77777777" w:rsidR="00D26B30" w:rsidRPr="004E7D24" w:rsidRDefault="00D26B30" w:rsidP="00E956AE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8A6CE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135524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8085F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118,1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A09A2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11270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472F1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279,8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9E5C25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125,0</w:t>
            </w:r>
          </w:p>
        </w:tc>
      </w:tr>
      <w:tr w:rsidR="00D26B30" w:rsidRPr="004E7D24" w14:paraId="7D6755C6" w14:textId="77777777" w:rsidTr="004E7D24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9B77FA" w14:textId="77777777" w:rsidR="00D26B30" w:rsidRPr="004E7D24" w:rsidRDefault="00D26B30" w:rsidP="00E956AE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9566F3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6013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3F4553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137,5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F75CB1C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77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4FDF0EC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59,4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D10826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328,2</w:t>
            </w:r>
          </w:p>
        </w:tc>
      </w:tr>
    </w:tbl>
    <w:p w14:paraId="00527B27" w14:textId="77777777" w:rsidR="00D26B30" w:rsidRPr="004E7D24" w:rsidRDefault="00D26B30" w:rsidP="00D26B30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4E7D24">
        <w:rPr>
          <w:rFonts w:eastAsia="Times New Roman"/>
          <w:sz w:val="16"/>
          <w:szCs w:val="16"/>
          <w:highlight w:val="black"/>
          <w:lang w:eastAsia="pl-PL"/>
        </w:rPr>
        <w:t>a W okresie styczeń</w:t>
      </w:r>
      <w:r w:rsidRPr="004E7D24">
        <w:rPr>
          <w:rFonts w:cs="Arial"/>
          <w:sz w:val="16"/>
          <w:szCs w:val="16"/>
          <w:highlight w:val="black"/>
        </w:rPr>
        <w:t>–</w:t>
      </w:r>
      <w:r w:rsidRPr="004E7D24">
        <w:rPr>
          <w:rFonts w:eastAsia="Times New Roman"/>
          <w:sz w:val="16"/>
          <w:szCs w:val="16"/>
          <w:highlight w:val="black"/>
          <w:lang w:eastAsia="pl-PL"/>
        </w:rPr>
        <w:t>maj br. b</w:t>
      </w:r>
      <w:r w:rsidRPr="004E7D24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4E7D2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4E7D2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4E7D24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774B4222" w14:textId="77777777" w:rsidR="00D26B30" w:rsidRPr="004E7D24" w:rsidRDefault="00D26B30" w:rsidP="00D26B3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b/>
          <w:highlight w:val="black"/>
        </w:rPr>
        <w:t>Skup zbóż</w:t>
      </w:r>
      <w:r w:rsidRPr="004E7D24">
        <w:rPr>
          <w:highlight w:val="black"/>
        </w:rPr>
        <w:t xml:space="preserve"> podstawowych (z mieszankami zbożowymi bez ziarna siewnego) w okresie lipiec 2021 r.</w:t>
      </w:r>
      <w:r w:rsidRPr="004E7D24">
        <w:rPr>
          <w:rFonts w:cs="Arial"/>
          <w:szCs w:val="19"/>
          <w:highlight w:val="black"/>
        </w:rPr>
        <w:t xml:space="preserve"> – </w:t>
      </w:r>
      <w:r w:rsidRPr="004E7D24">
        <w:rPr>
          <w:highlight w:val="black"/>
        </w:rPr>
        <w:t>maj 2022 r. wyniósł 165,6 tys. ton i był o 15,5% większy niż w analogicznym okresie poprzedniego roku. Skup zarówno pszenicy, jak i żyta w tym okresie był większy odpowiednio o 18,1% i o 37,5%.</w:t>
      </w:r>
    </w:p>
    <w:p w14:paraId="1D3510AF" w14:textId="77777777" w:rsidR="00D26B30" w:rsidRPr="004E7D24" w:rsidRDefault="00D26B30" w:rsidP="00D26B30">
      <w:pPr>
        <w:spacing w:before="120" w:after="120" w:line="288" w:lineRule="auto"/>
        <w:rPr>
          <w:highlight w:val="black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W maju br. </w:t>
      </w:r>
      <w:r w:rsidRPr="004E7D24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ponad 2-krotnie większy niż przed rokiem. Większe niż przed rokiem były dostawy do skupu </w:t>
      </w:r>
      <w:r w:rsidRPr="004E7D24">
        <w:rPr>
          <w:rFonts w:eastAsia="Times New Roman"/>
          <w:spacing w:val="-2"/>
          <w:szCs w:val="19"/>
          <w:highlight w:val="black"/>
          <w:lang w:eastAsia="pl-PL"/>
        </w:rPr>
        <w:t xml:space="preserve">pszenicy (prawie 3-krotnie), a skup </w:t>
      </w:r>
      <w:r w:rsidRPr="004E7D24">
        <w:rPr>
          <w:rFonts w:eastAsia="Times New Roman"/>
          <w:szCs w:val="19"/>
          <w:highlight w:val="black"/>
          <w:lang w:eastAsia="pl-PL"/>
        </w:rPr>
        <w:t>żyta był niższy (</w:t>
      </w:r>
      <w:r w:rsidRPr="004E7D24">
        <w:rPr>
          <w:highlight w:val="black"/>
        </w:rPr>
        <w:t>o 40,6%).</w:t>
      </w:r>
      <w:r w:rsidRPr="004E7D24">
        <w:rPr>
          <w:spacing w:val="-2"/>
          <w:highlight w:val="black"/>
        </w:rPr>
        <w:t xml:space="preserve"> </w:t>
      </w:r>
      <w:r w:rsidRPr="004E7D24">
        <w:rPr>
          <w:highlight w:val="black"/>
        </w:rPr>
        <w:t>W skali miesiąca odnotowano wzrost (o 24,7%) dostaw do skupu zbóż podstawowych (z mieszankami zbożowymi bez ziarna siewnego), w tym pszenicy (o 25,0%) i żyta (ponad 3-krotnie).</w:t>
      </w:r>
    </w:p>
    <w:p w14:paraId="217FE742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0A7B2D0A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327B9AF2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4AF4063D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0EA02136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3026E04C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5E77889E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2AC0FA67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48531590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366F0E7A" w14:textId="77777777" w:rsidR="00B6630C" w:rsidRPr="004E7D24" w:rsidRDefault="00B6630C" w:rsidP="00D26B30">
      <w:pPr>
        <w:spacing w:before="120" w:after="120" w:line="288" w:lineRule="auto"/>
        <w:rPr>
          <w:highlight w:val="black"/>
        </w:rPr>
      </w:pPr>
    </w:p>
    <w:p w14:paraId="17CDD4E1" w14:textId="77777777" w:rsidR="00D26B30" w:rsidRPr="004E7D24" w:rsidRDefault="00D26B30" w:rsidP="00D26B30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podstawowych produktów zwierzęcych</w:t>
      </w:r>
      <w:r w:rsidRPr="004E7D24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26B30" w:rsidRPr="004E7D24" w14:paraId="724768A6" w14:textId="77777777" w:rsidTr="004E7D24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C8445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B1E50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01–05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66B556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05 2022</w:t>
            </w:r>
          </w:p>
        </w:tc>
      </w:tr>
      <w:tr w:rsidR="004E7D24" w:rsidRPr="004E7D24" w14:paraId="55B2D01F" w14:textId="77777777" w:rsidTr="004E7D24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6A24A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CBFA2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208005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01–05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C1550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A5B34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05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F9BC20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04 2022=100</w:t>
            </w:r>
          </w:p>
        </w:tc>
      </w:tr>
      <w:tr w:rsidR="004E7D24" w:rsidRPr="004E7D24" w14:paraId="6A621E62" w14:textId="77777777" w:rsidTr="004E7D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70D74" w14:textId="77777777" w:rsidR="00D26B30" w:rsidRPr="004E7D24" w:rsidRDefault="00D26B30" w:rsidP="00E956AE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Żywiec rzeźny</w:t>
            </w:r>
            <w:r w:rsidRPr="004E7D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BECF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12563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E80B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80,1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BF2A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2597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896C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82,6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3E482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104,8</w:t>
            </w:r>
          </w:p>
        </w:tc>
      </w:tr>
      <w:tr w:rsidR="004E7D24" w:rsidRPr="004E7D24" w14:paraId="36FF4632" w14:textId="77777777" w:rsidTr="004E7D2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4943B" w14:textId="77777777" w:rsidR="00D26B30" w:rsidRPr="004E7D24" w:rsidRDefault="00D26B30" w:rsidP="00E956AE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77439" w14:textId="77777777" w:rsidR="00D26B30" w:rsidRPr="004E7D24" w:rsidRDefault="00D26B30" w:rsidP="00E956AE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291EA" w14:textId="77777777" w:rsidR="00D26B30" w:rsidRPr="004E7D24" w:rsidRDefault="00D26B30" w:rsidP="00E956AE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4845D" w14:textId="77777777" w:rsidR="00D26B30" w:rsidRPr="004E7D24" w:rsidRDefault="00D26B30" w:rsidP="00E956AE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6D320" w14:textId="77777777" w:rsidR="00D26B30" w:rsidRPr="004E7D24" w:rsidRDefault="00D26B30" w:rsidP="00E956AE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AE6FAE" w14:textId="77777777" w:rsidR="00D26B30" w:rsidRPr="004E7D24" w:rsidRDefault="00D26B30" w:rsidP="00E956AE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4E7D24" w:rsidRPr="004E7D24" w14:paraId="4ECAAC89" w14:textId="77777777" w:rsidTr="004E7D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4B9C9" w14:textId="77777777" w:rsidR="00D26B30" w:rsidRPr="004E7D24" w:rsidRDefault="00D26B30" w:rsidP="00E956AE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85B1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658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C548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96,9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24B07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129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1A543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93,7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7DB663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96,7</w:t>
            </w:r>
          </w:p>
        </w:tc>
      </w:tr>
      <w:tr w:rsidR="004E7D24" w:rsidRPr="004E7D24" w14:paraId="6103B421" w14:textId="77777777" w:rsidTr="004E7D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9E2EE" w14:textId="77777777" w:rsidR="00D26B30" w:rsidRPr="004E7D24" w:rsidRDefault="00D26B30" w:rsidP="00E956AE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39DA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6501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2E2C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62,3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3F75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1481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3A94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70,8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01F43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</w:tr>
      <w:tr w:rsidR="004E7D24" w:rsidRPr="004E7D24" w14:paraId="630BEECC" w14:textId="77777777" w:rsidTr="004E7D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24C5F" w14:textId="77777777" w:rsidR="00D26B30" w:rsidRPr="004E7D24" w:rsidRDefault="00D26B30" w:rsidP="00E956AE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8D86A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5392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336AC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117,9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527F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983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C2E5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108,0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6B7FA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117,4</w:t>
            </w:r>
          </w:p>
        </w:tc>
      </w:tr>
      <w:tr w:rsidR="00D26B30" w:rsidRPr="004E7D24" w14:paraId="3FF7E7EC" w14:textId="77777777" w:rsidTr="004E7D24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D4E17F" w14:textId="77777777" w:rsidR="00D26B30" w:rsidRPr="004E7D24" w:rsidRDefault="00D26B30" w:rsidP="00E956AE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4E7D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DBB9BA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38360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70E05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5A9C2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8907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247EE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B24059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118,1</w:t>
            </w:r>
          </w:p>
        </w:tc>
      </w:tr>
    </w:tbl>
    <w:p w14:paraId="24890FB2" w14:textId="77777777" w:rsidR="00D26B30" w:rsidRPr="004E7D24" w:rsidRDefault="00D26B30" w:rsidP="00D26B30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E7D24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392BD3AA" w14:textId="77777777" w:rsidR="00D26B30" w:rsidRPr="004E7D24" w:rsidRDefault="00D26B30" w:rsidP="00D26B3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4E7D24">
        <w:rPr>
          <w:rFonts w:eastAsia="Times New Roman"/>
          <w:szCs w:val="19"/>
          <w:highlight w:val="black"/>
          <w:lang w:eastAsia="pl-PL"/>
        </w:rPr>
        <w:t>w wadze żywej w maju br. wyniósł 2,6 tys. ton, tj. o 17,4% mniej niż przed rokiem. Mniejsze były dostawy do skupu trzody chlewnej (o 29,2%) i bydła (o 6,3%), natomiast skup drobiu był o 8,0% większy. W skali miesiąca odnotowano zwiększenie skupu żywca rzeźnego w wadze żywej (o 4,8%),</w:t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drobiu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(o 17,4%), </w:t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>a mniejszy był skup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</w:t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 xml:space="preserve">bydła (o 3,3%) i 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trzody chlewnej </w:t>
      </w:r>
      <w:r w:rsidRPr="004E7D24">
        <w:rPr>
          <w:rFonts w:eastAsia="Times New Roman"/>
          <w:spacing w:val="-4"/>
          <w:szCs w:val="19"/>
          <w:highlight w:val="black"/>
          <w:lang w:eastAsia="pl-PL"/>
        </w:rPr>
        <w:t>(o 1,5%).</w:t>
      </w:r>
    </w:p>
    <w:p w14:paraId="6163FCD8" w14:textId="77777777" w:rsidR="00D26B30" w:rsidRPr="004E7D24" w:rsidRDefault="00D26B30" w:rsidP="00D26B3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w maju br. był mniejszy w porównaniu z analogicznym miesiącem 2021 r. (o 0,7%), a większy w odniesieniu do kwietnia br. (o 18,1%).</w:t>
      </w:r>
    </w:p>
    <w:p w14:paraId="53E7CD60" w14:textId="77777777" w:rsidR="00D26B30" w:rsidRPr="004E7D24" w:rsidRDefault="00D26B30" w:rsidP="00D26B30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D26B30" w:rsidRPr="004E7D24" w14:paraId="1BF2E7A9" w14:textId="77777777" w:rsidTr="004E7D24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EACB8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0EAB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40B1D5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D26B30" w:rsidRPr="004E7D24" w14:paraId="35F07FFE" w14:textId="77777777" w:rsidTr="004E7D24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0AE0979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E40F2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05 2022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E6386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01–05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C3CDCD4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05 2022</w:t>
            </w:r>
          </w:p>
        </w:tc>
      </w:tr>
      <w:tr w:rsidR="004E7D24" w:rsidRPr="004E7D24" w14:paraId="16F4F500" w14:textId="77777777" w:rsidTr="004E7D24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6AF7FB" w14:textId="77777777" w:rsidR="00D26B30" w:rsidRPr="004E7D24" w:rsidRDefault="00D26B30" w:rsidP="00E956AE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47AE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29C7A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9CBFE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37050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28B13D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01–05</w:t>
            </w: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4400E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A638E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 xml:space="preserve">05 </w:t>
            </w: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8A0BD6" w14:textId="77777777" w:rsidR="00D26B30" w:rsidRPr="004E7D24" w:rsidRDefault="00D26B30" w:rsidP="00E956AE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4E7D24" w:rsidRPr="004E7D24" w14:paraId="513104F5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7B5D3" w14:textId="77777777" w:rsidR="00D26B30" w:rsidRPr="004E7D24" w:rsidRDefault="00D26B30" w:rsidP="00E956AE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Ziarno zbóż</w:t>
            </w:r>
            <w:r w:rsidRPr="004E7D24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73BA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8C4B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EB5B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DC0D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AC028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BA9B2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DEA16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E2A06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E7D24" w:rsidRPr="004E7D24" w14:paraId="7D677789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80DE8" w14:textId="77777777" w:rsidR="00D26B30" w:rsidRPr="004E7D24" w:rsidRDefault="00D26B30" w:rsidP="00E956AE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5A747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157,20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3DF3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171,4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7FC5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8F6B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145,64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CB0A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164,1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A1D40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183,00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4FF6D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BCADE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</w:tr>
      <w:tr w:rsidR="004E7D24" w:rsidRPr="004E7D24" w14:paraId="02F3218B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1CB11" w14:textId="77777777" w:rsidR="00D26B30" w:rsidRPr="004E7D24" w:rsidRDefault="00D26B30" w:rsidP="00E956AE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80E3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125,93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7037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194,4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D24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129,6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DD70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105,00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F62CA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174,3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4DCD28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152,67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C42F0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D4DF66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102,5</w:t>
            </w:r>
          </w:p>
        </w:tc>
      </w:tr>
      <w:tr w:rsidR="004E7D24" w:rsidRPr="004E7D24" w14:paraId="600DDA22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5A8D97" w14:textId="77777777" w:rsidR="00D26B30" w:rsidRPr="004E7D24" w:rsidRDefault="00D26B30" w:rsidP="00E956AE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4E7D24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6A74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116,08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B71C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247,0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9DC1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125,5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CC90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64,44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7E7C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130,6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D2C062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135,88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2B77AC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9AD5E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99,1</w:t>
            </w:r>
          </w:p>
        </w:tc>
      </w:tr>
      <w:tr w:rsidR="004E7D24" w:rsidRPr="004E7D24" w14:paraId="52D3A094" w14:textId="77777777" w:rsidTr="004E7D24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63FEB" w14:textId="77777777" w:rsidR="00D26B30" w:rsidRPr="004E7D24" w:rsidRDefault="00D26B30" w:rsidP="00E956AE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ECD9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32FE4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1239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ED83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A25C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371A2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F431F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2E006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4E7D24" w:rsidRPr="004E7D24" w14:paraId="6C972B30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42A28" w14:textId="77777777" w:rsidR="00D26B30" w:rsidRPr="004E7D24" w:rsidRDefault="00D26B30" w:rsidP="00E956AE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1F29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10,11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424D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155,1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D6C085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103,4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49BC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9,28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F9566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144,3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43B8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1BA36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58613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E7D24" w:rsidRPr="004E7D24" w14:paraId="16668BC9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0BBF5" w14:textId="77777777" w:rsidR="00D26B30" w:rsidRPr="004E7D24" w:rsidRDefault="00D26B30" w:rsidP="00E956AE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79904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6,29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627C4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122,9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0409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96,5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B28D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5,63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A924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119,8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B77C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EE508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4558A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E7D24" w:rsidRPr="004E7D24" w14:paraId="225591B1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D4954" w14:textId="77777777" w:rsidR="00D26B30" w:rsidRPr="004E7D24" w:rsidRDefault="00D26B30" w:rsidP="00E956AE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30BE8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6,05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ACAEC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131,2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AE16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92,2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66B90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5,87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934C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140,4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AB6CDE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C7D07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D5637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4E7D24" w:rsidRPr="004E7D24" w14:paraId="3464B906" w14:textId="77777777" w:rsidTr="004E7D24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C2F576" w14:textId="77777777" w:rsidR="00D26B30" w:rsidRPr="004E7D24" w:rsidRDefault="00D26B30" w:rsidP="00E956AE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4F989F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2,19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9EBCB1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149,0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B99D3B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D1AC7D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1,98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D2F8E6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135,6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A35FF4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A4E9A9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DA4BFF3" w14:textId="77777777" w:rsidR="00D26B30" w:rsidRPr="004E7D24" w:rsidRDefault="00D26B30" w:rsidP="00E956AE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4E7D24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171AFCD0" w14:textId="77777777" w:rsidR="00D26B30" w:rsidRPr="004E7D24" w:rsidRDefault="00D26B30" w:rsidP="00D26B30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4E7D24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0161850B" w14:textId="77777777" w:rsidR="00D26B30" w:rsidRPr="004E7D24" w:rsidRDefault="00D26B30" w:rsidP="00D26B30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W maju br. </w:t>
      </w:r>
      <w:r w:rsidRPr="004E7D24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154,51 zł za 1 dt i były wyższe niż przed rokiem (o 78,1%), jak i w odniesieniu do cen sprzed miesiąca (o 1,5%).</w:t>
      </w:r>
    </w:p>
    <w:p w14:paraId="1539A36E" w14:textId="77777777" w:rsidR="00D26B30" w:rsidRPr="004E7D24" w:rsidRDefault="00D26B30" w:rsidP="00D26B30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pacing w:val="-4"/>
          <w:szCs w:val="19"/>
          <w:highlight w:val="black"/>
          <w:lang w:eastAsia="pl-PL"/>
        </w:rPr>
        <w:t xml:space="preserve">Cena pszenicy dostarczonej do skupu, przez producentów z województwa podkarpackiego, była wyższa w skali roku (o 71,4%) </w:t>
      </w:r>
      <w:r w:rsidRPr="004E7D24">
        <w:rPr>
          <w:rFonts w:eastAsia="Times New Roman"/>
          <w:szCs w:val="19"/>
          <w:highlight w:val="black"/>
          <w:lang w:eastAsia="pl-PL"/>
        </w:rPr>
        <w:t>i wyższa niż przed miesiącem (o 1,2%). Cena skupu żyta była wyższa w porównaniu z ceną sprzed roku (o 94,4%) i wyższa w odniesieniu do ceny sprzed miesiąca (o 29,6%). W obrocie targowiskowym w odniesieniu do kwietnia br. cena pszenicy, była nieznacznie niższa (o 0,2%), a cena żyta była wyższa (o 2,5%).</w:t>
      </w:r>
    </w:p>
    <w:p w14:paraId="5F3F81C9" w14:textId="77777777" w:rsidR="00D26B30" w:rsidRPr="004E7D24" w:rsidRDefault="00D26B30" w:rsidP="00D26B3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lastRenderedPageBreak/>
        <w:t>Przeciętne ceny skupu zbóż</w:t>
      </w:r>
    </w:p>
    <w:p w14:paraId="2262E4A9" w14:textId="2F0520AB" w:rsidR="00D26B30" w:rsidRPr="004E7D24" w:rsidRDefault="009758D9" w:rsidP="00D26B30">
      <w:pPr>
        <w:spacing w:before="120" w:after="120" w:line="288" w:lineRule="auto"/>
        <w:rPr>
          <w:spacing w:val="-4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72C2F997" wp14:editId="6899C4BA">
            <wp:extent cx="6750000" cy="3135600"/>
            <wp:effectExtent l="0" t="0" r="0" b="8255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6EAE117" w14:textId="77777777" w:rsidR="00D26B30" w:rsidRPr="004E7D24" w:rsidRDefault="00D26B30" w:rsidP="00822F56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4E7D24">
        <w:rPr>
          <w:spacing w:val="-4"/>
          <w:highlight w:val="black"/>
          <w:lang w:eastAsia="pl-PL"/>
        </w:rPr>
        <w:t xml:space="preserve">Za 1 </w:t>
      </w:r>
      <w:r w:rsidRPr="004E7D24">
        <w:rPr>
          <w:highlight w:val="black"/>
          <w:lang w:eastAsia="pl-PL"/>
        </w:rPr>
        <w:t>dt</w:t>
      </w:r>
      <w:r w:rsidRPr="004E7D24">
        <w:rPr>
          <w:b/>
          <w:highlight w:val="black"/>
          <w:lang w:eastAsia="pl-PL"/>
        </w:rPr>
        <w:t xml:space="preserve"> ziemniaków </w:t>
      </w:r>
      <w:r w:rsidRPr="004E7D24">
        <w:rPr>
          <w:highlight w:val="black"/>
          <w:lang w:eastAsia="pl-PL"/>
        </w:rPr>
        <w:t>w skupie w maju br. płacono średnio 116,08 zł, tj. prawie 2,5-krotnie więcej niż przed rokiem i o 25,5% więcej niż w kwietniu br. Przeciętna cena ziemniaków jadalnych na targowiskach wyniosła 135,88 zł za 1 dt i była niższa w skali miesiąca (o 0,9%).</w:t>
      </w:r>
    </w:p>
    <w:p w14:paraId="3BCA03F3" w14:textId="353AD734" w:rsidR="00D26B30" w:rsidRPr="004E7D24" w:rsidRDefault="00D26B30" w:rsidP="00822F56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4E7D24">
        <w:rPr>
          <w:b/>
          <w:spacing w:val="-4"/>
          <w:highlight w:val="black"/>
          <w:lang w:eastAsia="pl-PL"/>
        </w:rPr>
        <w:t>Ceny skupu żywca wieprzowego</w:t>
      </w:r>
      <w:r w:rsidRPr="004E7D24">
        <w:rPr>
          <w:spacing w:val="-4"/>
          <w:highlight w:val="black"/>
          <w:lang w:eastAsia="pl-PL"/>
        </w:rPr>
        <w:t xml:space="preserve"> były wyższe w porównaniu z cenami sprzed roku (o 22,9%), a niższ</w:t>
      </w:r>
      <w:r w:rsidR="00D40AF4" w:rsidRPr="004E7D24">
        <w:rPr>
          <w:spacing w:val="-4"/>
          <w:highlight w:val="black"/>
          <w:lang w:eastAsia="pl-PL"/>
        </w:rPr>
        <w:t>e</w:t>
      </w:r>
      <w:r w:rsidRPr="004E7D24">
        <w:rPr>
          <w:spacing w:val="-4"/>
          <w:highlight w:val="black"/>
          <w:lang w:eastAsia="pl-PL"/>
        </w:rPr>
        <w:t xml:space="preserve"> w odniesieniu do kwietnia br.</w:t>
      </w:r>
      <w:r w:rsidRPr="004E7D24">
        <w:rPr>
          <w:highlight w:val="black"/>
          <w:lang w:eastAsia="pl-PL"/>
        </w:rPr>
        <w:t xml:space="preserve"> (o 3,5%). W maju br. cena 1 kg żywca wieprzowego w skupie wyniosła 6,29 zł i </w:t>
      </w:r>
      <w:r w:rsidRPr="004E7D24">
        <w:rPr>
          <w:rFonts w:eastAsia="Times New Roman" w:cs="Arial"/>
          <w:szCs w:val="19"/>
          <w:highlight w:val="black"/>
          <w:lang w:eastAsia="pl-PL"/>
        </w:rPr>
        <w:t>równoważyła wartość 4,1 kg żyta na targowiskach (wobec 4,4 w kwietniu br.).</w:t>
      </w:r>
    </w:p>
    <w:p w14:paraId="50065DE3" w14:textId="77777777" w:rsidR="00D26B30" w:rsidRPr="004E7D24" w:rsidRDefault="00D26B30" w:rsidP="00822F56">
      <w:pPr>
        <w:pStyle w:val="Nagwek2"/>
        <w:spacing w:line="288" w:lineRule="auto"/>
        <w:jc w:val="left"/>
        <w:rPr>
          <w:highlight w:val="black"/>
          <w:lang w:eastAsia="pl-PL"/>
        </w:rPr>
      </w:pPr>
      <w:r w:rsidRPr="004E7D24">
        <w:rPr>
          <w:highlight w:val="black"/>
          <w:lang w:eastAsia="pl-PL"/>
        </w:rPr>
        <w:t xml:space="preserve">W maju br. </w:t>
      </w:r>
      <w:r w:rsidRPr="004E7D24">
        <w:rPr>
          <w:b/>
          <w:highlight w:val="black"/>
          <w:lang w:eastAsia="pl-PL"/>
        </w:rPr>
        <w:t>średnia cena skupu 1 kg żywca drobiowego</w:t>
      </w:r>
      <w:r w:rsidRPr="004E7D24">
        <w:rPr>
          <w:highlight w:val="black"/>
          <w:lang w:eastAsia="pl-PL"/>
        </w:rPr>
        <w:t xml:space="preserve"> wyniosła 6,05 zł i była wyższa niż przed rokiem (o 31,2%), a niższa w odniesieniu do kwietnia br. (o 7,8%).</w:t>
      </w:r>
    </w:p>
    <w:p w14:paraId="1F4CBACA" w14:textId="77777777" w:rsidR="00D26B30" w:rsidRPr="004E7D24" w:rsidRDefault="00D26B30" w:rsidP="00D26B3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4E7D24">
        <w:rPr>
          <w:b/>
          <w:szCs w:val="19"/>
          <w:highlight w:val="black"/>
        </w:rPr>
        <w:t>Przeciętne ceny skupu żywca i mleka</w:t>
      </w:r>
    </w:p>
    <w:p w14:paraId="5DA68B62" w14:textId="21B2FD67" w:rsidR="00D26B30" w:rsidRPr="004E7D24" w:rsidRDefault="009758D9" w:rsidP="00D26B30">
      <w:pPr>
        <w:spacing w:before="24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6AB00C91" wp14:editId="68F757FB">
            <wp:extent cx="6645910" cy="3164400"/>
            <wp:effectExtent l="0" t="0" r="2540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93E0AB0" w14:textId="77777777" w:rsidR="00D26B30" w:rsidRPr="004E7D24" w:rsidRDefault="00D26B30" w:rsidP="00D26B3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szCs w:val="19"/>
          <w:highlight w:val="black"/>
          <w:lang w:eastAsia="pl-PL"/>
        </w:rPr>
        <w:t xml:space="preserve">Na </w:t>
      </w:r>
      <w:r w:rsidRPr="004E7D24">
        <w:rPr>
          <w:highlight w:val="black"/>
          <w:lang w:eastAsia="pl-PL"/>
        </w:rPr>
        <w:t>rynku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</w:t>
      </w:r>
      <w:r w:rsidRPr="004E7D24">
        <w:rPr>
          <w:rFonts w:eastAsia="Times New Roman"/>
          <w:b/>
          <w:szCs w:val="19"/>
          <w:highlight w:val="black"/>
          <w:lang w:eastAsia="pl-PL"/>
        </w:rPr>
        <w:t>wołowiny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maju br. płacono 10,11 zł, tj. o 55,1% więcej niż przed rokiem. W porównaniu z kwietniem br. średnia cena skupu żywca wołowego była wyższa o 3,4%.</w:t>
      </w:r>
    </w:p>
    <w:p w14:paraId="4800E88C" w14:textId="3C2CE4D8" w:rsidR="00903A7C" w:rsidRPr="004E7D24" w:rsidRDefault="00D26B30" w:rsidP="00D26B3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4E7D24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4E7D24">
        <w:rPr>
          <w:rFonts w:eastAsia="Times New Roman"/>
          <w:szCs w:val="19"/>
          <w:highlight w:val="black"/>
          <w:lang w:eastAsia="pl-PL"/>
        </w:rPr>
        <w:t xml:space="preserve"> w maju br. były wyższe niż przed rokiem (o 49,0%) i wyższe niż przed miesiącem (o 3,3%).</w:t>
      </w:r>
    </w:p>
    <w:p w14:paraId="3B2DB420" w14:textId="6C6E9C11" w:rsidR="00502C57" w:rsidRPr="004E7D24" w:rsidRDefault="00502C57" w:rsidP="00EE0070">
      <w:pPr>
        <w:pStyle w:val="Nagwek1"/>
        <w:rPr>
          <w:highlight w:val="black"/>
        </w:rPr>
      </w:pPr>
      <w:bookmarkStart w:id="28" w:name="_Toc107385863"/>
      <w:r w:rsidRPr="004E7D24">
        <w:rPr>
          <w:highlight w:val="black"/>
        </w:rPr>
        <w:lastRenderedPageBreak/>
        <w:t>Przemysł</w:t>
      </w:r>
      <w:r w:rsidR="00191C58" w:rsidRPr="004E7D24">
        <w:rPr>
          <w:highlight w:val="black"/>
        </w:rPr>
        <w:t xml:space="preserve"> i </w:t>
      </w:r>
      <w:r w:rsidRPr="004E7D24">
        <w:rPr>
          <w:highlight w:val="black"/>
        </w:rPr>
        <w:t>budownictwo</w:t>
      </w:r>
      <w:bookmarkEnd w:id="24"/>
      <w:bookmarkEnd w:id="25"/>
      <w:bookmarkEnd w:id="26"/>
      <w:bookmarkEnd w:id="27"/>
      <w:bookmarkEnd w:id="28"/>
    </w:p>
    <w:p w14:paraId="78DE4099" w14:textId="77777777" w:rsidR="004346EB" w:rsidRPr="004E7D24" w:rsidRDefault="004346EB" w:rsidP="004346EB">
      <w:pPr>
        <w:spacing w:before="120" w:after="120" w:line="288" w:lineRule="auto"/>
        <w:rPr>
          <w:bCs/>
          <w:highlight w:val="black"/>
        </w:rPr>
      </w:pPr>
      <w:bookmarkStart w:id="29" w:name="_Toc507071635"/>
      <w:bookmarkStart w:id="30" w:name="_Toc507072378"/>
      <w:bookmarkStart w:id="31" w:name="_Toc507417430"/>
      <w:bookmarkStart w:id="32" w:name="_Toc328389335"/>
      <w:bookmarkStart w:id="33" w:name="_Toc507071636"/>
      <w:bookmarkStart w:id="34" w:name="_Toc507072379"/>
      <w:bookmarkStart w:id="35" w:name="_Toc507417431"/>
      <w:r w:rsidRPr="004E7D24">
        <w:rPr>
          <w:bCs/>
          <w:highlight w:val="black"/>
        </w:rPr>
        <w:t>W maju 2022 r. w produkcji sprzedanej przemysłu odnotowano wzrost w ujęciu rocznym. Wzrosła również w skali roku zarówno produkcja sprzedana budownictwa, jak i produkcja budowlano-montażowa.</w:t>
      </w:r>
    </w:p>
    <w:p w14:paraId="0161271F" w14:textId="77777777" w:rsidR="004346EB" w:rsidRPr="004E7D24" w:rsidRDefault="004346EB" w:rsidP="004346EB">
      <w:pPr>
        <w:spacing w:before="120" w:after="120" w:line="288" w:lineRule="auto"/>
        <w:rPr>
          <w:bCs/>
          <w:highlight w:val="black"/>
        </w:rPr>
      </w:pPr>
      <w:r w:rsidRPr="004E7D24">
        <w:rPr>
          <w:b/>
          <w:bCs/>
          <w:highlight w:val="black"/>
        </w:rPr>
        <w:t>Produkcja sprzedana przemysłu</w:t>
      </w:r>
      <w:r w:rsidRPr="004E7D24">
        <w:rPr>
          <w:bCs/>
          <w:highlight w:val="black"/>
        </w:rPr>
        <w:t xml:space="preserve"> w maju 2022 r. osiągnęła wartość (w cenach bieżących) 6828,2 mln zł i była (w cenach stałych) o 14,6% wyższa niż w maju 2021 r., kiedy notowano wzrost o 41,3%. W Polsce produkcja wzrosła zarówno w skali roku (o 15,0%), jak i miesiąca (o 1,4%). Udział produkcji sprzedanej przemysłu w województwie podkarpackim stanowił 3,3% przychodów krajowych.</w:t>
      </w:r>
    </w:p>
    <w:p w14:paraId="0726755B" w14:textId="77777777" w:rsidR="004346EB" w:rsidRPr="004E7D24" w:rsidRDefault="004346EB" w:rsidP="004346EB">
      <w:pPr>
        <w:spacing w:before="120" w:after="120" w:line="288" w:lineRule="auto"/>
        <w:rPr>
          <w:bCs/>
          <w:highlight w:val="black"/>
        </w:rPr>
      </w:pPr>
      <w:r w:rsidRPr="004E7D24">
        <w:rPr>
          <w:bCs/>
          <w:highlight w:val="black"/>
        </w:rPr>
        <w:t>W ujęciu rocznym w przetwórstwie przemysłowym produkcja wzrosła o 14,4%, a w dostawie wody; gospodarowaniu ściekami i odpadami; rekultywacji o 37,6%.</w:t>
      </w:r>
    </w:p>
    <w:p w14:paraId="6970D429" w14:textId="77777777" w:rsidR="004346EB" w:rsidRPr="004E7D24" w:rsidRDefault="004346EB" w:rsidP="004346E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4E7D24">
        <w:rPr>
          <w:b/>
          <w:szCs w:val="19"/>
          <w:highlight w:val="black"/>
          <w:lang w:eastAsia="pl-PL"/>
        </w:rPr>
        <w:t>Dynamika produkcji sprzedanej przemysłu (ceny stałe; przeciętna miesięczna 2015=100)</w:t>
      </w:r>
    </w:p>
    <w:p w14:paraId="288825C4" w14:textId="288A98D8" w:rsidR="004346EB" w:rsidRPr="004E7D24" w:rsidRDefault="009758D9" w:rsidP="004346EB">
      <w:pPr>
        <w:suppressAutoHyphens/>
        <w:spacing w:before="120" w:after="120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68166212" wp14:editId="5D6849EB">
            <wp:extent cx="6339600" cy="2499000"/>
            <wp:effectExtent l="0" t="0" r="4445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A1D8B8D" w14:textId="550C0D66" w:rsidR="004346EB" w:rsidRPr="004E7D24" w:rsidRDefault="004346EB" w:rsidP="004346EB">
      <w:pPr>
        <w:spacing w:before="240" w:after="120" w:line="288" w:lineRule="auto"/>
        <w:rPr>
          <w:bCs/>
          <w:highlight w:val="black"/>
        </w:rPr>
      </w:pPr>
      <w:r w:rsidRPr="004E7D24">
        <w:rPr>
          <w:bCs/>
          <w:highlight w:val="black"/>
        </w:rPr>
        <w:t>W maju 2022 r. wzrost produkcji sprzedanej w stosunku do maja ubiegłego roku wystąpił w 22 działach przemysłu (spośród 31 występujących w województwie). Uwzględniając działy o znaczącym udziale w produkcji sprzedanej przemysłu wzrosty w stosunku rocznym odnotowano m.in. w produkcji komputerów, wyrobów elektronicznych i optycznych (o 77,2%), metali (o 30,3%), wyrobów z pozostałych mineralnych surowców niemetalicznych (o 25,9%), pojazdów samochodowych, przyczep i naczep (o 24,6%) oraz pozostałego sprzętu transportowego (o 22,4%). Natomiast spadek wystąpił w produkcji wyrobów z drewna, korka, słomy i wikliny (o 24,2%).</w:t>
      </w:r>
    </w:p>
    <w:p w14:paraId="4A945AD4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62CDE8AB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1063DC90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62113E20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4A894C35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103D6D64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1F9A4A88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7D29F588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4DBD501A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72B6CC49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69C7FA5D" w14:textId="77777777" w:rsidR="003E57F6" w:rsidRPr="004E7D24" w:rsidRDefault="003E57F6" w:rsidP="004346EB">
      <w:pPr>
        <w:spacing w:before="240" w:after="120" w:line="288" w:lineRule="auto"/>
        <w:rPr>
          <w:bCs/>
          <w:highlight w:val="black"/>
        </w:rPr>
      </w:pPr>
    </w:p>
    <w:p w14:paraId="2A7F4E4E" w14:textId="77777777" w:rsidR="004346EB" w:rsidRPr="004E7D24" w:rsidRDefault="004346EB" w:rsidP="004346E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w załączonym pliku excel."/>
      </w:tblPr>
      <w:tblGrid>
        <w:gridCol w:w="5245"/>
        <w:gridCol w:w="1701"/>
        <w:gridCol w:w="1701"/>
        <w:gridCol w:w="1701"/>
      </w:tblGrid>
      <w:tr w:rsidR="004346EB" w:rsidRPr="004E7D24" w14:paraId="479AF623" w14:textId="77777777" w:rsidTr="004E7D24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D502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57A34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20279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2022</w:t>
            </w:r>
          </w:p>
        </w:tc>
      </w:tr>
      <w:tr w:rsidR="004346EB" w:rsidRPr="004E7D24" w14:paraId="4B3E1176" w14:textId="77777777" w:rsidTr="004E7D24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17E59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8E9CF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EE7D0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E7D24" w:rsidRPr="004E7D24" w14:paraId="64F97EB4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0B901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362CBD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F0C2E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62F90E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E7D24" w:rsidRPr="004E7D24" w14:paraId="50B98257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7E9987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D4BD9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7A12C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2E928F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38500B8A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A3053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ACCF7F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A111FA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3B91AA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93,6</w:t>
            </w:r>
          </w:p>
        </w:tc>
      </w:tr>
      <w:tr w:rsidR="004E7D24" w:rsidRPr="004E7D24" w14:paraId="51D0BE3A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D76C72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83DE8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BEE15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897EC2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1A16141F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1EAA89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81201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8CF6C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FA3D8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6,9</w:t>
            </w:r>
          </w:p>
        </w:tc>
      </w:tr>
      <w:tr w:rsidR="004E7D24" w:rsidRPr="004E7D24" w14:paraId="247B990A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0E9AB7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233D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75,8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AFB38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A47DD1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8,1</w:t>
            </w:r>
          </w:p>
        </w:tc>
      </w:tr>
      <w:tr w:rsidR="004E7D24" w:rsidRPr="004E7D24" w14:paraId="6501841F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ACD81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9AA289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A1EFD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6392BE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4E7D24" w:rsidRPr="004E7D24" w14:paraId="52FBE3E4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369845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7C3DF8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2480E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732FC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12,1</w:t>
            </w:r>
          </w:p>
        </w:tc>
      </w:tr>
      <w:tr w:rsidR="004E7D24" w:rsidRPr="004E7D24" w14:paraId="5EA4DE79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628782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54C5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F3FDC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C1BE0D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4E7D24" w:rsidRPr="004E7D24" w14:paraId="15C6B4F7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F7BB92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3B44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87C9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204A1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4E7D24" w:rsidRPr="004E7D24" w14:paraId="586AE256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19172A" w14:textId="77777777" w:rsidR="004346EB" w:rsidRPr="004E7D24" w:rsidRDefault="004346EB" w:rsidP="004346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wyrobów z metali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9A58E8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1B464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8257B1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9,9</w:t>
            </w:r>
          </w:p>
        </w:tc>
      </w:tr>
      <w:tr w:rsidR="004E7D24" w:rsidRPr="004E7D24" w14:paraId="0314634E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79F08F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E6655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177,2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89031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405BF4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4E7D24" w:rsidRPr="004E7D24" w14:paraId="15546028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325BA3" w14:textId="77777777" w:rsidR="004346EB" w:rsidRPr="004E7D24" w:rsidRDefault="004346EB" w:rsidP="004346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maszyn i urządzeń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24DD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00DFC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456C31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4E7D24" w:rsidRPr="004E7D24" w14:paraId="5E9ADABF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F99587" w14:textId="77777777" w:rsidR="004346EB" w:rsidRPr="004E7D24" w:rsidRDefault="004346EB" w:rsidP="004346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A4251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F1B4D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C75F2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4E7D24" w:rsidRPr="004E7D24" w14:paraId="3C4906CB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C6C154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F39B97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4D53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952F6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8,1</w:t>
            </w:r>
          </w:p>
        </w:tc>
      </w:tr>
      <w:tr w:rsidR="004E7D24" w:rsidRPr="004E7D24" w14:paraId="7AC18488" w14:textId="77777777" w:rsidTr="004E7D24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967B60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805B7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0104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0D429E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4346EB" w:rsidRPr="004E7D24" w14:paraId="5851F0A8" w14:textId="77777777" w:rsidTr="004E7D24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064D24" w14:textId="77777777" w:rsidR="004346EB" w:rsidRPr="004E7D24" w:rsidRDefault="004346EB" w:rsidP="004346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CA421C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56F287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1A3146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5A8A3CF0" w14:textId="77777777" w:rsidR="004346EB" w:rsidRPr="004E7D24" w:rsidRDefault="004346EB" w:rsidP="004346EB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>W porównaniu z poprzednim miesiącem odnotowano wzrost produkcji o 1,8%. W przetwórstwie przemysłowym produkcja wzrosła o 3,7%, a w dostawie wody; gospodarowaniu ściekami i odpadami; rekultywacji o 2,8%.</w:t>
      </w:r>
    </w:p>
    <w:p w14:paraId="0450B036" w14:textId="77777777" w:rsidR="004346EB" w:rsidRPr="004E7D24" w:rsidRDefault="004346EB" w:rsidP="004346E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E7D24">
        <w:rPr>
          <w:rFonts w:cstheme="minorBidi"/>
          <w:b/>
          <w:szCs w:val="19"/>
          <w:highlight w:val="black"/>
        </w:rPr>
        <w:t>Wydajność pracy</w:t>
      </w:r>
      <w:r w:rsidRPr="004E7D24">
        <w:rPr>
          <w:rFonts w:cstheme="minorBidi"/>
          <w:szCs w:val="19"/>
          <w:highlight w:val="black"/>
        </w:rPr>
        <w:t xml:space="preserve"> w przemyśle, mierzona produkcją sprzedaną na jednego zatrudnionego, w maju 2022 r. wyniosła (w cenach bieżących) 50,0 tys. zł i była wyższa (w cenach stałych) o 9,9% w porównaniu z majem 2021 r., przy przeciętnym zatrudnieniu wyższym o 4,2% i wzroście przeciętnego miesięcznego wynagrodzenia brutto o 9,3%.</w:t>
      </w:r>
    </w:p>
    <w:p w14:paraId="2684C61C" w14:textId="605F3621" w:rsidR="004346EB" w:rsidRPr="004E7D24" w:rsidRDefault="004346EB" w:rsidP="004346E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E7D24">
        <w:rPr>
          <w:rFonts w:cstheme="minorBidi"/>
          <w:szCs w:val="19"/>
          <w:highlight w:val="black"/>
        </w:rPr>
        <w:t xml:space="preserve">W okresie styczeń–maj 2022 r. produkcja sprzedana przemysłu wyniosła 33575,8 mln zł i była o 19,1% wyższa (w kraju wzrosła o 14,6%) niż w analogicznym okresie ubiegłego roku, w tym w przetwórstwie przemysłowym odnotowano </w:t>
      </w:r>
      <w:r w:rsidR="00772B32" w:rsidRPr="004E7D24">
        <w:rPr>
          <w:rFonts w:cstheme="minorBidi"/>
          <w:szCs w:val="19"/>
          <w:highlight w:val="black"/>
        </w:rPr>
        <w:t>wzrost o </w:t>
      </w:r>
      <w:r w:rsidRPr="004E7D24">
        <w:rPr>
          <w:rFonts w:cstheme="minorBidi"/>
          <w:szCs w:val="19"/>
          <w:highlight w:val="black"/>
        </w:rPr>
        <w:t>17,7%. Wzrost produkcji odnotowano w 25 działach przemysłu, w tym m.in. w produkcji komputerów, wyrobów elektronicznych i optycznych (o 42,2%), pozostałego sprzętu transportowego (o 34,7%), chemikaliów i wyrobów chemicznych</w:t>
      </w:r>
      <w:r w:rsidR="00772B32" w:rsidRPr="004E7D24">
        <w:rPr>
          <w:rFonts w:cstheme="minorBidi"/>
          <w:szCs w:val="19"/>
          <w:highlight w:val="black"/>
        </w:rPr>
        <w:t xml:space="preserve"> (o </w:t>
      </w:r>
      <w:r w:rsidRPr="004E7D24">
        <w:rPr>
          <w:rFonts w:cstheme="minorBidi"/>
          <w:szCs w:val="19"/>
          <w:highlight w:val="black"/>
        </w:rPr>
        <w:t>30,0%), metali (o 28,8%) oraz wyrobów z pozostałych mineralnych surowców niemetalicznych (o 20,9%).</w:t>
      </w:r>
    </w:p>
    <w:p w14:paraId="4EB0E661" w14:textId="77777777" w:rsidR="004346EB" w:rsidRPr="004E7D24" w:rsidRDefault="004346EB" w:rsidP="004346E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E7D24">
        <w:rPr>
          <w:rFonts w:cstheme="minorBidi"/>
          <w:b/>
          <w:szCs w:val="19"/>
          <w:highlight w:val="black"/>
        </w:rPr>
        <w:t>Produkcja sprzedana budownictwa</w:t>
      </w:r>
      <w:r w:rsidRPr="004E7D24">
        <w:rPr>
          <w:rFonts w:cstheme="minorBidi"/>
          <w:szCs w:val="19"/>
          <w:highlight w:val="black"/>
        </w:rPr>
        <w:t xml:space="preserve"> (w cenach bieżących) w maju 2022 r. wyniosła 751,3 mln zł. Była wyższa niż w maju 2021 r. (o 1,0%) i wyższa niż w kwietniu 2022 r. (o 1,7%). Od początku roku produkcja sprzedana przedsiębiorstw budowlanych osiągnęła wartość 3470,6 mln zł i w porównaniu z analogicznym okresem ubiegłego roku wzrosła o 13,4%.</w:t>
      </w:r>
    </w:p>
    <w:p w14:paraId="7382F8A4" w14:textId="56C90024" w:rsidR="004346EB" w:rsidRPr="004E7D24" w:rsidRDefault="004346EB" w:rsidP="004346EB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4E7D24">
        <w:rPr>
          <w:rFonts w:cstheme="minorBidi"/>
          <w:szCs w:val="19"/>
          <w:highlight w:val="black"/>
        </w:rPr>
        <w:t>W przeliczeniu na 1 zatrudnionego produkcja sprzedana budownictwa, w maju 2022 r. ukształtowała się na poziomie 38,8</w:t>
      </w:r>
      <w:r w:rsidR="00772B32" w:rsidRPr="004E7D24">
        <w:rPr>
          <w:rFonts w:cstheme="minorBidi"/>
          <w:szCs w:val="19"/>
          <w:highlight w:val="black"/>
        </w:rPr>
        <w:t> </w:t>
      </w:r>
      <w:r w:rsidRPr="004E7D24">
        <w:rPr>
          <w:rFonts w:cstheme="minorBidi"/>
          <w:szCs w:val="19"/>
          <w:highlight w:val="black"/>
        </w:rPr>
        <w:t>tys. zł. Była o 1,8% wyższa niż w maju 2021 r., przy przeciętnym zatrudnieniu niższym o 0,8% i wzroście wynagrodzeń o 12,7%.</w:t>
      </w:r>
    </w:p>
    <w:p w14:paraId="0289B0E1" w14:textId="6694FC0F" w:rsidR="004346EB" w:rsidRPr="004E7D24" w:rsidRDefault="004346EB" w:rsidP="004346EB">
      <w:pPr>
        <w:spacing w:before="120" w:after="120" w:line="288" w:lineRule="auto"/>
        <w:rPr>
          <w:highlight w:val="black"/>
        </w:rPr>
      </w:pPr>
      <w:r w:rsidRPr="004E7D24">
        <w:rPr>
          <w:b/>
          <w:highlight w:val="black"/>
        </w:rPr>
        <w:lastRenderedPageBreak/>
        <w:t>Sprzedaż produkcji budowlano-montażowej</w:t>
      </w:r>
      <w:r w:rsidRPr="004E7D24">
        <w:rPr>
          <w:highlight w:val="black"/>
        </w:rPr>
        <w:t xml:space="preserve"> (stanowiącej ponad 57% przychodów ogółem osiągniętych przez jednostki w</w:t>
      </w:r>
      <w:r w:rsidR="00733351" w:rsidRPr="004E7D24">
        <w:rPr>
          <w:highlight w:val="black"/>
        </w:rPr>
        <w:t> </w:t>
      </w:r>
      <w:r w:rsidRPr="004E7D24">
        <w:rPr>
          <w:highlight w:val="black"/>
        </w:rPr>
        <w:t xml:space="preserve">sekcji budownictwo), zrealizowana w maju 2022 r. wyniosła 428,9 mln zł i była wyższa o 16,9% od uzyskanej w maju </w:t>
      </w:r>
      <w:r w:rsidR="00733351" w:rsidRPr="004E7D24">
        <w:rPr>
          <w:highlight w:val="black"/>
        </w:rPr>
        <w:t>2021 </w:t>
      </w:r>
      <w:r w:rsidRPr="004E7D24">
        <w:rPr>
          <w:highlight w:val="black"/>
        </w:rPr>
        <w:t xml:space="preserve">r. (wobec wzrostu o 6,2% przed rokiem). Wzrost produkcji budowlano-montażowej wystąpił we wszystkich trzech działach budownictwa, w tym najwyższy w jednostkach specjalizujących się w budowie obiektów inżynierii lądowej i wodnej (o 64,3%), a znacznie mniejszy w podmiotach realizujących głównie roboty budowlane specjalistyczne (o 5,4%) oraz </w:t>
      </w:r>
      <w:r w:rsidR="00733351" w:rsidRPr="004E7D24">
        <w:rPr>
          <w:highlight w:val="black"/>
        </w:rPr>
        <w:t>w </w:t>
      </w:r>
      <w:r w:rsidRPr="004E7D24">
        <w:rPr>
          <w:highlight w:val="black"/>
        </w:rPr>
        <w:t>jednostkach, w których podstawowym rodzajem działalności jest budowa budynków (o 2,5%).</w:t>
      </w:r>
    </w:p>
    <w:p w14:paraId="7753609B" w14:textId="77777777" w:rsidR="004346EB" w:rsidRPr="004E7D24" w:rsidRDefault="004346EB" w:rsidP="004346E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w załączonym pliku excel."/>
      </w:tblPr>
      <w:tblGrid>
        <w:gridCol w:w="3828"/>
        <w:gridCol w:w="1984"/>
        <w:gridCol w:w="2126"/>
        <w:gridCol w:w="2268"/>
      </w:tblGrid>
      <w:tr w:rsidR="004346EB" w:rsidRPr="004E7D24" w14:paraId="4968E07E" w14:textId="77777777" w:rsidTr="004E7D24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E1558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75A544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51E27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2022</w:t>
            </w:r>
          </w:p>
        </w:tc>
      </w:tr>
      <w:tr w:rsidR="004346EB" w:rsidRPr="004E7D24" w14:paraId="1FF0AB3C" w14:textId="77777777" w:rsidTr="004E7D24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91AB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02A942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242D74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E7D24" w:rsidRPr="004E7D24" w14:paraId="7548A85E" w14:textId="77777777" w:rsidTr="004E7D24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5EC71" w14:textId="77777777" w:rsidR="004346EB" w:rsidRPr="004E7D24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CAE7B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116,9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AE48E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113,9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2E88F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E7D24" w:rsidRPr="004E7D24" w14:paraId="34BAAD59" w14:textId="77777777" w:rsidTr="004E7D24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701308" w14:textId="77777777" w:rsidR="004346EB" w:rsidRPr="004E7D24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Budowa budynków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27E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E25E20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119,8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41B49D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41,2</w:t>
            </w:r>
          </w:p>
        </w:tc>
      </w:tr>
      <w:tr w:rsidR="004E7D24" w:rsidRPr="004E7D24" w14:paraId="27F111A7" w14:textId="77777777" w:rsidTr="004E7D24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98FFA7" w14:textId="77777777" w:rsidR="004346EB" w:rsidRPr="004E7D24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49F15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164,3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A7B46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BFDF94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22,7</w:t>
            </w:r>
          </w:p>
        </w:tc>
      </w:tr>
      <w:tr w:rsidR="004346EB" w:rsidRPr="004E7D24" w14:paraId="7753E329" w14:textId="77777777" w:rsidTr="004E7D24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63EED49" w14:textId="77777777" w:rsidR="004346EB" w:rsidRPr="004E7D24" w:rsidRDefault="004346EB" w:rsidP="004346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21FD8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0744F6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7ED57F3" w14:textId="77777777" w:rsidR="004346EB" w:rsidRPr="004E7D24" w:rsidRDefault="004346EB" w:rsidP="004346E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36,1</w:t>
            </w:r>
          </w:p>
        </w:tc>
      </w:tr>
    </w:tbl>
    <w:p w14:paraId="683E8C96" w14:textId="77777777" w:rsidR="004346EB" w:rsidRPr="004E7D24" w:rsidRDefault="004346EB" w:rsidP="004346EB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>W porównaniu z kwietniem br. sprzedaż produkcji budowlano-montażowej była wyższa o 6,1%. Wzrost produkcji wystąpił w podmiotach specjalizujących się w budowie obiektów inżynierii lądowej i wodnej (o 58,3%), natomiast spadek odnotowano w jednostkach, w których podstawowym rodzajem działalności jest budowa budynków (o 13,1%). W podmiotach realizujących głównie roboty budowlane specjalistyczne produkcja budowlano-montażowa pozostała na poziomie zbliżonym do notowanego miesiąc wcześniej.</w:t>
      </w:r>
    </w:p>
    <w:p w14:paraId="57F1B1A1" w14:textId="38093C16" w:rsidR="004038A5" w:rsidRPr="004E7D24" w:rsidRDefault="004346EB" w:rsidP="004346EB">
      <w:pPr>
        <w:pStyle w:val="podstawowyFira95"/>
        <w:spacing w:line="288" w:lineRule="auto"/>
        <w:jc w:val="left"/>
        <w:rPr>
          <w:highlight w:val="black"/>
        </w:rPr>
      </w:pPr>
      <w:r w:rsidRPr="004E7D24">
        <w:rPr>
          <w:highlight w:val="black"/>
        </w:rPr>
        <w:t>W okresie styczeń–maj br. produkcja budowlano-montażowa wyniosła 1706,2 mln zł i była o 13,9% wyższa niż w analogicznym okresie ubiegłego roku. Produkcja budowlano-montażowa wzrosła we wszystkich</w:t>
      </w:r>
      <w:r w:rsidR="00474855" w:rsidRPr="004E7D24">
        <w:rPr>
          <w:highlight w:val="black"/>
        </w:rPr>
        <w:t xml:space="preserve"> trzech działach budownictwa, w </w:t>
      </w:r>
      <w:r w:rsidRPr="004E7D24">
        <w:rPr>
          <w:highlight w:val="black"/>
        </w:rPr>
        <w:t>tym najbardziej w jednostkach, w których podstawowym rodzajem działalności jest budowa budynków</w:t>
      </w:r>
      <w:r w:rsidR="00474855" w:rsidRPr="004E7D24">
        <w:rPr>
          <w:highlight w:val="black"/>
        </w:rPr>
        <w:t>, a nieco mniej w </w:t>
      </w:r>
      <w:r w:rsidRPr="004E7D24">
        <w:rPr>
          <w:highlight w:val="black"/>
        </w:rPr>
        <w:t>podmiotach realizujących głównie roboty budowlane specjalistyczne oraz w podmiotach specjalizujących się w budowie obiektów inżynierii lądowej i wodnej.</w:t>
      </w:r>
    </w:p>
    <w:p w14:paraId="32323267" w14:textId="583A0FA5" w:rsidR="005068B0" w:rsidRPr="004E7D24" w:rsidRDefault="005068B0" w:rsidP="0095210F">
      <w:pPr>
        <w:pStyle w:val="Nagwek1"/>
        <w:rPr>
          <w:highlight w:val="black"/>
        </w:rPr>
      </w:pPr>
      <w:bookmarkStart w:id="36" w:name="_Toc107385864"/>
      <w:r w:rsidRPr="004E7D24">
        <w:rPr>
          <w:highlight w:val="black"/>
        </w:rPr>
        <w:t>Budownictwo mieszkaniowe</w:t>
      </w:r>
      <w:bookmarkEnd w:id="29"/>
      <w:bookmarkEnd w:id="30"/>
      <w:bookmarkEnd w:id="31"/>
      <w:bookmarkEnd w:id="36"/>
    </w:p>
    <w:p w14:paraId="1026131D" w14:textId="77777777" w:rsidR="009B15CA" w:rsidRPr="004E7D24" w:rsidRDefault="009B15CA" w:rsidP="009B15CA">
      <w:pPr>
        <w:spacing w:before="120" w:after="120" w:line="288" w:lineRule="auto"/>
        <w:rPr>
          <w:szCs w:val="19"/>
          <w:highlight w:val="black"/>
        </w:rPr>
      </w:pPr>
      <w:bookmarkStart w:id="37" w:name="_Toc12612941"/>
      <w:bookmarkEnd w:id="32"/>
      <w:bookmarkEnd w:id="33"/>
      <w:bookmarkEnd w:id="34"/>
      <w:bookmarkEnd w:id="35"/>
      <w:r w:rsidRPr="004E7D24">
        <w:rPr>
          <w:szCs w:val="19"/>
          <w:highlight w:val="black"/>
        </w:rPr>
        <w:t xml:space="preserve">W </w:t>
      </w:r>
      <w:r w:rsidRPr="004E7D24">
        <w:rPr>
          <w:spacing w:val="-2"/>
          <w:highlight w:val="black"/>
        </w:rPr>
        <w:t xml:space="preserve">maju </w:t>
      </w:r>
      <w:r w:rsidRPr="004E7D24">
        <w:rPr>
          <w:szCs w:val="19"/>
          <w:highlight w:val="black"/>
        </w:rPr>
        <w:t>2022 r., w porównaniu z analogicznym okresem 2021 r., wzrosła liczba mieszkań oddanych do użytkowania (ponad 2-krotnie), liczba mieszkań, których budowę rozpoczęto (ponad 2-krotnie) oraz liczba mieszkań, na realizację których wydano pozwolenia lub dokonano zgłoszenia z projektem budowlanym (o 14,4%).</w:t>
      </w:r>
    </w:p>
    <w:p w14:paraId="1FB7F137" w14:textId="111E0865" w:rsidR="009B15CA" w:rsidRPr="004E7D24" w:rsidRDefault="009B15CA" w:rsidP="009B15CA">
      <w:pPr>
        <w:spacing w:before="120" w:after="120" w:line="288" w:lineRule="auto"/>
        <w:rPr>
          <w:szCs w:val="19"/>
          <w:highlight w:val="black"/>
        </w:rPr>
      </w:pPr>
      <w:r w:rsidRPr="004E7D24">
        <w:rPr>
          <w:szCs w:val="19"/>
          <w:highlight w:val="black"/>
        </w:rPr>
        <w:t>Według wstępnych danych</w:t>
      </w:r>
      <w:r w:rsidRPr="004E7D24">
        <w:rPr>
          <w:szCs w:val="19"/>
          <w:highlight w:val="black"/>
          <w:vertAlign w:val="superscript"/>
        </w:rPr>
        <w:footnoteReference w:id="4"/>
      </w:r>
      <w:r w:rsidRPr="004E7D24">
        <w:rPr>
          <w:szCs w:val="19"/>
          <w:highlight w:val="black"/>
        </w:rPr>
        <w:t>, w maju 2022 r. przekazano do użytkowania 1094 mieszkania o łącznej powierzchni 106,5 tys. m</w:t>
      </w:r>
      <w:r w:rsidRPr="004E7D24">
        <w:rPr>
          <w:szCs w:val="19"/>
          <w:highlight w:val="black"/>
          <w:vertAlign w:val="superscript"/>
        </w:rPr>
        <w:t>2</w:t>
      </w:r>
      <w:r w:rsidRPr="004E7D24">
        <w:rPr>
          <w:szCs w:val="19"/>
          <w:highlight w:val="black"/>
        </w:rPr>
        <w:t>. Liczba nowo wybudowanych mieszkań, w porównaniu z majem 2021 r., wzrosła o 572 lokale. W maju 2022</w:t>
      </w:r>
      <w:r w:rsidR="00F937D4" w:rsidRPr="004E7D24">
        <w:rPr>
          <w:szCs w:val="19"/>
          <w:highlight w:val="black"/>
        </w:rPr>
        <w:t xml:space="preserve"> </w:t>
      </w:r>
      <w:r w:rsidRPr="004E7D24">
        <w:rPr>
          <w:szCs w:val="19"/>
          <w:highlight w:val="black"/>
        </w:rPr>
        <w:t xml:space="preserve">r. w budownictwie przeznaczonym na sprzedaż lub wynajem przekazano 626 mieszkań (o 594 więcej), a w budownictwie indywidualnym 468 mieszkań (o 21 mniej niż w maju 2021 r.). </w:t>
      </w:r>
      <w:r w:rsidRPr="004E7D24">
        <w:rPr>
          <w:highlight w:val="black"/>
        </w:rPr>
        <w:t xml:space="preserve">W pozostałych formach budownictwa </w:t>
      </w:r>
      <w:r w:rsidRPr="004E7D24">
        <w:rPr>
          <w:rFonts w:cstheme="minorBidi"/>
          <w:szCs w:val="19"/>
          <w:highlight w:val="black"/>
          <w:shd w:val="clear" w:color="auto" w:fill="FFFFFF"/>
        </w:rPr>
        <w:t>nie odnotowano efektów</w:t>
      </w:r>
      <w:r w:rsidRPr="004E7D24">
        <w:rPr>
          <w:szCs w:val="19"/>
          <w:highlight w:val="black"/>
        </w:rPr>
        <w:t>.</w:t>
      </w:r>
    </w:p>
    <w:p w14:paraId="01908498" w14:textId="203B5BD1" w:rsidR="00B933A4" w:rsidRPr="004E7D24" w:rsidRDefault="009B15CA" w:rsidP="009B15CA">
      <w:pPr>
        <w:spacing w:before="120" w:after="120" w:line="288" w:lineRule="auto"/>
        <w:rPr>
          <w:szCs w:val="19"/>
          <w:highlight w:val="black"/>
        </w:rPr>
      </w:pPr>
      <w:r w:rsidRPr="004E7D24">
        <w:rPr>
          <w:szCs w:val="19"/>
          <w:highlight w:val="black"/>
        </w:rPr>
        <w:t>W maju 2022 r. udział województwa podkarpackiego wśród mieszkań oddanych do użytkowania w kraju wyniósł 6,2</w:t>
      </w:r>
      <w:r w:rsidR="00F937D4" w:rsidRPr="004E7D24">
        <w:rPr>
          <w:szCs w:val="19"/>
          <w:highlight w:val="black"/>
        </w:rPr>
        <w:t xml:space="preserve">% i </w:t>
      </w:r>
      <w:r w:rsidRPr="004E7D24">
        <w:rPr>
          <w:szCs w:val="19"/>
          <w:highlight w:val="black"/>
        </w:rPr>
        <w:t>był o 2,6 p.proc. wyższy niż w kwietniu 2022 r.</w:t>
      </w:r>
    </w:p>
    <w:p w14:paraId="5CE24819" w14:textId="77777777" w:rsidR="00B933A4" w:rsidRPr="004E7D24" w:rsidRDefault="00B933A4" w:rsidP="009B15CA">
      <w:pPr>
        <w:spacing w:before="120" w:after="120" w:line="288" w:lineRule="auto"/>
        <w:rPr>
          <w:szCs w:val="19"/>
          <w:highlight w:val="black"/>
        </w:rPr>
      </w:pPr>
    </w:p>
    <w:p w14:paraId="287C1B3D" w14:textId="77777777" w:rsidR="00B933A4" w:rsidRPr="004E7D24" w:rsidRDefault="00B933A4" w:rsidP="009B15CA">
      <w:pPr>
        <w:spacing w:before="120" w:after="120" w:line="288" w:lineRule="auto"/>
        <w:rPr>
          <w:szCs w:val="19"/>
          <w:highlight w:val="black"/>
        </w:rPr>
      </w:pPr>
    </w:p>
    <w:p w14:paraId="3C2DBF4A" w14:textId="77777777" w:rsidR="00B933A4" w:rsidRPr="004E7D24" w:rsidRDefault="00B933A4" w:rsidP="009B15CA">
      <w:pPr>
        <w:spacing w:before="120" w:after="120" w:line="288" w:lineRule="auto"/>
        <w:rPr>
          <w:szCs w:val="19"/>
          <w:highlight w:val="black"/>
        </w:rPr>
      </w:pPr>
    </w:p>
    <w:p w14:paraId="42104257" w14:textId="77777777" w:rsidR="00B933A4" w:rsidRPr="004E7D24" w:rsidRDefault="00B933A4" w:rsidP="009B15CA">
      <w:pPr>
        <w:spacing w:before="120" w:after="120" w:line="288" w:lineRule="auto"/>
        <w:rPr>
          <w:szCs w:val="19"/>
          <w:highlight w:val="black"/>
        </w:rPr>
      </w:pPr>
    </w:p>
    <w:p w14:paraId="04CDCFE3" w14:textId="77777777" w:rsidR="00B933A4" w:rsidRPr="004E7D24" w:rsidRDefault="00B933A4" w:rsidP="009B15CA">
      <w:pPr>
        <w:spacing w:before="120" w:after="120" w:line="288" w:lineRule="auto"/>
        <w:rPr>
          <w:szCs w:val="19"/>
          <w:highlight w:val="black"/>
        </w:rPr>
      </w:pPr>
    </w:p>
    <w:p w14:paraId="66ACE77E" w14:textId="77777777" w:rsidR="00B933A4" w:rsidRPr="004E7D24" w:rsidRDefault="00B933A4" w:rsidP="009B15CA">
      <w:pPr>
        <w:spacing w:before="120" w:after="120" w:line="288" w:lineRule="auto"/>
        <w:rPr>
          <w:szCs w:val="19"/>
          <w:highlight w:val="black"/>
        </w:rPr>
      </w:pPr>
    </w:p>
    <w:p w14:paraId="1239B72D" w14:textId="77777777" w:rsidR="00B933A4" w:rsidRPr="004E7D24" w:rsidRDefault="00B933A4" w:rsidP="00B933A4">
      <w:pPr>
        <w:rPr>
          <w:szCs w:val="19"/>
          <w:highlight w:val="black"/>
        </w:rPr>
      </w:pPr>
    </w:p>
    <w:p w14:paraId="134EA3DB" w14:textId="77777777" w:rsidR="009B15CA" w:rsidRPr="004E7D24" w:rsidRDefault="009B15CA" w:rsidP="009B15CA">
      <w:pPr>
        <w:numPr>
          <w:ilvl w:val="0"/>
          <w:numId w:val="4"/>
        </w:numPr>
        <w:spacing w:before="360" w:after="120"/>
        <w:ind w:left="0" w:firstLine="0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</w:t>
      </w:r>
      <w:r w:rsidRPr="004E7D2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maj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maj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B15CA" w:rsidRPr="004E7D24" w14:paraId="58258008" w14:textId="77777777" w:rsidTr="004E7D24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0CDDE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6982A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4D846EB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 xml:space="preserve">Przeciętna </w:t>
            </w:r>
            <w:r w:rsidRPr="004E7D24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4E7D24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4E7D24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4E7D24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4E7D24" w:rsidRPr="004E7D24" w14:paraId="1611001D" w14:textId="77777777" w:rsidTr="004E7D24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DAADE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0D911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 xml:space="preserve">w liczbach </w:t>
            </w:r>
            <w:r w:rsidRPr="004E7D24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459E2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924EC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</w:t>
            </w:r>
            <w:r w:rsidRPr="004E7D24">
              <w:rPr>
                <w:bCs/>
                <w:noProof/>
                <w:szCs w:val="19"/>
                <w:highlight w:val="black"/>
              </w:rPr>
              <w:t>–</w:t>
            </w:r>
            <w:r w:rsidRPr="004E7D24">
              <w:rPr>
                <w:rFonts w:cs="Arial"/>
                <w:szCs w:val="19"/>
                <w:highlight w:val="black"/>
              </w:rPr>
              <w:t>05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9A21D7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194F7F4C" w14:textId="77777777" w:rsidTr="004E7D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E0532" w14:textId="77777777" w:rsidR="009B15CA" w:rsidRPr="004E7D24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A0C87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4215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F8E2E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E4D34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113,4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84C391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114,2</w:t>
            </w:r>
          </w:p>
        </w:tc>
      </w:tr>
      <w:tr w:rsidR="004E7D24" w:rsidRPr="004E7D24" w14:paraId="6D5033D1" w14:textId="77777777" w:rsidTr="004E7D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3568F" w14:textId="77777777" w:rsidR="009B15CA" w:rsidRPr="004E7D24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AC7E85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2721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7E949A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64,6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179B15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A544E0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141,7</w:t>
            </w:r>
          </w:p>
        </w:tc>
      </w:tr>
      <w:tr w:rsidR="004E7D24" w:rsidRPr="004E7D24" w14:paraId="3B810676" w14:textId="77777777" w:rsidTr="004E7D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0CF17" w14:textId="77777777" w:rsidR="009B15CA" w:rsidRPr="004E7D24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56A11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2D74E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BAAFF7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160,2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FD6E65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4E7D24" w:rsidRPr="004E7D24" w14:paraId="61409443" w14:textId="77777777" w:rsidTr="004E7D2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1BAAD" w14:textId="77777777" w:rsidR="009B15CA" w:rsidRPr="004E7D24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36892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1282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F8E31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30,4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ED008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8FA1D7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65,1</w:t>
            </w:r>
          </w:p>
        </w:tc>
      </w:tr>
      <w:tr w:rsidR="009B15CA" w:rsidRPr="004E7D24" w14:paraId="5DC0E8D8" w14:textId="77777777" w:rsidTr="004E7D24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84C268" w14:textId="77777777" w:rsidR="009B15CA" w:rsidRPr="004E7D24" w:rsidRDefault="009B15CA" w:rsidP="009B15C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122D11E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BD54B9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681B77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DF29166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60,6</w:t>
            </w:r>
          </w:p>
        </w:tc>
      </w:tr>
    </w:tbl>
    <w:p w14:paraId="4CB18ACC" w14:textId="77777777" w:rsidR="009B15CA" w:rsidRPr="004E7D24" w:rsidRDefault="009B15CA" w:rsidP="009B15C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t>Dynamika mieszkań oddanych do użytkowania (analogiczny okres 2015=100)</w:t>
      </w:r>
    </w:p>
    <w:p w14:paraId="52269644" w14:textId="3730B886" w:rsidR="009B15CA" w:rsidRPr="004E7D24" w:rsidRDefault="009758D9" w:rsidP="009B15CA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323D115" wp14:editId="78C3BCAF">
            <wp:extent cx="6530400" cy="2977200"/>
            <wp:effectExtent l="0" t="0" r="3810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D5F8698" w14:textId="41F2A4EC" w:rsidR="009B15CA" w:rsidRPr="004E7D24" w:rsidRDefault="009B15CA" w:rsidP="009B15CA">
      <w:pPr>
        <w:spacing w:before="240" w:after="120" w:line="288" w:lineRule="auto"/>
        <w:rPr>
          <w:bCs/>
          <w:noProof/>
          <w:szCs w:val="19"/>
          <w:highlight w:val="black"/>
        </w:rPr>
      </w:pPr>
      <w:r w:rsidRPr="004E7D24">
        <w:rPr>
          <w:rFonts w:cs="Arial"/>
          <w:spacing w:val="-2"/>
          <w:szCs w:val="19"/>
          <w:highlight w:val="black"/>
        </w:rPr>
        <w:t>W okresie styczeń</w:t>
      </w:r>
      <w:r w:rsidRPr="004E7D24">
        <w:rPr>
          <w:rFonts w:cs="Arial"/>
          <w:szCs w:val="19"/>
          <w:highlight w:val="black"/>
        </w:rPr>
        <w:t>–</w:t>
      </w:r>
      <w:r w:rsidRPr="004E7D24">
        <w:rPr>
          <w:rFonts w:cs="Arial"/>
          <w:spacing w:val="-2"/>
          <w:szCs w:val="19"/>
          <w:highlight w:val="black"/>
        </w:rPr>
        <w:t xml:space="preserve">maj 2022 r. </w:t>
      </w:r>
      <w:r w:rsidRPr="004E7D24">
        <w:rPr>
          <w:rFonts w:cs="Arial"/>
          <w:b/>
          <w:bCs/>
          <w:spacing w:val="-2"/>
          <w:szCs w:val="19"/>
          <w:highlight w:val="black"/>
        </w:rPr>
        <w:t>oddano do użytkowania 4215</w:t>
      </w:r>
      <w:r w:rsidRPr="004E7D24">
        <w:rPr>
          <w:rFonts w:cs="Arial"/>
          <w:spacing w:val="-2"/>
          <w:szCs w:val="19"/>
          <w:highlight w:val="black"/>
        </w:rPr>
        <w:t xml:space="preserve"> </w:t>
      </w:r>
      <w:r w:rsidRPr="004E7D24">
        <w:rPr>
          <w:rFonts w:cs="Arial"/>
          <w:b/>
          <w:bCs/>
          <w:spacing w:val="-2"/>
          <w:szCs w:val="19"/>
          <w:highlight w:val="black"/>
        </w:rPr>
        <w:t>mieszkań</w:t>
      </w:r>
      <w:r w:rsidRPr="004E7D24">
        <w:rPr>
          <w:rFonts w:cs="Arial"/>
          <w:spacing w:val="-2"/>
          <w:szCs w:val="19"/>
          <w:highlight w:val="black"/>
        </w:rPr>
        <w:t xml:space="preserve">, tj. o 497 lokali więcej niż w analogicznym okresie ub. roku. W budownictwie indywidualnym przekazano o 365 mieszkań więcej, w budownictwie </w:t>
      </w:r>
      <w:r w:rsidRPr="004E7D24">
        <w:rPr>
          <w:szCs w:val="19"/>
          <w:highlight w:val="black"/>
        </w:rPr>
        <w:t>spółdzielczym</w:t>
      </w:r>
      <w:r w:rsidRPr="004E7D24">
        <w:rPr>
          <w:rFonts w:cs="Arial"/>
          <w:spacing w:val="-2"/>
          <w:szCs w:val="19"/>
          <w:highlight w:val="black"/>
        </w:rPr>
        <w:t xml:space="preserve"> </w:t>
      </w:r>
      <w:r w:rsidRPr="004E7D24">
        <w:rPr>
          <w:szCs w:val="19"/>
          <w:highlight w:val="black"/>
        </w:rPr>
        <w:t>o 53 więcej,</w:t>
      </w:r>
      <w:r w:rsidR="00A30F7E" w:rsidRPr="004E7D24">
        <w:rPr>
          <w:szCs w:val="19"/>
          <w:highlight w:val="black"/>
        </w:rPr>
        <w:t xml:space="preserve"> a </w:t>
      </w:r>
      <w:r w:rsidR="00A30F7E" w:rsidRPr="004E7D24">
        <w:rPr>
          <w:rFonts w:cs="Arial"/>
          <w:spacing w:val="-2"/>
          <w:szCs w:val="19"/>
          <w:highlight w:val="black"/>
        </w:rPr>
        <w:t>w </w:t>
      </w:r>
      <w:r w:rsidRPr="004E7D24">
        <w:rPr>
          <w:rFonts w:cs="Arial"/>
          <w:spacing w:val="-2"/>
          <w:szCs w:val="19"/>
          <w:highlight w:val="black"/>
        </w:rPr>
        <w:t>przeznaczonym na sprzedaż lub wynajem o 9 więcej.</w:t>
      </w:r>
      <w:r w:rsidRPr="004E7D24">
        <w:rPr>
          <w:szCs w:val="19"/>
          <w:highlight w:val="black"/>
        </w:rPr>
        <w:t xml:space="preserve"> Ponadto w pierwszych pięciu miesiącach 2022 r. oddano 71 mieszkań społecznych czynszowych (przed rokiem w tej formie budownictwa nie odnotowano efektów).</w:t>
      </w:r>
    </w:p>
    <w:p w14:paraId="44BB5188" w14:textId="77777777" w:rsidR="009B15CA" w:rsidRPr="004E7D24" w:rsidRDefault="009B15CA" w:rsidP="009B15CA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E7D24">
        <w:rPr>
          <w:b/>
          <w:bCs/>
          <w:noProof/>
          <w:szCs w:val="19"/>
          <w:highlight w:val="black"/>
        </w:rPr>
        <w:t>Przeciętna powierzchnia użytkowa</w:t>
      </w:r>
      <w:r w:rsidRPr="004E7D24">
        <w:rPr>
          <w:bCs/>
          <w:noProof/>
          <w:szCs w:val="19"/>
          <w:highlight w:val="black"/>
        </w:rPr>
        <w:t xml:space="preserve"> mieszkania przekazanego do użytkowania w okresie </w:t>
      </w:r>
      <w:r w:rsidRPr="004E7D24">
        <w:rPr>
          <w:noProof/>
          <w:highlight w:val="black"/>
        </w:rPr>
        <w:t>styczeń</w:t>
      </w:r>
      <w:r w:rsidRPr="004E7D24">
        <w:rPr>
          <w:rFonts w:cs="Arial"/>
          <w:szCs w:val="19"/>
          <w:highlight w:val="black"/>
        </w:rPr>
        <w:t>–</w:t>
      </w:r>
      <w:r w:rsidRPr="004E7D24">
        <w:rPr>
          <w:noProof/>
          <w:highlight w:val="black"/>
        </w:rPr>
        <w:t xml:space="preserve">maj br. </w:t>
      </w:r>
      <w:r w:rsidRPr="004E7D24">
        <w:rPr>
          <w:bCs/>
          <w:noProof/>
          <w:szCs w:val="19"/>
          <w:highlight w:val="black"/>
        </w:rPr>
        <w:t>wyniosła 114,2 m</w:t>
      </w:r>
      <w:r w:rsidRPr="004E7D24">
        <w:rPr>
          <w:bCs/>
          <w:noProof/>
          <w:szCs w:val="19"/>
          <w:highlight w:val="black"/>
          <w:vertAlign w:val="superscript"/>
        </w:rPr>
        <w:t>2</w:t>
      </w:r>
      <w:r w:rsidRPr="004E7D24">
        <w:rPr>
          <w:bCs/>
          <w:noProof/>
          <w:szCs w:val="19"/>
          <w:highlight w:val="black"/>
        </w:rPr>
        <w:t>, z tego w budownictwie indywidualnym – 141,7 m</w:t>
      </w:r>
      <w:r w:rsidRPr="004E7D24">
        <w:rPr>
          <w:bCs/>
          <w:noProof/>
          <w:szCs w:val="19"/>
          <w:highlight w:val="black"/>
          <w:vertAlign w:val="superscript"/>
        </w:rPr>
        <w:t>2</w:t>
      </w:r>
      <w:r w:rsidRPr="004E7D24">
        <w:rPr>
          <w:bCs/>
          <w:noProof/>
          <w:szCs w:val="19"/>
          <w:highlight w:val="black"/>
        </w:rPr>
        <w:t>, przeznaczonym na sprzedaż lub wynajem – 65,1 m</w:t>
      </w:r>
      <w:r w:rsidRPr="004E7D24">
        <w:rPr>
          <w:bCs/>
          <w:noProof/>
          <w:szCs w:val="19"/>
          <w:highlight w:val="black"/>
          <w:vertAlign w:val="superscript"/>
        </w:rPr>
        <w:t>2</w:t>
      </w:r>
      <w:r w:rsidRPr="004E7D24">
        <w:rPr>
          <w:bCs/>
          <w:noProof/>
          <w:szCs w:val="19"/>
          <w:highlight w:val="black"/>
        </w:rPr>
        <w:t>, społecznym czynszowym – 60,6 m</w:t>
      </w:r>
      <w:r w:rsidRPr="004E7D24">
        <w:rPr>
          <w:bCs/>
          <w:noProof/>
          <w:szCs w:val="19"/>
          <w:highlight w:val="black"/>
          <w:vertAlign w:val="superscript"/>
        </w:rPr>
        <w:t>2</w:t>
      </w:r>
      <w:r w:rsidRPr="004E7D24">
        <w:rPr>
          <w:bCs/>
          <w:noProof/>
          <w:szCs w:val="19"/>
          <w:highlight w:val="black"/>
        </w:rPr>
        <w:t>, a w spółdzielczym 55,1 m</w:t>
      </w:r>
      <w:r w:rsidRPr="004E7D24">
        <w:rPr>
          <w:bCs/>
          <w:noProof/>
          <w:szCs w:val="19"/>
          <w:highlight w:val="black"/>
          <w:vertAlign w:val="superscript"/>
        </w:rPr>
        <w:t>2</w:t>
      </w:r>
      <w:r w:rsidRPr="004E7D24">
        <w:rPr>
          <w:bCs/>
          <w:noProof/>
          <w:szCs w:val="19"/>
          <w:highlight w:val="black"/>
        </w:rPr>
        <w:t>.</w:t>
      </w:r>
    </w:p>
    <w:p w14:paraId="61339FDA" w14:textId="77777777" w:rsidR="009B15CA" w:rsidRPr="004E7D24" w:rsidRDefault="009B15CA" w:rsidP="009B15CA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E7D24">
        <w:rPr>
          <w:bCs/>
          <w:noProof/>
          <w:szCs w:val="19"/>
          <w:highlight w:val="black"/>
        </w:rPr>
        <w:t>W przekroju terytorialnym najwięcej mieszkań oddano do użytkowania w Rzeszowie (927), następnie w powiecie rzeszowskim (510) i dębickim (302). Najmniej mieszkań przekazano w powiecie bieszczadzkim (28), a następnie w powiecie leskim i tarnobrzeskim (odpowiednio 45 i 59).</w:t>
      </w:r>
    </w:p>
    <w:p w14:paraId="1488590C" w14:textId="0EA9D3E8" w:rsidR="009B15CA" w:rsidRPr="004E7D24" w:rsidRDefault="009B15CA" w:rsidP="009B15CA">
      <w:pPr>
        <w:spacing w:before="120" w:after="120" w:line="288" w:lineRule="auto"/>
        <w:rPr>
          <w:noProof/>
          <w:szCs w:val="19"/>
          <w:highlight w:val="black"/>
        </w:rPr>
      </w:pPr>
      <w:r w:rsidRPr="004E7D24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4E7D24">
        <w:rPr>
          <w:bCs/>
          <w:noProof/>
          <w:szCs w:val="19"/>
          <w:highlight w:val="black"/>
        </w:rPr>
        <w:t xml:space="preserve">powiecie sanockim </w:t>
      </w:r>
      <w:r w:rsidRPr="004E7D24">
        <w:rPr>
          <w:noProof/>
          <w:szCs w:val="19"/>
          <w:highlight w:val="black"/>
        </w:rPr>
        <w:t>(154,2</w:t>
      </w:r>
      <w:r w:rsidR="00A30F7E" w:rsidRPr="004E7D24">
        <w:rPr>
          <w:noProof/>
          <w:szCs w:val="19"/>
          <w:highlight w:val="black"/>
        </w:rPr>
        <w:t xml:space="preserve"> </w:t>
      </w:r>
      <w:r w:rsidRPr="004E7D24">
        <w:rPr>
          <w:noProof/>
          <w:szCs w:val="19"/>
          <w:highlight w:val="black"/>
        </w:rPr>
        <w:t>m</w:t>
      </w:r>
      <w:r w:rsidRPr="004E7D24">
        <w:rPr>
          <w:noProof/>
          <w:szCs w:val="19"/>
          <w:highlight w:val="black"/>
          <w:vertAlign w:val="superscript"/>
        </w:rPr>
        <w:t>2</w:t>
      </w:r>
      <w:r w:rsidRPr="004E7D24">
        <w:rPr>
          <w:noProof/>
          <w:szCs w:val="19"/>
          <w:highlight w:val="black"/>
        </w:rPr>
        <w:t>), następnie</w:t>
      </w:r>
      <w:r w:rsidRPr="004E7D24">
        <w:rPr>
          <w:bCs/>
          <w:noProof/>
          <w:szCs w:val="19"/>
          <w:highlight w:val="black"/>
        </w:rPr>
        <w:t xml:space="preserve"> w przemyskim </w:t>
      </w:r>
      <w:r w:rsidRPr="004E7D24">
        <w:rPr>
          <w:noProof/>
          <w:szCs w:val="19"/>
          <w:highlight w:val="black"/>
        </w:rPr>
        <w:t>(151,0 m</w:t>
      </w:r>
      <w:r w:rsidRPr="004E7D24">
        <w:rPr>
          <w:noProof/>
          <w:szCs w:val="19"/>
          <w:highlight w:val="black"/>
          <w:vertAlign w:val="superscript"/>
        </w:rPr>
        <w:t>2</w:t>
      </w:r>
      <w:r w:rsidRPr="004E7D24">
        <w:rPr>
          <w:noProof/>
          <w:szCs w:val="19"/>
          <w:highlight w:val="black"/>
        </w:rPr>
        <w:t xml:space="preserve">) i </w:t>
      </w:r>
      <w:r w:rsidRPr="004E7D24">
        <w:rPr>
          <w:bCs/>
          <w:noProof/>
          <w:szCs w:val="19"/>
          <w:highlight w:val="black"/>
        </w:rPr>
        <w:t>bieszczadzkim</w:t>
      </w:r>
      <w:r w:rsidRPr="004E7D24">
        <w:rPr>
          <w:noProof/>
          <w:szCs w:val="19"/>
          <w:highlight w:val="black"/>
        </w:rPr>
        <w:t xml:space="preserve"> (149,3 m</w:t>
      </w:r>
      <w:r w:rsidRPr="004E7D24">
        <w:rPr>
          <w:noProof/>
          <w:szCs w:val="19"/>
          <w:highlight w:val="black"/>
          <w:vertAlign w:val="superscript"/>
        </w:rPr>
        <w:t>2</w:t>
      </w:r>
      <w:r w:rsidRPr="004E7D24">
        <w:rPr>
          <w:noProof/>
          <w:szCs w:val="19"/>
          <w:highlight w:val="black"/>
        </w:rPr>
        <w:t>). Najmniejsze natomiast w Przemyślu oraz Krośnie (odpowiednio 65,2 m</w:t>
      </w:r>
      <w:r w:rsidRPr="004E7D24">
        <w:rPr>
          <w:noProof/>
          <w:szCs w:val="19"/>
          <w:highlight w:val="black"/>
          <w:vertAlign w:val="superscript"/>
        </w:rPr>
        <w:t>2</w:t>
      </w:r>
      <w:r w:rsidR="00A30F7E" w:rsidRPr="004E7D24">
        <w:rPr>
          <w:noProof/>
          <w:szCs w:val="19"/>
          <w:highlight w:val="black"/>
        </w:rPr>
        <w:t xml:space="preserve"> i </w:t>
      </w:r>
      <w:r w:rsidRPr="004E7D24">
        <w:rPr>
          <w:noProof/>
          <w:szCs w:val="19"/>
          <w:highlight w:val="black"/>
        </w:rPr>
        <w:t>66,7 m</w:t>
      </w:r>
      <w:r w:rsidRPr="004E7D24">
        <w:rPr>
          <w:noProof/>
          <w:szCs w:val="19"/>
          <w:highlight w:val="black"/>
          <w:vertAlign w:val="superscript"/>
        </w:rPr>
        <w:t>2</w:t>
      </w:r>
      <w:r w:rsidRPr="004E7D24">
        <w:rPr>
          <w:noProof/>
          <w:szCs w:val="19"/>
          <w:highlight w:val="black"/>
        </w:rPr>
        <w:t>).</w:t>
      </w:r>
    </w:p>
    <w:p w14:paraId="4DCCD595" w14:textId="77777777" w:rsidR="009B15CA" w:rsidRPr="004E7D24" w:rsidRDefault="009B15CA" w:rsidP="009B15CA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4E7D24">
        <w:rPr>
          <w:b/>
          <w:highlight w:val="black"/>
        </w:rPr>
        <w:lastRenderedPageBreak/>
        <w:t xml:space="preserve">Mapa 2. Mieszkania oddane do użytkowania według powiatów </w:t>
      </w:r>
      <w:r w:rsidRPr="004E7D24">
        <w:rPr>
          <w:b/>
          <w:bCs/>
          <w:noProof/>
          <w:szCs w:val="19"/>
          <w:highlight w:val="black"/>
        </w:rPr>
        <w:t xml:space="preserve">w okresie </w:t>
      </w:r>
      <w:r w:rsidRPr="004E7D24">
        <w:rPr>
          <w:b/>
          <w:noProof/>
          <w:highlight w:val="black"/>
        </w:rPr>
        <w:t>styczeń</w:t>
      </w:r>
      <w:r w:rsidRPr="004E7D24">
        <w:rPr>
          <w:rFonts w:cs="Arial"/>
          <w:b/>
          <w:szCs w:val="19"/>
          <w:highlight w:val="black"/>
        </w:rPr>
        <w:t>–</w:t>
      </w:r>
      <w:r w:rsidRPr="004E7D24">
        <w:rPr>
          <w:b/>
          <w:noProof/>
          <w:highlight w:val="black"/>
        </w:rPr>
        <w:t>maj</w:t>
      </w:r>
      <w:r w:rsidRPr="004E7D24">
        <w:rPr>
          <w:b/>
          <w:highlight w:val="black"/>
        </w:rPr>
        <w:t xml:space="preserve"> 2022 r.</w:t>
      </w:r>
    </w:p>
    <w:p w14:paraId="462AA61F" w14:textId="0B2ECDC7" w:rsidR="009B15CA" w:rsidRPr="004E7D24" w:rsidRDefault="00032ED5" w:rsidP="009B15CA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1D9901EB" wp14:editId="341845F7">
            <wp:extent cx="4273305" cy="4946914"/>
            <wp:effectExtent l="0" t="0" r="0" b="635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ieszkania_05_2022 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C9CD" w14:textId="71AD8299" w:rsidR="009B15CA" w:rsidRPr="004E7D24" w:rsidRDefault="009B15CA" w:rsidP="009B15CA">
      <w:pPr>
        <w:spacing w:before="240" w:after="120" w:line="288" w:lineRule="auto"/>
        <w:rPr>
          <w:noProof/>
          <w:szCs w:val="19"/>
          <w:highlight w:val="black"/>
        </w:rPr>
      </w:pPr>
      <w:r w:rsidRPr="004E7D24">
        <w:rPr>
          <w:rFonts w:cs="Arial"/>
          <w:szCs w:val="19"/>
          <w:highlight w:val="black"/>
        </w:rPr>
        <w:t xml:space="preserve">W okresie styczeń–maj 2022 r. wzrost liczby mieszkań oddanych do użytkowania w odniesieniu do analogicznego okresu 2021 r. odnotowano w dwudziestu jeden powiatach, w tym największy </w:t>
      </w:r>
      <w:r w:rsidR="008E2391" w:rsidRPr="004E7D24">
        <w:rPr>
          <w:rFonts w:cs="Arial"/>
          <w:szCs w:val="19"/>
          <w:highlight w:val="black"/>
        </w:rPr>
        <w:t xml:space="preserve">w </w:t>
      </w:r>
      <w:r w:rsidRPr="004E7D24">
        <w:rPr>
          <w:rFonts w:cs="Arial"/>
          <w:szCs w:val="19"/>
          <w:highlight w:val="black"/>
        </w:rPr>
        <w:t>Krośnie (ponad 6-krotny), następnie w Przemyślu (blisko 5-krotny), oraz w powiecie brzozowskim (ponad 3-krotny). Spadek liczby mieszkań odd</w:t>
      </w:r>
      <w:r w:rsidR="008E2391" w:rsidRPr="004E7D24">
        <w:rPr>
          <w:rFonts w:cs="Arial"/>
          <w:szCs w:val="19"/>
          <w:highlight w:val="black"/>
        </w:rPr>
        <w:t xml:space="preserve">anych do użytkowania wystąpił w </w:t>
      </w:r>
      <w:r w:rsidRPr="004E7D24">
        <w:rPr>
          <w:rFonts w:cs="Arial"/>
          <w:szCs w:val="19"/>
          <w:highlight w:val="black"/>
        </w:rPr>
        <w:t>czterech powiatach, z tego największy w powiecie jarosławskim (o 29,8%), następnie w Rzeszowie (o 21,2%), powiecie dębickim (o 16,6%) oraz jasielskim (o 12,2%).</w:t>
      </w:r>
    </w:p>
    <w:p w14:paraId="76D1B5CE" w14:textId="77777777" w:rsidR="009B15CA" w:rsidRPr="004E7D24" w:rsidRDefault="009B15CA" w:rsidP="009B15CA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4E7D24">
        <w:rPr>
          <w:noProof/>
          <w:szCs w:val="19"/>
          <w:highlight w:val="black"/>
        </w:rPr>
        <w:t>W maju 2022 r.</w:t>
      </w:r>
      <w:r w:rsidRPr="004E7D24">
        <w:rPr>
          <w:rFonts w:cs="Arial"/>
          <w:szCs w:val="19"/>
          <w:highlight w:val="black"/>
        </w:rPr>
        <w:t xml:space="preserve"> liczba mieszkań, na realizację których </w:t>
      </w:r>
      <w:r w:rsidRPr="004E7D24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4E7D24">
        <w:rPr>
          <w:rFonts w:cs="Arial"/>
          <w:szCs w:val="19"/>
          <w:highlight w:val="black"/>
        </w:rPr>
        <w:t xml:space="preserve"> </w:t>
      </w:r>
      <w:r w:rsidRPr="004E7D24">
        <w:rPr>
          <w:noProof/>
          <w:szCs w:val="19"/>
          <w:highlight w:val="black"/>
        </w:rPr>
        <w:t>wyniosła 900 (w analogicznym miesiącu 2021 r. – 787), z tego w budownictwie indywidualnym – 599, a w przeznaczo-nym na sprzedaż lub wynajem – 301.</w:t>
      </w:r>
    </w:p>
    <w:p w14:paraId="6638953F" w14:textId="77777777" w:rsidR="009B15CA" w:rsidRPr="004E7D24" w:rsidRDefault="009B15CA" w:rsidP="009B15CA">
      <w:pPr>
        <w:spacing w:before="120" w:after="120" w:line="288" w:lineRule="auto"/>
        <w:rPr>
          <w:noProof/>
          <w:szCs w:val="19"/>
          <w:highlight w:val="black"/>
        </w:rPr>
      </w:pPr>
      <w:r w:rsidRPr="004E7D24">
        <w:rPr>
          <w:noProof/>
          <w:szCs w:val="19"/>
          <w:highlight w:val="black"/>
        </w:rPr>
        <w:t xml:space="preserve">W badanym miesiącu </w:t>
      </w:r>
      <w:r w:rsidRPr="004E7D24">
        <w:rPr>
          <w:b/>
          <w:noProof/>
          <w:szCs w:val="19"/>
          <w:highlight w:val="black"/>
        </w:rPr>
        <w:t xml:space="preserve">rozpoczęto budowę </w:t>
      </w:r>
      <w:r w:rsidRPr="004E7D24">
        <w:rPr>
          <w:noProof/>
          <w:szCs w:val="19"/>
          <w:highlight w:val="black"/>
        </w:rPr>
        <w:t>2145 mieszkań (w analogicznym miesiącu 2021 r. – 1043), z tego w budownictwie przeznaczonym na sprzedaż lub wynajem – 1530, a w indywidualnym – 615 mieszkań.</w:t>
      </w:r>
    </w:p>
    <w:p w14:paraId="787BFD8F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38699DA9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46D235A2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09606E82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537C1EDB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5BB8A926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563DFEBB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2362234D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06F112E0" w14:textId="77777777" w:rsidR="00D73803" w:rsidRPr="004E7D24" w:rsidRDefault="00D73803" w:rsidP="009B15CA">
      <w:pPr>
        <w:spacing w:before="120" w:after="120" w:line="288" w:lineRule="auto"/>
        <w:rPr>
          <w:noProof/>
          <w:szCs w:val="19"/>
          <w:highlight w:val="black"/>
        </w:rPr>
      </w:pPr>
    </w:p>
    <w:p w14:paraId="23C28401" w14:textId="463FEB92" w:rsidR="009B15CA" w:rsidRPr="004E7D24" w:rsidRDefault="009B15CA" w:rsidP="009B15CA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4E7D2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maj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maj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B15CA" w:rsidRPr="004E7D24" w14:paraId="33398AFA" w14:textId="77777777" w:rsidTr="004E7D24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EE656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7787E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062802" w14:textId="75895AF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4E7D24" w:rsidRPr="004E7D24" w14:paraId="5BA683A5" w14:textId="77777777" w:rsidTr="004E7D24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5FC7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882FA9" w14:textId="77777777" w:rsidR="009B15CA" w:rsidRPr="004E7D24" w:rsidRDefault="009B15CA" w:rsidP="009B15C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991C1D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88DCF" w14:textId="77777777" w:rsidR="009B15CA" w:rsidRPr="004E7D24" w:rsidRDefault="009B15CA" w:rsidP="009B15C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</w:t>
            </w:r>
            <w:r w:rsidRPr="004E7D24">
              <w:rPr>
                <w:bCs/>
                <w:noProof/>
                <w:szCs w:val="19"/>
                <w:highlight w:val="black"/>
              </w:rPr>
              <w:t>–</w:t>
            </w:r>
            <w:r w:rsidRPr="004E7D24">
              <w:rPr>
                <w:rFonts w:cs="Arial"/>
                <w:szCs w:val="19"/>
                <w:highlight w:val="black"/>
              </w:rPr>
              <w:t>05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4E8AF" w14:textId="3CFAFBE2" w:rsidR="009B15CA" w:rsidRPr="004E7D24" w:rsidRDefault="009B15CA" w:rsidP="009B15C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F5B09" w14:textId="77777777" w:rsidR="009B15CA" w:rsidRPr="004E7D24" w:rsidRDefault="009B15CA" w:rsidP="009B15CA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F463D4" w14:textId="77777777" w:rsidR="009B15CA" w:rsidRPr="004E7D24" w:rsidRDefault="009B15CA" w:rsidP="009B15C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</w:t>
            </w:r>
            <w:r w:rsidRPr="004E7D24">
              <w:rPr>
                <w:bCs/>
                <w:noProof/>
                <w:szCs w:val="19"/>
                <w:highlight w:val="black"/>
              </w:rPr>
              <w:t>–</w:t>
            </w:r>
            <w:r w:rsidRPr="004E7D24">
              <w:rPr>
                <w:rFonts w:cs="Arial"/>
                <w:szCs w:val="19"/>
                <w:highlight w:val="black"/>
              </w:rPr>
              <w:t>05 2021=100</w:t>
            </w:r>
          </w:p>
        </w:tc>
      </w:tr>
      <w:tr w:rsidR="004E7D24" w:rsidRPr="004E7D24" w14:paraId="1E34AA4A" w14:textId="77777777" w:rsidTr="004E7D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1543A9" w14:textId="77777777" w:rsidR="009B15CA" w:rsidRPr="004E7D24" w:rsidRDefault="009B15CA" w:rsidP="009B15CA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16165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4679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921F9A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354D3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6A027C" w14:textId="5DCB050A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5085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EE351A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77E90F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107,6</w:t>
            </w:r>
          </w:p>
        </w:tc>
      </w:tr>
      <w:tr w:rsidR="004E7D24" w:rsidRPr="004E7D24" w14:paraId="58351549" w14:textId="77777777" w:rsidTr="004E7D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758814" w14:textId="77777777" w:rsidR="009B15CA" w:rsidRPr="004E7D24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2427D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2597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DA80D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55,5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4D11E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87,1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72FEF" w14:textId="52109C39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2335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26BAF7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DF7916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82,8</w:t>
            </w:r>
          </w:p>
        </w:tc>
      </w:tr>
      <w:tr w:rsidR="004E7D24" w:rsidRPr="004E7D24" w14:paraId="4A46EF57" w14:textId="77777777" w:rsidTr="004E7D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7E78A0" w14:textId="77777777" w:rsidR="009B15CA" w:rsidRPr="004E7D24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E64335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2060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CFAC2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CA849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0E11E" w14:textId="37A49DA0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2714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792B9F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53,4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8B1F91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142,6</w:t>
            </w:r>
          </w:p>
        </w:tc>
      </w:tr>
      <w:tr w:rsidR="004E7D24" w:rsidRPr="004E7D24" w14:paraId="16B92227" w14:textId="77777777" w:rsidTr="004E7D2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58CB80" w14:textId="77777777" w:rsidR="009B15CA" w:rsidRPr="004E7D24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3C0BF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8631A9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2BE4CF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58675" w14:textId="461BCECC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340542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BA64C7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4E7D24" w:rsidRPr="004E7D24" w14:paraId="7A21BF04" w14:textId="77777777" w:rsidTr="004E7D24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5FEF62" w14:textId="77777777" w:rsidR="009B15CA" w:rsidRPr="004E7D24" w:rsidRDefault="009B15CA" w:rsidP="009B15C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6F6BCE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877236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355A2F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D18B5F" w14:textId="2F008D41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DCB498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A091970" w14:textId="77777777" w:rsidR="009B15CA" w:rsidRPr="004E7D24" w:rsidRDefault="009B15CA" w:rsidP="009B15CA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4E7D24" w:rsidRDefault="003A65C9" w:rsidP="002146B3">
      <w:pPr>
        <w:pStyle w:val="Nagwek1"/>
        <w:rPr>
          <w:highlight w:val="black"/>
        </w:rPr>
      </w:pPr>
      <w:bookmarkStart w:id="38" w:name="_Toc107385865"/>
      <w:bookmarkEnd w:id="37"/>
      <w:r w:rsidRPr="004E7D24">
        <w:rPr>
          <w:highlight w:val="black"/>
        </w:rPr>
        <w:t>Rynek wewnętrzny</w:t>
      </w:r>
      <w:bookmarkEnd w:id="38"/>
    </w:p>
    <w:p w14:paraId="7FD5AFB2" w14:textId="77777777" w:rsidR="007A26FE" w:rsidRPr="004E7D24" w:rsidRDefault="007A26FE" w:rsidP="007A26FE">
      <w:pPr>
        <w:spacing w:before="120" w:after="120" w:line="288" w:lineRule="auto"/>
        <w:rPr>
          <w:highlight w:val="black"/>
        </w:rPr>
      </w:pPr>
      <w:bookmarkStart w:id="39" w:name="_Toc6905819"/>
      <w:bookmarkStart w:id="40" w:name="_Toc52179244"/>
      <w:r w:rsidRPr="004E7D24">
        <w:rPr>
          <w:highlight w:val="black"/>
        </w:rPr>
        <w:t>W maju 2022 r. w skali roku zwiększyła się sprzedaż detaliczna (w cenach bieżących). Wyższa była również sprzedaż hurtowa, zarówno w jednostkach handlowych, jak i hurtowych.</w:t>
      </w:r>
    </w:p>
    <w:p w14:paraId="43C22BEF" w14:textId="77777777" w:rsidR="007A26FE" w:rsidRPr="004E7D24" w:rsidRDefault="007A26FE" w:rsidP="007A26FE">
      <w:pPr>
        <w:spacing w:before="120" w:after="120" w:line="288" w:lineRule="auto"/>
        <w:rPr>
          <w:highlight w:val="black"/>
        </w:rPr>
      </w:pPr>
      <w:r w:rsidRPr="004E7D24">
        <w:rPr>
          <w:b/>
          <w:highlight w:val="black"/>
        </w:rPr>
        <w:t>Sprzedaż detaliczna</w:t>
      </w:r>
      <w:r w:rsidRPr="004E7D24">
        <w:rPr>
          <w:highlight w:val="black"/>
        </w:rPr>
        <w:t xml:space="preserve"> zrealizowana przez przedsiębiorstwa handlowe i niehandlowe, w maju 2022 r. była o 30,2% wyższa niż przed rokiem (wobec wzrostu o 16,7% w maju 2021 r.) i wyższa o 2,9% niż przed miesiącem.</w:t>
      </w:r>
    </w:p>
    <w:p w14:paraId="0B1C5BCD" w14:textId="4D219766" w:rsidR="007A26FE" w:rsidRPr="004E7D24" w:rsidRDefault="007A26FE" w:rsidP="007A26FE">
      <w:pPr>
        <w:spacing w:before="120" w:after="120" w:line="288" w:lineRule="auto"/>
        <w:rPr>
          <w:highlight w:val="black"/>
        </w:rPr>
      </w:pPr>
      <w:r w:rsidRPr="004E7D24">
        <w:rPr>
          <w:highlight w:val="black"/>
        </w:rPr>
        <w:t>Wzrost sprzedaży detalicznej w porównaniu z majem 2021 r. wystąpił m.in. w jednostkach zgrupowanych w kategorii pozostałe (o 81,9%), a także w podmiotach zajmujących się zarówno sprzedażą prasy, książek, pozostałą sprzedażą w wyspecjalizowanych sklepach (o 41,4%), jak i żywności, napojów i wyrobów tytoniowych (o 36,5%) oraz handlujących zarówno farmaceutykami, kosmetykami, sprzętem ortopedycznym (o 15,2%), jak również tekstyliami, odzieżą, obuwiem (o 4,7%) i pojazdami samochodowymi, motocyklami, częściami (o 1,9%). Łączny udział tych sześciu grup w strukturze sprzedaży detalicznej wyniósł 77,4% i w stosunku do maja ubiegłego roku wzrósł o 4,1 p.proc. Natomiast spadek odnotowano m.in. w podmiotach handlujących meblami, sprzętem rtv i agd (o 11,0%).</w:t>
      </w:r>
    </w:p>
    <w:p w14:paraId="28035B51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149BFBF1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3F1D1A8D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5A90706F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72362AA9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230F9B85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28CDF630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006A641C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0C8F4364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6F19162A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30742F80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744F0276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161E5537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24B7EBA2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3ED778B9" w14:textId="77777777" w:rsidR="00A373FB" w:rsidRPr="004E7D24" w:rsidRDefault="00A373FB" w:rsidP="007A26FE">
      <w:pPr>
        <w:spacing w:before="120" w:after="120" w:line="288" w:lineRule="auto"/>
        <w:rPr>
          <w:highlight w:val="black"/>
        </w:rPr>
      </w:pPr>
    </w:p>
    <w:p w14:paraId="59FA7122" w14:textId="77777777" w:rsidR="007A26FE" w:rsidRPr="004E7D24" w:rsidRDefault="007A26FE" w:rsidP="009B15CA">
      <w:pPr>
        <w:numPr>
          <w:ilvl w:val="0"/>
          <w:numId w:val="4"/>
        </w:numPr>
        <w:spacing w:before="360" w:after="120"/>
        <w:ind w:left="0" w:firstLine="0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E7D24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w załączonym pliku excel."/>
      </w:tblPr>
      <w:tblGrid>
        <w:gridCol w:w="5380"/>
        <w:gridCol w:w="1684"/>
        <w:gridCol w:w="1701"/>
        <w:gridCol w:w="1701"/>
      </w:tblGrid>
      <w:tr w:rsidR="007A26FE" w:rsidRPr="004E7D24" w14:paraId="18E1FE91" w14:textId="77777777" w:rsidTr="004E7D24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2FEE3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894CFD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05 2022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5B6FEF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01–05 2022</w:t>
            </w:r>
          </w:p>
        </w:tc>
      </w:tr>
      <w:tr w:rsidR="007A26FE" w:rsidRPr="004E7D24" w14:paraId="27ADE4EB" w14:textId="77777777" w:rsidTr="004E7D24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FB2E1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AE3009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75C25B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4E7D24" w:rsidRPr="004E7D24" w14:paraId="312FB664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3C644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Ogółem</w:t>
            </w:r>
            <w:r w:rsidRPr="004E7D24">
              <w:rPr>
                <w:szCs w:val="19"/>
                <w:highlight w:val="black"/>
                <w:vertAlign w:val="superscript"/>
              </w:rPr>
              <w:t>a</w:t>
            </w:r>
            <w:r w:rsidRPr="004E7D24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9EFB3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D8D6E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A781EA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4E7D24" w:rsidRPr="004E7D24" w14:paraId="06C66FB4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74DFA4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B44ABB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3AB99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AC0E2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E7D24" w:rsidRPr="004E7D24" w14:paraId="7E10FB26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7F874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3261F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9A6501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21A703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11,0</w:t>
            </w:r>
          </w:p>
        </w:tc>
      </w:tr>
      <w:tr w:rsidR="004E7D24" w:rsidRPr="004E7D24" w14:paraId="15AB1B49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7FD192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97B61C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25BEA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129,3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FCF0B5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33,7</w:t>
            </w:r>
          </w:p>
        </w:tc>
      </w:tr>
      <w:tr w:rsidR="004E7D24" w:rsidRPr="004E7D24" w14:paraId="78640B89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427697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6C19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5BF4D7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119,8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CCBC63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4E7D24" w:rsidRPr="004E7D24" w14:paraId="20AB64A4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1B846D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4149B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72AF8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131,9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882976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4E7D24" w:rsidRPr="004E7D24" w14:paraId="4E51D1E4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40BA12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2F4437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89,0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8DF9A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86E6D2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3,8</w:t>
            </w:r>
          </w:p>
        </w:tc>
      </w:tr>
      <w:tr w:rsidR="004E7D24" w:rsidRPr="004E7D24" w14:paraId="7B490754" w14:textId="77777777" w:rsidTr="004E7D24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EDFC3C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F24C8F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141,4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6FDDB9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109,7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99B888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7A26FE" w:rsidRPr="004E7D24" w14:paraId="49BFCC68" w14:textId="77777777" w:rsidTr="004E7D24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BAB1E1F" w14:textId="77777777" w:rsidR="007A26FE" w:rsidRPr="004E7D24" w:rsidRDefault="007A26FE" w:rsidP="007A26FE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AF67CD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181,9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2DE377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188,1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D7C0459" w14:textId="77777777" w:rsidR="007A26FE" w:rsidRPr="004E7D24" w:rsidRDefault="007A26FE" w:rsidP="007A26F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4E7D24">
              <w:rPr>
                <w:rFonts w:cs="Arial"/>
                <w:szCs w:val="19"/>
                <w:highlight w:val="black"/>
              </w:rPr>
              <w:t>23,2</w:t>
            </w:r>
          </w:p>
        </w:tc>
      </w:tr>
    </w:tbl>
    <w:p w14:paraId="5E119835" w14:textId="77777777" w:rsidR="007A26FE" w:rsidRPr="004E7D24" w:rsidRDefault="007A26FE" w:rsidP="007A26FE">
      <w:pPr>
        <w:spacing w:before="120" w:after="120" w:line="240" w:lineRule="exact"/>
        <w:rPr>
          <w:rFonts w:cs="Arial"/>
          <w:spacing w:val="-2"/>
          <w:highlight w:val="black"/>
        </w:rPr>
      </w:pPr>
      <w:r w:rsidRPr="004E7D24">
        <w:rPr>
          <w:sz w:val="16"/>
          <w:szCs w:val="16"/>
          <w:highlight w:val="black"/>
        </w:rPr>
        <w:t xml:space="preserve">a </w:t>
      </w:r>
      <w:r w:rsidRPr="004E7D2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4090EB4" w14:textId="2E374D75" w:rsidR="007A26FE" w:rsidRPr="004E7D24" w:rsidRDefault="007A26FE" w:rsidP="007A26FE">
      <w:pPr>
        <w:spacing w:before="240" w:after="120" w:line="288" w:lineRule="auto"/>
        <w:rPr>
          <w:szCs w:val="19"/>
          <w:highlight w:val="black"/>
        </w:rPr>
      </w:pPr>
      <w:r w:rsidRPr="004E7D24">
        <w:rPr>
          <w:szCs w:val="19"/>
          <w:highlight w:val="black"/>
        </w:rPr>
        <w:t>Wzrost sprzedaży detalicznej w porównaniu z poprzednim miesiącem wystąpił m.in. w podmiotach zajmujących się sprzedażą prasy, książek, pozostałą sprzedażą w wyspecjalizowanych sklepach (o 37,2%) oraz w jednostkach zgrupowanych w kategorii pozostałe (o 7,5%). Natomiast spadek odnotowano m.in. w podmiotach handlujących meblami, sprzętem rtv i agd (o 7,4%), a także tekstyliami, odzieżą, obuwiem (o 6,6%) oraz farmaceutykami, kosmetykami, sprzętem ortopedycznym (o 6,1%).</w:t>
      </w:r>
    </w:p>
    <w:p w14:paraId="4A860D58" w14:textId="77777777" w:rsidR="007A26FE" w:rsidRPr="004E7D24" w:rsidRDefault="007A26FE" w:rsidP="007A26FE">
      <w:pPr>
        <w:spacing w:before="120" w:after="120" w:line="288" w:lineRule="auto"/>
        <w:rPr>
          <w:highlight w:val="black"/>
        </w:rPr>
      </w:pPr>
      <w:r w:rsidRPr="004E7D24">
        <w:rPr>
          <w:szCs w:val="19"/>
          <w:highlight w:val="black"/>
        </w:rPr>
        <w:t>W okresie pięciu miesięcy br. sprzedaż detaliczna była o 28,0% wyższa w porównaniu z analogicznym okresem ubiegłego roku (przed rokiem odnotowano wzrost o 4,4%). Wzrost sprzedaży wystąpił m.in.</w:t>
      </w:r>
      <w:r w:rsidRPr="004E7D24">
        <w:rPr>
          <w:highlight w:val="black"/>
        </w:rPr>
        <w:t xml:space="preserve"> w j</w:t>
      </w:r>
      <w:r w:rsidRPr="004E7D24">
        <w:rPr>
          <w:szCs w:val="19"/>
          <w:highlight w:val="black"/>
        </w:rPr>
        <w:t>ednostkach zgrupowanych w kategorii pozostałe (o 88,1%), a także w podmiotach handlujących tekstyliami, odzieżą, obuwiem (o 31,9%) oraz żywnością, napojami i wyrobami tytoniowymi (o 29,3%) i farmaceutykami, kosmetykami, sprzętem ortopedycznym (o 19,8%).</w:t>
      </w:r>
    </w:p>
    <w:p w14:paraId="485D1127" w14:textId="45B09B50" w:rsidR="00D97B31" w:rsidRPr="004E7D24" w:rsidRDefault="007A26FE" w:rsidP="007A26FE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4E7D24">
        <w:rPr>
          <w:b/>
          <w:szCs w:val="19"/>
          <w:highlight w:val="black"/>
        </w:rPr>
        <w:t>Sprzedaż hurtowa</w:t>
      </w:r>
      <w:r w:rsidRPr="004E7D24">
        <w:rPr>
          <w:szCs w:val="19"/>
          <w:highlight w:val="black"/>
        </w:rPr>
        <w:t xml:space="preserve"> </w:t>
      </w:r>
      <w:bookmarkEnd w:id="39"/>
      <w:bookmarkEnd w:id="40"/>
      <w:r w:rsidRPr="004E7D24">
        <w:rPr>
          <w:szCs w:val="19"/>
          <w:highlight w:val="black"/>
        </w:rPr>
        <w:t>w przedsiębiorstwach handlowych, w maju 2022 r. była o 60,2% wyższa niż przed rokiem, przy czym w przedsiębiorstwach handlu hurtowego wzrosła o 62,5%. Sprzedaż hurtowa, w porównaniu z poprzednim miesiącem, wzrosła o 2,2% w przedsiębiorstwach handlowych, a o 1,9% w przedsiębiorstwach handlu hurtowego. W okresie styczeń–maj 2022 r., w odniesieniu do analogicznego okresu ubiegłego roku sprzedaż hurtowa w przedsiębiorstwach handlowych była wyższa o 57,5%, a w przedsiębiorstwach handlu hurtowego o 48,9%.</w:t>
      </w:r>
    </w:p>
    <w:p w14:paraId="24CFA44B" w14:textId="77777777" w:rsidR="00147339" w:rsidRPr="004E7D24" w:rsidRDefault="00147339" w:rsidP="00393785">
      <w:pPr>
        <w:pStyle w:val="Nagwek1"/>
        <w:rPr>
          <w:highlight w:val="black"/>
        </w:rPr>
      </w:pPr>
      <w:bookmarkStart w:id="41" w:name="_Toc107385866"/>
      <w:r w:rsidRPr="004E7D24">
        <w:rPr>
          <w:highlight w:val="black"/>
        </w:rPr>
        <w:t>Podmioty gospodarki narodowej</w:t>
      </w:r>
      <w:bookmarkEnd w:id="41"/>
    </w:p>
    <w:p w14:paraId="266A7522" w14:textId="1737B1BA" w:rsidR="006607D6" w:rsidRPr="004E7D2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szCs w:val="19"/>
          <w:highlight w:val="black"/>
        </w:rPr>
        <w:t xml:space="preserve">Według stanu na koniec maja 2022 r. w rejestrze REGON wpisanych było 198,4 tys. </w:t>
      </w:r>
      <w:r w:rsidRPr="004E7D24">
        <w:rPr>
          <w:rFonts w:cs="FiraSans-Regular"/>
          <w:b/>
          <w:szCs w:val="19"/>
          <w:highlight w:val="black"/>
        </w:rPr>
        <w:t>podmiotów gospodarki narodowej</w:t>
      </w:r>
      <w:r w:rsidRPr="004E7D24">
        <w:rPr>
          <w:rStyle w:val="Odwoanieprzypisudolnego"/>
          <w:rFonts w:cs="FiraSans-Regular"/>
          <w:szCs w:val="19"/>
          <w:highlight w:val="black"/>
        </w:rPr>
        <w:footnoteReference w:id="5"/>
      </w:r>
      <w:r w:rsidRPr="004E7D24">
        <w:rPr>
          <w:rFonts w:cs="FiraSans-Regular"/>
          <w:szCs w:val="19"/>
          <w:highlight w:val="black"/>
        </w:rPr>
        <w:t>, tj. o 3,4% więcej niż przed rokiem i o 0,3% więcej niż w końcu kwietnia 2022 r.</w:t>
      </w:r>
    </w:p>
    <w:p w14:paraId="5D1C5BA9" w14:textId="77777777" w:rsidR="006607D6" w:rsidRPr="004E7D2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szCs w:val="19"/>
          <w:highlight w:val="black"/>
        </w:rPr>
        <w:t xml:space="preserve">Liczba zarejestrowanych </w:t>
      </w:r>
      <w:r w:rsidRPr="004E7D24">
        <w:rPr>
          <w:rFonts w:cs="FiraSans-Regular"/>
          <w:b/>
          <w:szCs w:val="19"/>
          <w:highlight w:val="black"/>
        </w:rPr>
        <w:t>osób fizycznych</w:t>
      </w:r>
      <w:r w:rsidRPr="004E7D24">
        <w:rPr>
          <w:rFonts w:cs="FiraSans-Regular"/>
          <w:szCs w:val="19"/>
          <w:highlight w:val="black"/>
        </w:rPr>
        <w:t xml:space="preserve"> prowadzących działalność gospodarczą wyniosła 148,5 tys. i w porównaniu z analogicznym okresem poprzedniego roku była o 3,3% większa. Do rejestru REGON wpisanych było 28,8 tys. </w:t>
      </w:r>
      <w:r w:rsidRPr="004E7D24">
        <w:rPr>
          <w:rFonts w:cs="FiraSans-Regular"/>
          <w:b/>
          <w:szCs w:val="19"/>
          <w:highlight w:val="black"/>
        </w:rPr>
        <w:t>spółek</w:t>
      </w:r>
      <w:r w:rsidRPr="004E7D24">
        <w:rPr>
          <w:rFonts w:cs="FiraSans-Regular"/>
          <w:szCs w:val="19"/>
          <w:highlight w:val="black"/>
        </w:rPr>
        <w:t>, w tym 17990 spółek handlowych i 10671 spółek cywilnych. Liczba spółek wzrosła w skali roku o 4,6%, spółek handlowych o 8,0%, natomiast spółek cywilnych zmalała o 0,6%.</w:t>
      </w:r>
    </w:p>
    <w:p w14:paraId="23F55915" w14:textId="0429EE62" w:rsidR="006607D6" w:rsidRPr="004E7D2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b/>
          <w:szCs w:val="19"/>
          <w:highlight w:val="black"/>
        </w:rPr>
        <w:lastRenderedPageBreak/>
        <w:t>Według przewidywanej liczby pracujących</w:t>
      </w:r>
      <w:r w:rsidRPr="004E7D24">
        <w:rPr>
          <w:rFonts w:cs="FiraSans-Regular"/>
          <w:szCs w:val="19"/>
          <w:highlight w:val="black"/>
        </w:rPr>
        <w:t>, zdecydowanie przeważały podmioty o liczbie pracujących do 9 osób (96,5% ogółu podmiotów). Udział podmiotów o przewidywanej liczbie pracujących 10</w:t>
      </w:r>
      <w:r w:rsidR="006A61E0" w:rsidRPr="004E7D24">
        <w:rPr>
          <w:bCs/>
          <w:noProof/>
          <w:szCs w:val="19"/>
          <w:highlight w:val="black"/>
        </w:rPr>
        <w:t>–</w:t>
      </w:r>
      <w:r w:rsidRPr="004E7D24">
        <w:rPr>
          <w:rFonts w:cs="FiraSans-Regular"/>
          <w:szCs w:val="19"/>
          <w:highlight w:val="black"/>
        </w:rPr>
        <w:t>49 wyniósł 2,8%, a podmioty z liczbą pracujących powyżej 49 stanowiły 0,7% wszystkich podmiotów wpisanych do rejestru REGON. W skali roku wzrost liczby podmiotów wystąpił w przedziale liczby pracują</w:t>
      </w:r>
      <w:r w:rsidR="006A61E0" w:rsidRPr="004E7D24">
        <w:rPr>
          <w:rFonts w:cs="FiraSans-Regular"/>
          <w:szCs w:val="19"/>
          <w:highlight w:val="black"/>
        </w:rPr>
        <w:t>cych 0</w:t>
      </w:r>
      <w:r w:rsidR="006A61E0" w:rsidRPr="004E7D24">
        <w:rPr>
          <w:bCs/>
          <w:noProof/>
          <w:szCs w:val="19"/>
          <w:highlight w:val="black"/>
        </w:rPr>
        <w:t>–</w:t>
      </w:r>
      <w:r w:rsidRPr="004E7D24">
        <w:rPr>
          <w:rFonts w:cs="FiraSans-Regular"/>
          <w:szCs w:val="19"/>
          <w:highlight w:val="black"/>
        </w:rPr>
        <w:t>9 o 6582 (o 3,6%).</w:t>
      </w:r>
    </w:p>
    <w:p w14:paraId="166749AE" w14:textId="77777777" w:rsidR="006607D6" w:rsidRPr="004E7D2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4E7D24">
        <w:rPr>
          <w:szCs w:val="19"/>
          <w:highlight w:val="black"/>
        </w:rPr>
        <w:t xml:space="preserve">informacja i komunikacja (o 10,1%), następnie budownictwo (o 7,1%), administrowanie i działalność wspierająca (o 5,0%) oraz zakwaterowanie i gastronomia i obsługa rynku nieruchomości (o 4,3%), </w:t>
      </w:r>
      <w:r w:rsidRPr="004E7D24">
        <w:rPr>
          <w:rFonts w:cs="FiraSans-Regular"/>
          <w:szCs w:val="19"/>
          <w:highlight w:val="black"/>
        </w:rPr>
        <w:t>natomiast spadek zanotowano tylko w sekcji działalność finansowa i ubezpieczeniowa (o 1,1%).</w:t>
      </w:r>
    </w:p>
    <w:p w14:paraId="138263E4" w14:textId="48AB3390" w:rsidR="006607D6" w:rsidRPr="004E7D2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szCs w:val="19"/>
          <w:highlight w:val="black"/>
        </w:rPr>
        <w:t xml:space="preserve">W maju 2022 r. do rejestru REGON wpisano 1352 </w:t>
      </w:r>
      <w:r w:rsidRPr="004E7D24">
        <w:rPr>
          <w:rFonts w:cs="FiraSans-Regular"/>
          <w:b/>
          <w:szCs w:val="19"/>
          <w:highlight w:val="black"/>
        </w:rPr>
        <w:t>nowe podmioty</w:t>
      </w:r>
      <w:r w:rsidRPr="004E7D24">
        <w:rPr>
          <w:rFonts w:cs="FiraSans-Regular"/>
          <w:szCs w:val="19"/>
          <w:highlight w:val="black"/>
        </w:rPr>
        <w:t xml:space="preserve">, tj. o 2,0% więcej niż w poprzednim miesiącu. Wśród nowo zarejestrowanych jednostek przeważały osoby fizyczne prowadzące działalność gospodarczą, których wpisano </w:t>
      </w:r>
      <w:r w:rsidR="00693034" w:rsidRPr="004E7D24">
        <w:rPr>
          <w:rFonts w:cs="FiraSans-Regular"/>
          <w:szCs w:val="19"/>
          <w:highlight w:val="black"/>
        </w:rPr>
        <w:t>1192 </w:t>
      </w:r>
      <w:r w:rsidRPr="004E7D24">
        <w:rPr>
          <w:rFonts w:cs="FiraSans-Regular"/>
          <w:szCs w:val="19"/>
          <w:highlight w:val="black"/>
        </w:rPr>
        <w:t>(o 4,1% więcej niż w kwietniu 2022 r.). Liczba nowo zarejestrowanych spółek handlowych była mniejsza o 10,4</w:t>
      </w:r>
      <w:r w:rsidR="00693034" w:rsidRPr="004E7D24">
        <w:rPr>
          <w:rFonts w:cs="FiraSans-Regular"/>
          <w:szCs w:val="19"/>
          <w:highlight w:val="black"/>
        </w:rPr>
        <w:t>%, w </w:t>
      </w:r>
      <w:r w:rsidRPr="004E7D24">
        <w:rPr>
          <w:rFonts w:cs="FiraSans-Regular"/>
          <w:szCs w:val="19"/>
          <w:highlight w:val="black"/>
        </w:rPr>
        <w:t>tym spółek z</w:t>
      </w:r>
      <w:r w:rsidR="00693034" w:rsidRPr="004E7D24">
        <w:rPr>
          <w:rFonts w:cs="FiraSans-Regular"/>
          <w:szCs w:val="19"/>
          <w:highlight w:val="black"/>
        </w:rPr>
        <w:t xml:space="preserve"> </w:t>
      </w:r>
      <w:r w:rsidRPr="004E7D24">
        <w:rPr>
          <w:rFonts w:cs="FiraSans-Regular"/>
          <w:szCs w:val="19"/>
          <w:highlight w:val="black"/>
        </w:rPr>
        <w:t>ograniczoną odpowiedzialnością o 16,7% mniejsza.</w:t>
      </w:r>
    </w:p>
    <w:p w14:paraId="6205FC8B" w14:textId="0C3EE6D7" w:rsidR="00234420" w:rsidRPr="004E7D24" w:rsidRDefault="006607D6" w:rsidP="00693034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szCs w:val="19"/>
          <w:highlight w:val="black"/>
        </w:rPr>
        <w:t xml:space="preserve">W maju 2022 r. z rejestru REGON </w:t>
      </w:r>
      <w:r w:rsidRPr="004E7D24">
        <w:rPr>
          <w:rFonts w:cs="FiraSans-Regular"/>
          <w:b/>
          <w:szCs w:val="19"/>
          <w:highlight w:val="black"/>
        </w:rPr>
        <w:t>wykreślono</w:t>
      </w:r>
      <w:r w:rsidRPr="004E7D24">
        <w:rPr>
          <w:rFonts w:cs="FiraSans-Regular"/>
          <w:szCs w:val="19"/>
          <w:highlight w:val="black"/>
        </w:rPr>
        <w:t xml:space="preserve"> 635 podmiotów (o 17,9% mniej niż przed miesiącem), w tym 556 osób fizycznych prowadzących działalność gospodarczą (odpowiednio o 18,8% mniej).</w:t>
      </w:r>
    </w:p>
    <w:p w14:paraId="4102D1EC" w14:textId="65C2E101" w:rsidR="00352C78" w:rsidRPr="004E7D24" w:rsidRDefault="00352C78" w:rsidP="0011289A">
      <w:pPr>
        <w:pStyle w:val="Nagwek5"/>
        <w:rPr>
          <w:highlight w:val="black"/>
        </w:rPr>
      </w:pPr>
      <w:r w:rsidRPr="004E7D24">
        <w:rPr>
          <w:highlight w:val="black"/>
        </w:rPr>
        <w:t>Podmioty gospodarki narodowej nowo zarejestro</w:t>
      </w:r>
      <w:r w:rsidR="00E752F2" w:rsidRPr="004E7D24">
        <w:rPr>
          <w:highlight w:val="black"/>
        </w:rPr>
        <w:t xml:space="preserve">wane i wyrejestrowane </w:t>
      </w:r>
      <w:r w:rsidR="00B96817" w:rsidRPr="004E7D24">
        <w:rPr>
          <w:bCs/>
          <w:highlight w:val="black"/>
        </w:rPr>
        <w:t xml:space="preserve">w </w:t>
      </w:r>
      <w:r w:rsidR="006607D6" w:rsidRPr="004E7D24">
        <w:rPr>
          <w:bCs/>
          <w:highlight w:val="black"/>
        </w:rPr>
        <w:t>maj</w:t>
      </w:r>
      <w:r w:rsidR="00063270" w:rsidRPr="004E7D24">
        <w:rPr>
          <w:bCs/>
          <w:highlight w:val="black"/>
        </w:rPr>
        <w:t>u</w:t>
      </w:r>
      <w:r w:rsidR="00B96817" w:rsidRPr="004E7D24">
        <w:rPr>
          <w:bCs/>
          <w:highlight w:val="black"/>
        </w:rPr>
        <w:t xml:space="preserve"> </w:t>
      </w:r>
      <w:r w:rsidRPr="004E7D24">
        <w:rPr>
          <w:highlight w:val="black"/>
        </w:rPr>
        <w:t>202</w:t>
      </w:r>
      <w:r w:rsidR="00130F03" w:rsidRPr="004E7D24">
        <w:rPr>
          <w:highlight w:val="black"/>
        </w:rPr>
        <w:t>2</w:t>
      </w:r>
      <w:r w:rsidRPr="004E7D24">
        <w:rPr>
          <w:highlight w:val="black"/>
        </w:rPr>
        <w:t xml:space="preserve"> r.</w:t>
      </w:r>
    </w:p>
    <w:p w14:paraId="1C6C3A93" w14:textId="55703AB8" w:rsidR="00E511B2" w:rsidRPr="004E7D24" w:rsidRDefault="009758D9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D8978C3" wp14:editId="58F935D6">
            <wp:extent cx="5202000" cy="5450400"/>
            <wp:effectExtent l="0" t="0" r="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70213B" w14:textId="3733BB9A" w:rsidR="005F41E4" w:rsidRPr="004E7D24" w:rsidRDefault="0014418B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4E7D24">
        <w:rPr>
          <w:rFonts w:cs="FiraSans-Regular"/>
          <w:szCs w:val="19"/>
          <w:highlight w:val="black"/>
        </w:rPr>
        <w:t xml:space="preserve">Według stanu na koniec maja 2022 r. w rejestrze REGON 24491 podmiotów miało </w:t>
      </w:r>
      <w:r w:rsidRPr="004E7D24">
        <w:rPr>
          <w:rFonts w:cs="FiraSans-Regular"/>
          <w:b/>
          <w:szCs w:val="19"/>
          <w:highlight w:val="black"/>
        </w:rPr>
        <w:t>zawieszoną działalność</w:t>
      </w:r>
      <w:r w:rsidRPr="004E7D24">
        <w:rPr>
          <w:rFonts w:cs="FiraSans-Regular"/>
          <w:szCs w:val="19"/>
          <w:highlight w:val="black"/>
        </w:rPr>
        <w:t xml:space="preserve"> (o 0,8% mniej niż przed miesiącem). Zdecydowaną większość (95,3%) stanowiły osoby fizyczne prowadzące działalność gospodarczą (przed miesiącem 95,5%).</w:t>
      </w:r>
    </w:p>
    <w:p w14:paraId="16C0773A" w14:textId="77777777" w:rsidR="0030648F" w:rsidRPr="004E7D24" w:rsidRDefault="0030648F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70AAB1C0" w14:textId="77777777" w:rsidR="0030648F" w:rsidRPr="004E7D24" w:rsidRDefault="0030648F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387E734F" w14:textId="569CB71A" w:rsidR="00352C78" w:rsidRPr="004E7D24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4E7D24">
        <w:rPr>
          <w:b/>
          <w:highlight w:val="black"/>
        </w:rPr>
        <w:lastRenderedPageBreak/>
        <w:t xml:space="preserve">Mapa </w:t>
      </w:r>
      <w:r w:rsidR="007C360A" w:rsidRPr="004E7D24">
        <w:rPr>
          <w:b/>
          <w:highlight w:val="black"/>
        </w:rPr>
        <w:t xml:space="preserve">3. </w:t>
      </w:r>
      <w:r w:rsidRPr="004E7D24">
        <w:rPr>
          <w:b/>
          <w:highlight w:val="black"/>
        </w:rPr>
        <w:t>Podmioty gospodarki narodowej z zawieszoną działalnością</w:t>
      </w:r>
      <w:r w:rsidR="00701F4A" w:rsidRPr="004E7D24">
        <w:rPr>
          <w:b/>
          <w:highlight w:val="black"/>
        </w:rPr>
        <w:t xml:space="preserve"> </w:t>
      </w:r>
      <w:r w:rsidR="00340069" w:rsidRPr="004E7D24">
        <w:rPr>
          <w:b/>
          <w:highlight w:val="black"/>
        </w:rPr>
        <w:t xml:space="preserve">w </w:t>
      </w:r>
      <w:r w:rsidR="00136608" w:rsidRPr="004E7D24">
        <w:rPr>
          <w:b/>
          <w:highlight w:val="black"/>
        </w:rPr>
        <w:t>maj</w:t>
      </w:r>
      <w:r w:rsidR="00063270" w:rsidRPr="004E7D24">
        <w:rPr>
          <w:b/>
          <w:highlight w:val="black"/>
        </w:rPr>
        <w:t>u</w:t>
      </w:r>
      <w:r w:rsidR="00D90581" w:rsidRPr="004E7D24">
        <w:rPr>
          <w:b/>
          <w:highlight w:val="black"/>
        </w:rPr>
        <w:t xml:space="preserve"> 2022</w:t>
      </w:r>
      <w:r w:rsidR="00E12FBC" w:rsidRPr="004E7D24">
        <w:rPr>
          <w:b/>
          <w:highlight w:val="black"/>
        </w:rPr>
        <w:t xml:space="preserve"> r</w:t>
      </w:r>
      <w:r w:rsidR="007C360A" w:rsidRPr="004E7D24">
        <w:rPr>
          <w:b/>
          <w:highlight w:val="black"/>
        </w:rPr>
        <w:t>.</w:t>
      </w:r>
    </w:p>
    <w:p w14:paraId="661A77B0" w14:textId="44CB2CF3" w:rsidR="00352C78" w:rsidRPr="004E7D2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68847FF8" w:rsidR="00C35A0A" w:rsidRPr="004E7D24" w:rsidRDefault="00032ED5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E2E3D56" wp14:editId="409D62E5">
            <wp:extent cx="4572009" cy="6147829"/>
            <wp:effectExtent l="0" t="0" r="0" b="571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gon_05_2022 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14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0B61" w14:textId="79EDFAAA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B6376E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E79518D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F3A58DA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C6F79BC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B9E19A3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B4A2AE7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75CAB98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2FD197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A8872EE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FAE15EF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48C6D3B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A47507F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CE7C65D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2B1E0C3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D085FCC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54FEF79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8E9CDEC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62FB987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1272ABC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B213030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34290C7" w14:textId="77777777" w:rsidR="00DE2D3C" w:rsidRPr="004E7D24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E645508" w14:textId="5EF84C4B" w:rsidR="00A3371C" w:rsidRDefault="002138AA" w:rsidP="002138AA">
      <w:pPr>
        <w:pStyle w:val="Nagwek1"/>
        <w:spacing w:before="240"/>
        <w:rPr>
          <w:highlight w:val="black"/>
        </w:rPr>
      </w:pPr>
      <w:bookmarkStart w:id="42" w:name="_Toc107385867"/>
      <w:r w:rsidRPr="004E7D24">
        <w:rPr>
          <w:highlight w:val="black"/>
        </w:rPr>
        <w:lastRenderedPageBreak/>
        <w:t>Koniunktura gospodarcza</w:t>
      </w:r>
      <w:bookmarkEnd w:id="42"/>
    </w:p>
    <w:p w14:paraId="56064ED1" w14:textId="75150496" w:rsidR="001C092E" w:rsidRPr="001C092E" w:rsidRDefault="001C092E" w:rsidP="001C092E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C092E">
        <w:rPr>
          <w:rFonts w:cs="FiraSans-Regular"/>
          <w:szCs w:val="19"/>
          <w:highlight w:val="black"/>
        </w:rPr>
        <w:t>W czerwcu w większości badanych obszarów przedsiębiorcy oceniają koniunkturę podobnie jak w maju. Wyjątkiem jest handel hurtowy oraz transport i gospodarka magazynowa, gdzie oceny spadły oraz zakwaterowanie i gastronomia, gdzie oceny wzrosły.</w:t>
      </w:r>
    </w:p>
    <w:p w14:paraId="75B1E31F" w14:textId="77777777" w:rsidR="00C8489B" w:rsidRPr="004E7D24" w:rsidRDefault="00C8489B" w:rsidP="00C8489B">
      <w:pPr>
        <w:pStyle w:val="Nagwek5"/>
        <w:rPr>
          <w:highlight w:val="black"/>
        </w:rPr>
      </w:pPr>
      <w:r w:rsidRPr="004E7D24">
        <w:rPr>
          <w:highlight w:val="black"/>
        </w:rPr>
        <w:t>Wskaźniki ogólnego klimatu koniunktury według rodzaju działalności (sekcje działy PKD 2007)</w:t>
      </w:r>
    </w:p>
    <w:p w14:paraId="44631C50" w14:textId="7DB24E23" w:rsidR="00C8489B" w:rsidRDefault="005D419B" w:rsidP="00C8489B">
      <w:pPr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C9578DA" wp14:editId="1FC7A7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70800" cy="4838700"/>
                <wp:effectExtent l="0" t="0" r="0" b="0"/>
                <wp:wrapNone/>
                <wp:docPr id="5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800" cy="4838700"/>
                          <a:chOff x="0" y="0"/>
                          <a:chExt cx="8077779" cy="5410200"/>
                        </a:xfrm>
                      </wpg:grpSpPr>
                      <wpg:graphicFrame>
                        <wpg:cNvPr id="2" name="Wykres 2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aphicFrame>
                        <wpg:cNvPr id="3" name="Wykres 3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DC1AAF" id="Grupa 4" o:spid="_x0000_s1026" style="position:absolute;margin-left:0;margin-top:0;width:525.25pt;height:381pt;z-index:251803648;mso-width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QPL0YmAgAAggYAAA4AAABkcnMvZTJvRG9jLnhtbORVTY/aMBC9V+p/sHwv&#10;SQiEEBH2QkGVqhaprXp2HedDm8TW2Gzg33fimJQCq12teisHw/jjzbx5z2b1cGxq8iRAV7JNaTDx&#10;KREtl1nVFin98X37IaZEG9ZmrJatSOlJaPqwfv9u1alETGUp60wAQZBWJ51KaWmMSjxP81I0TE+k&#10;Ei0u5hIaZjCEwsuAdYje1N7U9yOvk5ApkFxojbObYZGuLX6eC26+5rkWhtQpxdqMHcGOv/rRW69Y&#10;UgBTZcVdGewNVTSsajHpCLVhhpEDVDdQTcVBapmbCZeNJ/O84sJyQDaBf8VmB/KgLJci6Qo1tglb&#10;e9WnN8PyL097IFWW0jklLWtQoh0cFCOzvjWdKhLcsQP1Te3BTRRD1LM95tD038iDHG1TT2NTxdEQ&#10;jpNRtPBjH3vPcW0Wh/ECA9t2XqI2N+d4+dGdjP0FfpbDyfks8FHw/qR3Tuz19Y3lDIFVcgvIZCzf&#10;EZyeCf48PYLQZHrBcAt7uJDPnv8s+aPu07kuDHv64C7tRRQs44HYSH2GU3NHfR6GM9+3SS3iGcSZ&#10;7yL7s+Z5+TbwkoFBx/DE/nKO4Td+eS2SA8ALc2W4OwCDmTeSHxrRmuF2gqiZwadBl5XSlEDSOw0+&#10;ZYHT0ZHvGVtdx2Y4aa/VdOt39Q2v9A3/lb5RuJyGvQ9vzR1E8RxVdRYNl0GAcp89818rPBj9rwfx&#10;RYWt6PjQXW68a40/fx3r3wAAAP//AwBQSwMEFAAGAAgAAAAhAGS7jrtNAQAAmAIAACAAAABkcnMv&#10;Y2hhcnRzL19yZWxzL2NoYXJ0MS54bWwucmVsc6yS30vDMBDH3wX/h5J3m7bCGLJu4C8YIoO5sZdC&#10;iem1jU1yJUlH619vpmw62fDFpyR3l+/n7ptMZr2SwRaMFahTEocRCUBzLISuUrJePV6NSWAd0wWT&#10;qCElA1gym15eTJYgmfOXbC1aG3gVbVNSO9feUGp5DYrZEFvQPlOiUcz5o6loy3jDKqBJFI2o+alB&#10;pkeawbxIiZkX1yRYDa0n/62NZSk43CPvFGh3AkFRwuL1DbjzosxU4FJSCgm+ZZplW1Wad4jibLPO&#10;Er/kT6g6LRrmhux7mydRkmSboTFgh7xB7Qyzzhdo0enGdYZl8TjfLG6Xu+Q+9nkrGh3qw17aft/E&#10;MxZ+vofegdFMEnraiOSMEUpwgxZLF3JU9MsDP3scH9tLec2Mu0OJ5sUNEvbwlPBdzMahf6lz7Pg/&#10;2L+wdtfFgUqP/tP0AwAA//8DAFBLAwQUAAYACAAAACEAzYLtIBEBAACmAQAAIAAAAGRycy9jaGFy&#10;dHMvX3JlbHMvY2hhcnQyLnhtbC5yZWxzhJBNa4NAEIbvhf4H2Xtd9RBCUQOlLYRSAiHBy4JsddSt&#10;66zsjkH767stpG0g0NN8P+/MpJt50MEJrFMGMxaHEQsAK1MrbDN2PDzfrVngSGIttUHI2AKObfLb&#10;m3QPWpIfcp0aXeAp6DLWEY33nLuqg0G60IyAvtIYO0jyoW35KKtetsCTKFpx+5fB8gtmsK0zZrd1&#10;zILDMnrl/9mmaVQFj6aaBkC6IsGNht3bO1TkodK2QBlrlAa/MhfiNDT2A6JYFEeReFO+mGFC1Uta&#10;xK9bJlGSiGLpLbil7A2SlY58A6oJe5qsFPG6LHYP+6/iOfc9Fa1++sNZu/m8xKup/X1PM4FFqRnP&#10;U37x3fwTAAD//wMAUEsDBBQABgAIAAAAIQB633SzwgAAAKcBAAAZAAAAZHJzL19yZWxzL2Uyb0Rv&#10;Yy54bWwucmVsc7yQywrCQAxF94L/MGRvp+1CRJx2I0K3oh8QpukDOw8mo+jfOyiCguDO5U3IuYds&#10;6quZxIUCj84qKLIcBFnt2tH2Co6H3WIFgiPaFidnScGNGOpqPtvsacKYjngYPYtEsaxgiNGvpWQ9&#10;kEHOnCebNp0LBmOKoZce9Ql7kmWeL2V4Z0D1wRRNqyA0bQnicPOp+Tfbdd2oaev02ZCNXyqkHjDE&#10;BMTQU1TwiPycllkyBfldoviTRPGSkB/vre4AAAD//wMAUEsDBBQABgAIAAAAIQA+TuOK3QAAAAYB&#10;AAAPAAAAZHJzL2Rvd25yZXYueG1sTI9BS8NAEIXvgv9hGcGb3U0lVWI2pRT1VARbQbxNs9MkNDsb&#10;stsk/fduvdjLwOM93vsmX062FQP1vnGsIZkpEMSlMw1XGr52bw/PIHxANtg6Jg1n8rAsbm9yzIwb&#10;+ZOGbahELGGfoYY6hC6T0pc1WfQz1xFH7+B6iyHKvpKmxzGW21bOlVpIiw3HhRo7WtdUHrcnq+F9&#10;xHH1mLwOm+Nhff7ZpR/fm4S0vr+bVi8gAk3hPwwX/IgORWTauxMbL1oN8ZHwdy+eSlUKYq/haTFX&#10;IItcXuMXvwAAAP//AwBQSwMEFAAGAAgAAAAhABwUp6gCAQAAbgMAABYAAABkcnMvY2hhcnRzL2Nv&#10;bG9yczE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C4eOzr&#10;5wQAABgmAAAVAAAAZHJzL2NoYXJ0cy9zdHlsZTEueG1s7Fphb9o8EP4rkX9AA/SlBVQqda0mTaLv&#10;qm3S+9kkDnhz4ry2GaW/fmcnMXESoIiGQbdv5BIlvue5e+585iaQo2COhfqqVox4zzFLwCDHaK5U&#10;OvJ9GcxJjOVFTAPBJY/URcBjn0cRDYgfCrykyczvdbo9f/0WlL8G197CU5LAJyIuYqzkBRez4h0x&#10;g7d0rvwY0wR5NByj3vAa3d7A8vAzld+oYsRcseQLieCB5zHqIN+YIspYzUiiiASqZo54sjbGNOEC&#10;PoJHxk1yz4T3E7MxUs9dY2aL+JGHme2q3+mYL+IRmD9HUWa+LMx+6S23Nz4sPP+WWWNIoi9PwpMv&#10;Y9TV7/F+EJHAb3Bae6Efd/0MsCIzLlZ34P05Oy7TJ6ERZom3HKNhv9dHXoDTMYoYVvAzToFrmcyQ&#10;h9kMEAlUzghnNPwIzL6Snm7Bg0vPoDBX6AGyyh8QfJGEmge90IyObOHAS4m6YTNzNa5MLtwJgr2Y&#10;h5BMmDG+/Jdrdz7/JELQkIC7xjahCSlsWbwfLcLzuCuHacGWA04lOaazrgnZCoTvguBNuWkJzZIZ&#10;KzzBUwKxCfFxNL5MGpUU6bqIbTfke4W5EvKbFWlDWIeOm/bqXkfuQh3P9/DHW6vxa8KcqQ1hbgSp&#10;LB6V/GharuXEpcoyWKHKSa39NQmYnvJwBfVGcKXrpCfT4CMVUk2wVE9YQGXuIg+USGnpiUCIQHgZ&#10;TZE35+KlatPPQSmHO8hbCq3d8v8FFgR57FMC6nZ51b++Qp4yF91BbzBAnijfmZbv4CSAV2VC72UX&#10;9wquM45lerdQIJQqF6fMj0yRGyNQG584TV4Xj/ojgI7UzY6t9hi+WBThvJcwTx3cQlQFVld5d732&#10;6vLhVfl0QuvPV2w90IWs7sMOuI12mmecJs5kHoD15gxo7p2GpDfoXxcdiUhC0/VtK37pHMKmqfxt&#10;7CAc0i1IFrZHLKAVfDvgdgDeanzX0DXt3i693ABpTfYcIEuwVaCc4BVUJ0+u4imHVj6gImAgVZK+&#10;kDHqa+rKWfgfFSQSOD7D0C310keIXBcojfk3PD3vPVmhBIlpzCEwdPP/fncpLmchXyYfcIPwZAni&#10;yHGx0W5TjreJblNHZVsnt6Oyjda2jqp9nvccFjj9Hh5tryUl4kLBU1tSjrYPqbY1zbLfyi7fTltc&#10;1i3c21nfjmsZS9ijc3FK6dG2MFkEXWAt3gcA62AJew1+OqLjKL/Wf2to7D7Wi5/BCIdBw/uIv5+Q&#10;O20HSUszNt3Y1QG1Fj2krffHv6lMtQ1xMbtx03BYmA9Iwzqeczrhf1T10Cg2jPCt+QB0XSwJDon4&#10;o6C1hcINXFtWDoCWVdAkM5KExxUEszUoTV6tW663FoSKt6Bv5SH77gMFtvYxZVyd3UmCVvRi4Yap&#10;4uLy4axORMp+5PMuSQQl8txP5XaHYMXP7PKvpI2Rzf1Kku+zh6ugqd7T6fY/+ox0ak4dSmfc+gTC&#10;2KZYEt0558f3OsPW7isB0q7v1uXdWDbP7TcMko8xuchawu6w0wfHzdH2QeO4FI5pHrCcZ38vkCv5&#10;wFU+cHaPpg10DmAWvhM4nLRp0lKJbPB1kZ7Sjn3bQGvj2WK708c9OdlH0dbYwx9oFuT910fXzSWc&#10;idc16zftUe0QA1IP/syya6qRrV2ryfovXLe/AAAA//8DAFBLAwQUAAYACAAAACEAwUZwpYsJAAAn&#10;KAAAFQAAAGRycy9jaGFydHMvY2hhcnQxLnhtbOxaW2/jNhZ+X2D/g1YYoA8LybpYsmXUKRJn0w42&#10;0wkmaRfoGy3RjmqKVCk6jvPYv9SfsNj/tYc3+ZLI9kzQYi/RYAKJl8Nz48fDc/z1N48VcR4wb0pG&#10;x27oB66Dac6Kks7H7g93V97QdRqBaIEIo3jsrnHjfnP25z99nY/ye8TFbY1y7AAR2ozysXsvRD3q&#10;9Zr8Hleo8VmNKfTNGK+QgE8+7xUcrYB4RXpREKQ9RcQ1BNAXEKhQSe18fsp8NpuVOb5k+bLCVGgu&#10;OCZIgAaa+7Ju3DMQrkACh1nQdx4QGbuB25ONBNG5bqiJd3OtGzlb0gIXE8YpqHFrfJWPzonAnAKp&#10;CaMCVjNyVidpqkJ8say9nFU1MDctSSnWil1gEGhP7hnI4XzCvyxLjpuxm4d9qwh4faaKqsw5a9hM&#10;+ECxp7VgrSHJDnrDXmTsAcKG/VEj1gRrgcIgktL22nUVC1eIkCnKF1I3W4PboZt+OXFfGXKWMr98&#10;QUvB7kpB8CUmWODCLKtVXBMmzjlGciBBa7YU8q1CdInIdfute+4Qn2Ohp5cUTKJJPH5ghZEFF3Os&#10;G9cvNT4aE/pxGoSgliiLh3GYDod9M8mw5sdxkgVhlIbxIIuTfvI3Twmej1aWQpImUZCA7vphOAiG&#10;w0RTuLf9mSSfplkag6f1gyCU/b19yaBhI/QU8Yncd1IB8H5Zck0M3jXxOfhjDRtMN8PWzRe40F0P&#10;iK8njLAdLwXLYS6plYWVXI9mvMCGuHF/8SjHNYJ/wjP5Njv7Khx+9Zd3F+9iybVqg94Jgt0v+2sx&#10;gb1hbKFkk20OLCR3lBzxcFazOfDzhGmJJY0HJX8N4sHHhpb+UMvCq+GjvgG+0ahhpCyuSkLUB59P&#10;J8SwfXkJprlQOt0bRqizGrtRAjoHPtCIMklAKh+NCJUteDbDubhuhLZIoxYDJVHASvF+9j2ew558&#10;MB5l9JMjZZbnCjp/1x+9O38X9Y+rKerQU5A6URCFuzraqDM06gwSOSzqGhaZYe+pguT8Z+SUzoJV&#10;S1oukPzSy3TOj+0yh7np22GHuUnMsJ/QYgUYydkKgRsAR3MEOmSUVeVRjlK71GGOBmZYheboaU1h&#10;JeeIqoZmxh1HtKkZB7915gzeCoDlo2xlp7EV2m1whJnQ2vc7OIkxcQosECnzJ7o+ZrHQmvyYA7Wm&#10;PWwzOGP0xjWc3C+5YKvjbFhbH2OjtecRNqxBL5YFW9EyFyt2VBXWpMd4aI13mIfIGu+GP2Gx+udv&#10;vJFc1PBVrZt//cpW+GWWDkCbgRAIOqSW6bJ6BrWAJBfbSAJjWsDVcdYETrqzwA8U2KjIS7XsA3IX&#10;0nh9H86l7UfB1gaZn6OOF/nJMcjxBv5RWPHCzB9mO08XWeuGXhL6Wdcg63ReEvhp1yDrcR6svS01&#10;nM1dU6zzef1hN13rbV4SdUtuXc0LE18doi+q2Tqa1A+EJFtP94FgEcMLB366NQOijC6xWqwAF4CT&#10;cfvpdgGLG17arYoWNLww8MMd+3baLmyN9xlCt7aMupXZGi8KD3DcWi/zu2XfWE9ttpds14KEF4b+&#10;cFfzgAOb3as/bIijAEDihI7N9kM0E2huhWgmbOgK0SavCtFquLOhZ7y/Njy7ggfiLx117URxb+HZ&#10;W3h2JCKy+/MtPFN3DnutapH2LTxrkfcPDM8m8qI3+V3Dszjyuw9wE5vDGEjobD2dp6G9HcQQnW2N&#10;D4LOGfa8j+Pu09MGZ2HUHdTY4z2EcHP3aNnEl/Y4hxCmM3a0x3nQTcZiRdgdpdqTPIQoZkcP3bq2&#10;QRkI2Rlbtve2zE93w55O/bZBWHRAMaG1wiHNtFgAQnUv19ph4Me7LHZZJWzNEh5wRWsXiPi6F28t&#10;AxyeuHhrqUN3jtY28b7jnB5zFddT0shbWHPPVtd4jmnxd7w2qTudIpM9PyLIn2/liGXbBInvUbWb&#10;HJLtt5i/2H6DeS6zw/t0LpbTKcG35dM2KZCgZW2O6n+UhTAJxYHJLzLIURFUa3JwX9DMosf3Jqvq&#10;pYN4OBhGJqG53xENdVCmEoxtshFupucq/7c/vKXT5JCToHOpMsZLkEel1DUXVUk/oEcV64FCNwMh&#10;mQHZ3h3B0eMNM2l0ojmv0M+Mf8vLAshjbRKT+9OBYpZEievkqB67M8jjw2tVF2O3oXPXQWQOdY1c&#10;cIDGvSRgs50rlMHo1ZVicG+Yyu8fTQ2CVZ6zCdH9VSWczbV87H6LISWNCBRV2BKMfl1SSM9C4WVL&#10;0rsyX3yAJJPWCoWyi+ksKeNdnQImgcNuVMdWepbOXG6lOGWGU2Y//xO0JnO5Oos7ZcX6hjucCZkb&#10;dpo6vyohn3INmcAbxKEwFLqyTCU+wp8ZYcA/JgSKNWXjOisuTd/8skQcg8Vpfs+gEiRtbj4mAr6V&#10;ikH4RtzKugZYFI1q9UdzUODZJ+CgeZKqARamipFS/V2OXWUHKIXxcgFlMMpu1ZvrLKDAA8Th9IQp&#10;qMHSR3V6e8+PTnQ3WYiijljXeAaVtbELakDOLeQgXadGlDWSeBRcBEkQw3/5yIMbKj91KfL7K1SV&#10;ZD12Y2iQtZUGK30qYTH6XcjmzRbZv1bUyxuzjbRGVVLd7FfAUGlNqWdZSxu7bR0NEu9gDNhF2iGg&#10;MgTFqubclCQ0YhlgMn3YgISsHP0EyWPt7vLLAJ9uIFNyDhig26RPgC6goDIlH2cz0I4Za0HSbKPb&#10;RWnhU4+X7XJPbjpi3UHZhyUR5fUDgd2niVn0bBETYP1l6GwF2kLEA9ApIcYoJDWgDriqF/V0Cyhw&#10;i9ZhdJ0aCZ6DlNyAO/BkV5NA3IVAwEp35z48Ufwo7ozJXkQouTFPrsq8BCKgEP18JphIkIHaKeNP&#10;b8Dy/wIsbQijQOdlYFFdF5Dnx9hsuan+kLsItl27ya0772S0dsDf+KWct3dG6NrjiX4Pi+4UxlWI&#10;qsBNvbWhgNnnmxryfuH8C2rjSZwm/SjIkmyY9sM4Mmhow2M/SwbDQRoNZXk8itPMJCzbyngEKh9k&#10;WdrvD5MQ/qUai0wgG/vZoB8N0kGUBEmSQH3c1NZB5F3moWEjl457LQ+a4h9mDXtyodFrQpk39Pmf&#10;Dmuku7bbVG7eH8vmIyXGZc0loCib+gLCo0VzbkIcuOYZb4ZL5CUEGo0Mg+FCtRdw2B+GvM7pP+9y&#10;0IIVGp12U9rfKCo2PTUq/9JL3H9ZVA3nwquCZ4iu5O/OyCUSyOHw056xy98XOmkkI+Qfavn7tl3v&#10;2Z6jTjT12yz1+76zfwMAAP//AwBQSwMEFAAGAAgAAAAhAHEcx43iDAAAS08AABUAAABkcnMvY2hh&#10;cnRzL2NoYXJ0Mi54bWzsXN1y47YVvu9M30Hl7EyuROGH4I8m2owtr9OdehNPdpPO5A4mKZkxRaok&#10;ZVvb6U1fqY/Q6Xv1AwFSlKw/b7JpGkuZjUkQBA8OvnNwcHAOvvzqcZb27uOiTPJsZFGbWL04C/Mo&#10;yaYj6/sPl33f6pWVzCKZ5lk8spZxaX31+o9/+DIchreyqN7PZRj30EhWDsORdVtV8+FgUIa38UyW&#10;dj6PMzyb5MVMVrgtpoOokA9ofJYOGCHuoG7EMg3IT2hgJpOseb845v18MknC+CIPF7M4qzQVRZzK&#10;Chwob5N5ab1G5yJZxTQgTu9epiOLWANVmMpsqgvmaf/6ShcW+SKL4micFxnY2Kk/C4dnaRUXGZoa&#10;51mFr5l+zo7i1EwWd4t5P8xncxB3k6RJtazJBYFoe3ybox+97+K/LZIiLkdWSJ2GEbh8wopZEhZ5&#10;mU8qGy0ONBea0VDNegN/wMx4oLPUGZbVMo11hyhhqreD9rs1CZcyTW9keKd406ncVl09Vy9uMkO9&#10;VQ+/upCLKv+QVGl8EadxFUfms5rF8zSvzopYqoqpXOaLSl3NZLaQ6VV7r598kMU0rvTrSYYh0U08&#10;vssj05c4msa6cLmt8NEMoU0p8QWjjnACzoVf9yocLg1ldoDSwBW+oI5DPeq86ZsaD00DnhsELCAi&#10;cIlLfLdp4bZ5HhAiPMEIDQTljss03zY7Nuj2+UYWYyV2qv+4vkgK3RiudZemgOMc8qWLIbnhXRzp&#10;R/eyWI7zNF8DKQYuLlRrSdR0XNfOiyg2jRv0V4+qXlkV38UTdTV5/QX1v/jTq4tX/EsQWZfh6VhC&#10;+NXzeTWGaJihoLrVedXDh5RAqRr3r0uZRrl6+x7gUq/Uf1atoKz5IC4NBfNrUCyHZZ4m0WWSpvVN&#10;Mb0Zp4Zgl4gLMVZfHGxUS7Pew8hiwiGKAjnMctWArphmqiSeTOKwuiorVYiv1x8DezIoyert5Jt4&#10;CmG8N1AynImubtJSdUhdqL+bzNwN2obpNnUBBJ9xgMJnDhVCM6yFG+FuAAxxKiiqAm1e3b+9aFHk&#10;XOdGJ4WVgUh5mz9cxdM4i/4Sm+ZNP9STHyTmA6XzzIipsrGsvpGz9T6r8vdxsbX8Oi5Cpe3qdjpt&#10;ny9ubtL4ffJxvan4UfFb8Q1XvUWRjKy/j9+4gntntH/hXo77zsQV/eAioH2PMWfsBI7wz8//sVJ3&#10;4rnqjnZVndijVVppZmZEjPgyG9LtulQwKALh+g43CgCgWddMg5CuPoCn6GQNrabbKGpw0/xt8WMG&#10;4Rj8eNxnngdsBCDJ5c4JPyf8WGZKOgo/jBPBuM+Fki6Xn/Bzwo9lUHAMfohLXSEcRxBOXRJswEfg&#10;kU+Y41EPVlXwpu+epq/f//RlJqGD8OkLW3iwhpnCiCuYJ2hrTrcWkKBqXvN8QMh1mGBv+nXzW+bb&#10;znR+MoF2rvj+T0wgY3YdxhC3OXO9QASM+T5xmQctY+Y/g6E+tR3BGefcgcVGuB+gSq3iTiCqHTj0&#10;17CjOcc6B6Pju8LF2tnMFK1ZDWuacdfB/7C+hqh/DrO6nny66+p1iz0cmmWZa/tCrd0Jhx+AcYc2&#10;Rn7rB2C2hxU+VmUu7CbPg/o6qaUXsTKrl99HQKjv2UIQoJ0w4bme8DueIqOWmM18yj342ALOhPDY&#10;ceaRdk10fBhyqF0YRzs1qkftSbnJo+V10SvySnlmlDsYF7d58VHZaGi1rN4rV2B9M1clxgMTxZPv&#10;8F75cWTBbVEbdO0zuBeuZSHVc+U2HVmtyxQ+GTQCjas/r1e/JzfFVq/sxhythrxxtv8sXY0hKMrq&#10;6zif9dTFyCrg9Ko9YvLe+L5WVdRgwYVhXGEdZ8ampyMcrrwlDmG+B/emwxWqudG4rZb3PThPA44a&#10;HD6UwPscWt7Xa5DDlgPUPMwF5gQenL2Uev4Ty0GpeUxYDpY31PMCl/qnFcyLUPPGOjmIIcdWmwRQ&#10;3wCI67icbLEU4CYUArOA41Ki1son2/NFQIgaD/hBDPUJ9pyoTwPqc4d7WAjzzV0A6hDXF9hycqGw&#10;YECftNDLgNCx+wD9wHYw37oMW0S+L5SrZHMRTG0OL4uv1sjYvgTgsGI5OeNewl7SMzYDHKzQYbYF&#10;HheEYIGrLSmzXuFqaxyb2tiGI4IGvnfajXwhu5HP2Q7wBPSQg9Us3HHw++9CkIA28igM7tN+9kvQ&#10;QcfuCMAUIp5wmU/q0BilitYQhEi1U0DESwyIOHo7ILBp4HBsFFGONTviq2Asr28HUPtkTr/MqJpj&#10;/f9qRQb0COZjMwL/AkbXTaEuhHz4swgcWSdj+iVMZEf7/9Wi3uVYacF3GGBdH3jrEOrDt+gGHhb9&#10;zA2wQeCoJdtpZ/slYOhYB7VnOz7mL0pczgh8Q0/W9AhGhH5ymC/ghESMBId7+rSv/RIgdKx/Wti+&#10;j6BnggAsBzMaNhw3rSHfRuSoHwBnjCBsHVvvR63JTruQLy5Y+je1C6nD9J8TU82O9ccLTMyYtn0n&#10;QFijK7Btsykz3VUoMjwIFPMR1t9JZE4is54ndyA3qxMFsNqV//SN+4Mi8/sEaJK9ySLtRPrNpcBo&#10;giRSrq6SLO5mEdb5Iv/r9Jit5NV7Ugjj2aF764SoUNZ5PeWTpLGzV87w1dkr5qhAoP2pY8xsfm3m&#10;jhG3xwijqoFV9pjKIdMpZtSkmBGhqrFd1Zip9jars1TDn2Qv6d3ls0WW3El1pz+z833efGY/NU5T&#10;bT81wlT7Ud49IG20yB9klsSgaCrBwzzLZ8lBitzmU/sp8ky1mZzKj8sMX+odYJVv3vhQyKyc5wUY&#10;3ZvmuIqQqXqQrOA4srBbrlMDDxBDm/H9M5KT47QXxZVMk/Bjtjw0YrQZ8kMAaod2/5gh7VZTbCi5&#10;XRRV/nCYjGasD5HRjucBMpoBPV9E+UOWhNVDfpAVzZAeoqEdvP00wLTSrLguPsbVw7//hdgyUDHH&#10;3WxZ/uef+UO8nSTIMPBtUkf1TZ1likujQpBLqJrOFrMn6afQJBddTYI6bRKqTj0fI/n3NbFJrWzq&#10;ZPS6BO2tJanu0jTMs3fKfwNDFtj+IR3DawK2KasGapTb3q5WGpj1eWAjWaLzq/NvtzXbQKzPYct2&#10;XiBk5ysN2hC2uouQBmh9x9tNbYOsviC7KzWwors/1uqDvrunUjMKiLYNdpHdyj0jNg/Wfjtfacdl&#10;Tyda+Xft3ZNROxJ0Nzdow/s+pXu60bIftXYOI234vxNOtGE+s+tJeBt+WnlG4sQ6jyCYKzHTN43A&#10;1pKqZFgnlqsMnNoWONLo6uQLf9a8Y1DYkjaV878mUWWiUxsHbY5A6FTOTTq0DnDGSQWPb83pBH0X&#10;Qaw4JMC48dYf+C4N6u0mfKebtQ91dlYn0q9X77RThpjIsqnSdnmRII+6PppCUzFLsnfyURmxisGr&#10;ipgBcWrCWsK1fGxjqlNt9c7kT3nxdZFEaD7WQ2ICuXVaPBKHhdUL5XxkTXAeBi5n82hkldnU6sl0&#10;ivNBQuSQq/jv3an3l/WvJnCjWn1OhiK8CVPfmmmPbj0lE0i7nFW9lS4fWV/HONpBpjicJF8g2RxW&#10;M845aJPW6yY+JOHdO1gmmisZji8xbEiyvNj1sMJL3az51WtbF0XqNIHfAtuaYHo5XI/lB78Pxu/r&#10;MTFIeEbYvjpOpDwzmTJKFlrIY9JWz5p1jDrb40fYspr96s6IlC5Ib9IzoEuXKYSBICRW3KTfTiZl&#10;c5QHbcTPDND7u6QRTF1flavRXj0wwSpZ/m6RVsnVfYpx7UgIkNbKIlTWNqHsdKgja3uEUoG3SR0y&#10;egwSqz/ad+uS58jtje7aU4FosKjlFqlHyNr4eXLrB+o/9b3NIzN+WbkFoesS27BJ6aZdQgke7n74&#10;RGKxHv1gsNbwqc2IaXRPW7BfG20XK4yk/j07VeYXE7XOdLFH1OpH5zDE49iA8EbfdHD1fZaYgzq0&#10;XxT4bKWhYd9udW/4sAU2z0pFwkfXzvipTyeptUB91U5kRiD2RFJvO9Fn/zE/KvEKiaM49AA7ZwiM&#10;NbO5iXUkduAihIR5FNkfCFXDDptmXpvp4sDxi50VH5ku6jggZiKcjC3BbeynYLcF+V8I53a8dt8F&#10;XV5POkTBql/a9Gho0F/81UZjO+qfnxj2aWhXfGjHX6Hih6T8NksNL4wvKErK+Tnyyu7KM+Msgwln&#10;2ISDaS6g6stvYb7BWNpQ+c3pST+Pm8+b91ttI4fHadPNEQAnD07jOg0PM8GnGmjqCLSsVy3n8QRn&#10;uo2sy6SQvfdw9Vi9uczyEkWEkXOCAx7wT/1wahjBmWPzpApvL+UsSZcjCwfP9NSpXpi5VTJhTXks&#10;P0Oz0Nw6/7Cesp5vvmCaUGezpReykr0CRzYhCe5tpBeSykb5fq7OgFtHT/ed2gSvzy+rz8B7/V8A&#10;AAD//wMAUEsBAi0AFAAGAAgAAAAhANIqQwtCAQAAqQMAABMAAAAAAAAAAAAAAAAAAAAAAFtDb250&#10;ZW50X1R5cGVzXS54bWxQSwECLQAUAAYACAAAACEAOP0h/9YAAACUAQAACwAAAAAAAAAAAAAAAABz&#10;AQAAX3JlbHMvLnJlbHNQSwECLQAUAAYACAAAACEApA8vRiYCAACCBgAADgAAAAAAAAAAAAAAAABy&#10;AgAAZHJzL2Uyb0RvYy54bWxQSwECLQAUAAYACAAAACEAZLuOu00BAACYAgAAIAAAAAAAAAAAAAAA&#10;AADEBAAAZHJzL2NoYXJ0cy9fcmVscy9jaGFydDEueG1sLnJlbHNQSwECLQAUAAYACAAAACEAzYLt&#10;IBEBAACmAQAAIAAAAAAAAAAAAAAAAABPBgAAZHJzL2NoYXJ0cy9fcmVscy9jaGFydDIueG1sLnJl&#10;bHNQSwECLQAUAAYACAAAACEAet90s8IAAACnAQAAGQAAAAAAAAAAAAAAAACeBwAAZHJzL19yZWxz&#10;L2Uyb0RvYy54bWwucmVsc1BLAQItABQABgAIAAAAIQA+TuOK3QAAAAYBAAAPAAAAAAAAAAAAAAAA&#10;AJcIAABkcnMvZG93bnJldi54bWxQSwECLQAUAAYACAAAACEAHBSnqAIBAABuAwAAFgAAAAAAAAAA&#10;AAAAAAChCQAAZHJzL2NoYXJ0cy9jb2xvcnMxLnhtbFBLAQItABQABgAIAAAAIQC4eOzr5wQAABgm&#10;AAAVAAAAAAAAAAAAAAAAANcKAABkcnMvY2hhcnRzL3N0eWxlMS54bWxQSwECLQAUAAYACAAAACEA&#10;wUZwpYsJAAAnKAAAFQAAAAAAAAAAAAAAAADxDwAAZHJzL2NoYXJ0cy9jaGFydDEueG1sUEsBAi0A&#10;FAAGAAgAAAAhAHEcx43iDAAAS08AABUAAAAAAAAAAAAAAAAArxkAAGRycy9jaGFydHMvY2hhcnQy&#10;LnhtbFBLBQYAAAAACwALAOMCAADE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" o:spid="_x0000_s1027" type="#_x0000_t75" style="position:absolute;top:749;width:64221;height:533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H7Y&#10;U8EAAADaAAAADwAAAGRycy9kb3ducmV2LnhtbESPwWrDMBBE74H+g9hCb7HcHEpwLIdSXDCFFuL4&#10;AxZpY4tYK2Opjvv3VaGQ4zAzb5jyuLpRLDQH61nBc5aDINbeWO4VdOf37R5EiMgGR8+k4IcCHKuH&#10;TYmF8Tc+0dLGXiQIhwIVDDFOhZRBD+QwZH4iTt7Fzw5jknMvzYy3BHej3OX5i3RoOS0MONHbQPra&#10;fjsFzdRc61rXzuo6j90S2s+vD6vU0+P6egARaY338H+7MQp28Hcl3QBZ/QI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CkfthTwQAAANoAAAAPAAAAAAAAAAAAAAAAAJsCAABkcnMvZG93&#10;bnJldi54bWxQSwUGAAAAAAQABADzAAAAiQMAAAAA&#10;">
                  <v:imagedata r:id="rId23" o:title=""/>
                  <o:lock v:ext="edit" aspectratio="f"/>
                </v:shape>
                <v:shape id="Wykres 3" o:spid="_x0000_s1028" type="#_x0000_t75" style="position:absolute;left:63852;width:16978;height:539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H/g&#10;LsQAAADaAAAADwAAAGRycy9kb3ducmV2LnhtbESPT2sCMRTE70K/Q3gFbzW7Ff+wNYpYhApeqi3q&#10;7bF53V3dvCxJquu3N4LgcZiZ3zCTWWtqcSbnK8sK0l4Cgji3uuJCwc92+TYG4QOyxtoyKbiSh9n0&#10;pTPBTNsLf9N5EwoRIewzVFCG0GRS+rwkg75nG+Lo/VlnMETpCqkdXiLc1PI9SYbSYMVxocSGFiXl&#10;p82/UbA+LIp09DlI3XC/+m2vq/7xSDuluq/t/ANEoDY8w4/2l1bQh/uVeAPk9AY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sf+AuxAAAANoAAAAPAAAAAAAAAAAAAAAAAJsCAABkcnMv&#10;ZG93bnJldi54bWxQSwUGAAAAAAQABADzAAAAjAMAAAAA&#10;">
                  <v:imagedata r:id="rId24" o:title=""/>
                  <o:lock v:ext="edit" aspectratio="f"/>
                </v:shape>
              </v:group>
            </w:pict>
          </mc:Fallback>
        </mc:AlternateContent>
      </w:r>
      <w:r w:rsidR="00C8489B" w:rsidRPr="004E7D24">
        <w:rPr>
          <w:noProof/>
          <w:szCs w:val="19"/>
          <w:highlight w:val="black"/>
        </w:rPr>
        <w:br w:type="textWrapping" w:clear="all"/>
      </w:r>
    </w:p>
    <w:p w14:paraId="215005A1" w14:textId="528A03ED" w:rsidR="009758D9" w:rsidRPr="004E7D24" w:rsidRDefault="009758D9" w:rsidP="00C8489B">
      <w:pPr>
        <w:rPr>
          <w:noProof/>
          <w:szCs w:val="19"/>
          <w:highlight w:val="black"/>
        </w:rPr>
      </w:pPr>
    </w:p>
    <w:p w14:paraId="68B75544" w14:textId="13C58F2A" w:rsidR="00C41EAC" w:rsidRPr="004E7D24" w:rsidRDefault="005D419B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5D419B">
        <w:rPr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7FDDFBB6" wp14:editId="1D2EE3A2">
                <wp:simplePos x="0" y="0"/>
                <wp:positionH relativeFrom="column">
                  <wp:posOffset>5155979</wp:posOffset>
                </wp:positionH>
                <wp:positionV relativeFrom="paragraph">
                  <wp:posOffset>4023802</wp:posOffset>
                </wp:positionV>
                <wp:extent cx="588010" cy="1404620"/>
                <wp:effectExtent l="0" t="0" r="21590" b="21590"/>
                <wp:wrapSquare wrapText="bothSides"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7AB41" w14:textId="547DF9C5" w:rsidR="005D419B" w:rsidRPr="005D419B" w:rsidRDefault="005D419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19B">
                              <w:rPr>
                                <w:color w:val="FFFFFF" w:themeColor="background1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DFBB6" id="_x0000_s1027" type="#_x0000_t202" style="position:absolute;left:0;text-align:left;margin-left:406pt;margin-top:316.85pt;width:46.3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WDJgIAACgEAAAOAAAAZHJzL2Uyb0RvYy54bWysk1Fv0zAQx9+R+A6W32naKh1t1HQaHUVI&#10;AyYNPsDFcRprjs/YbpPy6Tk7XVfBGyIPlp07/+/ud+f17dBpdpTOKzQln02mnEkjsFZmX/If33fv&#10;lpz5AKYGjUaW/CQ9v928fbPubSHn2KKupWMkYnzR25K3Idgiy7xoZQd+glYaMjboOgh0dPusdtCT&#10;eqez+XR6k/XoautQSO/p7/1o5Juk3zRShG9N42VguuSUW0irS2sV12yzhmLvwLZKnNOAf8iiA2Uo&#10;6EXqHgKwg1N/SXVKOPTYhInALsOmUUKmGqia2fSPap5asDLVQnC8vWDy/09WfD0+Oqbqkucrzgx0&#10;1KNH1JIF+ewD9pLNI6Pe+oJcnyw5h+EDDtTrVK+3DyiePTO4bcHs5Z1z2LcSaspxFm9mV1dHHR9F&#10;qv4L1hQLDgGT0NC4LgIkJIzUqVenS3/kEJign4vlkiBxJsg0y6f5zTw1MIPi5bZ1PnyS2LG4Kbmj&#10;/id1OD74ELOB4sUlBjO4U1qnGdCG9SVfLeaLsS7Uqo7G6Obdvtpqx44Qpyh9qTSyXLt1KtAsa9WV&#10;fHlxgiLS+GjqFCWA0uOeMtHmjCcSGdmEoRpSNxK7iK7C+kS8HI6jS0+NNi26X5z1NLYl9z8P4CRn&#10;+rMh5qtZnsc5T4d88Z4IMXdtqa4tYARJlTxwNm63Ib2NVLS9o97sVML2msk5ZRrHRPP8dOK8X5+T&#10;1+sD3/wGAAD//wMAUEsDBBQABgAIAAAAIQC6FJcG4QAAAAsBAAAPAAAAZHJzL2Rvd25yZXYueG1s&#10;TI9BT4NAFITvJv6HzTPxZpeWgpSyNEZt2ivFxOsWXoGUfUvYbYv+ep8nPU5mMvNNtplML644us6S&#10;gvksAIFU2bqjRsFHuX1KQDivqda9JVTwhQ42+f1dptPa3qjA68E3gkvIpVpB6/2QSumqFo12Mzsg&#10;sXeyo9Ge5djIetQ3Lje9XARBLI3uiBdaPeBri9X5cDEKwvL9M5mifRm97YriVNjvXbQtlXp8mF7W&#10;IDxO/i8Mv/iMDjkzHe2Faid6Bcl8wV+8gjgMn0FwYhUsYxBHtqLlCmSeyf8f8h8AAAD//wMAUEsB&#10;Ai0AFAAGAAgAAAAhALaDOJL+AAAA4QEAABMAAAAAAAAAAAAAAAAAAAAAAFtDb250ZW50X1R5cGVz&#10;XS54bWxQSwECLQAUAAYACAAAACEAOP0h/9YAAACUAQAACwAAAAAAAAAAAAAAAAAvAQAAX3JlbHMv&#10;LnJlbHNQSwECLQAUAAYACAAAACEAu2pVgyYCAAAoBAAADgAAAAAAAAAAAAAAAAAuAgAAZHJzL2Uy&#10;b0RvYy54bWxQSwECLQAUAAYACAAAACEAuhSXBuEAAAALAQAADwAAAAAAAAAAAAAAAACABAAAZHJz&#10;L2Rvd25yZXYueG1sUEsFBgAAAAAEAAQA8wAAAI4FAAAAAA==&#10;" filled="f">
                <v:textbox style="mso-fit-shape-to-text:t">
                  <w:txbxContent>
                    <w:p w14:paraId="1E87AB41" w14:textId="547DF9C5" w:rsidR="005D419B" w:rsidRPr="005D419B" w:rsidRDefault="005D419B">
                      <w:pPr>
                        <w:rPr>
                          <w:color w:val="FFFFFF" w:themeColor="background1"/>
                        </w:rPr>
                      </w:pPr>
                      <w:r w:rsidRPr="005D419B">
                        <w:rPr>
                          <w:color w:val="FFFFFF" w:themeColor="background1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1EAC" w:rsidRPr="004E7D24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571CA966" w14:textId="77777777" w:rsidR="00E53851" w:rsidRPr="004E7D24" w:rsidRDefault="00E53851" w:rsidP="00E53851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4E7D24">
        <w:rPr>
          <w:b/>
          <w:szCs w:val="19"/>
          <w:highlight w:val="black"/>
        </w:rPr>
        <w:lastRenderedPageBreak/>
        <w:t>Wyniki badania dot. wpływu wojny w Ukrainie na koniunkturę gospodarczą</w:t>
      </w:r>
      <w:r w:rsidRPr="004E7D24">
        <w:rPr>
          <w:b/>
          <w:szCs w:val="19"/>
          <w:highlight w:val="black"/>
          <w:vertAlign w:val="superscript"/>
        </w:rPr>
        <w:footnoteReference w:id="6"/>
      </w:r>
    </w:p>
    <w:p w14:paraId="019B84C0" w14:textId="77777777" w:rsidR="00E53851" w:rsidRPr="004E7D24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4E7D24">
        <w:rPr>
          <w:b/>
          <w:szCs w:val="19"/>
          <w:highlight w:val="black"/>
        </w:rPr>
        <w:t>Pytania o wpływ wojny w Ukrainie</w:t>
      </w:r>
    </w:p>
    <w:p w14:paraId="4640734B" w14:textId="77777777" w:rsidR="00E53851" w:rsidRPr="004E7D24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4E7D24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3193F145" w14:textId="1ECA8902" w:rsidR="00E53851" w:rsidRPr="004E7D24" w:rsidRDefault="005D419B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AF6CCFE" wp14:editId="370E2237">
            <wp:extent cx="5104800" cy="1987200"/>
            <wp:effectExtent l="0" t="0" r="635" b="0"/>
            <wp:docPr id="43" name="Wykres 43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lc="http://schemas.openxmlformats.org/drawingml/2006/lockedCanvas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66FDA5E" w14:textId="53990383" w:rsidR="00E53851" w:rsidRPr="004E7D24" w:rsidRDefault="00E53851" w:rsidP="007F688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E7D24">
        <w:rPr>
          <w:rFonts w:cs="Fira Sans"/>
          <w:szCs w:val="19"/>
          <w:highlight w:val="black"/>
        </w:rPr>
        <w:t>Wśród przedsiębiorców, którzy udzieli odpowiedzi w badaniu najczęściej pojawiały się zdania, że trwająca wojna stanowiła w czerwcu br. nieznaczne zagrożenie dla ich firm. Taką opinię wyrażało m.in. 81,7% podmiotów prowadzących działalność w handlu detalicznym i 62,0% w usługach. Największy odsetek odpowiedzi wskazujących na poważny wpływ wojny na działalność gospodarczą udzieliły firmy działające w budownictwie (28,3%), a następnie w przetwórstwie przemysłowym (27,7%). Skutki wojny zagrażające stabilności firmy przewidywało najwięcej podmiotów związanych z handlem hurtowym (18,0%).</w:t>
      </w:r>
    </w:p>
    <w:p w14:paraId="1C193F36" w14:textId="77777777" w:rsidR="00E53851" w:rsidRPr="004E7D24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4E7D24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F9AC626" w14:textId="44988FDC" w:rsidR="00E53851" w:rsidRPr="004E7D24" w:rsidRDefault="005D419B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BD3BA59" wp14:editId="2D43C378">
            <wp:extent cx="5864400" cy="4089600"/>
            <wp:effectExtent l="0" t="0" r="3175" b="6350"/>
            <wp:docPr id="44" name="Wykres 44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lc="http://schemas.openxmlformats.org/drawingml/2006/lockedCanvas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FB056E1" w14:textId="41C7979A" w:rsidR="00E53851" w:rsidRPr="004E7D24" w:rsidRDefault="00DA04A8" w:rsidP="00462819">
      <w:pPr>
        <w:spacing w:before="120" w:after="120" w:line="288" w:lineRule="auto"/>
        <w:rPr>
          <w:rFonts w:cs="Fira Sans"/>
          <w:szCs w:val="19"/>
          <w:highlight w:val="black"/>
        </w:rPr>
      </w:pPr>
      <w:r w:rsidRPr="004E7D24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a także</w:t>
      </w:r>
      <w:r w:rsidR="0003454D" w:rsidRPr="004E7D24">
        <w:rPr>
          <w:rFonts w:cs="Fira Sans"/>
          <w:szCs w:val="19"/>
          <w:highlight w:val="black"/>
        </w:rPr>
        <w:t xml:space="preserve"> zakłócenia</w:t>
      </w:r>
      <w:r w:rsidRPr="004E7D24">
        <w:rPr>
          <w:rFonts w:cs="Fira Sans"/>
          <w:szCs w:val="19"/>
          <w:highlight w:val="black"/>
        </w:rPr>
        <w:t xml:space="preserve"> w łańcuchu dostaw. Spadek sprzedaży (przychodów) w największym stopniu dotyczył podmiotów zajmujących się handlem detalicznym (32,5%), a</w:t>
      </w:r>
      <w:r w:rsidR="00674CEE" w:rsidRPr="004E7D24">
        <w:rPr>
          <w:rFonts w:cs="Fira Sans"/>
          <w:szCs w:val="19"/>
          <w:highlight w:val="black"/>
        </w:rPr>
        <w:t xml:space="preserve"> </w:t>
      </w:r>
      <w:r w:rsidRPr="004E7D24">
        <w:rPr>
          <w:rFonts w:cs="Fira Sans"/>
          <w:szCs w:val="19"/>
          <w:highlight w:val="black"/>
        </w:rPr>
        <w:t>zerwanie umów z</w:t>
      </w:r>
      <w:r w:rsidR="00B76EFB" w:rsidRPr="004E7D24">
        <w:rPr>
          <w:rFonts w:cs="Fira Sans"/>
          <w:szCs w:val="19"/>
          <w:highlight w:val="black"/>
        </w:rPr>
        <w:t>e</w:t>
      </w:r>
      <w:r w:rsidRPr="004E7D24">
        <w:rPr>
          <w:rFonts w:cs="Fira Sans"/>
          <w:szCs w:val="19"/>
          <w:highlight w:val="black"/>
        </w:rPr>
        <w:t xml:space="preserve"> wschodnimi kontrahentami przedsiębiorstw z</w:t>
      </w:r>
      <w:r w:rsidR="00B76EFB" w:rsidRPr="004E7D24">
        <w:rPr>
          <w:rFonts w:cs="Fira Sans"/>
          <w:szCs w:val="19"/>
          <w:highlight w:val="black"/>
        </w:rPr>
        <w:t>ajmujących się</w:t>
      </w:r>
      <w:r w:rsidRPr="004E7D24">
        <w:rPr>
          <w:rFonts w:cs="Fira Sans"/>
          <w:szCs w:val="19"/>
          <w:highlight w:val="black"/>
        </w:rPr>
        <w:t xml:space="preserve"> </w:t>
      </w:r>
      <w:r w:rsidR="00B76EFB" w:rsidRPr="004E7D24">
        <w:rPr>
          <w:rFonts w:cs="Fira Sans"/>
          <w:szCs w:val="19"/>
          <w:highlight w:val="black"/>
        </w:rPr>
        <w:t>handlem hurtowym</w:t>
      </w:r>
      <w:r w:rsidRPr="004E7D24">
        <w:rPr>
          <w:rFonts w:cs="Fira Sans"/>
          <w:szCs w:val="19"/>
          <w:highlight w:val="black"/>
        </w:rPr>
        <w:t xml:space="preserve"> (51,6%).</w:t>
      </w:r>
    </w:p>
    <w:p w14:paraId="785625D0" w14:textId="77777777" w:rsidR="00E53851" w:rsidRPr="004E7D24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4E7D24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4E7D24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4E7D24">
        <w:rPr>
          <w:rFonts w:cs="FiraSans-Bold"/>
          <w:bCs/>
          <w:i/>
          <w:szCs w:val="19"/>
          <w:highlight w:val="black"/>
        </w:rPr>
        <w:t>:</w:t>
      </w:r>
    </w:p>
    <w:p w14:paraId="1BF58610" w14:textId="111C73B3" w:rsidR="00E53851" w:rsidRPr="004E7D24" w:rsidRDefault="005D419B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B8F585F" wp14:editId="5166681D">
            <wp:extent cx="5706000" cy="2224800"/>
            <wp:effectExtent l="0" t="0" r="0" b="4445"/>
            <wp:docPr id="45" name="Wykres 45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lc="http://schemas.openxmlformats.org/drawingml/2006/lockedCanvas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524E410" w14:textId="1615BEF8" w:rsidR="00E53851" w:rsidRPr="004E7D24" w:rsidRDefault="00E53851" w:rsidP="00E5385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E7D24">
        <w:rPr>
          <w:rFonts w:cs="Fira Sans"/>
          <w:szCs w:val="19"/>
          <w:highlight w:val="black"/>
        </w:rPr>
        <w:t xml:space="preserve">W czerwcu br. zaobserwowano odpływ pracowników głównie w usługach (21,7%), a następnie w budownictwie (20,2%). Największy odsetek odpowiedzi wskazujących napływ </w:t>
      </w:r>
      <w:r w:rsidR="007701AA" w:rsidRPr="004E7D24">
        <w:rPr>
          <w:rFonts w:cs="Fira Sans"/>
          <w:szCs w:val="19"/>
          <w:highlight w:val="black"/>
        </w:rPr>
        <w:t xml:space="preserve">pracowników z Ukrainy w związku z trwającą wojną </w:t>
      </w:r>
      <w:r w:rsidRPr="004E7D24">
        <w:rPr>
          <w:rFonts w:cs="Fira Sans"/>
          <w:szCs w:val="19"/>
          <w:highlight w:val="black"/>
        </w:rPr>
        <w:t>udzieliły firmy usługowe (23,9%)</w:t>
      </w:r>
      <w:r w:rsidR="007701AA" w:rsidRPr="004E7D24">
        <w:rPr>
          <w:rFonts w:cs="Fira Sans"/>
          <w:szCs w:val="19"/>
          <w:highlight w:val="black"/>
        </w:rPr>
        <w:t>, a następnie działające w przetwórstwie przemysłowym (17,2%)</w:t>
      </w:r>
      <w:r w:rsidRPr="004E7D24">
        <w:rPr>
          <w:rFonts w:cs="Fira Sans"/>
          <w:szCs w:val="19"/>
          <w:highlight w:val="black"/>
        </w:rPr>
        <w:t>.</w:t>
      </w:r>
    </w:p>
    <w:p w14:paraId="42AB7DFD" w14:textId="77777777" w:rsidR="00E53851" w:rsidRPr="004E7D24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4E7D24">
        <w:rPr>
          <w:b/>
          <w:szCs w:val="19"/>
          <w:highlight w:val="black"/>
        </w:rPr>
        <w:t>Pytania o inwestycje</w:t>
      </w:r>
    </w:p>
    <w:p w14:paraId="480D3DE8" w14:textId="77777777" w:rsidR="00E53851" w:rsidRPr="004E7D24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4E7D24">
        <w:rPr>
          <w:rFonts w:cs="FiraSans-Bold"/>
          <w:bCs/>
          <w:i/>
          <w:szCs w:val="19"/>
          <w:highlight w:val="black"/>
        </w:rPr>
        <w:t>Pyt. 4. Jakie są Państwa aktualne przewidywania, co do poziomu inwestycji Państwa firmy w 2022 r. w odniesieniu do inwestycji zrealizowanych w 2021 r.:</w:t>
      </w:r>
    </w:p>
    <w:p w14:paraId="3F0CD5CE" w14:textId="39FFBCC3" w:rsidR="00E53851" w:rsidRPr="004E7D24" w:rsidRDefault="005D419B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2F955FD" wp14:editId="5AA3C5E1">
            <wp:extent cx="5698800" cy="2232000"/>
            <wp:effectExtent l="0" t="0" r="0" b="0"/>
            <wp:docPr id="46" name="Wykres 46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lc="http://schemas.openxmlformats.org/drawingml/2006/lockedCanvas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A732895" w14:textId="63C08048" w:rsidR="00E53851" w:rsidRPr="004E7D24" w:rsidRDefault="00E53851" w:rsidP="00E5385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E7D24">
        <w:rPr>
          <w:rFonts w:cs="Fira Sans"/>
          <w:szCs w:val="19"/>
          <w:highlight w:val="black"/>
        </w:rPr>
        <w:t xml:space="preserve">Przedsiębiorcy prowadzący działalność w </w:t>
      </w:r>
      <w:r w:rsidR="002047F3" w:rsidRPr="004E7D24">
        <w:rPr>
          <w:rFonts w:cs="Fira Sans"/>
          <w:szCs w:val="19"/>
          <w:highlight w:val="black"/>
        </w:rPr>
        <w:t xml:space="preserve">handlu detalicznym (76,0%) i </w:t>
      </w:r>
      <w:r w:rsidRPr="004E7D24">
        <w:rPr>
          <w:rFonts w:cs="Fira Sans"/>
          <w:szCs w:val="19"/>
          <w:highlight w:val="black"/>
        </w:rPr>
        <w:t xml:space="preserve">handlu hurtowym (74,8%) </w:t>
      </w:r>
      <w:r w:rsidR="00B62866" w:rsidRPr="004E7D24">
        <w:rPr>
          <w:rFonts w:cs="Fira Sans"/>
          <w:szCs w:val="19"/>
          <w:highlight w:val="black"/>
        </w:rPr>
        <w:t>byl</w:t>
      </w:r>
      <w:r w:rsidR="00053E96" w:rsidRPr="004E7D24">
        <w:rPr>
          <w:rFonts w:cs="Fira Sans"/>
          <w:szCs w:val="19"/>
          <w:highlight w:val="black"/>
        </w:rPr>
        <w:t>i</w:t>
      </w:r>
      <w:r w:rsidRPr="004E7D24">
        <w:rPr>
          <w:rFonts w:cs="Fira Sans"/>
          <w:szCs w:val="19"/>
          <w:highlight w:val="black"/>
        </w:rPr>
        <w:t xml:space="preserve"> zdania, że inwestycje w stosunku do 2021 r. pozostaną na tym samym poziomie. W budownictwie przedsiębiorcy najczęściej uważali, że poziom inwestycji spadnie (56,8%), a w usługach, że wzrośnie (17,2%).</w:t>
      </w:r>
    </w:p>
    <w:p w14:paraId="5EE8D9C8" w14:textId="77777777" w:rsidR="00E53851" w:rsidRPr="004E7D24" w:rsidRDefault="00E53851" w:rsidP="00E53851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4E7D24">
        <w:rPr>
          <w:rFonts w:cs="Fira Sans"/>
          <w:szCs w:val="19"/>
          <w:highlight w:val="black"/>
        </w:rPr>
        <w:br w:type="page"/>
      </w:r>
    </w:p>
    <w:p w14:paraId="25F7BEF3" w14:textId="00BC3E21" w:rsidR="00E53851" w:rsidRPr="004E7D24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4E7D24">
        <w:rPr>
          <w:rFonts w:cs="FiraSans-Bold"/>
          <w:bCs/>
          <w:i/>
          <w:szCs w:val="19"/>
          <w:highlight w:val="black"/>
        </w:rPr>
        <w:lastRenderedPageBreak/>
        <w:t>Pyt. 5. Które z poniższych czynników w największym stopniu wpływają na ograniczenie s</w:t>
      </w:r>
      <w:r w:rsidR="0040000F" w:rsidRPr="004E7D24">
        <w:rPr>
          <w:rFonts w:cs="FiraSans-Bold"/>
          <w:bCs/>
          <w:i/>
          <w:szCs w:val="19"/>
          <w:highlight w:val="black"/>
        </w:rPr>
        <w:t>kali inwestycji Państwa firmy w </w:t>
      </w:r>
      <w:r w:rsidRPr="004E7D24">
        <w:rPr>
          <w:rFonts w:cs="FiraSans-Bold"/>
          <w:bCs/>
          <w:i/>
          <w:szCs w:val="19"/>
          <w:highlight w:val="black"/>
        </w:rPr>
        <w:t>bieżącym roku:</w:t>
      </w:r>
    </w:p>
    <w:p w14:paraId="2C653C55" w14:textId="3549B576" w:rsidR="00E53851" w:rsidRPr="004E7D24" w:rsidRDefault="005D419B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7C35146" wp14:editId="71798637">
            <wp:extent cx="6311348" cy="4834800"/>
            <wp:effectExtent l="0" t="0" r="0" b="4445"/>
            <wp:docPr id="47" name="Wykres 47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lc="http://schemas.openxmlformats.org/drawingml/2006/lockedCanvas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2C84A5E" w14:textId="77777777" w:rsidR="00E53851" w:rsidRPr="004E7D24" w:rsidRDefault="00E5385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4E7D24">
        <w:rPr>
          <w:rFonts w:cs="Fira Sans"/>
          <w:szCs w:val="19"/>
          <w:highlight w:val="black"/>
        </w:rPr>
        <w:t>Przedsiębiorcy wśród czynników mających wpływ na ograniczenie skali inwestycji w ich firmach, najczęściej wskazywali na wysokie koszty realizacji inwestycji (budownictwo 82,8%), wysoką inflację (usługi 78,6%) oraz niepewną sytuację makroekonomiczną (handel hurtowy 74,7%).</w:t>
      </w:r>
    </w:p>
    <w:p w14:paraId="75EF78E0" w14:textId="77777777" w:rsidR="00E53851" w:rsidRPr="004E7D24" w:rsidRDefault="00E53851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  <w:highlight w:val="black"/>
        </w:rPr>
      </w:pPr>
      <w:r w:rsidRPr="004E7D24">
        <w:rPr>
          <w:szCs w:val="19"/>
          <w:highlight w:val="black"/>
        </w:rPr>
        <w:t xml:space="preserve">Więcej informacji dotyczących wyników badań koniunktury gospodarczej dostępne są na stronie </w:t>
      </w:r>
    </w:p>
    <w:p w14:paraId="18BEB2EF" w14:textId="3DC40871" w:rsidR="00852886" w:rsidRPr="004E7D24" w:rsidRDefault="008638DD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  <w:highlight w:val="black"/>
        </w:rPr>
      </w:pPr>
      <w:hyperlink r:id="rId30" w:history="1">
        <w:r w:rsidR="00E53851" w:rsidRPr="004E7D24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4E7D24">
        <w:rPr>
          <w:szCs w:val="19"/>
          <w:highlight w:val="black"/>
          <w:u w:val="single"/>
        </w:rPr>
        <w:t>.</w:t>
      </w:r>
    </w:p>
    <w:p w14:paraId="7D7F6597" w14:textId="77777777" w:rsidR="006B2BB6" w:rsidRPr="004E7D24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4E7D24" w:rsidRDefault="00EC5577" w:rsidP="00EC5577">
      <w:pPr>
        <w:tabs>
          <w:tab w:val="left" w:pos="2102"/>
        </w:tabs>
        <w:rPr>
          <w:highlight w:val="black"/>
        </w:rPr>
        <w:sectPr w:rsidR="00EC5577" w:rsidRPr="004E7D24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9E7889F" w:rsidR="00D21774" w:rsidRPr="004E7D24" w:rsidRDefault="00F1529D" w:rsidP="00325F97">
      <w:pPr>
        <w:pStyle w:val="Tablicespis"/>
        <w:rPr>
          <w:highlight w:val="black"/>
        </w:rPr>
      </w:pPr>
      <w:r w:rsidRPr="004E7D24">
        <w:rPr>
          <w:highlight w:val="black"/>
        </w:rPr>
        <w:lastRenderedPageBreak/>
        <w:t>Tablica 14</w:t>
      </w:r>
      <w:r w:rsidR="001E65CD" w:rsidRPr="004E7D24">
        <w:rPr>
          <w:highlight w:val="black"/>
        </w:rPr>
        <w:t>. Wybrane d</w:t>
      </w:r>
      <w:r w:rsidRPr="004E7D24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E7D24" w:rsidRPr="004E7D24" w14:paraId="6FAE542A" w14:textId="77777777" w:rsidTr="005D419B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4E7D24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4E7D2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4E7D24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4E7D2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4E7D2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E7D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4E7D24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5E88682" w14:textId="538887B7" w:rsidR="00E87F28" w:rsidRPr="004E7D24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4E7D24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47CF37B" w14:textId="10658CA9" w:rsidR="00E87F28" w:rsidRPr="004E7D24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4E7D24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4E7D24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4E7D24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E7D24" w:rsidRPr="004E7D24" w14:paraId="22F4A1CC" w14:textId="77777777" w:rsidTr="005D419B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4E7D2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4E7D2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4E7D2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47E2DC8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AF23ED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4E7D24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4E7D24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4E7D24" w:rsidRPr="004E7D24" w14:paraId="54F83FFC" w14:textId="77777777" w:rsidTr="005D419B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4E7D2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4E7D2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4E7D24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4E7D24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4E7D24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C2CBDF9" w14:textId="7E307DE7" w:rsidR="008C3A9F" w:rsidRPr="004E7D24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B80E281" w14:textId="39EBCA20" w:rsidR="008C3A9F" w:rsidRPr="004E7D24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0751F72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186CC959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4E7D24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38F5AAC7" w14:textId="77777777" w:rsidTr="005D419B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4E7D24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64D2EB5" w14:textId="5925164D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A0597EA" w14:textId="5A47438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4E7D24" w:rsidRPr="004E7D24" w14:paraId="60313CB7" w14:textId="77777777" w:rsidTr="005D419B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4E7D24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4E7D24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4E7D24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4E7D24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2042881" w14:textId="20F08BA7" w:rsidR="00CC5E37" w:rsidRPr="004E7D24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492A29F" w14:textId="2FA6A501" w:rsidR="00CC5E37" w:rsidRPr="004E7D24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30BF013C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8675F46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0B55ADD3" w14:textId="77777777" w:rsidTr="005D419B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4E7D24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837FB1" w14:textId="378CC2F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C684CA" w14:textId="3E3EC235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4E7D24" w:rsidRPr="004E7D24" w14:paraId="42AB54B7" w14:textId="77777777" w:rsidTr="005D419B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4E7D24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4E7D24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4E7D24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7E019C" w14:textId="1FEDBAC9" w:rsidR="00CC5E37" w:rsidRPr="004E7D24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108621" w14:textId="24D37262" w:rsidR="00CC5E37" w:rsidRPr="004E7D24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D8F235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4BE8F5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7EE27FF6" w14:textId="77777777" w:rsidTr="005D419B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4849CF2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E85AC89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4E7D24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4E7D24" w:rsidRPr="004E7D24" w14:paraId="0CEB367B" w14:textId="77777777" w:rsidTr="005D419B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4E7D24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4E7D24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4E7D24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C1718F0" w14:textId="048C9B84" w:rsidR="00CC5E37" w:rsidRPr="004E7D24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D24A559" w14:textId="64EFD3C6" w:rsidR="00CC5E37" w:rsidRPr="004E7D24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41BBBF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8E4299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07F9BAB5" w14:textId="77777777" w:rsidTr="005D419B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Stopa bezrobocia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4E7D2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3B7EC6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C53E9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182FA3F1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742592" w14:textId="019BFA1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D24175" w14:textId="1DB24ECD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42BE4E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62CD6CC6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4E7D24" w:rsidRPr="004E7D24" w14:paraId="7662A346" w14:textId="77777777" w:rsidTr="005D419B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4D79C1AD" w:rsidR="00CC5E37" w:rsidRPr="004E7D24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3FBD5249" w:rsidR="00CC5E37" w:rsidRPr="004E7D24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2053797B" w:rsidR="00CC5E37" w:rsidRPr="004E7D24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73234F6" w14:textId="7824EF4E" w:rsidR="00CC5E37" w:rsidRPr="004E7D24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267F2F" w14:textId="45CBC01E" w:rsidR="00CC5E37" w:rsidRPr="004E7D24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CD6681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1E72DD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1650074B" w14:textId="77777777" w:rsidTr="005D419B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F274509" w14:textId="5F01AA56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905C51" w14:textId="6E5399C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4E7D24" w:rsidRPr="004E7D24" w14:paraId="5A546BC0" w14:textId="77777777" w:rsidTr="005D419B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4E7D24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4E7D24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4E7D24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2FE6722" w14:textId="02FA5D05" w:rsidR="00CC5E37" w:rsidRPr="004E7D24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C76056" w14:textId="319FFA6F" w:rsidR="00CC5E37" w:rsidRPr="004E7D24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2066D3C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51A5D5C3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57A07B1B" w14:textId="77777777" w:rsidTr="005D419B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769802" w14:textId="775EBC3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4B275F2" w14:textId="1A8B7FA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4E7D24" w:rsidRPr="004E7D24" w14:paraId="4ADD167B" w14:textId="77777777" w:rsidTr="005D419B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4E7D2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4E7D24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4E7D24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4E7D24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4E7D24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5A80B7" w14:textId="17BDD231" w:rsidR="00CC5E37" w:rsidRPr="004E7D24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08BC81" w14:textId="05C700E9" w:rsidR="00CC5E37" w:rsidRPr="004E7D24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E3768B9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B1921EE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4E7D24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0DD843CE" w14:textId="77777777" w:rsidTr="005D419B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4E7D24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4E7D2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4E7D2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6FE1DC9" w14:textId="2071BE0C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DC9921F" w14:textId="4E714B4A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4E7D24" w:rsidRPr="004E7D24" w14:paraId="550FC8AB" w14:textId="77777777" w:rsidTr="005D419B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4E7D24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4E7D24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4E7D24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4E7D24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0F4A16" w14:textId="10FC0D3A" w:rsidR="00FA2018" w:rsidRPr="004E7D24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9A2101" w14:textId="13DF1001" w:rsidR="00FA2018" w:rsidRPr="004E7D24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1A5C5F72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1998EA2C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3211F68D" w14:textId="77777777" w:rsidTr="005D419B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4E7D24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E60F9DE" w14:textId="2B8EFBBE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95EA459" w14:textId="235EE7EA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4E7D24" w:rsidRPr="004E7D24" w14:paraId="55FE6316" w14:textId="77777777" w:rsidTr="005D419B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4E7D24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4E7D24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4E7D24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4E7D24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89E2701" w14:textId="661E30CF" w:rsidR="00FA2018" w:rsidRPr="004E7D24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64B25A8" w14:textId="2A249B86" w:rsidR="00FA2018" w:rsidRPr="004E7D24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0086B6B4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901BC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2FDD34D6" w14:textId="77777777" w:rsidTr="005D419B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4E7D24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06762C8" w14:textId="73E2F198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453E56" w14:textId="1D2D374B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4E7D24" w:rsidRPr="004E7D24" w14:paraId="532306B1" w14:textId="77777777" w:rsidTr="005D419B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4E7D24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4E7D24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4E7D24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4E7D24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B7DCC17" w14:textId="5E3B416E" w:rsidR="00FA2018" w:rsidRPr="004E7D24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40B607A" w14:textId="6ED90C62" w:rsidR="00FA2018" w:rsidRPr="004E7D24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B05284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123E261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4E7D24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4D599F39" w14:textId="77777777" w:rsidTr="005D419B">
        <w:tc>
          <w:tcPr>
            <w:tcW w:w="3994" w:type="dxa"/>
            <w:shd w:val="clear" w:color="auto" w:fill="000000"/>
          </w:tcPr>
          <w:p w14:paraId="01C4A020" w14:textId="77777777" w:rsidR="00FA2018" w:rsidRPr="004E7D24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780922F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A74E6F8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2A4CDCB1" w14:textId="77777777" w:rsidTr="005D419B">
        <w:tc>
          <w:tcPr>
            <w:tcW w:w="3994" w:type="dxa"/>
            <w:shd w:val="clear" w:color="auto" w:fill="000000"/>
          </w:tcPr>
          <w:p w14:paraId="023E19EA" w14:textId="77777777" w:rsidR="00FA2018" w:rsidRPr="004E7D24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towarów i usług konsumpcyjnych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c</w:t>
            </w:r>
            <w:r w:rsidRPr="004E7D2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8D6CD13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86370D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30B17E48" w14:textId="77777777" w:rsidTr="005D419B">
        <w:tc>
          <w:tcPr>
            <w:tcW w:w="3994" w:type="dxa"/>
            <w:shd w:val="clear" w:color="auto" w:fill="000000"/>
          </w:tcPr>
          <w:p w14:paraId="61BB361C" w14:textId="77777777" w:rsidR="00FA2018" w:rsidRPr="004E7D24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B30BD7" w14:textId="2531500F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DA0A5A" w14:textId="78AD3214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4E7D24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4E7D24" w:rsidRPr="004E7D24" w14:paraId="7A0FBC1F" w14:textId="77777777" w:rsidTr="005D419B">
        <w:tc>
          <w:tcPr>
            <w:tcW w:w="3994" w:type="dxa"/>
            <w:shd w:val="clear" w:color="auto" w:fill="000000"/>
          </w:tcPr>
          <w:p w14:paraId="24466AE5" w14:textId="77777777" w:rsidR="00FA2018" w:rsidRPr="004E7D24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4E7D24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4E7D24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4E7D24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F62BE85" w:rsidR="00FA2018" w:rsidRPr="004E7D24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807CF4" w14:textId="42A59538" w:rsidR="00FA2018" w:rsidRPr="004E7D24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469400" w14:textId="02F8ECFF" w:rsidR="00FA2018" w:rsidRPr="004E7D24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6BF15BE5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284CE75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22F029EB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B0CBE60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4E7D24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4E7D24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4E7D24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4E7D2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4E7D24">
        <w:rPr>
          <w:rFonts w:ascii="Fira Sans" w:hAnsi="Fira Sans"/>
          <w:sz w:val="15"/>
          <w:szCs w:val="15"/>
          <w:highlight w:val="black"/>
        </w:rPr>
        <w:t>b</w:t>
      </w:r>
      <w:r w:rsidR="005113D5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4E7D24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34F3A7F0" w:rsidR="009C6D35" w:rsidRPr="004E7D24" w:rsidRDefault="00E87F28" w:rsidP="00325F97">
      <w:pPr>
        <w:pStyle w:val="Tablicespis"/>
        <w:rPr>
          <w:rFonts w:cs="Arial"/>
          <w:highlight w:val="black"/>
        </w:rPr>
      </w:pPr>
      <w:r w:rsidRPr="004E7D24">
        <w:rPr>
          <w:sz w:val="16"/>
          <w:szCs w:val="16"/>
          <w:highlight w:val="black"/>
        </w:rPr>
        <w:br w:type="page"/>
      </w:r>
      <w:r w:rsidR="00F1529D" w:rsidRPr="004E7D24">
        <w:rPr>
          <w:highlight w:val="black"/>
        </w:rPr>
        <w:lastRenderedPageBreak/>
        <w:t>Tablica 14</w:t>
      </w:r>
      <w:r w:rsidR="006A726B" w:rsidRPr="004E7D24">
        <w:rPr>
          <w:highlight w:val="black"/>
        </w:rPr>
        <w:t xml:space="preserve">. Wybrane dane o województwie podkarpackim </w:t>
      </w:r>
      <w:r w:rsidR="007B038B" w:rsidRPr="004E7D24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E7D24" w:rsidRPr="004E7D24" w14:paraId="0021106F" w14:textId="77777777" w:rsidTr="005D419B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4E7D24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4E7D2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4E7D24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4E7D24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4E7D2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E7D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086EA05" w14:textId="20B3F941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2CCA480" w14:textId="1D6B0C23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4E7D24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E7D24" w:rsidRPr="004E7D24" w14:paraId="397346FD" w14:textId="77777777" w:rsidTr="005D419B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4E7D24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4E7D24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F5C4652" w14:textId="77777777" w:rsidR="00E87F28" w:rsidRPr="004E7D24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2026A4B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4E7D2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67C23DD4" w14:textId="77777777" w:rsidTr="005D419B">
        <w:tc>
          <w:tcPr>
            <w:tcW w:w="3994" w:type="dxa"/>
            <w:shd w:val="clear" w:color="auto" w:fill="000000"/>
          </w:tcPr>
          <w:p w14:paraId="16771907" w14:textId="77777777" w:rsidR="0080178C" w:rsidRPr="004E7D24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5941EF8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78CEAA15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7735D8B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322E85" w14:textId="69174D15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2F814D" w14:textId="7E84905E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65B46FE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07928BF7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37ED7F0B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4E7D24" w:rsidRPr="004E7D24" w14:paraId="6A1FE669" w14:textId="77777777" w:rsidTr="005D419B">
        <w:tc>
          <w:tcPr>
            <w:tcW w:w="3994" w:type="dxa"/>
            <w:shd w:val="clear" w:color="auto" w:fill="000000"/>
          </w:tcPr>
          <w:p w14:paraId="21CACB9A" w14:textId="77777777" w:rsidR="0080178C" w:rsidRPr="004E7D24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10306CD" w:rsidR="0080178C" w:rsidRPr="004E7D24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8393330" w:rsidR="0080178C" w:rsidRPr="004E7D24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18BE27C" w:rsidR="0080178C" w:rsidRPr="004E7D24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4F55578" w14:textId="75D7CC9B" w:rsidR="0080178C" w:rsidRPr="004E7D24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DC90B5" w14:textId="15D39D47" w:rsidR="0080178C" w:rsidRPr="004E7D24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9A0E1D8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A5E95AC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038AAEBF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B1EB176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076DD8F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1616544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025065E3" w:rsidR="0080178C" w:rsidRPr="004E7D24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2C107B3B" w14:textId="77777777" w:rsidTr="005D419B">
        <w:tc>
          <w:tcPr>
            <w:tcW w:w="3994" w:type="dxa"/>
            <w:shd w:val="clear" w:color="auto" w:fill="000000"/>
          </w:tcPr>
          <w:p w14:paraId="64D73657" w14:textId="77777777" w:rsidR="0080178C" w:rsidRPr="004E7D24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68005F50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46C2D4F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7A27996C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1B5D61" w14:textId="1630C944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DA48B4" w14:textId="3F3483CA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8D67A7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39AB038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6723509B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4E7D24" w:rsidRPr="004E7D24" w14:paraId="7B7C4A50" w14:textId="77777777" w:rsidTr="005D419B">
        <w:tc>
          <w:tcPr>
            <w:tcW w:w="3994" w:type="dxa"/>
            <w:shd w:val="clear" w:color="auto" w:fill="000000"/>
          </w:tcPr>
          <w:p w14:paraId="0F54400F" w14:textId="77777777" w:rsidR="0080178C" w:rsidRPr="004E7D24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C28E9AD" w:rsidR="0080178C" w:rsidRPr="004E7D24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056D919B" w:rsidR="0080178C" w:rsidRPr="004E7D24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7E7C89A2" w:rsidR="0080178C" w:rsidRPr="004E7D24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FC1C0B" w14:textId="72D14ABF" w:rsidR="0080178C" w:rsidRPr="004E7D24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CC8CAA" w14:textId="72455913" w:rsidR="0080178C" w:rsidRPr="004E7D24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3C0CB25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67D3646E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C2162AD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FEA573B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8F45193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65A368B2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0577F29F" w:rsidR="0080178C" w:rsidRPr="004E7D24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E7D24" w:rsidRPr="004E7D24" w14:paraId="31D0E4E6" w14:textId="77777777" w:rsidTr="005D419B">
        <w:tc>
          <w:tcPr>
            <w:tcW w:w="3994" w:type="dxa"/>
            <w:shd w:val="clear" w:color="auto" w:fill="000000"/>
          </w:tcPr>
          <w:p w14:paraId="6A3BDDC4" w14:textId="77777777" w:rsidR="0080178C" w:rsidRPr="004E7D24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9B3433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2E55B5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56433F01" w14:textId="77777777" w:rsidTr="005D419B">
        <w:tc>
          <w:tcPr>
            <w:tcW w:w="3994" w:type="dxa"/>
            <w:shd w:val="clear" w:color="auto" w:fill="000000"/>
          </w:tcPr>
          <w:p w14:paraId="35EA1E6D" w14:textId="77777777" w:rsidR="0080178C" w:rsidRPr="004E7D24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148096CD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5C5F0E8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6ACC00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167135" w14:textId="307C8DCB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01F0BE" w14:textId="1F506E6A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5DCEA48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13C11E2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059D362E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4E7D24" w:rsidRPr="004E7D24" w14:paraId="6C772201" w14:textId="77777777" w:rsidTr="005D419B">
        <w:tc>
          <w:tcPr>
            <w:tcW w:w="3994" w:type="dxa"/>
            <w:shd w:val="clear" w:color="auto" w:fill="000000"/>
          </w:tcPr>
          <w:p w14:paraId="6CD4E0CD" w14:textId="77777777" w:rsidR="0080178C" w:rsidRPr="004E7D24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899476B" w:rsidR="0080178C" w:rsidRPr="004E7D24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5777A0A1" w:rsidR="0080178C" w:rsidRPr="004E7D24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0AB8FCD9" w:rsidR="0080178C" w:rsidRPr="004E7D24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74BF8C" w14:textId="622D65B7" w:rsidR="0080178C" w:rsidRPr="004E7D24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E5221E" w14:textId="69771527" w:rsidR="0080178C" w:rsidRPr="004E7D24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11E31D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74FC3A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69E7A91E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18C9973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65CCF6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E030ED5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1396DF5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4750C67A" w14:textId="77777777" w:rsidTr="005D419B">
        <w:tc>
          <w:tcPr>
            <w:tcW w:w="3994" w:type="dxa"/>
            <w:shd w:val="clear" w:color="auto" w:fill="000000"/>
          </w:tcPr>
          <w:p w14:paraId="31606691" w14:textId="77777777" w:rsidR="0080178C" w:rsidRPr="004E7D24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7FDB483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8FED25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7FFE38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0EC6B6" w14:textId="18A6A478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E9F0CF" w14:textId="40566401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FFCE11F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355A60DD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08A9A97A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4E7D24" w:rsidRPr="004E7D24" w14:paraId="6FF8F050" w14:textId="77777777" w:rsidTr="005D419B">
        <w:tc>
          <w:tcPr>
            <w:tcW w:w="3994" w:type="dxa"/>
            <w:shd w:val="clear" w:color="auto" w:fill="000000"/>
          </w:tcPr>
          <w:p w14:paraId="00DB1EED" w14:textId="77777777" w:rsidR="0080178C" w:rsidRPr="004E7D24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B55CF34" w:rsidR="0080178C" w:rsidRPr="004E7D24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235A189B" w:rsidR="0080178C" w:rsidRPr="004E7D24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75C8C102" w:rsidR="0080178C" w:rsidRPr="004E7D24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9F6168F" w14:textId="02A3FFB7" w:rsidR="0080178C" w:rsidRPr="004E7D24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CC73CB" w14:textId="18735EB3" w:rsidR="0080178C" w:rsidRPr="004E7D24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65E434E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0C95B570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526F22C5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E5FF60D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5B2C5259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44160D4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14B52461" w:rsidR="0080178C" w:rsidRPr="004E7D24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E7D24" w:rsidRPr="004E7D24" w14:paraId="74AAE6A4" w14:textId="77777777" w:rsidTr="005D419B">
        <w:tc>
          <w:tcPr>
            <w:tcW w:w="3994" w:type="dxa"/>
            <w:shd w:val="clear" w:color="auto" w:fill="000000"/>
          </w:tcPr>
          <w:p w14:paraId="3C281716" w14:textId="77777777" w:rsidR="0080178C" w:rsidRPr="004E7D24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8674805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42C926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2538723B" w14:textId="77777777" w:rsidTr="005D419B">
        <w:tc>
          <w:tcPr>
            <w:tcW w:w="3994" w:type="dxa"/>
            <w:shd w:val="clear" w:color="auto" w:fill="000000"/>
          </w:tcPr>
          <w:p w14:paraId="5B5F23A7" w14:textId="77777777" w:rsidR="0080178C" w:rsidRPr="004E7D24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745A1C2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EFA027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8A96DF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B677C0" w14:textId="615E5A9C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E7D24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1CF8C9" w14:textId="1C5A6D83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E7D24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01850AC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6BF559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EA0BD48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4E7D24" w:rsidRPr="004E7D24" w14:paraId="2B4FC5AB" w14:textId="77777777" w:rsidTr="005D419B">
        <w:tc>
          <w:tcPr>
            <w:tcW w:w="3994" w:type="dxa"/>
            <w:shd w:val="clear" w:color="auto" w:fill="000000"/>
          </w:tcPr>
          <w:p w14:paraId="018315BB" w14:textId="77777777" w:rsidR="0080178C" w:rsidRPr="004E7D24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05FAD6FC" w:rsidR="0080178C" w:rsidRPr="004E7D24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26EBD29" w:rsidR="0080178C" w:rsidRPr="004E7D24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31A16210" w:rsidR="0080178C" w:rsidRPr="004E7D24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00C3F4" w14:textId="6895C7F9" w:rsidR="0080178C" w:rsidRPr="004E7D24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E7D24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6A1DBC" w14:textId="1D04B13A" w:rsidR="0080178C" w:rsidRPr="004E7D24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41CB05D1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3C9DA5E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53EC2F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2F3CA97C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04DD0CB2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4D119F2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E85245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77BFC489" w14:textId="77777777" w:rsidTr="005D419B">
        <w:tc>
          <w:tcPr>
            <w:tcW w:w="3994" w:type="dxa"/>
            <w:shd w:val="clear" w:color="auto" w:fill="000000"/>
          </w:tcPr>
          <w:p w14:paraId="2E5F0052" w14:textId="77777777" w:rsidR="0080178C" w:rsidRPr="004E7D24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0AB404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5294C976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402264A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E0A608" w14:textId="33A36EA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04E6456" w14:textId="32AB7A1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48941076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899F3C6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D400EA8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4E7D24" w:rsidRPr="004E7D24" w14:paraId="396C40E9" w14:textId="77777777" w:rsidTr="005D419B">
        <w:tc>
          <w:tcPr>
            <w:tcW w:w="3994" w:type="dxa"/>
            <w:shd w:val="clear" w:color="auto" w:fill="000000"/>
          </w:tcPr>
          <w:p w14:paraId="12E3B2AF" w14:textId="77777777" w:rsidR="0080178C" w:rsidRPr="004E7D24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31633E7" w:rsidR="0080178C" w:rsidRPr="004E7D24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D5BB957" w:rsidR="0080178C" w:rsidRPr="004E7D24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73BCEDD" w:rsidR="0080178C" w:rsidRPr="004E7D24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95255E" w14:textId="47CC26F6" w:rsidR="0080178C" w:rsidRPr="004E7D24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9C74D35" w14:textId="580FBA63" w:rsidR="0080178C" w:rsidRPr="004E7D24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35C35D6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3313F75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A5E6ABB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175B086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65195191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45B252A5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5DBA0BD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12958544" w14:textId="77777777" w:rsidTr="005D419B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4E7D24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Relacje cen skupu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4E7D2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4E7D2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6C0903F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C4100CE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D1ABED1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EF44EB" w14:textId="5D53DDA2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233B420" w14:textId="0E17E078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12A8A5EB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F93D713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08A678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3,5</w:t>
            </w:r>
          </w:p>
        </w:tc>
      </w:tr>
      <w:tr w:rsidR="004E7D24" w:rsidRPr="004E7D24" w14:paraId="45BC391C" w14:textId="77777777" w:rsidTr="005D419B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4E7D24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4E7D24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05D1DACC" w:rsidR="0080178C" w:rsidRPr="004E7D24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42E22A94" w:rsidR="0080178C" w:rsidRPr="004E7D24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C7BBFF6" w:rsidR="0080178C" w:rsidRPr="004E7D24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754FE6" w14:textId="1E924DEB" w:rsidR="0080178C" w:rsidRPr="004E7D24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871794" w14:textId="6E6E4A45" w:rsidR="0080178C" w:rsidRPr="004E7D24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0588FB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2AC8AE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1CD5D72D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55AF0D4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29FC7681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4E32B2E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734EFDF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7AB31625" w14:textId="77777777" w:rsidTr="005D419B">
        <w:tc>
          <w:tcPr>
            <w:tcW w:w="3994" w:type="dxa"/>
            <w:shd w:val="clear" w:color="auto" w:fill="000000"/>
          </w:tcPr>
          <w:p w14:paraId="60E7D17E" w14:textId="77777777" w:rsidR="0080178C" w:rsidRPr="004E7D24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Produkcja sprzedana przemysłu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4E7D2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935832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AB7384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6E8278C3" w14:textId="77777777" w:rsidTr="005D419B">
        <w:tc>
          <w:tcPr>
            <w:tcW w:w="3994" w:type="dxa"/>
            <w:shd w:val="clear" w:color="auto" w:fill="000000"/>
          </w:tcPr>
          <w:p w14:paraId="43657C4E" w14:textId="1A995D24" w:rsidR="0080178C" w:rsidRPr="004E7D24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453A7EE9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1F8A1CF4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B673258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20C0A6" w14:textId="23E45291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8B9AA9" w14:textId="03D8D240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2A0A4ABE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07F6FD1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5944183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</w:t>
            </w:r>
            <w:r w:rsidR="00D90E7D" w:rsidRPr="004E7D24">
              <w:rPr>
                <w:rFonts w:ascii="Fira Sans" w:hAnsi="Fira Sans"/>
                <w:highlight w:val="black"/>
              </w:rPr>
              <w:t>5</w:t>
            </w:r>
            <w:r w:rsidRPr="004E7D24">
              <w:rPr>
                <w:rFonts w:ascii="Fira Sans" w:hAnsi="Fira Sans"/>
                <w:highlight w:val="black"/>
              </w:rPr>
              <w:t>,</w:t>
            </w:r>
            <w:r w:rsidR="00A96E76" w:rsidRPr="004E7D24">
              <w:rPr>
                <w:rFonts w:ascii="Fira Sans" w:hAnsi="Fira Sans"/>
                <w:highlight w:val="black"/>
              </w:rPr>
              <w:t>8</w:t>
            </w:r>
          </w:p>
        </w:tc>
      </w:tr>
      <w:tr w:rsidR="004E7D24" w:rsidRPr="004E7D24" w14:paraId="12860B2B" w14:textId="77777777" w:rsidTr="005D419B">
        <w:tc>
          <w:tcPr>
            <w:tcW w:w="3994" w:type="dxa"/>
            <w:shd w:val="clear" w:color="auto" w:fill="000000"/>
          </w:tcPr>
          <w:p w14:paraId="1E5FCD13" w14:textId="77777777" w:rsidR="0080178C" w:rsidRPr="004E7D24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4E7D24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B286C45" w:rsidR="0080178C" w:rsidRPr="004E7D24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12101431" w:rsidR="0080178C" w:rsidRPr="004E7D24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4E7D2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9AC11C4" w:rsidR="0080178C" w:rsidRPr="004E7D24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4E7D24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4E7D24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4E7D24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2464E2" w14:textId="29C3B4B7" w:rsidR="0080178C" w:rsidRPr="004E7D24" w:rsidRDefault="008D6B9F" w:rsidP="000C14A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</w:t>
            </w:r>
            <w:r w:rsidR="00CE4ECA" w:rsidRPr="004E7D24">
              <w:rPr>
                <w:rFonts w:ascii="Fira Sans" w:hAnsi="Fira Sans"/>
                <w:highlight w:val="black"/>
              </w:rPr>
              <w:t>6</w:t>
            </w:r>
            <w:r w:rsidRPr="004E7D24">
              <w:rPr>
                <w:rFonts w:ascii="Fira Sans" w:hAnsi="Fira Sans"/>
                <w:highlight w:val="black"/>
              </w:rPr>
              <w:t>,</w:t>
            </w:r>
            <w:r w:rsidR="00CE4ECA" w:rsidRPr="004E7D24">
              <w:rPr>
                <w:rFonts w:ascii="Fira Sans" w:hAnsi="Fira Sans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3F1FF2" w14:textId="381C28E6" w:rsidR="0080178C" w:rsidRPr="004E7D24" w:rsidRDefault="000C14A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28B9243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31D48F56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341557C2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51C2AA8A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67F03D5" w:rsidR="0080178C" w:rsidRPr="004E7D24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BFD10ED" w:rsidR="0080178C" w:rsidRPr="004E7D24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8915F2D" w:rsidR="0080178C" w:rsidRPr="004E7D24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686018C8" w14:textId="77777777" w:rsidTr="005D419B">
        <w:tc>
          <w:tcPr>
            <w:tcW w:w="3994" w:type="dxa"/>
            <w:shd w:val="clear" w:color="auto" w:fill="000000"/>
          </w:tcPr>
          <w:p w14:paraId="3B673136" w14:textId="425619AA" w:rsidR="00912BF2" w:rsidRPr="004E7D24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4E7D24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54B81B1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72512BD9" w:rsidR="00912BF2" w:rsidRPr="004E7D24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D9EB828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FE04BA" w14:textId="59DAE063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0856C5" w14:textId="53D5CA5C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4044704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35EBDE1D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D451D7C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4E7D24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4E7D24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4E7D24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4E7D24" w:rsidRPr="004E7D24" w14:paraId="5B8FA6B3" w14:textId="77777777" w:rsidTr="005D419B">
        <w:tc>
          <w:tcPr>
            <w:tcW w:w="3994" w:type="dxa"/>
            <w:shd w:val="clear" w:color="auto" w:fill="000000"/>
          </w:tcPr>
          <w:p w14:paraId="49A3A52B" w14:textId="77777777" w:rsidR="00912BF2" w:rsidRPr="004E7D24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4E7D24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A20693E" w:rsidR="00912BF2" w:rsidRPr="004E7D24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0DBCAAAD" w:rsidR="00912BF2" w:rsidRPr="004E7D24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4E7D24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4E7D24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4E7D24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39C77FF" w:rsidR="00912BF2" w:rsidRPr="004E7D24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</w:t>
            </w:r>
            <w:r w:rsidR="008D6B9F" w:rsidRPr="004E7D24">
              <w:rPr>
                <w:rFonts w:ascii="Fira Sans" w:hAnsi="Fira Sans"/>
                <w:highlight w:val="black"/>
              </w:rPr>
              <w:t>1</w:t>
            </w:r>
            <w:r w:rsidRPr="004E7D24">
              <w:rPr>
                <w:rFonts w:ascii="Fira Sans" w:hAnsi="Fira Sans"/>
                <w:highlight w:val="black"/>
              </w:rPr>
              <w:t>,</w:t>
            </w:r>
            <w:r w:rsidR="008D6B9F" w:rsidRPr="004E7D24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2FF7B46" w14:textId="07829E86" w:rsidR="00912BF2" w:rsidRPr="004E7D24" w:rsidRDefault="008D6B9F" w:rsidP="000C14A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</w:t>
            </w:r>
            <w:r w:rsidR="00CE4ECA" w:rsidRPr="004E7D24">
              <w:rPr>
                <w:rFonts w:ascii="Fira Sans" w:hAnsi="Fira Sans"/>
                <w:highlight w:val="black"/>
              </w:rPr>
              <w:t>2</w:t>
            </w:r>
            <w:r w:rsidRPr="004E7D24">
              <w:rPr>
                <w:rFonts w:ascii="Fira Sans" w:hAnsi="Fira Sans"/>
                <w:highlight w:val="black"/>
              </w:rPr>
              <w:t>,</w:t>
            </w:r>
            <w:r w:rsidR="00CE4ECA" w:rsidRPr="004E7D24">
              <w:rPr>
                <w:rFonts w:ascii="Fira Sans" w:hAnsi="Fira Sans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28F5A3" w14:textId="2B59C6D0" w:rsidR="00912BF2" w:rsidRPr="004E7D24" w:rsidRDefault="000C14A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114,6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760CC81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BC60955" w:rsidR="00912BF2" w:rsidRPr="004E7D24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245D33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2B48458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3D58DFB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F935FF8" w:rsidR="00912BF2" w:rsidRPr="004E7D24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BA1F726" w:rsidR="00912BF2" w:rsidRPr="004E7D24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E7D24" w:rsidRPr="004E7D24" w14:paraId="645EFC24" w14:textId="77777777" w:rsidTr="005D419B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4E7D24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Produkcja budowlano-montażowa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4E7D2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912BF2" w:rsidRPr="004E7D24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912BF2" w:rsidRPr="004E7D24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912BF2" w:rsidRPr="004E7D24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BDA189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EAE79A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47766202" w14:textId="77777777" w:rsidTr="005D419B">
        <w:tc>
          <w:tcPr>
            <w:tcW w:w="3994" w:type="dxa"/>
            <w:shd w:val="clear" w:color="auto" w:fill="000000"/>
          </w:tcPr>
          <w:p w14:paraId="2AFBE9CA" w14:textId="737D613B" w:rsidR="00912BF2" w:rsidRPr="004E7D24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4E7D24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73EF7505" w:rsidR="00912BF2" w:rsidRPr="004E7D24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14F5EE4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2F0572F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C91218" w14:textId="0C602FD2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C7E8B4" w14:textId="525A07B0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7F83DCD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5EABB9A7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AA5CCBC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4E7D24" w:rsidRPr="004E7D24" w14:paraId="6E6DB98B" w14:textId="77777777" w:rsidTr="005D419B">
        <w:tc>
          <w:tcPr>
            <w:tcW w:w="3994" w:type="dxa"/>
            <w:shd w:val="clear" w:color="auto" w:fill="000000"/>
          </w:tcPr>
          <w:p w14:paraId="239AC464" w14:textId="77777777" w:rsidR="00912BF2" w:rsidRPr="004E7D24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4E7D24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9BE3820" w:rsidR="00912BF2" w:rsidRPr="004E7D24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44F03F1E" w:rsidR="00912BF2" w:rsidRPr="004E7D24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0C25583B" w:rsidR="00912BF2" w:rsidRPr="004E7D24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F80B79" w14:textId="24ED4163" w:rsidR="00912BF2" w:rsidRPr="004E7D24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DCEE48" w14:textId="625BE494" w:rsidR="00912BF2" w:rsidRPr="004E7D24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774CAFA5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6164E908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6E6630A4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8DC81A3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64464D1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0ACFF05A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B68B40B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30FBB3B2" w14:textId="77777777" w:rsidTr="005D419B">
        <w:tc>
          <w:tcPr>
            <w:tcW w:w="3994" w:type="dxa"/>
            <w:shd w:val="clear" w:color="auto" w:fill="000000"/>
          </w:tcPr>
          <w:p w14:paraId="0273F3F9" w14:textId="77777777" w:rsidR="00912BF2" w:rsidRPr="004E7D24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4E7D24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0E82A65B" w:rsidR="00912BF2" w:rsidRPr="004E7D24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178F7D9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072CC24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CC6CA8" w14:textId="70C08936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712F17" w14:textId="74798E16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5D84FA9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0D4B30A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12A354A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4E7D24" w:rsidRPr="004E7D24" w14:paraId="01FB30FA" w14:textId="77777777" w:rsidTr="005D419B">
        <w:tc>
          <w:tcPr>
            <w:tcW w:w="3994" w:type="dxa"/>
            <w:shd w:val="clear" w:color="auto" w:fill="000000"/>
          </w:tcPr>
          <w:p w14:paraId="4329905A" w14:textId="77777777" w:rsidR="00912BF2" w:rsidRPr="004E7D24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4E7D24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76AFF559" w:rsidR="00912BF2" w:rsidRPr="004E7D24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FB249E6" w:rsidR="00912BF2" w:rsidRPr="004E7D24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FB692CC" w:rsidR="00912BF2" w:rsidRPr="004E7D24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9A9FE0" w14:textId="3CF2326E" w:rsidR="00912BF2" w:rsidRPr="004E7D24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F42FB7" w14:textId="7A5CFBD2" w:rsidR="00912BF2" w:rsidRPr="004E7D24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639D66A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2B99FF2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2599BC4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424B005C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C1A26AF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526E4A03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598652D" w:rsidR="00912BF2" w:rsidRPr="004E7D24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4E7D24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4E7D24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4E7D24">
        <w:rPr>
          <w:rFonts w:ascii="Fira Sans" w:hAnsi="Fira Sans"/>
          <w:sz w:val="15"/>
          <w:szCs w:val="15"/>
          <w:highlight w:val="black"/>
        </w:rPr>
        <w:t xml:space="preserve"> 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47E7BB8B" w:rsidR="009C6D35" w:rsidRPr="004E7D24" w:rsidRDefault="00E87F28" w:rsidP="00325F97">
      <w:pPr>
        <w:pStyle w:val="Tablicespis"/>
        <w:rPr>
          <w:rFonts w:cs="Arial"/>
          <w:highlight w:val="black"/>
        </w:rPr>
      </w:pPr>
      <w:r w:rsidRPr="004E7D24">
        <w:rPr>
          <w:sz w:val="16"/>
          <w:szCs w:val="16"/>
          <w:highlight w:val="black"/>
        </w:rPr>
        <w:br w:type="page"/>
      </w:r>
      <w:r w:rsidR="00F1529D" w:rsidRPr="004E7D24">
        <w:rPr>
          <w:highlight w:val="black"/>
        </w:rPr>
        <w:lastRenderedPageBreak/>
        <w:t>Tablica 14</w:t>
      </w:r>
      <w:r w:rsidR="00D93148" w:rsidRPr="004E7D24">
        <w:rPr>
          <w:highlight w:val="black"/>
        </w:rPr>
        <w:t xml:space="preserve">. </w:t>
      </w:r>
      <w:r w:rsidR="007B038B" w:rsidRPr="004E7D24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4E7D24" w:rsidRPr="004E7D24" w14:paraId="439BF910" w14:textId="77777777" w:rsidTr="005D419B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4E7D24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4E7D2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4E7D24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4E7D2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4E7D24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4E7D2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57C8B79" w14:textId="2D1A6DD1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5FF4EE3" w14:textId="441EAF6C" w:rsidR="00E87F28" w:rsidRPr="004E7D24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4E7D24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4E7D2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4E7D24" w:rsidRPr="004E7D24" w14:paraId="2E1193C1" w14:textId="77777777" w:rsidTr="005D419B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D10BC6" w:rsidRPr="004E7D24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10BC6" w:rsidRPr="004E7D24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7975D303" w:rsidR="00D10BC6" w:rsidRPr="004E7D24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5A9DD2B" w:rsidR="00D10BC6" w:rsidRPr="004E7D24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3B0F6CF2" w:rsidR="00D10BC6" w:rsidRPr="004E7D24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38CE877" w14:textId="1BFBF4BA" w:rsidR="00D10BC6" w:rsidRPr="004E7D24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FBEFF76" w14:textId="0A071155" w:rsidR="00D10BC6" w:rsidRPr="004E7D24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01FDD17" w:rsidR="00D10BC6" w:rsidRPr="004E7D24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4473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420D21B" w:rsidR="00D10BC6" w:rsidRPr="004E7D24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5557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A291AAC" w:rsidR="00D10BC6" w:rsidRPr="004E7D24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6403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35F0E930" w:rsidR="00D10BC6" w:rsidRPr="004E7D24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6983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9723E65" w:rsidR="00D10BC6" w:rsidRPr="004E7D24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7811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5F017A87" w:rsidR="00D10BC6" w:rsidRPr="004E7D24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8959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62EB2D2" w:rsidR="00D10BC6" w:rsidRPr="004E7D24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9904</w:t>
            </w:r>
          </w:p>
        </w:tc>
      </w:tr>
      <w:tr w:rsidR="004E7D24" w:rsidRPr="004E7D24" w14:paraId="14A02D4D" w14:textId="77777777" w:rsidTr="005D419B">
        <w:tc>
          <w:tcPr>
            <w:tcW w:w="3994" w:type="dxa"/>
            <w:shd w:val="clear" w:color="auto" w:fill="000000"/>
          </w:tcPr>
          <w:p w14:paraId="735E2827" w14:textId="77777777" w:rsidR="00C23B38" w:rsidRPr="004E7D24" w:rsidRDefault="00C23B38" w:rsidP="00C23B3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C23B38" w:rsidRPr="004E7D24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2BE13B76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841*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3DB6395C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1667*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6996E599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2453*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B5132E" w14:textId="73A0B154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3121*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ADA122" w14:textId="76BFE836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4E7D24">
              <w:rPr>
                <w:rFonts w:ascii="Fira Sans" w:hAnsi="Fira Sans" w:cs="Calibri"/>
                <w:szCs w:val="16"/>
                <w:highlight w:val="black"/>
              </w:rPr>
              <w:t>4215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2D5BDF08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6B7973C9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198A58B2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88676DA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ED18FCD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61CA7403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03FFC99" w:rsidR="00C23B38" w:rsidRPr="004E7D24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366B2ABD" w14:textId="77777777" w:rsidTr="005D419B">
        <w:tc>
          <w:tcPr>
            <w:tcW w:w="3994" w:type="dxa"/>
            <w:shd w:val="clear" w:color="auto" w:fill="000000"/>
          </w:tcPr>
          <w:p w14:paraId="5FF6B17F" w14:textId="77777777" w:rsidR="00470F93" w:rsidRPr="004E7D24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470F93" w:rsidRPr="004E7D24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36D43D1D" w:rsidR="00470F93" w:rsidRPr="004E7D24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3E4DE53A" w:rsidR="00470F93" w:rsidRPr="004E7D24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EEF1D6" w:rsidR="00470F93" w:rsidRPr="004E7D24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800AB2" w14:textId="7A9EA73E" w:rsidR="00470F93" w:rsidRPr="004E7D24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27213C" w14:textId="41985836" w:rsidR="00470F93" w:rsidRPr="004E7D24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02612E4" w:rsidR="00470F93" w:rsidRPr="004E7D24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788F2111" w:rsidR="00470F93" w:rsidRPr="004E7D24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124,</w:t>
            </w:r>
            <w:r w:rsidR="00D10BC6"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8EAD66E" w:rsidR="00470F93" w:rsidRPr="004E7D24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E8E7A92" w:rsidR="00470F93" w:rsidRPr="004E7D24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25F46FE8" w:rsidR="00470F93" w:rsidRPr="004E7D24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E7D24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2D75CBF5" w:rsidR="00470F93" w:rsidRPr="004E7D24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E7D24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B1E4415" w:rsidR="00470F93" w:rsidRPr="004E7D24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E7D24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4E7D24" w:rsidRPr="004E7D24" w14:paraId="0B7CAD4D" w14:textId="77777777" w:rsidTr="005D419B">
        <w:tc>
          <w:tcPr>
            <w:tcW w:w="3994" w:type="dxa"/>
            <w:shd w:val="clear" w:color="auto" w:fill="000000"/>
          </w:tcPr>
          <w:p w14:paraId="485353D3" w14:textId="77777777" w:rsidR="00C23B38" w:rsidRPr="004E7D24" w:rsidRDefault="00C23B38" w:rsidP="00C23B3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C23B38" w:rsidRPr="004E7D24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7FC149E9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71,7*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0FBF57C1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93,9*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30ABA085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97,5*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8A36E4" w14:textId="1D950ED6" w:rsidR="00C23B38" w:rsidRPr="004E7D24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97,7*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687BA1" w14:textId="7A66F969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1D2E71D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A1C115C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53695C3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F6A1F11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3C10859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72C6E80C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7F16546" w:rsidR="00C23B38" w:rsidRPr="004E7D24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E7D24" w:rsidRPr="004E7D24" w14:paraId="2CD366CD" w14:textId="77777777" w:rsidTr="005D419B">
        <w:tc>
          <w:tcPr>
            <w:tcW w:w="3994" w:type="dxa"/>
            <w:shd w:val="clear" w:color="auto" w:fill="000000"/>
          </w:tcPr>
          <w:p w14:paraId="4911267C" w14:textId="77777777" w:rsidR="00367F59" w:rsidRPr="004E7D24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Sprzedaż detaliczna towarów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4E7D2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367F59" w:rsidRPr="004E7D24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55DF31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601E50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367F59" w:rsidRPr="004E7D24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0BC56087" w14:textId="77777777" w:rsidTr="005D419B">
        <w:tc>
          <w:tcPr>
            <w:tcW w:w="3994" w:type="dxa"/>
            <w:shd w:val="clear" w:color="auto" w:fill="000000"/>
          </w:tcPr>
          <w:p w14:paraId="451B997E" w14:textId="52B5DC6B" w:rsidR="00367F59" w:rsidRPr="004E7D24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367F59" w:rsidRPr="004E7D24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1529BF18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4C03837B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20AF0670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B33687" w14:textId="2FF3DFF7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3FABC5" w14:textId="75509C89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4E7D24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71B3BF13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59FA462" w:rsidR="00367F59" w:rsidRPr="004E7D24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E7D24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C257220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4E7D24" w:rsidRPr="004E7D24" w14:paraId="156101CB" w14:textId="77777777" w:rsidTr="005D419B">
        <w:tc>
          <w:tcPr>
            <w:tcW w:w="3994" w:type="dxa"/>
            <w:shd w:val="clear" w:color="auto" w:fill="000000"/>
          </w:tcPr>
          <w:p w14:paraId="2E14D57D" w14:textId="77777777" w:rsidR="00367F59" w:rsidRPr="004E7D24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367F59" w:rsidRPr="004E7D24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837C03" w:rsidR="00367F59" w:rsidRPr="004E7D24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31EF56FD" w:rsidR="00367F59" w:rsidRPr="004E7D24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5659F0D9" w:rsidR="00367F59" w:rsidRPr="004E7D24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61F437" w14:textId="014DDBAD" w:rsidR="00367F59" w:rsidRPr="004E7D24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E2B202" w14:textId="622CEA10" w:rsidR="00367F59" w:rsidRPr="004E7D24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B80CAE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6421048A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3E0DA3D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8E3700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2BEAE635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71D58F8" w:rsidR="00367F59" w:rsidRPr="004E7D24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BE2CE9E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2EA14C8F" w14:textId="77777777" w:rsidTr="005D419B">
        <w:tc>
          <w:tcPr>
            <w:tcW w:w="3994" w:type="dxa"/>
            <w:shd w:val="clear" w:color="auto" w:fill="000000"/>
          </w:tcPr>
          <w:p w14:paraId="458E9865" w14:textId="77777777" w:rsidR="00367F59" w:rsidRPr="004E7D24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367F59" w:rsidRPr="004E7D24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01BA8ABC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205EB29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191C32AF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36F1699" w14:textId="17230BBD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C2B409" w14:textId="524B75AC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08AAC1D1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60EAD524" w:rsidR="00367F59" w:rsidRPr="004E7D24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E7D24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8EBC8F1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4E7D24" w:rsidRPr="004E7D24" w14:paraId="78A989C3" w14:textId="77777777" w:rsidTr="005D419B">
        <w:tc>
          <w:tcPr>
            <w:tcW w:w="3994" w:type="dxa"/>
            <w:shd w:val="clear" w:color="auto" w:fill="000000"/>
          </w:tcPr>
          <w:p w14:paraId="7D02E5F5" w14:textId="77777777" w:rsidR="00367F59" w:rsidRPr="004E7D24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367F59" w:rsidRPr="004E7D24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394BE4" w:rsidR="00367F59" w:rsidRPr="004E7D24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45E8FB9B" w:rsidR="00367F59" w:rsidRPr="004E7D24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379909E" w:rsidR="00367F59" w:rsidRPr="004E7D24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C59464" w14:textId="22F11A0C" w:rsidR="00367F59" w:rsidRPr="004E7D24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DACB53" w14:textId="701C4E89" w:rsidR="00367F59" w:rsidRPr="004E7D24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06297F5E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AE59F9F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21CEE0F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787881EA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403CD307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090281DE" w:rsidR="00367F59" w:rsidRPr="004E7D24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0DB2375C" w:rsidR="00367F59" w:rsidRPr="004E7D24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4E7D24" w:rsidRPr="004E7D24" w14:paraId="5E9F541B" w14:textId="77777777" w:rsidTr="005D419B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367F59" w:rsidRPr="004E7D24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Wskaźnik rentowności obrotu w przedsiębiorstwach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21771D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E39071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367F59" w:rsidRPr="004E7D24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52EF22C7" w14:textId="77777777" w:rsidTr="005D419B">
        <w:tc>
          <w:tcPr>
            <w:tcW w:w="3994" w:type="dxa"/>
            <w:shd w:val="clear" w:color="auto" w:fill="000000"/>
          </w:tcPr>
          <w:p w14:paraId="216A70D8" w14:textId="77777777" w:rsidR="00E90985" w:rsidRPr="004E7D24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brutto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 xml:space="preserve">c </w:t>
            </w:r>
            <w:r w:rsidRPr="004E7D2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2AC725C8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8234361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75F4155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A2C2B5" w14:textId="683A8529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144849" w14:textId="086DCAE5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34A9E85C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468BDEB5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383BA7E8" w:rsidR="00E90985" w:rsidRPr="004E7D24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4E7D24" w:rsidRPr="004E7D24" w14:paraId="14E9F495" w14:textId="77777777" w:rsidTr="005D419B">
        <w:tc>
          <w:tcPr>
            <w:tcW w:w="3994" w:type="dxa"/>
            <w:shd w:val="clear" w:color="auto" w:fill="000000"/>
          </w:tcPr>
          <w:p w14:paraId="3B161B6A" w14:textId="77777777" w:rsidR="00E90985" w:rsidRPr="004E7D24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93D98DB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F8466F0" w:rsidR="00E90985" w:rsidRPr="004E7D24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C6B5D4C" w:rsidR="00E90985" w:rsidRPr="004E7D24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CED3E9" w14:textId="32C12C80" w:rsidR="00E90985" w:rsidRPr="004E7D24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A478EF" w14:textId="70FC030A" w:rsidR="00E90985" w:rsidRPr="004E7D24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675FA86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0D5D5C1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6309521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6F15E64A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1532DEF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9A1DAC9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BAFFDA1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E7D24" w:rsidRPr="004E7D24" w14:paraId="631EEA7C" w14:textId="77777777" w:rsidTr="005D419B">
        <w:tc>
          <w:tcPr>
            <w:tcW w:w="3994" w:type="dxa"/>
            <w:shd w:val="clear" w:color="auto" w:fill="000000"/>
          </w:tcPr>
          <w:p w14:paraId="6E58C275" w14:textId="77777777" w:rsidR="00E90985" w:rsidRPr="004E7D24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netto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 xml:space="preserve">d </w:t>
            </w:r>
            <w:r w:rsidRPr="004E7D2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3AAB2BA0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6F67C92C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69CFBEEA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F4AE2A" w14:textId="7B30108A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CA80DC" w14:textId="1C93A586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FE34F4C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8A3937D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3E51F1C" w:rsidR="00E90985" w:rsidRPr="004E7D24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4E7D24" w:rsidRPr="004E7D24" w14:paraId="63F3BA07" w14:textId="77777777" w:rsidTr="005D419B">
        <w:tc>
          <w:tcPr>
            <w:tcW w:w="3994" w:type="dxa"/>
            <w:shd w:val="clear" w:color="auto" w:fill="000000"/>
          </w:tcPr>
          <w:p w14:paraId="34168E8F" w14:textId="77777777" w:rsidR="00E90985" w:rsidRPr="004E7D24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4B1E0BA2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556DCAF2" w:rsidR="00E90985" w:rsidRPr="004E7D24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DE6E615" w:rsidR="00E90985" w:rsidRPr="004E7D24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C82AA1B" w14:textId="37D50996" w:rsidR="00E90985" w:rsidRPr="004E7D24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C4BB94" w14:textId="0F0D8F45" w:rsidR="00E90985" w:rsidRPr="004E7D24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1445EC0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13C03F2D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74A2D80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09961D1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3DF179A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B7D602B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1DEC40C4" w:rsidR="00E90985" w:rsidRPr="004E7D24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4E7D24" w:rsidRPr="004E7D24" w14:paraId="0994815D" w14:textId="77777777" w:rsidTr="005D419B">
        <w:tc>
          <w:tcPr>
            <w:tcW w:w="3994" w:type="dxa"/>
            <w:vMerge w:val="restart"/>
            <w:shd w:val="clear" w:color="auto" w:fill="000000"/>
          </w:tcPr>
          <w:p w14:paraId="18348A11" w14:textId="77777777" w:rsidR="00E90985" w:rsidRPr="004E7D24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Nakłady inwestycyjne przedsiębiorstw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4E7D2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045E34D8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3F4F99D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E48FFC7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4CD8E45" w14:textId="06F352FB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CD7B54D" w14:textId="3BA32E67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414C67D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E90985" w:rsidRPr="004E7D24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EBF185D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0958E3C6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16D3E744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6ACF559" w:rsidR="00E90985" w:rsidRPr="004E7D24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4E7D24" w:rsidRPr="004E7D24" w14:paraId="43CF098F" w14:textId="77777777" w:rsidTr="005D419B">
        <w:tc>
          <w:tcPr>
            <w:tcW w:w="3994" w:type="dxa"/>
            <w:vMerge/>
            <w:shd w:val="clear" w:color="auto" w:fill="000000"/>
          </w:tcPr>
          <w:p w14:paraId="213382E3" w14:textId="77777777" w:rsidR="00E90985" w:rsidRPr="004E7D24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5AB12C47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00F83DF" w:rsidR="00E90985" w:rsidRPr="004E7D24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0E157352" w:rsidR="00E90985" w:rsidRPr="004E7D24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C01843" w14:textId="02DD863B" w:rsidR="00E90985" w:rsidRPr="004E7D24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6F8062" w14:textId="163E0EA1" w:rsidR="00E90985" w:rsidRPr="004E7D24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00B73B93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1F7904BB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5E0786E" w:rsidR="00E90985" w:rsidRPr="004E7D24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523B4EB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C7AFC09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D4789B6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534E48B1" w:rsidR="00E90985" w:rsidRPr="004E7D24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67F5C5D7" w14:textId="77777777" w:rsidTr="005D419B">
        <w:tc>
          <w:tcPr>
            <w:tcW w:w="3994" w:type="dxa"/>
            <w:vMerge w:val="restart"/>
            <w:shd w:val="clear" w:color="auto" w:fill="000000"/>
          </w:tcPr>
          <w:p w14:paraId="78AE928E" w14:textId="0A7BDD53" w:rsidR="00E90985" w:rsidRPr="004E7D24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anal</w:t>
            </w:r>
            <w:r w:rsidR="00675668" w:rsidRPr="004E7D24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4E7D24">
              <w:rPr>
                <w:rFonts w:ascii="Fira Sans" w:hAnsi="Fira Sans"/>
                <w:highlight w:val="black"/>
              </w:rPr>
              <w:t xml:space="preserve">100 </w:t>
            </w:r>
            <w:r w:rsidRPr="004E7D2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4E7D24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5BD4568B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E2E6799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DFDC261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138B3B" w14:textId="0943C456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D155F6" w14:textId="48FFCDC2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E90985" w:rsidRPr="004E7D24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035B7E2E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0CFF8DB2" w:rsidR="00E90985" w:rsidRPr="004E7D24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637AB317" w:rsidR="00E90985" w:rsidRPr="004E7D24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4E7D24" w:rsidRPr="004E7D24" w14:paraId="0CF23CC4" w14:textId="77777777" w:rsidTr="005D419B">
        <w:tc>
          <w:tcPr>
            <w:tcW w:w="3994" w:type="dxa"/>
            <w:vMerge/>
            <w:shd w:val="clear" w:color="auto" w:fill="000000"/>
          </w:tcPr>
          <w:p w14:paraId="5AB3B261" w14:textId="77777777" w:rsidR="00367F59" w:rsidRPr="004E7D24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67F59" w:rsidRPr="004E7D24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59FC853F" w:rsidR="00367F59" w:rsidRPr="004E7D24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1E42F9AD" w:rsidR="00367F59" w:rsidRPr="004E7D24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7F5D366" w:rsidR="00367F59" w:rsidRPr="004E7D24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195DC5" w14:textId="07732488" w:rsidR="00367F59" w:rsidRPr="004E7D24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2F31B3" w14:textId="65C3F1AE" w:rsidR="00367F59" w:rsidRPr="004E7D24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5878C2E6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C99199F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776A1AF5" w:rsidR="00367F59" w:rsidRPr="004E7D24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353F850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7EBEA885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2310CA4" w:rsidR="00367F59" w:rsidRPr="004E7D24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E9C0323" w:rsidR="00367F59" w:rsidRPr="004E7D24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533C91EF" w14:textId="77777777" w:rsidTr="005D419B">
        <w:tc>
          <w:tcPr>
            <w:tcW w:w="3994" w:type="dxa"/>
            <w:shd w:val="clear" w:color="auto" w:fill="000000"/>
          </w:tcPr>
          <w:p w14:paraId="4411DA68" w14:textId="77777777" w:rsidR="00FF1957" w:rsidRPr="004E7D24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Podmioty gospodarki narodowej</w:t>
            </w:r>
            <w:r w:rsidRPr="004E7D24">
              <w:rPr>
                <w:rFonts w:ascii="Fira Sans" w:hAnsi="Fira Sans"/>
                <w:highlight w:val="black"/>
                <w:vertAlign w:val="superscript"/>
              </w:rPr>
              <w:t>e</w:t>
            </w:r>
            <w:r w:rsidRPr="004E7D2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FF1957" w:rsidRPr="004E7D24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49265B85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7BCC4A9C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934A28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F0DE4B" w14:textId="0981CB5A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8CC853" w14:textId="185B3BA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3E2B2A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15F35C1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22C5EF9D" w:rsidR="00FF1957" w:rsidRPr="004E7D24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17AA2D4D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5F05589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403A9408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D1D5C68" w:rsidR="00FF1957" w:rsidRPr="004E7D24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196532</w:t>
            </w:r>
          </w:p>
        </w:tc>
      </w:tr>
      <w:tr w:rsidR="004E7D24" w:rsidRPr="004E7D24" w14:paraId="78B04BE1" w14:textId="77777777" w:rsidTr="005D419B">
        <w:tc>
          <w:tcPr>
            <w:tcW w:w="3994" w:type="dxa"/>
            <w:shd w:val="clear" w:color="auto" w:fill="000000"/>
          </w:tcPr>
          <w:p w14:paraId="55B74D66" w14:textId="77777777" w:rsidR="00FF1957" w:rsidRPr="004E7D24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FF1957" w:rsidRPr="004E7D24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D768915" w:rsidR="00FF1957" w:rsidRPr="004E7D24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633B1B89" w:rsidR="00FF1957" w:rsidRPr="004E7D24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1B94626A" w:rsidR="00FF1957" w:rsidRPr="004E7D24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197386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4B2734" w14:textId="2F61EB17" w:rsidR="00FF1957" w:rsidRPr="004E7D24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197800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2BE2B0" w14:textId="1AF06781" w:rsidR="00FF1957" w:rsidRPr="004E7D24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198406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E1B1B3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AED47A1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1909757F" w:rsidR="00FF1957" w:rsidRPr="004E7D24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41D810C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B9C9A4A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366D8EB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61F8CBB" w:rsidR="00FF1957" w:rsidRPr="004E7D24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410C41F4" w14:textId="77777777" w:rsidTr="005D419B">
        <w:tc>
          <w:tcPr>
            <w:tcW w:w="3994" w:type="dxa"/>
            <w:shd w:val="clear" w:color="auto" w:fill="000000"/>
          </w:tcPr>
          <w:p w14:paraId="1E5BDF44" w14:textId="77777777" w:rsidR="00FF1957" w:rsidRPr="004E7D24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FF1957" w:rsidRPr="004E7D24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7CF9F41C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32957959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E008AD3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0CCF0E" w14:textId="0B0A2C1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7007E2" w14:textId="7FDD036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2655EA1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6C3CC3BB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63C8C20D" w:rsidR="00FF1957" w:rsidRPr="004E7D24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70B8C791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18A2FF5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D06691A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43C0A38E" w:rsidR="00FF1957" w:rsidRPr="004E7D24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17451</w:t>
            </w:r>
          </w:p>
        </w:tc>
      </w:tr>
      <w:tr w:rsidR="004E7D24" w:rsidRPr="004E7D24" w14:paraId="6250BC86" w14:textId="77777777" w:rsidTr="005D419B">
        <w:tc>
          <w:tcPr>
            <w:tcW w:w="3994" w:type="dxa"/>
            <w:shd w:val="clear" w:color="auto" w:fill="000000"/>
          </w:tcPr>
          <w:p w14:paraId="0E4AF580" w14:textId="77777777" w:rsidR="00FF1957" w:rsidRPr="004E7D24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FF1957" w:rsidRPr="004E7D24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104D430F" w:rsidR="00FF1957" w:rsidRPr="004E7D24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2F640D88" w:rsidR="00FF1957" w:rsidRPr="004E7D24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49FCF75" w:rsidR="00FF1957" w:rsidRPr="004E7D24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17886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51E639" w14:textId="4FB2AE03" w:rsidR="00FF1957" w:rsidRPr="004E7D24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17942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F9DE78" w14:textId="09257444" w:rsidR="00FF1957" w:rsidRPr="004E7D24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17990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0FAE0FDD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7BD2E82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C7B7826" w:rsidR="00FF1957" w:rsidRPr="004E7D24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1193C1B8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E43940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01EBCDD2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400B05D7" w:rsidR="00FF1957" w:rsidRPr="004E7D24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4E7D24" w:rsidRPr="004E7D24" w14:paraId="7FEE8768" w14:textId="77777777" w:rsidTr="005D419B">
        <w:tc>
          <w:tcPr>
            <w:tcW w:w="3994" w:type="dxa"/>
            <w:shd w:val="clear" w:color="auto" w:fill="000000"/>
          </w:tcPr>
          <w:p w14:paraId="4E5D3D84" w14:textId="77777777" w:rsidR="00FF1957" w:rsidRPr="004E7D24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FF1957" w:rsidRPr="004E7D24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3C1D25B6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F135E5E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666CAF76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054264" w14:textId="3AD493F0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D0D56A" w14:textId="0977B3A2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EDB0FCB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3A00319D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BE47172" w:rsidR="00FF1957" w:rsidRPr="004E7D24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4E7D24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3E82D19A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5045BB5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554D7479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470AF9C7" w:rsidR="00FF1957" w:rsidRPr="004E7D24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2292</w:t>
            </w:r>
          </w:p>
        </w:tc>
      </w:tr>
      <w:tr w:rsidR="004E7D24" w:rsidRPr="004E7D24" w14:paraId="1FD1479C" w14:textId="77777777" w:rsidTr="005D419B">
        <w:tc>
          <w:tcPr>
            <w:tcW w:w="3994" w:type="dxa"/>
            <w:shd w:val="clear" w:color="auto" w:fill="000000"/>
          </w:tcPr>
          <w:p w14:paraId="7CCD9285" w14:textId="77777777" w:rsidR="00FF1957" w:rsidRPr="004E7D24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FF1957" w:rsidRPr="004E7D24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6FABCA8E" w:rsidR="00FF1957" w:rsidRPr="004E7D24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4552F870" w:rsidR="00FF1957" w:rsidRPr="004E7D24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1277AD05" w:rsidR="00FF1957" w:rsidRPr="004E7D24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2326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F70631" w14:textId="04626767" w:rsidR="00FF1957" w:rsidRPr="004E7D24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2331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B55081" w14:textId="71F11158" w:rsidR="00FF1957" w:rsidRPr="004E7D24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>2330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0BEFF52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1D9848D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49D4E82" w:rsidR="00FF1957" w:rsidRPr="004E7D24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5E81C95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343D7CC3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DE2E379" w:rsidR="00FF1957" w:rsidRPr="004E7D24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482FD3F3" w:rsidR="00FF1957" w:rsidRPr="004E7D24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4E7D24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4E7D24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 c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 </w:t>
      </w:r>
      <w:r w:rsidRPr="004E7D24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 </w:t>
      </w:r>
      <w:r w:rsidRPr="004E7D24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4E7D2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4E7D2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4E7D2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4E7D2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4E7D2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4E7D24" w:rsidRDefault="00E87F28">
      <w:pPr>
        <w:spacing w:line="230" w:lineRule="exact"/>
        <w:ind w:firstLine="454"/>
        <w:rPr>
          <w:highlight w:val="black"/>
        </w:rPr>
        <w:sectPr w:rsidR="00E87F28" w:rsidRPr="004E7D24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4E7D24" w14:paraId="6EB86DA4" w14:textId="77777777" w:rsidTr="004E7D24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4E7D2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E7D24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4E7D2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4E7D24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4E7D24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E7D24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4E7D24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4E7D24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4E7D24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4E7D24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4E7D24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4E7D24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4E7D24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4E7D24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4E7D24" w14:paraId="5573F632" w14:textId="77777777" w:rsidTr="004E7D24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4E7D2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4E7D24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4E7D24" w:rsidRDefault="004B4DF6" w:rsidP="000378AF">
            <w:pPr>
              <w:rPr>
                <w:rFonts w:ascii="Fira Sans" w:hAnsi="Fira Sans"/>
                <w:highlight w:val="black"/>
              </w:rPr>
            </w:pPr>
            <w:r w:rsidRPr="004E7D24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4E7D24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4E7D24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48907417" w:rsidR="004B4DF6" w:rsidRPr="004E7D24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E7D24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29EAF59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="004B4DF6" w:rsidRPr="004E7D24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4E7D24" w14:paraId="153DF665" w14:textId="77777777" w:rsidTr="004E7D24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4E7D2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6C8C3F0E" w:rsidR="004B4DF6" w:rsidRPr="004E7D24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E7D24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6EF2567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history="1">
              <w:r w:rsidRPr="004E7D24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4E7D24" w14:paraId="4B82A92F" w14:textId="77777777" w:rsidTr="004E7D24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4E7D24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3199CFCB" w:rsidR="004B4DF6" w:rsidRPr="004E7D24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4E7D24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6DD40FF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history="1">
              <w:r w:rsidRPr="004E7D24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Pr="004E7D24" w:rsidRDefault="004B4DF6" w:rsidP="009B729B">
      <w:pPr>
        <w:rPr>
          <w:highlight w:val="black"/>
        </w:rPr>
      </w:pPr>
    </w:p>
    <w:p w14:paraId="23591FFA" w14:textId="77777777" w:rsidR="004B4DF6" w:rsidRPr="004E7D24" w:rsidRDefault="004B4DF6" w:rsidP="009B729B">
      <w:pPr>
        <w:rPr>
          <w:highlight w:val="black"/>
        </w:rPr>
      </w:pPr>
    </w:p>
    <w:p w14:paraId="5EDCF7F2" w14:textId="77777777" w:rsidR="00D667EC" w:rsidRPr="004E7D24" w:rsidRDefault="00D667EC" w:rsidP="009B729B">
      <w:pPr>
        <w:rPr>
          <w:highlight w:val="black"/>
        </w:rPr>
      </w:pPr>
    </w:p>
    <w:p w14:paraId="7BA6981A" w14:textId="77777777" w:rsidR="00D667EC" w:rsidRPr="004E7D24" w:rsidRDefault="00D667EC" w:rsidP="009B729B">
      <w:pPr>
        <w:rPr>
          <w:highlight w:val="black"/>
        </w:rPr>
      </w:pPr>
    </w:p>
    <w:p w14:paraId="41260B71" w14:textId="77777777" w:rsidR="00D667EC" w:rsidRPr="004E7D24" w:rsidRDefault="00D667EC" w:rsidP="009B729B">
      <w:pPr>
        <w:rPr>
          <w:highlight w:val="black"/>
        </w:rPr>
      </w:pPr>
    </w:p>
    <w:p w14:paraId="5E20F6F3" w14:textId="77777777" w:rsidR="00D667EC" w:rsidRPr="004E7D24" w:rsidRDefault="00D667EC" w:rsidP="009B729B">
      <w:pPr>
        <w:rPr>
          <w:highlight w:val="black"/>
        </w:rPr>
      </w:pPr>
    </w:p>
    <w:p w14:paraId="77AF758F" w14:textId="66F64835" w:rsidR="00111673" w:rsidRPr="004E7D24" w:rsidRDefault="004D19D0" w:rsidP="009B729B">
      <w:pPr>
        <w:rPr>
          <w:highlight w:val="black"/>
          <w:lang w:val="en-US"/>
        </w:rPr>
      </w:pPr>
      <w:r w:rsidRPr="004E7D2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956AE" w:rsidRPr="004E7D24" w:rsidRDefault="00E956AE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E956AE" w:rsidRPr="004E7D24" w:rsidRDefault="00E956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E7D2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05AC63E6" w:rsidR="00E956AE" w:rsidRPr="004E7D24" w:rsidRDefault="00E956AE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4E7D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4E7D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"https://stat.gov.pl/obszary-tematyczne/inne-opracowania/informacje-o-sytuacji-spoleczno-gospodarczej/sytuacja-spoleczno-gospodarcza-kraju-w-maju-2022-r-,1,121.html"</w:instrText>
                            </w:r>
                            <w:r w:rsidRPr="004E7D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4E7D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maju 2022 r.</w:t>
                            </w:r>
                          </w:p>
                          <w:p w14:paraId="39D90BB6" w14:textId="760F3A0A" w:rsidR="00E956AE" w:rsidRPr="004E7D24" w:rsidRDefault="00E956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4E7D2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E956AE" w:rsidRPr="004E7D24" w:rsidRDefault="00E956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E7D2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E956AE" w:rsidRPr="004E7D24" w:rsidRDefault="008638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E956AE" w:rsidRPr="004E7D2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E956AE" w:rsidRPr="004E7D24" w:rsidRDefault="00E956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E956AE" w:rsidRPr="004E7D24" w:rsidRDefault="00E956A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E7D2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E956AE" w:rsidRPr="004E7D24" w:rsidRDefault="008638D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E956AE" w:rsidRPr="004E7D2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956AE" w:rsidRPr="004E7D24" w:rsidRDefault="00E956AE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8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itLgIAAFEEAAAOAAAAZHJzL2Uyb0RvYy54bWysVFFv0zAQfkfiP1h+p2mjplujptPoGEIa&#10;MGnwAxzHaazZPmO7Tcqv5+x0oYw3RB4sn+/8+e777rK5GbQiR+G8BFPRxWxOiTAcGmn2Ff3+7f7d&#10;NSU+MNMwBUZU9CQ8vdm+fbPpbSly6EA1whEEMb7sbUW7EGyZZZ53QjM/AysMOltwmgU03T5rHOsR&#10;Xassn89XWQ+usQ648B5P70Yn3Sb8thU8fG1bLwJRFcXcQlpdWuu4ZtsNK/eO2U7ycxrsH7LQTBp8&#10;dIK6Y4GRg5N/QWnJHXhow4yDzqBtJRepBqxmMX9VzVPHrEi1IDneTjT5/wfLvxwfHZENapdTYphG&#10;jR5BCRLEsw/QC5JHjnrrSwx9shgchvcwYHyq19sH4M+eGNh1zOzFrXPQd4I1mOMi3swuro44PoLU&#10;/Wdo8C12CJCAhtbpSCBSQhAdtTpN+oghEI6Hq6JYFwW6OPry5dWqmCcFM1a+XLfOh48CNImbijps&#10;gATPjg8+xHRY+RISX/OgZHMvlUqG29c75ciRxWZJX6rgVZgypK/ousiLkYE/IGLfigmk3o8cvELQ&#10;MmDTK6krej09w8pI2wfTpJYMTKpxjxkrc+YxUjeSGIZ6SLJN8tTQnJBYB2OP40zipgP3k5Ie+7ui&#10;/seBOUGJ+mRQnPViuYwDkYxlcZWj4S499aWHGY5QFQ2UjNtdSEMUaTNwiyK2MtEb1R4zOaeMfZtY&#10;P89YHIxLO0X9/hNsfwE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p0Iit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E956AE" w:rsidRPr="004E7D24" w:rsidRDefault="00E956AE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E956AE" w:rsidRPr="004E7D24" w:rsidRDefault="00E956A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E7D2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05AC63E6" w:rsidR="00E956AE" w:rsidRPr="004E7D24" w:rsidRDefault="00E956AE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4E7D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4E7D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"https://stat.gov.pl/obszary-tematyczne/inne-opracowania/informacje-o-sytuacji-spoleczno-gospodarczej/sytuacja-spoleczno-gospodarcza-kraju-w-maju-2022-r-,1,121.html"</w:instrText>
                      </w:r>
                      <w:r w:rsidRPr="004E7D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4E7D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maju 2022 r.</w:t>
                      </w:r>
                    </w:p>
                    <w:p w14:paraId="39D90BB6" w14:textId="760F3A0A" w:rsidR="00E956AE" w:rsidRPr="004E7D24" w:rsidRDefault="00E956A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4E7D24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E956AE" w:rsidRPr="004E7D24" w:rsidRDefault="00E956A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E7D2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E956AE" w:rsidRPr="004E7D24" w:rsidRDefault="00AE5F7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7" w:history="1">
                        <w:r w:rsidR="00E956AE" w:rsidRPr="004E7D2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E956AE" w:rsidRPr="004E7D24" w:rsidRDefault="00E956A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E956AE" w:rsidRPr="004E7D24" w:rsidRDefault="00E956A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4E7D2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E956AE" w:rsidRPr="004E7D24" w:rsidRDefault="00AE5F7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history="1">
                        <w:r w:rsidR="00E956AE" w:rsidRPr="004E7D2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956AE" w:rsidRPr="004E7D24" w:rsidRDefault="00E956AE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4E7D24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B3C3A" w14:textId="77777777" w:rsidR="008638DD" w:rsidRDefault="008638DD" w:rsidP="00502C57">
      <w:r>
        <w:separator/>
      </w:r>
    </w:p>
  </w:endnote>
  <w:endnote w:type="continuationSeparator" w:id="0">
    <w:p w14:paraId="260378A7" w14:textId="77777777" w:rsidR="008638DD" w:rsidRDefault="008638D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956AE" w:rsidRDefault="00E956AE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C2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64F1654" w14:textId="77777777" w:rsidR="00E956AE" w:rsidRDefault="00E956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956AE" w:rsidRDefault="00E956AE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5C6C29">
          <w:rPr>
            <w:noProof/>
            <w:color w:val="000000" w:themeColor="text1"/>
            <w:szCs w:val="19"/>
          </w:rPr>
          <w:t>13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956AE" w:rsidRDefault="00E956A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956AE" w:rsidRDefault="00E956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C29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956AE" w:rsidRDefault="00E956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93F96" w14:textId="77777777" w:rsidR="008638DD" w:rsidRDefault="008638DD" w:rsidP="00502C57">
      <w:r>
        <w:separator/>
      </w:r>
    </w:p>
  </w:footnote>
  <w:footnote w:type="continuationSeparator" w:id="0">
    <w:p w14:paraId="68E69A0C" w14:textId="77777777" w:rsidR="008638DD" w:rsidRDefault="008638DD" w:rsidP="00502C57">
      <w:r>
        <w:continuationSeparator/>
      </w:r>
    </w:p>
  </w:footnote>
  <w:footnote w:id="1">
    <w:p w14:paraId="68D6A85A" w14:textId="77777777" w:rsidR="00E956AE" w:rsidRPr="00BB5D72" w:rsidRDefault="00E956AE" w:rsidP="00F74D7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E0562A9" w14:textId="77777777" w:rsidR="00E956AE" w:rsidRPr="00BB5D72" w:rsidRDefault="00E956AE" w:rsidP="00F74D7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4E12FEB" w14:textId="77777777" w:rsidR="00E956AE" w:rsidRPr="005D5750" w:rsidRDefault="00E956AE" w:rsidP="00D26B30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2ED2E13" w14:textId="77777777" w:rsidR="00E956AE" w:rsidRPr="004D4843" w:rsidRDefault="00E956AE" w:rsidP="009B15C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42A84BE" w14:textId="77777777" w:rsidR="00E956AE" w:rsidRPr="00F15BE1" w:rsidRDefault="00E956AE" w:rsidP="006607D6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79FFA275" w:rsidR="00E956AE" w:rsidRPr="00545956" w:rsidRDefault="00E956AE" w:rsidP="004805F5">
      <w:pPr>
        <w:spacing w:before="120"/>
        <w:rPr>
          <w:szCs w:val="19"/>
        </w:rPr>
      </w:pPr>
      <w:r w:rsidRPr="004805F5">
        <w:rPr>
          <w:spacing w:val="-4"/>
          <w:szCs w:val="19"/>
          <w:vertAlign w:val="superscript"/>
        </w:rPr>
        <w:footnoteRef/>
      </w:r>
      <w:r w:rsidRPr="00545956">
        <w:rPr>
          <w:spacing w:val="-4"/>
          <w:szCs w:val="19"/>
        </w:rPr>
        <w:t xml:space="preserve"> </w:t>
      </w:r>
      <w:r w:rsidRPr="00545956">
        <w:rPr>
          <w:szCs w:val="19"/>
        </w:rPr>
        <w:t>Badanie zostało przeprowadzone od 1 do 10 czerwca na próbie jednostek przemysłowych, budowlanych, handlowych i usługowych. Pytania zostały podzielone na dwie sekcje – pytań dotyczących wpływu wojny na Ukrainie na koniunkturę gospodarczą oraz pytań dotyczących inwestycji.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  <w:p w14:paraId="7EB827AD" w14:textId="77777777" w:rsidR="00E956AE" w:rsidRPr="00F113EC" w:rsidRDefault="00E956AE" w:rsidP="00E53851">
      <w:pPr>
        <w:rPr>
          <w:szCs w:val="19"/>
        </w:rPr>
      </w:pPr>
    </w:p>
  </w:footnote>
  <w:footnote w:id="7">
    <w:p w14:paraId="79D7242F" w14:textId="12E0A030" w:rsidR="00E956AE" w:rsidRDefault="00E956AE" w:rsidP="004805F5">
      <w:pPr>
        <w:spacing w:before="120"/>
        <w:rPr>
          <w:szCs w:val="19"/>
        </w:rPr>
      </w:pPr>
      <w:r w:rsidRPr="00EF043A">
        <w:rPr>
          <w:rStyle w:val="Odwoanieprzypisudolnego"/>
        </w:rPr>
        <w:footnoteRef/>
      </w:r>
      <w:r w:rsidRPr="00EF043A">
        <w:t xml:space="preserve"> </w:t>
      </w:r>
      <w:r w:rsidRPr="000664BF">
        <w:t>Dopuszczalne było równoczesne zaznaczenie po jednej odpowiedzi dla każdego z war</w:t>
      </w:r>
      <w:r>
        <w:t>iantów („odpływ” i „napływ”), w </w:t>
      </w:r>
      <w:r w:rsidRPr="000664BF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E956AE" w:rsidRDefault="00E956AE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177F04EA" w:rsidR="00E956AE" w:rsidRDefault="00E956AE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08E0E16B" w:rsidR="00E956AE" w:rsidRPr="00AF15B1" w:rsidRDefault="00E956AE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3634797F" w:rsidR="00E956AE" w:rsidRDefault="00E956AE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6AB10C" wp14:editId="4F65F7BC">
              <wp:simplePos x="0" y="0"/>
              <wp:positionH relativeFrom="page">
                <wp:align>right</wp:align>
              </wp:positionH>
              <wp:positionV relativeFrom="paragraph">
                <wp:posOffset>5991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634059" w14:textId="77777777" w:rsidR="00E956AE" w:rsidRPr="00A7182C" w:rsidRDefault="00E956AE" w:rsidP="00032ED5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6AB10C" id="Schemat blokowy: opóźnienie 6" o:spid="_x0000_s1029" alt="Tytuł: Pole tekstowe — opis: Napis &quot;Informacja sygnalna&quot;" style="position:absolute;margin-left:110.95pt;margin-top:.45pt;width:162.15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IzZgYAAE0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cu5EzuI4gJKdKFyL9AiZ5/Y5nqGWPn3n//8RTMC&#10;/9DYQUvCE0jhW1xmHH33ec3Ej6+pKlHyB0b8+pLinGI9ASnPRA5ez1lOkCCfuGAbItO+KfkM0C/K&#10;86q+4jCUOdymVYHSPCt/AUaprEKe0FYV7XpXNLIVKIEvfTeKgQkOSmAuiMYhjMHhSPuR/pI1Fz8T&#10;VsgxvnrDhS76EkaqZMs68IRRyjNBPoKztMiBB9+PkIs2aOz5Xthw5ebq39urV92rP3qG78AduxM7&#10;gGniIhuAbwDojVsjME3qPdlQAgOlZximSb0xG0pooNjzZK7uCRAdBNBebdt8mxcb5MUBEHVat5wH&#10;pJE3DgIvmEKZLRD3J1Lt2A4xkEq9QxlIJi/wJ+64R8oegFOWohxJZeXtV0Iq2aEsxX7KdPJg+4Hn&#10;BeMw6NOjPNcLPOtpZLYcf+pOoklghzGNDjvw6v3bIQZSqncoQ/uUNwnDILLHM5BYPWpv9ql+tb95&#10;AB5ALnvVTY70roZpZIdocUTfGPZCtIz0853tQcHkSO9QTKOeDzsmR7z/iFiyJ1rqbhLLXpQjqZ4u&#10;qXoU2+RgT9q2+fHYdIpdP/LjPgegnatmuwmieBxGsbwduiFMIztEq91ox3aIltHhdOodysAeNZnC&#10;39gezkNwqrsmbQra+vmtFtXtvL3c5tykR+9CmEb/b06pFtVdj6dMpygcx556WOuO4cgpeHXX+/YY&#10;2Kcen1N9y37/PuXDCxFfttoAum78KO86J/7UV6nqhhjQq7RjexRDzz+3ZygPwavuZA3sVT2rfn9a&#10;6XpH0dh7hPeegRvGUShf4gVBJ8QQSinHdojBlOoZykBKeXE0UcdHd8IG0qpH1Y+UsrL2K6FUj2I/&#10;eTpF8GvAo3Qo33dj3aG6IQZ0KO1YdqhuiKF06hvK0A41gZ9aFae6w3kITnUjDGxR3c4HPKD3LcSR&#10;U81v+L431e/Qu2typJSthxwp1VDqiXcoUL9cNvoWvGokL8mW1poXGCEsJVqu0teUjEt9jSmAATFN&#10;cwkKFy2oASulp+k2BpKYxt5BxnBKmcb+QcZw9JjG6mdMyES/bcPdbxqHByHDWWEaR6ax3kGd+AoU&#10;aVKLlistmnAQCKkqB4EWbSFt8KzEQtarGaKNFDXpxxO0mjv6nbkqWsGuyHumFoob6iiA3M/m1FwV&#10;6OND7bepa7MiWS+y5CfypbU+mMbxFFRfEF/9WqBUcLtdwYQXTNxA1QoCuDWr9UFNSloYdyI24YLj&#10;cBJ5jWSmdmzsp06GzpuGNaLbz8oKtGCbgLVLOIsBqrW8WdD8by68lbWccaJvEFk8JT3bVVFB7+Vn&#10;nOXZ8lWW57JsSuRIXuQVusJAicVlc6u0VuXqnqNMWmkU+c1Iyue0YE6NxHVOpM+c/kpS0PNJYZxi&#10;yQ0QnCSECq2q4yu8JBo7cuGvrtDOQkWiHErPKeDvfNcOpFJwH0DjW++yXi9NiRJi7ox1z9nB6B20&#10;jXcWCplRsTMuMsqquyLLIaoaWa9vkqRTI7MktostLJHDBVteg/CxYloRysvkVVZx8QZzcY4rkP4B&#10;KUDWKt7BR5ozuAvhblMjB61Y9eWu7+V6UGbCrIM2ICmdO/zzGlfEQflrCprN2AtBRYiEugijiQ8X&#10;lTmzMGfounjBgBbQTmF3aijXi7wZphUrPoD69UyiwhSmCWBD2xbQUPTFCwHXMAXizIScnakx6E6B&#10;nW/oRZk08soSIn+//YCrEsnh3BEgrnzLGvnpXjUJbN6vlaWh7GwtWJpJSaWipM5rfQGaVcWhWl8r&#10;RbHmtVq1VwGf/gsAAP//AwBQSwMEFAAGAAgAAAAhAM61oKrbAAAABAEAAA8AAABkcnMvZG93bnJl&#10;di54bWxMj81OwzAQhO9IvIO1SFwQdWhoKCGbKkLiBEIQfs7beJtExOsodtvw9pgTHEczmvmm2Mx2&#10;UAeefO8E4WqRgGJpnOmlRXh/e7hcg/KBxNDghBG+2cOmPD0pKDfuKK98qEOrYon4nBC6EMZca990&#10;bMkv3MgSvZ2bLIUop1abiY6x3A56mSSZttRLXOho5PuOm696bxE+1x9PVfVY78ILrdLsouM6C8+I&#10;52dzdQcq8Bz+wvCLH9GhjExbtxfj1YAQjwSEW1DRS5fXKagtwuomAV0W+j98+QMAAP//AwBQSwEC&#10;LQAUAAYACAAAACEAtoM4kv4AAADhAQAAEwAAAAAAAAAAAAAAAAAAAAAAW0NvbnRlbnRfVHlwZXNd&#10;LnhtbFBLAQItABQABgAIAAAAIQA4/SH/1gAAAJQBAAALAAAAAAAAAAAAAAAAAC8BAABfcmVscy8u&#10;cmVsc1BLAQItABQABgAIAAAAIQCSKKIzZgYAAE0sAAAOAAAAAAAAAAAAAAAAAC4CAABkcnMvZTJv&#10;RG9jLnhtbFBLAQItABQABgAIAAAAIQDOtaCq2wAAAAQBAAAPAAAAAAAAAAAAAAAAAMAIAABkcnMv&#10;ZG93bnJldi54bWxQSwUGAAAAAAQABADzAAAAyAkAAAAA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5634059" w14:textId="77777777" w:rsidR="00E956AE" w:rsidRPr="00A7182C" w:rsidRDefault="00E956AE" w:rsidP="00032ED5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17B2768" wp14:editId="7CA3AD80">
          <wp:extent cx="1395467" cy="432000"/>
          <wp:effectExtent l="0" t="0" r="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E956AE" w:rsidRDefault="00E956AE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42E0D39C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C6DA0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15DDCDE0" w:rsidR="00E956AE" w:rsidRPr="00285307" w:rsidRDefault="00E956AE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E956AE" w:rsidRPr="008926DD" w:rsidRDefault="00E956AE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E956AE" w:rsidRPr="008926DD" w:rsidRDefault="00E956AE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49E6DD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5E3F8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8CB08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22B90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CEE086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70EDF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28B66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C2503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946B8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50F26A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343E8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70470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3"/>
  </w:num>
  <w:num w:numId="13">
    <w:abstractNumId w:val="18"/>
  </w:num>
  <w:num w:numId="14">
    <w:abstractNumId w:val="16"/>
  </w:num>
  <w:num w:numId="15">
    <w:abstractNumId w:val="10"/>
  </w:num>
  <w:num w:numId="16">
    <w:abstractNumId w:val="20"/>
  </w:num>
  <w:num w:numId="17">
    <w:abstractNumId w:val="12"/>
  </w:num>
  <w:num w:numId="18">
    <w:abstractNumId w:val="14"/>
  </w:num>
  <w:num w:numId="19">
    <w:abstractNumId w:val="11"/>
  </w:num>
  <w:num w:numId="20">
    <w:abstractNumId w:val="19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2ED5"/>
    <w:rsid w:val="000333C5"/>
    <w:rsid w:val="00033848"/>
    <w:rsid w:val="0003454D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C0B7C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186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80799"/>
    <w:rsid w:val="001809E3"/>
    <w:rsid w:val="00180BDA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2E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4E3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E9D"/>
    <w:rsid w:val="00296FBD"/>
    <w:rsid w:val="00297482"/>
    <w:rsid w:val="002975DA"/>
    <w:rsid w:val="00297A4C"/>
    <w:rsid w:val="002A0775"/>
    <w:rsid w:val="002A102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63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16E7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36"/>
    <w:rsid w:val="003A158F"/>
    <w:rsid w:val="003A1652"/>
    <w:rsid w:val="003A188D"/>
    <w:rsid w:val="003A1916"/>
    <w:rsid w:val="003A1DDC"/>
    <w:rsid w:val="003A1F1A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1F16"/>
    <w:rsid w:val="003C21F8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C3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E3A"/>
    <w:rsid w:val="00434112"/>
    <w:rsid w:val="0043418F"/>
    <w:rsid w:val="004346EB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57BBF"/>
    <w:rsid w:val="0046057E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DF2"/>
    <w:rsid w:val="004E1873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E7D24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AA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7D0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C29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96C"/>
    <w:rsid w:val="005D3B74"/>
    <w:rsid w:val="005D419B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CCB"/>
    <w:rsid w:val="0062545B"/>
    <w:rsid w:val="00625E83"/>
    <w:rsid w:val="00625EA9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4CEE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1E0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22DE"/>
    <w:rsid w:val="007922F4"/>
    <w:rsid w:val="00792D58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989"/>
    <w:rsid w:val="007B4C1B"/>
    <w:rsid w:val="007B4C64"/>
    <w:rsid w:val="007B4F89"/>
    <w:rsid w:val="007B50AB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D56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1D"/>
    <w:rsid w:val="007E22F0"/>
    <w:rsid w:val="007E2540"/>
    <w:rsid w:val="007E256F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7EA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592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0755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8DD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443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4F17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58D9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3B55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D88"/>
    <w:rsid w:val="009B5D9E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133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5D"/>
    <w:rsid w:val="00A31E68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69E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2F30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410"/>
    <w:rsid w:val="00AD46A1"/>
    <w:rsid w:val="00AD4D73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71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531E"/>
    <w:rsid w:val="00AF56CF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2866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BB0"/>
    <w:rsid w:val="00BF425B"/>
    <w:rsid w:val="00BF4277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BB6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4B63"/>
    <w:rsid w:val="00C6591C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62D8"/>
    <w:rsid w:val="00CA6C5F"/>
    <w:rsid w:val="00CA7075"/>
    <w:rsid w:val="00CA720A"/>
    <w:rsid w:val="00CA7474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4D"/>
    <w:rsid w:val="00CB1753"/>
    <w:rsid w:val="00CB1867"/>
    <w:rsid w:val="00CB1E3E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DC5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4A8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B88"/>
    <w:rsid w:val="00DC3FA5"/>
    <w:rsid w:val="00DC40C1"/>
    <w:rsid w:val="00DC43D4"/>
    <w:rsid w:val="00DC4630"/>
    <w:rsid w:val="00DC596C"/>
    <w:rsid w:val="00DC603E"/>
    <w:rsid w:val="00DC66BF"/>
    <w:rsid w:val="00DC66F8"/>
    <w:rsid w:val="00DC6C67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872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D44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5E7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6AE"/>
    <w:rsid w:val="00E95880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C7E8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4E6"/>
    <w:rsid w:val="00EE17F6"/>
    <w:rsid w:val="00EE1C99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5D25"/>
    <w:rsid w:val="00EF664C"/>
    <w:rsid w:val="00EF6D23"/>
    <w:rsid w:val="00EF6D3D"/>
    <w:rsid w:val="00EF6E2A"/>
    <w:rsid w:val="00EF6FDB"/>
    <w:rsid w:val="00EF72EA"/>
    <w:rsid w:val="00EF778E"/>
    <w:rsid w:val="00EF793D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29D"/>
    <w:rsid w:val="00F15415"/>
    <w:rsid w:val="00F1543F"/>
    <w:rsid w:val="00F1549A"/>
    <w:rsid w:val="00F1562E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4E7D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7D2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4E7D24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4E7D24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4E7D2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E7D2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7D2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7D2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4E7D24"/>
    <w:pPr>
      <w:numPr>
        <w:numId w:val="20"/>
      </w:numPr>
    </w:pPr>
  </w:style>
  <w:style w:type="paragraph" w:styleId="Bezodstpw">
    <w:name w:val="No Spacing"/>
    <w:uiPriority w:val="1"/>
    <w:rsid w:val="004E7D2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E7D24"/>
  </w:style>
  <w:style w:type="table" w:styleId="Ciemnalista">
    <w:name w:val="Dark List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4E7D2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E7D2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E7D2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7D2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E7D24"/>
  </w:style>
  <w:style w:type="character" w:customStyle="1" w:styleId="DataZnak">
    <w:name w:val="Data Znak"/>
    <w:basedOn w:val="Domylnaczcionkaakapitu"/>
    <w:link w:val="Data"/>
    <w:uiPriority w:val="99"/>
    <w:semiHidden/>
    <w:rsid w:val="004E7D24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E7D2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E7D2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4E7D2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E7D2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E7D2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E7D2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E7D2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E7D2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E7D2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7D2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7D2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4E7D2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E7D2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E7D2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E7D2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E7D2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E7D2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E7D2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E7D2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E7D2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E7D2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E7D2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E7D2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E7D2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E7D2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E7D2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E7D2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E7D2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E7D2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E7D2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E7D2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E7D2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E7D2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E7D24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E7D24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E7D24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E7D24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E7D24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E7D24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E7D24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E7D24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E7D24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4E7D2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E7D2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E7D2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E7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E7D2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E7D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4E7D24"/>
    <w:rPr>
      <w:color w:val="FFFFFF"/>
    </w:rPr>
  </w:style>
  <w:style w:type="character" w:styleId="Odwoaniedelikatne">
    <w:name w:val="Subtle Reference"/>
    <w:basedOn w:val="Domylnaczcionkaakapitu"/>
    <w:uiPriority w:val="31"/>
    <w:rsid w:val="004E7D2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E7D2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7D2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E7D2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E7D2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E7D2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E7D2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4E7D2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E7D2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4E7D2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4E7D2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E7D2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E7D2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E7D2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E7D2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E7D2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E7D2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E7D2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E7D2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E7D2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E7D2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E7D2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E7D2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E7D2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E7D2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E7D2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E7D2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E7D2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E7D2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E7D2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E7D2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E7D2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E7D2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4E7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E7D2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E7D2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E7D2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E7D2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E7D2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4E7D2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4E7D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7D2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4E7D2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4E7D2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E7D2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E7D2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4E7D2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4E7D2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E7D2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E7D2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E7D2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E7D24"/>
    <w:rPr>
      <w:color w:val="FFFFFF"/>
    </w:rPr>
  </w:style>
  <w:style w:type="table" w:styleId="Zwykatabela1">
    <w:name w:val="Plain Table 1"/>
    <w:basedOn w:val="Standardowy"/>
    <w:uiPriority w:val="41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E7D2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E7D2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E7D2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7D2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4.xml"/><Relationship Id="rId39" Type="http://schemas.openxmlformats.org/officeDocument/2006/relationships/image" Target="media/image8.png"/><Relationship Id="rId21" Type="http://schemas.openxmlformats.org/officeDocument/2006/relationships/chart" Target="charts/chart11.xml"/><Relationship Id="rId34" Type="http://schemas.openxmlformats.org/officeDocument/2006/relationships/footer" Target="footer3.xml"/><Relationship Id="rId42" Type="http://schemas.openxmlformats.org/officeDocument/2006/relationships/image" Target="media/image9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footer" Target="footer2.xml"/><Relationship Id="rId37" Type="http://schemas.microsoft.com/office/2007/relationships/hdphoto" Target="media/hdphoto1.wdp"/><Relationship Id="rId40" Type="http://schemas.microsoft.com/office/2007/relationships/hdphoto" Target="media/hdphoto2.wdp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chart" Target="charts/chart16.xml"/><Relationship Id="rId36" Type="http://schemas.openxmlformats.org/officeDocument/2006/relationships/image" Target="media/image7.png"/><Relationship Id="rId49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footer" Target="footer1.xml"/><Relationship Id="rId44" Type="http://schemas.openxmlformats.org/officeDocument/2006/relationships/hyperlink" Target="https://www.facebook.com/USRzeszow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chart" Target="charts/chart15.xml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eader" Target="header2.xml"/><Relationship Id="rId43" Type="http://schemas.microsoft.com/office/2007/relationships/hdphoto" Target="media/hdphoto3.wdp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3.xml"/><Relationship Id="rId33" Type="http://schemas.openxmlformats.org/officeDocument/2006/relationships/header" Target="header1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3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5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EGON\Wykres%20podmioty%2005.202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6_kontras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6_kontrast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1.xlsx" TargetMode="Externa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1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2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1.xlsx" TargetMode="Externa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chartUserShapes" Target="../drawings/drawing3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1.xlsx" TargetMode="Externa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chartUserShapes" Target="../drawings/drawing4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1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5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5.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5_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5_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olnictwo\wykresy_rolnictwo_05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olnictwo\wykresy_rolnictwo_05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5_202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2022\05-2022\wykres_mieszkania_05_2022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zatrudnienie_dynamika!$C$16:$C$56</c:f>
              <c:numCache>
                <c:formatCode>0.0</c:formatCode>
                <c:ptCount val="41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 formatCode="General">
                  <c:v>112.7</c:v>
                </c:pt>
                <c:pt idx="28">
                  <c:v>113</c:v>
                </c:pt>
                <c:pt idx="29" formatCode="General">
                  <c:v>113.3</c:v>
                </c:pt>
                <c:pt idx="30" formatCode="General">
                  <c:v>113.3</c:v>
                </c:pt>
                <c:pt idx="31" formatCode="General">
                  <c:v>113.1</c:v>
                </c:pt>
                <c:pt idx="32">
                  <c:v>113</c:v>
                </c:pt>
                <c:pt idx="33" formatCode="General">
                  <c:v>113.1</c:v>
                </c:pt>
                <c:pt idx="34" formatCode="General">
                  <c:v>113.3</c:v>
                </c:pt>
                <c:pt idx="35" formatCode="General">
                  <c:v>113.3</c:v>
                </c:pt>
                <c:pt idx="36">
                  <c:v>115</c:v>
                </c:pt>
                <c:pt idx="37" formatCode="General">
                  <c:v>115.2</c:v>
                </c:pt>
                <c:pt idx="38" formatCode="General">
                  <c:v>115.4</c:v>
                </c:pt>
                <c:pt idx="39" formatCode="General">
                  <c:v>115.6</c:v>
                </c:pt>
                <c:pt idx="40" formatCode="General">
                  <c:v>115.5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zatrudnienie_dynamika!$D$16:$D$56</c:f>
              <c:numCache>
                <c:formatCode>0.0</c:formatCode>
                <c:ptCount val="41"/>
                <c:pt idx="0">
                  <c:v>110.3</c:v>
                </c:pt>
                <c:pt idx="1">
                  <c:v>110.4</c:v>
                </c:pt>
                <c:pt idx="2">
                  <c:v>110.8</c:v>
                </c:pt>
                <c:pt idx="3">
                  <c:v>110.7</c:v>
                </c:pt>
                <c:pt idx="4">
                  <c:v>110.5</c:v>
                </c:pt>
                <c:pt idx="5">
                  <c:v>110.8</c:v>
                </c:pt>
                <c:pt idx="6">
                  <c:v>110.7</c:v>
                </c:pt>
                <c:pt idx="7">
                  <c:v>110.6</c:v>
                </c:pt>
                <c:pt idx="8">
                  <c:v>110.6</c:v>
                </c:pt>
                <c:pt idx="9">
                  <c:v>110.5</c:v>
                </c:pt>
                <c:pt idx="10">
                  <c:v>110.8</c:v>
                </c:pt>
                <c:pt idx="11">
                  <c:v>110.8</c:v>
                </c:pt>
                <c:pt idx="12">
                  <c:v>112.8</c:v>
                </c:pt>
                <c:pt idx="13">
                  <c:v>112.5</c:v>
                </c:pt>
                <c:pt idx="14">
                  <c:v>111.7</c:v>
                </c:pt>
                <c:pt idx="15">
                  <c:v>107.2</c:v>
                </c:pt>
                <c:pt idx="16">
                  <c:v>105.6</c:v>
                </c:pt>
                <c:pt idx="17">
                  <c:v>105.5</c:v>
                </c:pt>
                <c:pt idx="18">
                  <c:v>107.3</c:v>
                </c:pt>
                <c:pt idx="19">
                  <c:v>108.8</c:v>
                </c:pt>
                <c:pt idx="20">
                  <c:v>109.2</c:v>
                </c:pt>
                <c:pt idx="21">
                  <c:v>108.8</c:v>
                </c:pt>
                <c:pt idx="22">
                  <c:v>108.4</c:v>
                </c:pt>
                <c:pt idx="23">
                  <c:v>108.5</c:v>
                </c:pt>
                <c:pt idx="24">
                  <c:v>108.5</c:v>
                </c:pt>
                <c:pt idx="25">
                  <c:v>108.8</c:v>
                </c:pt>
                <c:pt idx="26">
                  <c:v>108.8</c:v>
                </c:pt>
                <c:pt idx="27" formatCode="General">
                  <c:v>108.8</c:v>
                </c:pt>
                <c:pt idx="28" formatCode="General">
                  <c:v>109.5</c:v>
                </c:pt>
                <c:pt idx="29" formatCode="General">
                  <c:v>110.3</c:v>
                </c:pt>
                <c:pt idx="30" formatCode="General">
                  <c:v>110.5</c:v>
                </c:pt>
                <c:pt idx="31" formatCode="General">
                  <c:v>110.5</c:v>
                </c:pt>
                <c:pt idx="32" formatCode="General">
                  <c:v>110.3</c:v>
                </c:pt>
                <c:pt idx="33" formatCode="General">
                  <c:v>110.3</c:v>
                </c:pt>
                <c:pt idx="34" formatCode="General">
                  <c:v>110.4</c:v>
                </c:pt>
                <c:pt idx="35" formatCode="General">
                  <c:v>110.5</c:v>
                </c:pt>
                <c:pt idx="36" formatCode="General">
                  <c:v>112.4</c:v>
                </c:pt>
                <c:pt idx="37" formatCode="General">
                  <c:v>112.8</c:v>
                </c:pt>
                <c:pt idx="38" formatCode="General">
                  <c:v>112.9</c:v>
                </c:pt>
                <c:pt idx="39" formatCode="General">
                  <c:v>113.1</c:v>
                </c:pt>
                <c:pt idx="40" formatCode="General">
                  <c:v>112.9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5816656"/>
        <c:axId val="-1745816112"/>
      </c:lineChart>
      <c:catAx>
        <c:axId val="-1745816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6112"/>
        <c:crossesAt val="100"/>
        <c:auto val="1"/>
        <c:lblAlgn val="ctr"/>
        <c:lblOffset val="10"/>
        <c:tickLblSkip val="1"/>
        <c:noMultiLvlLbl val="0"/>
      </c:catAx>
      <c:valAx>
        <c:axId val="-174581611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6656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22</c:v>
                </c:pt>
                <c:pt idx="1">
                  <c:v>31</c:v>
                </c:pt>
                <c:pt idx="2">
                  <c:v>80</c:v>
                </c:pt>
                <c:pt idx="3">
                  <c:v>53</c:v>
                </c:pt>
                <c:pt idx="4">
                  <c:v>72</c:v>
                </c:pt>
                <c:pt idx="5">
                  <c:v>31</c:v>
                </c:pt>
                <c:pt idx="6">
                  <c:v>53</c:v>
                </c:pt>
                <c:pt idx="7">
                  <c:v>21</c:v>
                </c:pt>
                <c:pt idx="8">
                  <c:v>34</c:v>
                </c:pt>
                <c:pt idx="9">
                  <c:v>37</c:v>
                </c:pt>
                <c:pt idx="10">
                  <c:v>53</c:v>
                </c:pt>
                <c:pt idx="11">
                  <c:v>72</c:v>
                </c:pt>
                <c:pt idx="12">
                  <c:v>36</c:v>
                </c:pt>
                <c:pt idx="13">
                  <c:v>52</c:v>
                </c:pt>
                <c:pt idx="14">
                  <c:v>45</c:v>
                </c:pt>
                <c:pt idx="15">
                  <c:v>26</c:v>
                </c:pt>
                <c:pt idx="16">
                  <c:v>104</c:v>
                </c:pt>
                <c:pt idx="17">
                  <c:v>44</c:v>
                </c:pt>
                <c:pt idx="18">
                  <c:v>76</c:v>
                </c:pt>
                <c:pt idx="19">
                  <c:v>30</c:v>
                </c:pt>
                <c:pt idx="20">
                  <c:v>29</c:v>
                </c:pt>
                <c:pt idx="21">
                  <c:v>32</c:v>
                </c:pt>
                <c:pt idx="22">
                  <c:v>33</c:v>
                </c:pt>
                <c:pt idx="23">
                  <c:v>267</c:v>
                </c:pt>
                <c:pt idx="24">
                  <c:v>19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4</c:v>
                </c:pt>
                <c:pt idx="1">
                  <c:v>13</c:v>
                </c:pt>
                <c:pt idx="2">
                  <c:v>43</c:v>
                </c:pt>
                <c:pt idx="3">
                  <c:v>23</c:v>
                </c:pt>
                <c:pt idx="4">
                  <c:v>34</c:v>
                </c:pt>
                <c:pt idx="5">
                  <c:v>15</c:v>
                </c:pt>
                <c:pt idx="6">
                  <c:v>28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14</c:v>
                </c:pt>
                <c:pt idx="11">
                  <c:v>38</c:v>
                </c:pt>
                <c:pt idx="12">
                  <c:v>20</c:v>
                </c:pt>
                <c:pt idx="13">
                  <c:v>19</c:v>
                </c:pt>
                <c:pt idx="14">
                  <c:v>17</c:v>
                </c:pt>
                <c:pt idx="15">
                  <c:v>25</c:v>
                </c:pt>
                <c:pt idx="16">
                  <c:v>57</c:v>
                </c:pt>
                <c:pt idx="17">
                  <c:v>31</c:v>
                </c:pt>
                <c:pt idx="18">
                  <c:v>25</c:v>
                </c:pt>
                <c:pt idx="19">
                  <c:v>7</c:v>
                </c:pt>
                <c:pt idx="20">
                  <c:v>11</c:v>
                </c:pt>
                <c:pt idx="21">
                  <c:v>21</c:v>
                </c:pt>
                <c:pt idx="22">
                  <c:v>17</c:v>
                </c:pt>
                <c:pt idx="23">
                  <c:v>110</c:v>
                </c:pt>
                <c:pt idx="24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745920512"/>
        <c:axId val="-1745935744"/>
      </c:barChart>
      <c:catAx>
        <c:axId val="-1745920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5744"/>
        <c:crosses val="autoZero"/>
        <c:auto val="1"/>
        <c:lblAlgn val="ctr"/>
        <c:lblOffset val="100"/>
        <c:noMultiLvlLbl val="0"/>
      </c:catAx>
      <c:valAx>
        <c:axId val="-1745935744"/>
        <c:scaling>
          <c:orientation val="minMax"/>
          <c:max val="27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745920512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06 2021</c:v>
                </c:pt>
                <c:pt idx="1">
                  <c:v>05 2022</c:v>
                </c:pt>
                <c:pt idx="2">
                  <c:v>Informacja i komunikacja 06 2022</c:v>
                </c:pt>
                <c:pt idx="3">
                  <c:v>06 2021</c:v>
                </c:pt>
                <c:pt idx="4">
                  <c:v>05 2022</c:v>
                </c:pt>
                <c:pt idx="5">
                  <c:v>Zakwaterowanie i gastronomia 06 2022</c:v>
                </c:pt>
                <c:pt idx="6">
                  <c:v>06 2021</c:v>
                </c:pt>
                <c:pt idx="7">
                  <c:v>magazynowa 05 2022</c:v>
                </c:pt>
                <c:pt idx="8">
                  <c:v>Transport i gospodarka 06 2022</c:v>
                </c:pt>
                <c:pt idx="9">
                  <c:v>06 2021</c:v>
                </c:pt>
                <c:pt idx="10">
                  <c:v>05 2022</c:v>
                </c:pt>
                <c:pt idx="11">
                  <c:v>Handel detaliczny 06 2022</c:v>
                </c:pt>
                <c:pt idx="12">
                  <c:v>06 2021</c:v>
                </c:pt>
                <c:pt idx="13">
                  <c:v>05 2022</c:v>
                </c:pt>
                <c:pt idx="14">
                  <c:v>Handel hurtowy 06 2022</c:v>
                </c:pt>
                <c:pt idx="15">
                  <c:v>06 2021</c:v>
                </c:pt>
                <c:pt idx="16">
                  <c:v>05 2022</c:v>
                </c:pt>
                <c:pt idx="17">
                  <c:v>Budownictwo 06 2022</c:v>
                </c:pt>
                <c:pt idx="18">
                  <c:v>06 2021</c:v>
                </c:pt>
                <c:pt idx="19">
                  <c:v>05 2022</c:v>
                </c:pt>
                <c:pt idx="20">
                  <c:v>Przetwórstwo przemysłowe 06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-4.9000000000000004</c:v>
                </c:pt>
                <c:pt idx="1">
                  <c:v>-2.5</c:v>
                </c:pt>
                <c:pt idx="2">
                  <c:v>-7.2</c:v>
                </c:pt>
                <c:pt idx="3">
                  <c:v>-19.899999999999999</c:v>
                </c:pt>
                <c:pt idx="4">
                  <c:v>-51.9</c:v>
                </c:pt>
                <c:pt idx="5">
                  <c:v>-50.6</c:v>
                </c:pt>
                <c:pt idx="6">
                  <c:v>-9.8000000000000007</c:v>
                </c:pt>
                <c:pt idx="7">
                  <c:v>-48.6</c:v>
                </c:pt>
                <c:pt idx="8">
                  <c:v>-52.2</c:v>
                </c:pt>
                <c:pt idx="9">
                  <c:v>-15.3</c:v>
                </c:pt>
                <c:pt idx="10">
                  <c:v>-19.100000000000001</c:v>
                </c:pt>
                <c:pt idx="11">
                  <c:v>-17.600000000000001</c:v>
                </c:pt>
                <c:pt idx="12">
                  <c:v>-4.4000000000000004</c:v>
                </c:pt>
                <c:pt idx="13">
                  <c:v>-6.6</c:v>
                </c:pt>
                <c:pt idx="14">
                  <c:v>-10.199999999999999</c:v>
                </c:pt>
                <c:pt idx="15">
                  <c:v>-19.100000000000001</c:v>
                </c:pt>
                <c:pt idx="16">
                  <c:v>-23</c:v>
                </c:pt>
                <c:pt idx="17">
                  <c:v>-21.6</c:v>
                </c:pt>
                <c:pt idx="18">
                  <c:v>-9.4</c:v>
                </c:pt>
                <c:pt idx="19">
                  <c:v>-10</c:v>
                </c:pt>
                <c:pt idx="20">
                  <c:v>-11.8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06 2021</c:v>
                </c:pt>
                <c:pt idx="1">
                  <c:v>05 2022</c:v>
                </c:pt>
                <c:pt idx="2">
                  <c:v>Informacja i komunikacja 06 2022</c:v>
                </c:pt>
                <c:pt idx="3">
                  <c:v>06 2021</c:v>
                </c:pt>
                <c:pt idx="4">
                  <c:v>05 2022</c:v>
                </c:pt>
                <c:pt idx="5">
                  <c:v>Zakwaterowanie i gastronomia 06 2022</c:v>
                </c:pt>
                <c:pt idx="6">
                  <c:v>06 2021</c:v>
                </c:pt>
                <c:pt idx="7">
                  <c:v>magazynowa 05 2022</c:v>
                </c:pt>
                <c:pt idx="8">
                  <c:v>Transport i gospodarka 06 2022</c:v>
                </c:pt>
                <c:pt idx="9">
                  <c:v>06 2021</c:v>
                </c:pt>
                <c:pt idx="10">
                  <c:v>05 2022</c:v>
                </c:pt>
                <c:pt idx="11">
                  <c:v>Handel detaliczny 06 2022</c:v>
                </c:pt>
                <c:pt idx="12">
                  <c:v>06 2021</c:v>
                </c:pt>
                <c:pt idx="13">
                  <c:v>05 2022</c:v>
                </c:pt>
                <c:pt idx="14">
                  <c:v>Handel hurtowy 06 2022</c:v>
                </c:pt>
                <c:pt idx="15">
                  <c:v>06 2021</c:v>
                </c:pt>
                <c:pt idx="16">
                  <c:v>05 2022</c:v>
                </c:pt>
                <c:pt idx="17">
                  <c:v>Budownictwo 06 2022</c:v>
                </c:pt>
                <c:pt idx="18">
                  <c:v>06 2021</c:v>
                </c:pt>
                <c:pt idx="19">
                  <c:v>05 2022</c:v>
                </c:pt>
                <c:pt idx="20">
                  <c:v>Przetwórstwo przemysłowe 06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32.1</c:v>
                </c:pt>
                <c:pt idx="1">
                  <c:v>32.200000000000003</c:v>
                </c:pt>
                <c:pt idx="2">
                  <c:v>37.200000000000003</c:v>
                </c:pt>
                <c:pt idx="3">
                  <c:v>33.6</c:v>
                </c:pt>
                <c:pt idx="4">
                  <c:v>12.3</c:v>
                </c:pt>
                <c:pt idx="5">
                  <c:v>14.9</c:v>
                </c:pt>
                <c:pt idx="6">
                  <c:v>17.2</c:v>
                </c:pt>
                <c:pt idx="7">
                  <c:v>0.9</c:v>
                </c:pt>
                <c:pt idx="8">
                  <c:v>1.5</c:v>
                </c:pt>
                <c:pt idx="9">
                  <c:v>16.600000000000001</c:v>
                </c:pt>
                <c:pt idx="10">
                  <c:v>12.6</c:v>
                </c:pt>
                <c:pt idx="11">
                  <c:v>9.6999999999999993</c:v>
                </c:pt>
                <c:pt idx="12">
                  <c:v>24.9</c:v>
                </c:pt>
                <c:pt idx="13">
                  <c:v>17.2</c:v>
                </c:pt>
                <c:pt idx="14">
                  <c:v>16.3</c:v>
                </c:pt>
                <c:pt idx="15">
                  <c:v>17.399999999999999</c:v>
                </c:pt>
                <c:pt idx="16">
                  <c:v>11.1</c:v>
                </c:pt>
                <c:pt idx="17">
                  <c:v>10.3</c:v>
                </c:pt>
                <c:pt idx="18">
                  <c:v>16.399999999999999</c:v>
                </c:pt>
                <c:pt idx="19">
                  <c:v>12.5</c:v>
                </c:pt>
                <c:pt idx="20">
                  <c:v>13.2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745934112"/>
        <c:axId val="-1745925952"/>
      </c:barChart>
      <c:catAx>
        <c:axId val="-174593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59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745925952"/>
        <c:scaling>
          <c:orientation val="minMax"/>
          <c:max val="6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411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6201823900824155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7382771629529634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7230523835945863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061655445031609"/>
                  <c:y val="1.555480247170859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5700524802652751E-2"/>
                  <c:y val="1.512963787176425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3267959228806279E-2"/>
                  <c:y val="-1.453233345680389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6.8506080321423413E-2"/>
                  <c:y val="2.790531563597780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7.5507980257675814E-2"/>
                  <c:y val="2.281371029325572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9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6.8627249745411789E-2"/>
                  <c:y val="2.7998644451779618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9335325451646303E-2"/>
                  <c:y val="2.356552574610165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1181918343726535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9.4293626248857176E-2"/>
                  <c:y val="1.3480828809651112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4822932973500905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0759364572228247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075628013462329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9.1943425135173465E-2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3515283338339215"/>
                  <c:y val="1.1406855146869307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1636514459343975"/>
                  <c:y val="-2.7697918269675476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7.484651063208346E-2"/>
                  <c:y val="2.633842853356373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5.8840004714351281E-2"/>
                  <c:y val="8.29589465209299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9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5.7651484954465461E-2"/>
                  <c:y val="1.03698683150860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9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9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06 2021</c:v>
                </c:pt>
                <c:pt idx="1">
                  <c:v>05 2022</c:v>
                </c:pt>
                <c:pt idx="2">
                  <c:v>Informacja i komunikacja 06 2022</c:v>
                </c:pt>
                <c:pt idx="3">
                  <c:v>06 2021</c:v>
                </c:pt>
                <c:pt idx="4">
                  <c:v>05 2022</c:v>
                </c:pt>
                <c:pt idx="5">
                  <c:v>Zakwaterowanie i gastronomia 06 2022</c:v>
                </c:pt>
                <c:pt idx="6">
                  <c:v>06 2021</c:v>
                </c:pt>
                <c:pt idx="7">
                  <c:v>magazynowa 05 2022</c:v>
                </c:pt>
                <c:pt idx="8">
                  <c:v>Transport i gospodarka 06 2022</c:v>
                </c:pt>
                <c:pt idx="9">
                  <c:v>06 2021</c:v>
                </c:pt>
                <c:pt idx="10">
                  <c:v>05 2022</c:v>
                </c:pt>
                <c:pt idx="11">
                  <c:v>Handel detaliczny 06 2022</c:v>
                </c:pt>
                <c:pt idx="12">
                  <c:v>06 2021</c:v>
                </c:pt>
                <c:pt idx="13">
                  <c:v>05 2022</c:v>
                </c:pt>
                <c:pt idx="14">
                  <c:v>Handel hurtowy 06 2022</c:v>
                </c:pt>
                <c:pt idx="15">
                  <c:v>06 2021</c:v>
                </c:pt>
                <c:pt idx="16">
                  <c:v>05 2022</c:v>
                </c:pt>
                <c:pt idx="17">
                  <c:v>Budownictwo 06 2022</c:v>
                </c:pt>
                <c:pt idx="18">
                  <c:v>06 2021</c:v>
                </c:pt>
                <c:pt idx="19">
                  <c:v>05 2022</c:v>
                </c:pt>
                <c:pt idx="20">
                  <c:v>Przetwórstwo przemysłowe 06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27.2</c:v>
                </c:pt>
                <c:pt idx="1">
                  <c:v>29.8</c:v>
                </c:pt>
                <c:pt idx="2">
                  <c:v>30</c:v>
                </c:pt>
                <c:pt idx="3">
                  <c:v>13.7</c:v>
                </c:pt>
                <c:pt idx="4">
                  <c:v>-39.700000000000003</c:v>
                </c:pt>
                <c:pt idx="5">
                  <c:v>-35.700000000000003</c:v>
                </c:pt>
                <c:pt idx="6">
                  <c:v>7.5</c:v>
                </c:pt>
                <c:pt idx="7">
                  <c:v>-47.7</c:v>
                </c:pt>
                <c:pt idx="8">
                  <c:v>-50.7</c:v>
                </c:pt>
                <c:pt idx="9">
                  <c:v>1.5</c:v>
                </c:pt>
                <c:pt idx="10">
                  <c:v>-6.5</c:v>
                </c:pt>
                <c:pt idx="11">
                  <c:v>-7.9</c:v>
                </c:pt>
                <c:pt idx="12">
                  <c:v>20.399999999999999</c:v>
                </c:pt>
                <c:pt idx="13">
                  <c:v>10.7</c:v>
                </c:pt>
                <c:pt idx="14">
                  <c:v>6.1</c:v>
                </c:pt>
                <c:pt idx="15">
                  <c:v>-1.7</c:v>
                </c:pt>
                <c:pt idx="16">
                  <c:v>-11.9</c:v>
                </c:pt>
                <c:pt idx="17">
                  <c:v>-11.3</c:v>
                </c:pt>
                <c:pt idx="18">
                  <c:v>7</c:v>
                </c:pt>
                <c:pt idx="19">
                  <c:v>2.4</c:v>
                </c:pt>
                <c:pt idx="20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745931936"/>
        <c:axId val="-1745930848"/>
      </c:barChart>
      <c:catAx>
        <c:axId val="-174593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74593084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745930848"/>
        <c:scaling>
          <c:orientation val="minMax"/>
          <c:max val="60"/>
          <c:min val="-60"/>
        </c:scaling>
        <c:delete val="0"/>
        <c:axPos val="b"/>
        <c:majorGridlines>
          <c:spPr>
            <a:ln w="6350" cap="flat" cmpd="sng" algn="ctr">
              <a:solidFill>
                <a:srgbClr val="89898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174593193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69455638088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'18'!$B$16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'18'!$C$16:$G$16</c:f>
              <c:numCache>
                <c:formatCode>0.0</c:formatCode>
                <c:ptCount val="5"/>
                <c:pt idx="0">
                  <c:v>11.8</c:v>
                </c:pt>
                <c:pt idx="1">
                  <c:v>8.6</c:v>
                </c:pt>
                <c:pt idx="2">
                  <c:v>2.4</c:v>
                </c:pt>
                <c:pt idx="3">
                  <c:v>7</c:v>
                </c:pt>
                <c:pt idx="4">
                  <c:v>17.399999999999999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'18'!$B$17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'18'!$C$17:$G$17</c:f>
              <c:numCache>
                <c:formatCode>0.0</c:formatCode>
                <c:ptCount val="5"/>
                <c:pt idx="0">
                  <c:v>58.7</c:v>
                </c:pt>
                <c:pt idx="1">
                  <c:v>59</c:v>
                </c:pt>
                <c:pt idx="2">
                  <c:v>54.4</c:v>
                </c:pt>
                <c:pt idx="3">
                  <c:v>81.7</c:v>
                </c:pt>
                <c:pt idx="4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'18'!$B$18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'18'!$C$18:$G$18</c:f>
              <c:numCache>
                <c:formatCode>0.0</c:formatCode>
                <c:ptCount val="5"/>
                <c:pt idx="0">
                  <c:v>27.7</c:v>
                </c:pt>
                <c:pt idx="1">
                  <c:v>28.3</c:v>
                </c:pt>
                <c:pt idx="2">
                  <c:v>25.2</c:v>
                </c:pt>
                <c:pt idx="3">
                  <c:v>6.8</c:v>
                </c:pt>
                <c:pt idx="4">
                  <c:v>13.7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'18'!$B$19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'18'!$C$19:$G$19</c:f>
              <c:numCache>
                <c:formatCode>0.0</c:formatCode>
                <c:ptCount val="5"/>
                <c:pt idx="0">
                  <c:v>1.8</c:v>
                </c:pt>
                <c:pt idx="1">
                  <c:v>4.0999999999999996</c:v>
                </c:pt>
                <c:pt idx="2">
                  <c:v>18</c:v>
                </c:pt>
                <c:pt idx="3">
                  <c:v>4.5</c:v>
                </c:pt>
                <c:pt idx="4">
                  <c:v>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45929760"/>
        <c:axId val="-1745924320"/>
      </c:barChart>
      <c:catAx>
        <c:axId val="-17459297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45924320"/>
        <c:crosses val="autoZero"/>
        <c:auto val="1"/>
        <c:lblAlgn val="ctr"/>
        <c:lblOffset val="100"/>
        <c:noMultiLvlLbl val="0"/>
      </c:catAx>
      <c:valAx>
        <c:axId val="-17459243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bg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976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15141053912250019"/>
          <c:w val="0.89669881889763781"/>
          <c:h val="0.4564768077697843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'18'!$B$22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'18'!$C$22:$G$22</c:f>
              <c:numCache>
                <c:formatCode>0.0</c:formatCode>
                <c:ptCount val="5"/>
                <c:pt idx="0">
                  <c:v>22.6</c:v>
                </c:pt>
                <c:pt idx="1">
                  <c:v>24.3</c:v>
                </c:pt>
                <c:pt idx="2">
                  <c:v>27.5</c:v>
                </c:pt>
                <c:pt idx="3">
                  <c:v>32.5</c:v>
                </c:pt>
                <c:pt idx="4">
                  <c:v>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4-4C60-B733-08AF9B3C0F11}"/>
            </c:ext>
          </c:extLst>
        </c:ser>
        <c:ser>
          <c:idx val="0"/>
          <c:order val="1"/>
          <c:tx>
            <c:strRef>
              <c:f>'18'!$B$23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'18'!$C$23:$G$23</c:f>
              <c:numCache>
                <c:formatCode>0.0</c:formatCode>
                <c:ptCount val="5"/>
                <c:pt idx="0">
                  <c:v>72.599999999999994</c:v>
                </c:pt>
                <c:pt idx="1">
                  <c:v>89.7</c:v>
                </c:pt>
                <c:pt idx="2">
                  <c:v>85.7</c:v>
                </c:pt>
                <c:pt idx="3">
                  <c:v>43.6</c:v>
                </c:pt>
                <c:pt idx="4">
                  <c:v>91.2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2"/>
          <c:tx>
            <c:strRef>
              <c:f>'18'!$B$24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'18'!$C$24:$G$24</c:f>
              <c:numCache>
                <c:formatCode>0.0</c:formatCode>
                <c:ptCount val="5"/>
                <c:pt idx="0">
                  <c:v>53</c:v>
                </c:pt>
                <c:pt idx="1">
                  <c:v>67.8</c:v>
                </c:pt>
                <c:pt idx="2">
                  <c:v>55.1</c:v>
                </c:pt>
                <c:pt idx="3">
                  <c:v>20.7</c:v>
                </c:pt>
                <c:pt idx="4">
                  <c:v>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2"/>
          <c:order val="3"/>
          <c:tx>
            <c:strRef>
              <c:f>'18'!$B$25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'18'!$C$25:$G$25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20.3</c:v>
                </c:pt>
                <c:pt idx="3">
                  <c:v>0</c:v>
                </c:pt>
                <c:pt idx="4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4-4C60-B733-08AF9B3C0F11}"/>
            </c:ext>
          </c:extLst>
        </c:ser>
        <c:ser>
          <c:idx val="4"/>
          <c:order val="4"/>
          <c:tx>
            <c:strRef>
              <c:f>'18'!$B$26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'18'!$C$26:$G$26</c:f>
              <c:numCache>
                <c:formatCode>0.0</c:formatCode>
                <c:ptCount val="5"/>
                <c:pt idx="0">
                  <c:v>4.3</c:v>
                </c:pt>
                <c:pt idx="1">
                  <c:v>13</c:v>
                </c:pt>
                <c:pt idx="2">
                  <c:v>0</c:v>
                </c:pt>
                <c:pt idx="3">
                  <c:v>0</c:v>
                </c:pt>
                <c:pt idx="4">
                  <c:v>11.5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ser>
          <c:idx val="5"/>
          <c:order val="5"/>
          <c:tx>
            <c:strRef>
              <c:f>'18'!$B$27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'18'!$C$27:$G$27</c:f>
              <c:numCache>
                <c:formatCode>0.0</c:formatCode>
                <c:ptCount val="5"/>
                <c:pt idx="0">
                  <c:v>11.5</c:v>
                </c:pt>
                <c:pt idx="1">
                  <c:v>0</c:v>
                </c:pt>
                <c:pt idx="2">
                  <c:v>0</c:v>
                </c:pt>
                <c:pt idx="3">
                  <c:v>2.2999999999999998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BB-4D8E-AD96-24357E6339F6}"/>
            </c:ext>
          </c:extLst>
        </c:ser>
        <c:ser>
          <c:idx val="6"/>
          <c:order val="6"/>
          <c:tx>
            <c:strRef>
              <c:f>'18'!$B$28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'18'!$C$28:$G$28</c:f>
              <c:numCache>
                <c:formatCode>0.0</c:formatCode>
                <c:ptCount val="5"/>
                <c:pt idx="0">
                  <c:v>17.100000000000001</c:v>
                </c:pt>
                <c:pt idx="1">
                  <c:v>0</c:v>
                </c:pt>
                <c:pt idx="2">
                  <c:v>51.6</c:v>
                </c:pt>
                <c:pt idx="3">
                  <c:v>0</c:v>
                </c:pt>
                <c:pt idx="4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745928672"/>
        <c:axId val="-1745927040"/>
      </c:barChart>
      <c:catAx>
        <c:axId val="-17459286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45927040"/>
        <c:crosses val="autoZero"/>
        <c:auto val="1"/>
        <c:lblAlgn val="ctr"/>
        <c:lblOffset val="100"/>
        <c:noMultiLvlLbl val="0"/>
      </c:catAx>
      <c:valAx>
        <c:axId val="-174592704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867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40220666861087"/>
          <c:y val="0.6483913314335733"/>
          <c:w val="0.69438490327597935"/>
          <c:h val="0.3358982897706383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526897463039E-2"/>
          <c:y val="0.20716831495382659"/>
          <c:w val="0.89669881889763781"/>
          <c:h val="0.61701711976636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'18'!$B$31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'18'!$C$31:$G$31</c:f>
              <c:numCache>
                <c:formatCode>0.0</c:formatCode>
                <c:ptCount val="5"/>
                <c:pt idx="0">
                  <c:v>13.8</c:v>
                </c:pt>
                <c:pt idx="1">
                  <c:v>20.2</c:v>
                </c:pt>
                <c:pt idx="2">
                  <c:v>15.6</c:v>
                </c:pt>
                <c:pt idx="3">
                  <c:v>11.6</c:v>
                </c:pt>
                <c:pt idx="4">
                  <c:v>21.7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1"/>
          <c:order val="1"/>
          <c:tx>
            <c:strRef>
              <c:f>'18'!$B$34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'18'!$C$34:$G$34</c:f>
              <c:numCache>
                <c:formatCode>0.0</c:formatCode>
                <c:ptCount val="5"/>
                <c:pt idx="0">
                  <c:v>17.2</c:v>
                </c:pt>
                <c:pt idx="1">
                  <c:v>11.3</c:v>
                </c:pt>
                <c:pt idx="2">
                  <c:v>0</c:v>
                </c:pt>
                <c:pt idx="3">
                  <c:v>11.6</c:v>
                </c:pt>
                <c:pt idx="4">
                  <c:v>23.9</c:v>
                </c:pt>
              </c:numCache>
            </c:numRef>
          </c:val>
        </c:ser>
        <c:ser>
          <c:idx val="2"/>
          <c:order val="2"/>
          <c:tx>
            <c:strRef>
              <c:f>'18'!$B$37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'18'!$C$37:$G$37</c:f>
              <c:numCache>
                <c:formatCode>0.0</c:formatCode>
                <c:ptCount val="5"/>
                <c:pt idx="0">
                  <c:v>79.3</c:v>
                </c:pt>
                <c:pt idx="1">
                  <c:v>79.8</c:v>
                </c:pt>
                <c:pt idx="2">
                  <c:v>84.4</c:v>
                </c:pt>
                <c:pt idx="3">
                  <c:v>69</c:v>
                </c:pt>
                <c:pt idx="4">
                  <c:v>76.099999999999994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745928128"/>
        <c:axId val="-1841731296"/>
      </c:barChart>
      <c:catAx>
        <c:axId val="-17459281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41731296"/>
        <c:crosses val="autoZero"/>
        <c:auto val="1"/>
        <c:lblAlgn val="ctr"/>
        <c:lblOffset val="100"/>
        <c:noMultiLvlLbl val="0"/>
      </c:catAx>
      <c:valAx>
        <c:axId val="-184173129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812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887451621300472E-2"/>
          <c:y val="0.86577311150897529"/>
          <c:w val="0.79263618285696258"/>
          <c:h val="8.644617112390559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526897463039E-2"/>
          <c:y val="0.20716831495382659"/>
          <c:w val="0.89669881889763781"/>
          <c:h val="0.61701711976636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'18'!$B$61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'18'!$C$61:$G$61</c:f>
              <c:numCache>
                <c:formatCode>0.0</c:formatCode>
                <c:ptCount val="5"/>
                <c:pt idx="0">
                  <c:v>40.1</c:v>
                </c:pt>
                <c:pt idx="1">
                  <c:v>56.8</c:v>
                </c:pt>
                <c:pt idx="2">
                  <c:v>18</c:v>
                </c:pt>
                <c:pt idx="3">
                  <c:v>14.5</c:v>
                </c:pt>
                <c:pt idx="4">
                  <c:v>38.700000000000003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1"/>
          <c:order val="1"/>
          <c:tx>
            <c:strRef>
              <c:f>'18'!$B$64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'18'!$C$64:$G$64</c:f>
              <c:numCache>
                <c:formatCode>0.0</c:formatCode>
                <c:ptCount val="5"/>
                <c:pt idx="0">
                  <c:v>52.4</c:v>
                </c:pt>
                <c:pt idx="1">
                  <c:v>35</c:v>
                </c:pt>
                <c:pt idx="2">
                  <c:v>74.8</c:v>
                </c:pt>
                <c:pt idx="3">
                  <c:v>76</c:v>
                </c:pt>
                <c:pt idx="4">
                  <c:v>44.1</c:v>
                </c:pt>
              </c:numCache>
            </c:numRef>
          </c:val>
        </c:ser>
        <c:ser>
          <c:idx val="2"/>
          <c:order val="2"/>
          <c:tx>
            <c:strRef>
              <c:f>'18'!$B$65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'18'!$C$65:$G$65</c:f>
              <c:numCache>
                <c:formatCode>0.0</c:formatCode>
                <c:ptCount val="5"/>
                <c:pt idx="0">
                  <c:v>7.5</c:v>
                </c:pt>
                <c:pt idx="1">
                  <c:v>8.1999999999999993</c:v>
                </c:pt>
                <c:pt idx="2">
                  <c:v>7.2</c:v>
                </c:pt>
                <c:pt idx="3">
                  <c:v>9.5</c:v>
                </c:pt>
                <c:pt idx="4">
                  <c:v>17.2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841721504"/>
        <c:axId val="-1841719328"/>
      </c:barChart>
      <c:catAx>
        <c:axId val="-1841721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41719328"/>
        <c:crosses val="autoZero"/>
        <c:auto val="1"/>
        <c:lblAlgn val="ctr"/>
        <c:lblOffset val="100"/>
        <c:noMultiLvlLbl val="0"/>
      </c:catAx>
      <c:valAx>
        <c:axId val="-184171932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4172150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887451621300472E-2"/>
          <c:y val="0.86574583768655977"/>
          <c:w val="0.89999996414400629"/>
          <c:h val="8.639902130839448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2256078432E-2"/>
          <c:y val="0.12332754867135572"/>
          <c:w val="0.89669881889763781"/>
          <c:h val="0.4634064866649718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'18'!$B$70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'18'!$C$70:$G$70</c:f>
              <c:numCache>
                <c:formatCode>0.0</c:formatCode>
                <c:ptCount val="5"/>
                <c:pt idx="0">
                  <c:v>40.9</c:v>
                </c:pt>
                <c:pt idx="1">
                  <c:v>82.8</c:v>
                </c:pt>
                <c:pt idx="2">
                  <c:v>79.099999999999994</c:v>
                </c:pt>
                <c:pt idx="3">
                  <c:v>57.7</c:v>
                </c:pt>
                <c:pt idx="4">
                  <c:v>67.3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4-4C60-B733-08AF9B3C0F11}"/>
            </c:ext>
          </c:extLst>
        </c:ser>
        <c:ser>
          <c:idx val="0"/>
          <c:order val="1"/>
          <c:tx>
            <c:strRef>
              <c:f>'18'!$B$71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'18'!$C$71:$G$71</c:f>
              <c:numCache>
                <c:formatCode>0.0</c:formatCode>
                <c:ptCount val="5"/>
                <c:pt idx="0">
                  <c:v>9.1</c:v>
                </c:pt>
                <c:pt idx="1">
                  <c:v>10.6</c:v>
                </c:pt>
                <c:pt idx="2">
                  <c:v>18</c:v>
                </c:pt>
                <c:pt idx="3">
                  <c:v>4.5</c:v>
                </c:pt>
                <c:pt idx="4">
                  <c:v>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2"/>
          <c:tx>
            <c:strRef>
              <c:f>'18'!$B$72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'18'!$C$72:$G$72</c:f>
              <c:numCache>
                <c:formatCode>0.0</c:formatCode>
                <c:ptCount val="5"/>
                <c:pt idx="0">
                  <c:v>9.1</c:v>
                </c:pt>
                <c:pt idx="1">
                  <c:v>6.5</c:v>
                </c:pt>
                <c:pt idx="2">
                  <c:v>20.3</c:v>
                </c:pt>
                <c:pt idx="3">
                  <c:v>6.8</c:v>
                </c:pt>
                <c:pt idx="4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2"/>
          <c:order val="3"/>
          <c:tx>
            <c:strRef>
              <c:f>'18'!$B$73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'18'!$C$73:$G$73</c:f>
              <c:numCache>
                <c:formatCode>0.0</c:formatCode>
                <c:ptCount val="5"/>
                <c:pt idx="0">
                  <c:v>4.3</c:v>
                </c:pt>
                <c:pt idx="1">
                  <c:v>17.5</c:v>
                </c:pt>
                <c:pt idx="2">
                  <c:v>20.3</c:v>
                </c:pt>
                <c:pt idx="3">
                  <c:v>2.2999999999999998</c:v>
                </c:pt>
                <c:pt idx="4">
                  <c:v>22.3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4-4C60-B733-08AF9B3C0F11}"/>
            </c:ext>
          </c:extLst>
        </c:ser>
        <c:ser>
          <c:idx val="4"/>
          <c:order val="4"/>
          <c:tx>
            <c:strRef>
              <c:f>'18'!$B$74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'18'!$C$74:$G$74</c:f>
              <c:numCache>
                <c:formatCode>0.0</c:formatCode>
                <c:ptCount val="5"/>
                <c:pt idx="0">
                  <c:v>27.9</c:v>
                </c:pt>
                <c:pt idx="1">
                  <c:v>17.899999999999999</c:v>
                </c:pt>
                <c:pt idx="2">
                  <c:v>36</c:v>
                </c:pt>
                <c:pt idx="3">
                  <c:v>7</c:v>
                </c:pt>
                <c:pt idx="4">
                  <c:v>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ser>
          <c:idx val="5"/>
          <c:order val="5"/>
          <c:tx>
            <c:strRef>
              <c:f>'18'!$B$75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'18'!$C$75:$G$75</c:f>
              <c:numCache>
                <c:formatCode>0.0</c:formatCode>
                <c:ptCount val="5"/>
                <c:pt idx="0">
                  <c:v>45.8</c:v>
                </c:pt>
                <c:pt idx="1">
                  <c:v>71.599999999999994</c:v>
                </c:pt>
                <c:pt idx="2">
                  <c:v>70.7</c:v>
                </c:pt>
                <c:pt idx="3">
                  <c:v>69.3</c:v>
                </c:pt>
                <c:pt idx="4">
                  <c:v>78.599999999999994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BB-4D8E-AD96-24357E6339F6}"/>
            </c:ext>
          </c:extLst>
        </c:ser>
        <c:ser>
          <c:idx val="6"/>
          <c:order val="6"/>
          <c:tx>
            <c:strRef>
              <c:f>'18'!$B$76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'18'!$C$76:$G$76</c:f>
              <c:numCache>
                <c:formatCode>0.0</c:formatCode>
                <c:ptCount val="5"/>
                <c:pt idx="0">
                  <c:v>23.8</c:v>
                </c:pt>
                <c:pt idx="1">
                  <c:v>32.6</c:v>
                </c:pt>
                <c:pt idx="2">
                  <c:v>54.4</c:v>
                </c:pt>
                <c:pt idx="3">
                  <c:v>39.1</c:v>
                </c:pt>
                <c:pt idx="4">
                  <c:v>43.7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BB-4D8E-AD96-24357E6339F6}"/>
            </c:ext>
          </c:extLst>
        </c:ser>
        <c:ser>
          <c:idx val="7"/>
          <c:order val="7"/>
          <c:tx>
            <c:strRef>
              <c:f>'18'!$B$77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'18'!$C$77:$G$77</c:f>
              <c:numCache>
                <c:formatCode>0.0</c:formatCode>
                <c:ptCount val="5"/>
                <c:pt idx="0">
                  <c:v>44.6</c:v>
                </c:pt>
                <c:pt idx="1">
                  <c:v>52</c:v>
                </c:pt>
                <c:pt idx="2">
                  <c:v>74.7</c:v>
                </c:pt>
                <c:pt idx="3">
                  <c:v>32</c:v>
                </c:pt>
                <c:pt idx="4">
                  <c:v>35.4</c:v>
                </c:pt>
              </c:numCache>
            </c:numRef>
          </c:val>
        </c:ser>
        <c:ser>
          <c:idx val="8"/>
          <c:order val="8"/>
          <c:tx>
            <c:strRef>
              <c:f>'18'!$B$78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36FE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'18'!$C$78:$G$78</c:f>
              <c:numCache>
                <c:formatCode>0.0</c:formatCode>
                <c:ptCount val="5"/>
                <c:pt idx="0">
                  <c:v>19</c:v>
                </c:pt>
                <c:pt idx="1">
                  <c:v>8.6</c:v>
                </c:pt>
                <c:pt idx="2">
                  <c:v>2.4</c:v>
                </c:pt>
                <c:pt idx="3">
                  <c:v>18.3</c:v>
                </c:pt>
                <c:pt idx="4">
                  <c:v>9.1</c:v>
                </c:pt>
              </c:numCache>
            </c:numRef>
          </c:val>
        </c:ser>
        <c:ser>
          <c:idx val="9"/>
          <c:order val="9"/>
          <c:tx>
            <c:strRef>
              <c:f>'18'!$B$79</c:f>
              <c:strCache>
                <c:ptCount val="1"/>
                <c:pt idx="0">
                  <c:v>firma nie odczuwa ograniczeń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'18'!$C$79:$G$79</c:f>
              <c:numCache>
                <c:formatCode>0.0</c:formatCode>
                <c:ptCount val="5"/>
                <c:pt idx="0">
                  <c:v>15.2</c:v>
                </c:pt>
                <c:pt idx="1">
                  <c:v>0</c:v>
                </c:pt>
                <c:pt idx="2">
                  <c:v>2.4</c:v>
                </c:pt>
                <c:pt idx="3">
                  <c:v>2.2999999999999998</c:v>
                </c:pt>
                <c:pt idx="4">
                  <c:v>10.4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841720960"/>
        <c:axId val="-1841729120"/>
      </c:barChart>
      <c:catAx>
        <c:axId val="-18417209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41729120"/>
        <c:crosses val="autoZero"/>
        <c:auto val="1"/>
        <c:lblAlgn val="ctr"/>
        <c:lblOffset val="100"/>
        <c:noMultiLvlLbl val="0"/>
      </c:catAx>
      <c:valAx>
        <c:axId val="-18417291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364015421111301E-2"/>
              <c:y val="5.87296876837606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4172096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397831448470725"/>
          <c:y val="0.62243501636302312"/>
          <c:w val="0.54932758279301286"/>
          <c:h val="0.3452404417357871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stopa!$B$111:$C$151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stopa!$D$111:$D$151</c:f>
              <c:numCache>
                <c:formatCode>0.0</c:formatCode>
                <c:ptCount val="41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>
                  <c:v>5.0999999999999996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stopa!$B$111:$C$151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stopa!$E$111:$E$151</c:f>
              <c:numCache>
                <c:formatCode>0.0</c:formatCode>
                <c:ptCount val="41"/>
                <c:pt idx="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8</c:v>
                </c:pt>
                <c:pt idx="5">
                  <c:v>7.9</c:v>
                </c:pt>
                <c:pt idx="6">
                  <c:v>7.9</c:v>
                </c:pt>
                <c:pt idx="7">
                  <c:v>7.8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>
                  <c:v>7.9</c:v>
                </c:pt>
                <c:pt idx="12">
                  <c:v>8.3000000000000007</c:v>
                </c:pt>
                <c:pt idx="13">
                  <c:v>8.3000000000000007</c:v>
                </c:pt>
                <c:pt idx="14">
                  <c:v>8.3000000000000007</c:v>
                </c:pt>
                <c:pt idx="15">
                  <c:v>8.6999999999999993</c:v>
                </c:pt>
                <c:pt idx="16">
                  <c:v>8.9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8.9</c:v>
                </c:pt>
                <c:pt idx="21">
                  <c:v>8.9</c:v>
                </c:pt>
                <c:pt idx="22">
                  <c:v>8.9</c:v>
                </c:pt>
                <c:pt idx="23">
                  <c:v>9.1</c:v>
                </c:pt>
                <c:pt idx="24">
                  <c:v>9.5</c:v>
                </c:pt>
                <c:pt idx="25" formatCode="General">
                  <c:v>9.5</c:v>
                </c:pt>
                <c:pt idx="26">
                  <c:v>9.1999999999999993</c:v>
                </c:pt>
                <c:pt idx="27">
                  <c:v>9</c:v>
                </c:pt>
                <c:pt idx="28">
                  <c:v>8.8000000000000007</c:v>
                </c:pt>
                <c:pt idx="29">
                  <c:v>8.5</c:v>
                </c:pt>
                <c:pt idx="30">
                  <c:v>8.5</c:v>
                </c:pt>
                <c:pt idx="31">
                  <c:v>8.5</c:v>
                </c:pt>
                <c:pt idx="32">
                  <c:v>8.3000000000000007</c:v>
                </c:pt>
                <c:pt idx="33">
                  <c:v>8.1</c:v>
                </c:pt>
                <c:pt idx="34">
                  <c:v>8.1</c:v>
                </c:pt>
                <c:pt idx="35">
                  <c:v>8.1999999999999993</c:v>
                </c:pt>
                <c:pt idx="36">
                  <c:v>8.4</c:v>
                </c:pt>
                <c:pt idx="37">
                  <c:v>8.3000000000000007</c:v>
                </c:pt>
                <c:pt idx="38">
                  <c:v>8.1</c:v>
                </c:pt>
                <c:pt idx="39">
                  <c:v>7.8</c:v>
                </c:pt>
                <c:pt idx="40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5815024"/>
        <c:axId val="-1745814480"/>
      </c:lineChart>
      <c:catAx>
        <c:axId val="-1745815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4480"/>
        <c:crosses val="autoZero"/>
        <c:auto val="1"/>
        <c:lblAlgn val="ctr"/>
        <c:lblOffset val="10"/>
        <c:noMultiLvlLbl val="0"/>
      </c:catAx>
      <c:valAx>
        <c:axId val="-1745814480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502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ofertę'!$B$111:$C$151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'na 1 ofertę'!$D$111:$D$151</c:f>
              <c:numCache>
                <c:formatCode>0</c:formatCode>
                <c:ptCount val="41"/>
                <c:pt idx="0">
                  <c:v>34</c:v>
                </c:pt>
                <c:pt idx="1">
                  <c:v>25</c:v>
                </c:pt>
                <c:pt idx="2">
                  <c:v>24</c:v>
                </c:pt>
                <c:pt idx="3">
                  <c:v>22</c:v>
                </c:pt>
                <c:pt idx="4">
                  <c:v>21</c:v>
                </c:pt>
                <c:pt idx="5">
                  <c:v>30</c:v>
                </c:pt>
                <c:pt idx="6">
                  <c:v>25</c:v>
                </c:pt>
                <c:pt idx="7">
                  <c:v>28</c:v>
                </c:pt>
                <c:pt idx="8">
                  <c:v>25</c:v>
                </c:pt>
                <c:pt idx="9">
                  <c:v>39</c:v>
                </c:pt>
                <c:pt idx="10">
                  <c:v>43</c:v>
                </c:pt>
                <c:pt idx="11">
                  <c:v>75</c:v>
                </c:pt>
                <c:pt idx="12">
                  <c:v>42</c:v>
                </c:pt>
                <c:pt idx="13">
                  <c:v>41</c:v>
                </c:pt>
                <c:pt idx="14">
                  <c:v>63</c:v>
                </c:pt>
                <c:pt idx="15">
                  <c:v>66</c:v>
                </c:pt>
                <c:pt idx="16">
                  <c:v>57</c:v>
                </c:pt>
                <c:pt idx="17">
                  <c:v>43</c:v>
                </c:pt>
                <c:pt idx="18">
                  <c:v>40</c:v>
                </c:pt>
                <c:pt idx="19">
                  <c:v>36</c:v>
                </c:pt>
                <c:pt idx="20">
                  <c:v>32</c:v>
                </c:pt>
                <c:pt idx="21">
                  <c:v>39</c:v>
                </c:pt>
                <c:pt idx="22">
                  <c:v>50</c:v>
                </c:pt>
                <c:pt idx="23">
                  <c:v>69</c:v>
                </c:pt>
                <c:pt idx="24">
                  <c:v>51</c:v>
                </c:pt>
                <c:pt idx="25">
                  <c:v>40</c:v>
                </c:pt>
                <c:pt idx="26">
                  <c:v>36</c:v>
                </c:pt>
                <c:pt idx="27">
                  <c:v>30</c:v>
                </c:pt>
                <c:pt idx="28">
                  <c:v>29</c:v>
                </c:pt>
                <c:pt idx="29">
                  <c:v>26</c:v>
                </c:pt>
                <c:pt idx="30">
                  <c:v>29</c:v>
                </c:pt>
                <c:pt idx="31">
                  <c:v>24</c:v>
                </c:pt>
                <c:pt idx="32">
                  <c:v>22</c:v>
                </c:pt>
                <c:pt idx="33">
                  <c:v>28</c:v>
                </c:pt>
                <c:pt idx="34">
                  <c:v>27</c:v>
                </c:pt>
                <c:pt idx="35">
                  <c:v>37</c:v>
                </c:pt>
                <c:pt idx="36">
                  <c:v>29</c:v>
                </c:pt>
                <c:pt idx="37">
                  <c:v>30</c:v>
                </c:pt>
                <c:pt idx="38">
                  <c:v>24</c:v>
                </c:pt>
                <c:pt idx="39">
                  <c:v>26</c:v>
                </c:pt>
                <c:pt idx="40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745815568"/>
        <c:axId val="-1745813392"/>
      </c:barChart>
      <c:catAx>
        <c:axId val="-1745815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3392"/>
        <c:crosses val="autoZero"/>
        <c:auto val="1"/>
        <c:lblAlgn val="ctr"/>
        <c:lblOffset val="10"/>
        <c:noMultiLvlLbl val="0"/>
      </c:catAx>
      <c:valAx>
        <c:axId val="-174581339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556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92997880034918"/>
          <c:y val="0"/>
          <c:w val="0.35136314949691361"/>
          <c:h val="0.90615900549291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Handel; naprawa pojazdów samochodowych∆</c:v>
                </c:pt>
                <c:pt idx="3">
                  <c:v>Budownictwo</c:v>
                </c:pt>
                <c:pt idx="4">
                  <c:v>Transport i gospodarka magazynowa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-26.6</c:v>
                </c:pt>
                <c:pt idx="1">
                  <c:v>-16.7</c:v>
                </c:pt>
                <c:pt idx="2">
                  <c:v>-7.1</c:v>
                </c:pt>
                <c:pt idx="3">
                  <c:v>-5.4</c:v>
                </c:pt>
                <c:pt idx="4">
                  <c:v>-3.8</c:v>
                </c:pt>
                <c:pt idx="5">
                  <c:v>-1</c:v>
                </c:pt>
                <c:pt idx="6">
                  <c:v>0</c:v>
                </c:pt>
                <c:pt idx="7">
                  <c:v>3</c:v>
                </c:pt>
                <c:pt idx="8">
                  <c:v>3.8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745812848"/>
        <c:axId val="-1745812304"/>
      </c:barChart>
      <c:catAx>
        <c:axId val="-17458128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2304"/>
        <c:crosses val="autoZero"/>
        <c:auto val="1"/>
        <c:lblAlgn val="ctr"/>
        <c:lblOffset val="0"/>
        <c:noMultiLvlLbl val="0"/>
      </c:catAx>
      <c:valAx>
        <c:axId val="-1745812304"/>
        <c:scaling>
          <c:orientation val="minMax"/>
          <c:max val="5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043789875617447"/>
              <c:y val="0.9349682017543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284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wynagrodzenia_dynamika!$C$17:$C$57</c:f>
              <c:numCache>
                <c:formatCode>0.0</c:formatCode>
                <c:ptCount val="41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 formatCode="General">
                  <c:v>135.5</c:v>
                </c:pt>
                <c:pt idx="26">
                  <c:v>144.30000000000001</c:v>
                </c:pt>
                <c:pt idx="27" formatCode="General">
                  <c:v>141.30000000000001</c:v>
                </c:pt>
                <c:pt idx="28" formatCode="General">
                  <c:v>137.19999999999999</c:v>
                </c:pt>
                <c:pt idx="29" formatCode="General">
                  <c:v>141.19999999999999</c:v>
                </c:pt>
                <c:pt idx="30" formatCode="General">
                  <c:v>142.5</c:v>
                </c:pt>
                <c:pt idx="31" formatCode="General">
                  <c:v>142.4</c:v>
                </c:pt>
                <c:pt idx="32" formatCode="General">
                  <c:v>142.4</c:v>
                </c:pt>
                <c:pt idx="33" formatCode="General">
                  <c:v>144.30000000000001</c:v>
                </c:pt>
                <c:pt idx="34" formatCode="General">
                  <c:v>146.9</c:v>
                </c:pt>
                <c:pt idx="35">
                  <c:v>162</c:v>
                </c:pt>
                <c:pt idx="36" formatCode="General">
                  <c:v>147.9</c:v>
                </c:pt>
                <c:pt idx="37" formatCode="General">
                  <c:v>151.69999999999999</c:v>
                </c:pt>
                <c:pt idx="38" formatCode="General">
                  <c:v>162.6</c:v>
                </c:pt>
                <c:pt idx="39" formatCode="General">
                  <c:v>161.6</c:v>
                </c:pt>
                <c:pt idx="40" formatCode="General">
                  <c:v>156.1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wynagrodzenia_dynamika!$D$17:$D$57</c:f>
              <c:numCache>
                <c:formatCode>0.0</c:formatCode>
                <c:ptCount val="41"/>
                <c:pt idx="0" formatCode="General">
                  <c:v>120.8</c:v>
                </c:pt>
                <c:pt idx="1">
                  <c:v>120</c:v>
                </c:pt>
                <c:pt idx="2">
                  <c:v>124</c:v>
                </c:pt>
                <c:pt idx="3">
                  <c:v>126.1</c:v>
                </c:pt>
                <c:pt idx="4">
                  <c:v>122.7</c:v>
                </c:pt>
                <c:pt idx="5">
                  <c:v>122.5</c:v>
                </c:pt>
                <c:pt idx="6">
                  <c:v>127.5</c:v>
                </c:pt>
                <c:pt idx="7">
                  <c:v>125.3</c:v>
                </c:pt>
                <c:pt idx="8">
                  <c:v>124.5</c:v>
                </c:pt>
                <c:pt idx="9">
                  <c:v>128.5</c:v>
                </c:pt>
                <c:pt idx="10">
                  <c:v>127.2</c:v>
                </c:pt>
                <c:pt idx="11">
                  <c:v>132.30000000000001</c:v>
                </c:pt>
                <c:pt idx="12">
                  <c:v>128.5</c:v>
                </c:pt>
                <c:pt idx="13">
                  <c:v>128.5</c:v>
                </c:pt>
                <c:pt idx="14">
                  <c:v>131.1</c:v>
                </c:pt>
                <c:pt idx="15">
                  <c:v>126.5</c:v>
                </c:pt>
                <c:pt idx="16">
                  <c:v>123.1</c:v>
                </c:pt>
                <c:pt idx="17">
                  <c:v>123.6</c:v>
                </c:pt>
                <c:pt idx="18">
                  <c:v>131</c:v>
                </c:pt>
                <c:pt idx="19">
                  <c:v>129.80000000000001</c:v>
                </c:pt>
                <c:pt idx="20">
                  <c:v>131.69999999999999</c:v>
                </c:pt>
                <c:pt idx="21">
                  <c:v>132.9</c:v>
                </c:pt>
                <c:pt idx="22">
                  <c:v>132.9</c:v>
                </c:pt>
                <c:pt idx="23">
                  <c:v>141.9</c:v>
                </c:pt>
                <c:pt idx="24">
                  <c:v>134.1</c:v>
                </c:pt>
                <c:pt idx="25" formatCode="General">
                  <c:v>135.6</c:v>
                </c:pt>
                <c:pt idx="26">
                  <c:v>144</c:v>
                </c:pt>
                <c:pt idx="27" formatCode="General">
                  <c:v>141.80000000000001</c:v>
                </c:pt>
                <c:pt idx="28" formatCode="General">
                  <c:v>138.80000000000001</c:v>
                </c:pt>
                <c:pt idx="29" formatCode="General">
                  <c:v>139.4</c:v>
                </c:pt>
                <c:pt idx="30" formatCode="General">
                  <c:v>143.69999999999999</c:v>
                </c:pt>
                <c:pt idx="31" formatCode="General">
                  <c:v>141.80000000000001</c:v>
                </c:pt>
                <c:pt idx="32" formatCode="General">
                  <c:v>142.9</c:v>
                </c:pt>
                <c:pt idx="33" formatCode="General">
                  <c:v>144.80000000000001</c:v>
                </c:pt>
                <c:pt idx="34" formatCode="General">
                  <c:v>145.5</c:v>
                </c:pt>
                <c:pt idx="35" formatCode="General">
                  <c:v>158.19999999999999</c:v>
                </c:pt>
                <c:pt idx="36" formatCode="General">
                  <c:v>149.5</c:v>
                </c:pt>
                <c:pt idx="37" formatCode="General">
                  <c:v>148.30000000000001</c:v>
                </c:pt>
                <c:pt idx="38" formatCode="General">
                  <c:v>159.30000000000001</c:v>
                </c:pt>
                <c:pt idx="39" formatCode="General">
                  <c:v>158.80000000000001</c:v>
                </c:pt>
                <c:pt idx="40" formatCode="General">
                  <c:v>154.5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5811760"/>
        <c:axId val="-1745809040"/>
      </c:lineChart>
      <c:catAx>
        <c:axId val="-1745811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09040"/>
        <c:crossesAt val="100"/>
        <c:auto val="1"/>
        <c:lblAlgn val="ctr"/>
        <c:lblOffset val="10"/>
        <c:noMultiLvlLbl val="0"/>
      </c:catAx>
      <c:valAx>
        <c:axId val="-1745809040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81176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ziemniaki'!$A$51:$B$91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ziemniaki'!$C$51:$C$91</c:f>
              <c:numCache>
                <c:formatCode>General</c:formatCode>
                <c:ptCount val="41"/>
                <c:pt idx="0">
                  <c:v>81.62</c:v>
                </c:pt>
                <c:pt idx="1">
                  <c:v>80.34</c:v>
                </c:pt>
                <c:pt idx="2" formatCode="0.00">
                  <c:v>77.400000000000006</c:v>
                </c:pt>
                <c:pt idx="3">
                  <c:v>75.55</c:v>
                </c:pt>
                <c:pt idx="4">
                  <c:v>76.38</c:v>
                </c:pt>
                <c:pt idx="5">
                  <c:v>72.89</c:v>
                </c:pt>
                <c:pt idx="6">
                  <c:v>65.66</c:v>
                </c:pt>
                <c:pt idx="7">
                  <c:v>62.55</c:v>
                </c:pt>
                <c:pt idx="8">
                  <c:v>61.97</c:v>
                </c:pt>
                <c:pt idx="9" formatCode="0.00">
                  <c:v>62.9</c:v>
                </c:pt>
                <c:pt idx="10">
                  <c:v>63.88</c:v>
                </c:pt>
                <c:pt idx="11">
                  <c:v>66.42</c:v>
                </c:pt>
                <c:pt idx="12">
                  <c:v>66.790000000000006</c:v>
                </c:pt>
                <c:pt idx="13">
                  <c:v>67.62</c:v>
                </c:pt>
                <c:pt idx="14">
                  <c:v>66.89</c:v>
                </c:pt>
                <c:pt idx="15">
                  <c:v>73.06</c:v>
                </c:pt>
                <c:pt idx="16">
                  <c:v>78.05</c:v>
                </c:pt>
                <c:pt idx="17">
                  <c:v>76.59</c:v>
                </c:pt>
                <c:pt idx="18">
                  <c:v>70.28</c:v>
                </c:pt>
                <c:pt idx="19" formatCode="0.00">
                  <c:v>62.9</c:v>
                </c:pt>
                <c:pt idx="20">
                  <c:v>65.72</c:v>
                </c:pt>
                <c:pt idx="21">
                  <c:v>72.53</c:v>
                </c:pt>
                <c:pt idx="22">
                  <c:v>77.930000000000007</c:v>
                </c:pt>
                <c:pt idx="23">
                  <c:v>81.84</c:v>
                </c:pt>
                <c:pt idx="24">
                  <c:v>85.25</c:v>
                </c:pt>
                <c:pt idx="25">
                  <c:v>87.52</c:v>
                </c:pt>
                <c:pt idx="26">
                  <c:v>89.99</c:v>
                </c:pt>
                <c:pt idx="27">
                  <c:v>89.28</c:v>
                </c:pt>
                <c:pt idx="28">
                  <c:v>91.71</c:v>
                </c:pt>
                <c:pt idx="29" formatCode="0.00">
                  <c:v>92.4</c:v>
                </c:pt>
                <c:pt idx="30">
                  <c:v>85.37</c:v>
                </c:pt>
                <c:pt idx="31" formatCode="0.00">
                  <c:v>88.9</c:v>
                </c:pt>
                <c:pt idx="32">
                  <c:v>98.95</c:v>
                </c:pt>
                <c:pt idx="33">
                  <c:v>100.57</c:v>
                </c:pt>
                <c:pt idx="34">
                  <c:v>121.28</c:v>
                </c:pt>
                <c:pt idx="35" formatCode="0.00">
                  <c:v>133</c:v>
                </c:pt>
                <c:pt idx="36" formatCode="0.00">
                  <c:v>127.04</c:v>
                </c:pt>
                <c:pt idx="37" formatCode="0.00">
                  <c:v>121.77</c:v>
                </c:pt>
                <c:pt idx="38" formatCode="0.00">
                  <c:v>149.09</c:v>
                </c:pt>
                <c:pt idx="39" formatCode="0.00">
                  <c:v>155.41</c:v>
                </c:pt>
                <c:pt idx="40" formatCode="0.00">
                  <c:v>157.19999999999999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ziemniaki'!$A$51:$B$91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ziemniaki'!$D$51:$D$91</c:f>
              <c:numCache>
                <c:formatCode>General</c:formatCode>
                <c:ptCount val="41"/>
                <c:pt idx="0">
                  <c:v>62.55</c:v>
                </c:pt>
                <c:pt idx="1">
                  <c:v>60.91</c:v>
                </c:pt>
                <c:pt idx="2">
                  <c:v>65.040000000000006</c:v>
                </c:pt>
                <c:pt idx="3">
                  <c:v>63.83</c:v>
                </c:pt>
                <c:pt idx="4">
                  <c:v>66.03</c:v>
                </c:pt>
                <c:pt idx="5" formatCode="0.00">
                  <c:v>59.6</c:v>
                </c:pt>
                <c:pt idx="6">
                  <c:v>52.14</c:v>
                </c:pt>
                <c:pt idx="7">
                  <c:v>51.64</c:v>
                </c:pt>
                <c:pt idx="8">
                  <c:v>49.98</c:v>
                </c:pt>
                <c:pt idx="9">
                  <c:v>49.59</c:v>
                </c:pt>
                <c:pt idx="10">
                  <c:v>50.35</c:v>
                </c:pt>
                <c:pt idx="11">
                  <c:v>50.19</c:v>
                </c:pt>
                <c:pt idx="12">
                  <c:v>54.18</c:v>
                </c:pt>
                <c:pt idx="13">
                  <c:v>49.52</c:v>
                </c:pt>
                <c:pt idx="14">
                  <c:v>59.03</c:v>
                </c:pt>
                <c:pt idx="15">
                  <c:v>51.71</c:v>
                </c:pt>
                <c:pt idx="16">
                  <c:v>56.22</c:v>
                </c:pt>
                <c:pt idx="17">
                  <c:v>50.82</c:v>
                </c:pt>
                <c:pt idx="18">
                  <c:v>46.36</c:v>
                </c:pt>
                <c:pt idx="19">
                  <c:v>43.78</c:v>
                </c:pt>
                <c:pt idx="20">
                  <c:v>45.08</c:v>
                </c:pt>
                <c:pt idx="21">
                  <c:v>47.91</c:v>
                </c:pt>
                <c:pt idx="22" formatCode="0.00">
                  <c:v>52.4</c:v>
                </c:pt>
                <c:pt idx="23">
                  <c:v>60.65</c:v>
                </c:pt>
                <c:pt idx="24" formatCode="0.00">
                  <c:v>51.6</c:v>
                </c:pt>
                <c:pt idx="25">
                  <c:v>61.75</c:v>
                </c:pt>
                <c:pt idx="26">
                  <c:v>60.89</c:v>
                </c:pt>
                <c:pt idx="27">
                  <c:v>61.45</c:v>
                </c:pt>
                <c:pt idx="28">
                  <c:v>64.78</c:v>
                </c:pt>
                <c:pt idx="29" formatCode="0.00">
                  <c:v>61.5</c:v>
                </c:pt>
                <c:pt idx="30">
                  <c:v>58.04</c:v>
                </c:pt>
                <c:pt idx="31">
                  <c:v>71.17</c:v>
                </c:pt>
                <c:pt idx="32">
                  <c:v>80.040000000000006</c:v>
                </c:pt>
                <c:pt idx="33">
                  <c:v>75.23</c:v>
                </c:pt>
                <c:pt idx="34">
                  <c:v>88.42</c:v>
                </c:pt>
                <c:pt idx="35">
                  <c:v>102.82</c:v>
                </c:pt>
                <c:pt idx="36" formatCode="0.00">
                  <c:v>98.59</c:v>
                </c:pt>
                <c:pt idx="37" formatCode="0.00">
                  <c:v>98.41</c:v>
                </c:pt>
                <c:pt idx="38" formatCode="0.00">
                  <c:v>107.85</c:v>
                </c:pt>
                <c:pt idx="39" formatCode="0.00">
                  <c:v>97.2</c:v>
                </c:pt>
                <c:pt idx="40">
                  <c:v>125.93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5935200"/>
        <c:axId val="-1745923232"/>
      </c:lineChart>
      <c:catAx>
        <c:axId val="-174593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3232"/>
        <c:crosses val="autoZero"/>
        <c:auto val="1"/>
        <c:lblAlgn val="ctr"/>
        <c:lblOffset val="10"/>
        <c:tickLblSkip val="1"/>
        <c:noMultiLvlLbl val="0"/>
      </c:catAx>
      <c:valAx>
        <c:axId val="-1745923232"/>
        <c:scaling>
          <c:orientation val="minMax"/>
          <c:max val="16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520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mleko'!$F$16:$F$56</c:f>
              <c:numCache>
                <c:formatCode>General</c:formatCode>
                <c:ptCount val="41"/>
                <c:pt idx="0">
                  <c:v>1.35</c:v>
                </c:pt>
                <c:pt idx="1">
                  <c:v>1.35</c:v>
                </c:pt>
                <c:pt idx="2">
                  <c:v>1.34</c:v>
                </c:pt>
                <c:pt idx="3">
                  <c:v>1.34</c:v>
                </c:pt>
                <c:pt idx="4">
                  <c:v>1.33</c:v>
                </c:pt>
                <c:pt idx="5">
                  <c:v>1.32</c:v>
                </c:pt>
                <c:pt idx="6">
                  <c:v>1.29</c:v>
                </c:pt>
                <c:pt idx="7">
                  <c:v>1.31</c:v>
                </c:pt>
                <c:pt idx="8">
                  <c:v>1.32</c:v>
                </c:pt>
                <c:pt idx="9">
                  <c:v>1.24</c:v>
                </c:pt>
                <c:pt idx="10">
                  <c:v>1.34</c:v>
                </c:pt>
                <c:pt idx="11">
                  <c:v>1.34</c:v>
                </c:pt>
                <c:pt idx="12">
                  <c:v>1.34</c:v>
                </c:pt>
                <c:pt idx="13">
                  <c:v>1.36</c:v>
                </c:pt>
                <c:pt idx="14">
                  <c:v>1.35</c:v>
                </c:pt>
                <c:pt idx="15">
                  <c:v>1.28</c:v>
                </c:pt>
                <c:pt idx="16">
                  <c:v>1.28</c:v>
                </c:pt>
                <c:pt idx="17">
                  <c:v>1.28</c:v>
                </c:pt>
                <c:pt idx="18">
                  <c:v>1.28</c:v>
                </c:pt>
                <c:pt idx="19">
                  <c:v>1.31</c:v>
                </c:pt>
                <c:pt idx="20">
                  <c:v>1.33</c:v>
                </c:pt>
                <c:pt idx="21">
                  <c:v>1.39</c:v>
                </c:pt>
                <c:pt idx="22">
                  <c:v>1.44</c:v>
                </c:pt>
                <c:pt idx="23">
                  <c:v>1.51</c:v>
                </c:pt>
                <c:pt idx="24" formatCode="0.00">
                  <c:v>1.4</c:v>
                </c:pt>
                <c:pt idx="25">
                  <c:v>1.43</c:v>
                </c:pt>
                <c:pt idx="26">
                  <c:v>1.49</c:v>
                </c:pt>
                <c:pt idx="27">
                  <c:v>1.49</c:v>
                </c:pt>
                <c:pt idx="28">
                  <c:v>1.47</c:v>
                </c:pt>
                <c:pt idx="29">
                  <c:v>1.48</c:v>
                </c:pt>
                <c:pt idx="30">
                  <c:v>1.45</c:v>
                </c:pt>
                <c:pt idx="31">
                  <c:v>1.46</c:v>
                </c:pt>
                <c:pt idx="32" formatCode="0.00">
                  <c:v>1.5</c:v>
                </c:pt>
                <c:pt idx="33" formatCode="0.00">
                  <c:v>1.6</c:v>
                </c:pt>
                <c:pt idx="34">
                  <c:v>1.71</c:v>
                </c:pt>
                <c:pt idx="35" formatCode="0.00">
                  <c:v>1.8</c:v>
                </c:pt>
                <c:pt idx="36">
                  <c:v>1.81</c:v>
                </c:pt>
                <c:pt idx="37">
                  <c:v>1.82</c:v>
                </c:pt>
                <c:pt idx="38">
                  <c:v>1.88</c:v>
                </c:pt>
                <c:pt idx="39">
                  <c:v>2.12</c:v>
                </c:pt>
                <c:pt idx="40">
                  <c:v>2.19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45933568"/>
        <c:axId val="-1745930304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mleko'!$C$16:$C$56</c:f>
              <c:numCache>
                <c:formatCode>General</c:formatCode>
                <c:ptCount val="41"/>
                <c:pt idx="0">
                  <c:v>6.34</c:v>
                </c:pt>
                <c:pt idx="1">
                  <c:v>6.08</c:v>
                </c:pt>
                <c:pt idx="2">
                  <c:v>6.15</c:v>
                </c:pt>
                <c:pt idx="3">
                  <c:v>6.12</c:v>
                </c:pt>
                <c:pt idx="4">
                  <c:v>6.09</c:v>
                </c:pt>
                <c:pt idx="5">
                  <c:v>5.73</c:v>
                </c:pt>
                <c:pt idx="6" formatCode="0.00">
                  <c:v>5.2</c:v>
                </c:pt>
                <c:pt idx="7">
                  <c:v>5.69</c:v>
                </c:pt>
                <c:pt idx="8">
                  <c:v>5.67</c:v>
                </c:pt>
                <c:pt idx="9" formatCode="0.00">
                  <c:v>5.6</c:v>
                </c:pt>
                <c:pt idx="10">
                  <c:v>5.79</c:v>
                </c:pt>
                <c:pt idx="11" formatCode="0.00">
                  <c:v>6</c:v>
                </c:pt>
                <c:pt idx="12">
                  <c:v>5.94</c:v>
                </c:pt>
                <c:pt idx="13">
                  <c:v>5.88</c:v>
                </c:pt>
                <c:pt idx="14">
                  <c:v>5.91</c:v>
                </c:pt>
                <c:pt idx="15">
                  <c:v>5.51</c:v>
                </c:pt>
                <c:pt idx="16">
                  <c:v>5.58</c:v>
                </c:pt>
                <c:pt idx="17">
                  <c:v>5.88</c:v>
                </c:pt>
                <c:pt idx="18">
                  <c:v>5.55</c:v>
                </c:pt>
                <c:pt idx="19">
                  <c:v>5.78</c:v>
                </c:pt>
                <c:pt idx="20">
                  <c:v>5.52</c:v>
                </c:pt>
                <c:pt idx="21">
                  <c:v>5.66</c:v>
                </c:pt>
                <c:pt idx="22">
                  <c:v>6.01</c:v>
                </c:pt>
                <c:pt idx="23">
                  <c:v>6.64</c:v>
                </c:pt>
                <c:pt idx="24">
                  <c:v>6.76</c:v>
                </c:pt>
                <c:pt idx="25">
                  <c:v>6.44</c:v>
                </c:pt>
                <c:pt idx="26">
                  <c:v>6.11</c:v>
                </c:pt>
                <c:pt idx="27">
                  <c:v>6.37</c:v>
                </c:pt>
                <c:pt idx="28">
                  <c:v>6.52</c:v>
                </c:pt>
                <c:pt idx="29">
                  <c:v>6.64</c:v>
                </c:pt>
                <c:pt idx="30">
                  <c:v>6.49</c:v>
                </c:pt>
                <c:pt idx="31">
                  <c:v>6.68</c:v>
                </c:pt>
                <c:pt idx="32">
                  <c:v>6.72</c:v>
                </c:pt>
                <c:pt idx="33">
                  <c:v>7.49</c:v>
                </c:pt>
                <c:pt idx="34">
                  <c:v>8.1199999999999992</c:v>
                </c:pt>
                <c:pt idx="35">
                  <c:v>8.42</c:v>
                </c:pt>
                <c:pt idx="36">
                  <c:v>8.52</c:v>
                </c:pt>
                <c:pt idx="37">
                  <c:v>8.74</c:v>
                </c:pt>
                <c:pt idx="38">
                  <c:v>9.26</c:v>
                </c:pt>
                <c:pt idx="39">
                  <c:v>9.7799999999999994</c:v>
                </c:pt>
                <c:pt idx="40">
                  <c:v>10.11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mleko'!$D$16:$D$56</c:f>
              <c:numCache>
                <c:formatCode>0.00</c:formatCode>
                <c:ptCount val="41"/>
                <c:pt idx="0" formatCode="General">
                  <c:v>4.33</c:v>
                </c:pt>
                <c:pt idx="1">
                  <c:v>4.2</c:v>
                </c:pt>
                <c:pt idx="2" formatCode="General">
                  <c:v>4.3899999999999997</c:v>
                </c:pt>
                <c:pt idx="3" formatCode="General">
                  <c:v>5.57</c:v>
                </c:pt>
                <c:pt idx="4" formatCode="General">
                  <c:v>5.77</c:v>
                </c:pt>
                <c:pt idx="5" formatCode="General">
                  <c:v>5.76</c:v>
                </c:pt>
                <c:pt idx="6" formatCode="General">
                  <c:v>5.66</c:v>
                </c:pt>
                <c:pt idx="7" formatCode="General">
                  <c:v>5.66</c:v>
                </c:pt>
                <c:pt idx="8" formatCode="General">
                  <c:v>5.66</c:v>
                </c:pt>
                <c:pt idx="9">
                  <c:v>5.8</c:v>
                </c:pt>
                <c:pt idx="10" formatCode="General">
                  <c:v>5.85</c:v>
                </c:pt>
                <c:pt idx="11" formatCode="General">
                  <c:v>6.15</c:v>
                </c:pt>
                <c:pt idx="12" formatCode="General">
                  <c:v>5.83</c:v>
                </c:pt>
                <c:pt idx="13" formatCode="General">
                  <c:v>6.14</c:v>
                </c:pt>
                <c:pt idx="14" formatCode="General">
                  <c:v>6.27</c:v>
                </c:pt>
                <c:pt idx="15" formatCode="General">
                  <c:v>6.04</c:v>
                </c:pt>
                <c:pt idx="16" formatCode="General">
                  <c:v>5.31</c:v>
                </c:pt>
                <c:pt idx="17" formatCode="General">
                  <c:v>5.58</c:v>
                </c:pt>
                <c:pt idx="18" formatCode="General">
                  <c:v>4.97</c:v>
                </c:pt>
                <c:pt idx="19" formatCode="General">
                  <c:v>4.97</c:v>
                </c:pt>
                <c:pt idx="20" formatCode="General">
                  <c:v>4.75</c:v>
                </c:pt>
                <c:pt idx="21" formatCode="General">
                  <c:v>4.4800000000000004</c:v>
                </c:pt>
                <c:pt idx="22" formatCode="General">
                  <c:v>4.09</c:v>
                </c:pt>
                <c:pt idx="23" formatCode="General">
                  <c:v>3.82</c:v>
                </c:pt>
                <c:pt idx="24" formatCode="General">
                  <c:v>3.81</c:v>
                </c:pt>
                <c:pt idx="25" formatCode="General">
                  <c:v>4.1900000000000004</c:v>
                </c:pt>
                <c:pt idx="26">
                  <c:v>5.2</c:v>
                </c:pt>
                <c:pt idx="27" formatCode="General">
                  <c:v>5.1100000000000003</c:v>
                </c:pt>
                <c:pt idx="28" formatCode="General">
                  <c:v>5.12</c:v>
                </c:pt>
                <c:pt idx="29" formatCode="General">
                  <c:v>5.21</c:v>
                </c:pt>
                <c:pt idx="30">
                  <c:v>4.9000000000000004</c:v>
                </c:pt>
                <c:pt idx="31" formatCode="General">
                  <c:v>5.15</c:v>
                </c:pt>
                <c:pt idx="32" formatCode="General">
                  <c:v>4.38</c:v>
                </c:pt>
                <c:pt idx="33" formatCode="General">
                  <c:v>3.91</c:v>
                </c:pt>
                <c:pt idx="34" formatCode="General">
                  <c:v>4.1399999999999997</c:v>
                </c:pt>
                <c:pt idx="35" formatCode="General">
                  <c:v>4.45</c:v>
                </c:pt>
                <c:pt idx="36">
                  <c:v>4.4000000000000004</c:v>
                </c:pt>
                <c:pt idx="37" formatCode="General">
                  <c:v>4.24</c:v>
                </c:pt>
                <c:pt idx="38">
                  <c:v>6.1</c:v>
                </c:pt>
                <c:pt idx="39" formatCode="General">
                  <c:v>6.52</c:v>
                </c:pt>
                <c:pt idx="40" formatCode="General">
                  <c:v>6.29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mleko'!$E$16:$E$56</c:f>
              <c:numCache>
                <c:formatCode>General</c:formatCode>
                <c:ptCount val="41"/>
                <c:pt idx="0">
                  <c:v>4.13</c:v>
                </c:pt>
                <c:pt idx="1">
                  <c:v>3.84</c:v>
                </c:pt>
                <c:pt idx="2">
                  <c:v>4.3899999999999997</c:v>
                </c:pt>
                <c:pt idx="3">
                  <c:v>3.34</c:v>
                </c:pt>
                <c:pt idx="4" formatCode="0.00">
                  <c:v>3.9</c:v>
                </c:pt>
                <c:pt idx="5">
                  <c:v>3.81</c:v>
                </c:pt>
                <c:pt idx="6">
                  <c:v>4.41</c:v>
                </c:pt>
                <c:pt idx="7">
                  <c:v>4.13</c:v>
                </c:pt>
                <c:pt idx="8">
                  <c:v>4.24</c:v>
                </c:pt>
                <c:pt idx="9">
                  <c:v>3.83</c:v>
                </c:pt>
                <c:pt idx="10">
                  <c:v>3.79</c:v>
                </c:pt>
                <c:pt idx="11">
                  <c:v>3.86</c:v>
                </c:pt>
                <c:pt idx="12">
                  <c:v>4.32</c:v>
                </c:pt>
                <c:pt idx="13">
                  <c:v>4.47</c:v>
                </c:pt>
                <c:pt idx="14">
                  <c:v>4.28</c:v>
                </c:pt>
                <c:pt idx="15">
                  <c:v>2.2599999999999998</c:v>
                </c:pt>
                <c:pt idx="16">
                  <c:v>3.63</c:v>
                </c:pt>
                <c:pt idx="17" formatCode="0.00">
                  <c:v>3.5</c:v>
                </c:pt>
                <c:pt idx="18">
                  <c:v>4.01</c:v>
                </c:pt>
                <c:pt idx="19">
                  <c:v>3.59</c:v>
                </c:pt>
                <c:pt idx="20">
                  <c:v>3.41</c:v>
                </c:pt>
                <c:pt idx="21">
                  <c:v>3.41</c:v>
                </c:pt>
                <c:pt idx="22">
                  <c:v>2.5099999999999998</c:v>
                </c:pt>
                <c:pt idx="23">
                  <c:v>2.68</c:v>
                </c:pt>
                <c:pt idx="24">
                  <c:v>3.58</c:v>
                </c:pt>
                <c:pt idx="25">
                  <c:v>4.0599999999999996</c:v>
                </c:pt>
                <c:pt idx="26">
                  <c:v>4.25</c:v>
                </c:pt>
                <c:pt idx="27">
                  <c:v>4.08</c:v>
                </c:pt>
                <c:pt idx="28">
                  <c:v>4.6100000000000003</c:v>
                </c:pt>
                <c:pt idx="29">
                  <c:v>4.9800000000000004</c:v>
                </c:pt>
                <c:pt idx="30">
                  <c:v>4.26</c:v>
                </c:pt>
                <c:pt idx="31">
                  <c:v>4.28</c:v>
                </c:pt>
                <c:pt idx="32">
                  <c:v>3.94</c:v>
                </c:pt>
                <c:pt idx="33">
                  <c:v>4.34</c:v>
                </c:pt>
                <c:pt idx="34" formatCode="0.00">
                  <c:v>4.4000000000000004</c:v>
                </c:pt>
                <c:pt idx="35" formatCode="0.00">
                  <c:v>4.5</c:v>
                </c:pt>
                <c:pt idx="36">
                  <c:v>5.03</c:v>
                </c:pt>
                <c:pt idx="37">
                  <c:v>5.17</c:v>
                </c:pt>
                <c:pt idx="38">
                  <c:v>6.43</c:v>
                </c:pt>
                <c:pt idx="39">
                  <c:v>6.56</c:v>
                </c:pt>
                <c:pt idx="40">
                  <c:v>6.05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45924864"/>
        <c:axId val="-1745934656"/>
      </c:lineChart>
      <c:catAx>
        <c:axId val="-1745924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4656"/>
        <c:crosses val="autoZero"/>
        <c:auto val="1"/>
        <c:lblAlgn val="ctr"/>
        <c:lblOffset val="10"/>
        <c:noMultiLvlLbl val="0"/>
      </c:catAx>
      <c:valAx>
        <c:axId val="-1745934656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4864"/>
        <c:crosses val="autoZero"/>
        <c:crossBetween val="between"/>
        <c:majorUnit val="1"/>
      </c:valAx>
      <c:valAx>
        <c:axId val="-1745930304"/>
        <c:scaling>
          <c:orientation val="minMax"/>
          <c:max val="2.200000000000000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3568"/>
        <c:crosses val="max"/>
        <c:crossBetween val="between"/>
        <c:majorUnit val="0.2"/>
      </c:valAx>
      <c:catAx>
        <c:axId val="-1745933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45930304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przemysł_dynamika!$C$16:$C$56</c:f>
              <c:numCache>
                <c:formatCode>0.0</c:formatCode>
                <c:ptCount val="41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 formatCode="General">
                  <c:v>133.69999999999999</c:v>
                </c:pt>
                <c:pt idx="28" formatCode="General">
                  <c:v>132.5</c:v>
                </c:pt>
                <c:pt idx="29" formatCode="General">
                  <c:v>137.5</c:v>
                </c:pt>
                <c:pt idx="30" formatCode="General">
                  <c:v>131.80000000000001</c:v>
                </c:pt>
                <c:pt idx="31" formatCode="General">
                  <c:v>128.19999999999999</c:v>
                </c:pt>
                <c:pt idx="32" formatCode="General">
                  <c:v>142.19999999999999</c:v>
                </c:pt>
                <c:pt idx="33" formatCode="General">
                  <c:v>145.1</c:v>
                </c:pt>
                <c:pt idx="34" formatCode="General">
                  <c:v>152.30000000000001</c:v>
                </c:pt>
                <c:pt idx="35" formatCode="General">
                  <c:v>147.4</c:v>
                </c:pt>
                <c:pt idx="36" formatCode="General">
                  <c:v>141.5</c:v>
                </c:pt>
                <c:pt idx="37" formatCode="General">
                  <c:v>146.30000000000001</c:v>
                </c:pt>
                <c:pt idx="38" formatCode="General">
                  <c:v>170.2</c:v>
                </c:pt>
                <c:pt idx="39">
                  <c:v>150.19999999999999</c:v>
                </c:pt>
                <c:pt idx="40" formatCode="General">
                  <c:v>152.4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przemysł_dynamika!$D$16:$D$56</c:f>
              <c:numCache>
                <c:formatCode>0.0</c:formatCode>
                <c:ptCount val="41"/>
                <c:pt idx="0">
                  <c:v>135.30000000000001</c:v>
                </c:pt>
                <c:pt idx="1">
                  <c:v>136.19999999999999</c:v>
                </c:pt>
                <c:pt idx="2">
                  <c:v>152.1</c:v>
                </c:pt>
                <c:pt idx="3">
                  <c:v>143.69999999999999</c:v>
                </c:pt>
                <c:pt idx="4">
                  <c:v>151.69999999999999</c:v>
                </c:pt>
                <c:pt idx="5">
                  <c:v>140</c:v>
                </c:pt>
                <c:pt idx="6">
                  <c:v>142.69999999999999</c:v>
                </c:pt>
                <c:pt idx="7">
                  <c:v>134</c:v>
                </c:pt>
                <c:pt idx="8">
                  <c:v>148.30000000000001</c:v>
                </c:pt>
                <c:pt idx="9">
                  <c:v>155</c:v>
                </c:pt>
                <c:pt idx="10">
                  <c:v>143.4</c:v>
                </c:pt>
                <c:pt idx="11">
                  <c:v>146.4</c:v>
                </c:pt>
                <c:pt idx="12">
                  <c:v>137.6</c:v>
                </c:pt>
                <c:pt idx="13">
                  <c:v>139.5</c:v>
                </c:pt>
                <c:pt idx="14">
                  <c:v>138.19999999999999</c:v>
                </c:pt>
                <c:pt idx="15">
                  <c:v>92.6</c:v>
                </c:pt>
                <c:pt idx="16">
                  <c:v>110.4</c:v>
                </c:pt>
                <c:pt idx="17">
                  <c:v>128.80000000000001</c:v>
                </c:pt>
                <c:pt idx="18">
                  <c:v>132.80000000000001</c:v>
                </c:pt>
                <c:pt idx="19">
                  <c:v>125.5</c:v>
                </c:pt>
                <c:pt idx="20">
                  <c:v>148.1</c:v>
                </c:pt>
                <c:pt idx="21">
                  <c:v>155.19999999999999</c:v>
                </c:pt>
                <c:pt idx="22">
                  <c:v>153.5</c:v>
                </c:pt>
                <c:pt idx="23">
                  <c:v>146.30000000000001</c:v>
                </c:pt>
                <c:pt idx="24">
                  <c:v>134.4</c:v>
                </c:pt>
                <c:pt idx="25">
                  <c:v>139.9</c:v>
                </c:pt>
                <c:pt idx="26" formatCode="General">
                  <c:v>167.9</c:v>
                </c:pt>
                <c:pt idx="27" formatCode="General">
                  <c:v>156.5</c:v>
                </c:pt>
                <c:pt idx="28">
                  <c:v>156.19999999999999</c:v>
                </c:pt>
                <c:pt idx="29">
                  <c:v>162.9</c:v>
                </c:pt>
                <c:pt idx="30" formatCode="General">
                  <c:v>156.19999999999999</c:v>
                </c:pt>
                <c:pt idx="31">
                  <c:v>155.1</c:v>
                </c:pt>
                <c:pt idx="32">
                  <c:v>167.2</c:v>
                </c:pt>
                <c:pt idx="33">
                  <c:v>176.2</c:v>
                </c:pt>
                <c:pt idx="34">
                  <c:v>172</c:v>
                </c:pt>
                <c:pt idx="35" formatCode="General">
                  <c:v>164.8</c:v>
                </c:pt>
                <c:pt idx="36" formatCode="General">
                  <c:v>166.4</c:v>
                </c:pt>
                <c:pt idx="37" formatCode="General">
                  <c:v>175.4</c:v>
                </c:pt>
                <c:pt idx="38" formatCode="General">
                  <c:v>203.1</c:v>
                </c:pt>
                <c:pt idx="39" formatCode="General">
                  <c:v>175.7</c:v>
                </c:pt>
                <c:pt idx="40" formatCode="General">
                  <c:v>178.9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5927584"/>
        <c:axId val="-1745933024"/>
      </c:lineChart>
      <c:catAx>
        <c:axId val="-17459275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3024"/>
        <c:crossesAt val="100"/>
        <c:auto val="1"/>
        <c:lblAlgn val="ctr"/>
        <c:lblOffset val="10"/>
        <c:noMultiLvlLbl val="0"/>
      </c:catAx>
      <c:valAx>
        <c:axId val="-1745933024"/>
        <c:scaling>
          <c:orientation val="minMax"/>
          <c:max val="220"/>
          <c:min val="8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758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2015=100'!$A$40:$B$80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2015=100'!$C$40:$C$80</c:f>
              <c:numCache>
                <c:formatCode>0.0</c:formatCode>
                <c:ptCount val="41"/>
                <c:pt idx="0">
                  <c:v>147.46339802519577</c:v>
                </c:pt>
                <c:pt idx="1">
                  <c:v>152.44103384963043</c:v>
                </c:pt>
                <c:pt idx="2">
                  <c:v>149.59152130713181</c:v>
                </c:pt>
                <c:pt idx="3">
                  <c:v>154.4567848497793</c:v>
                </c:pt>
                <c:pt idx="4">
                  <c:v>152.34262008068814</c:v>
                </c:pt>
                <c:pt idx="5">
                  <c:v>147.78632398461681</c:v>
                </c:pt>
                <c:pt idx="6">
                  <c:v>145.05673242075679</c:v>
                </c:pt>
                <c:pt idx="7">
                  <c:v>146.2818081687806</c:v>
                </c:pt>
                <c:pt idx="8">
                  <c:v>143.79607425170974</c:v>
                </c:pt>
                <c:pt idx="9">
                  <c:v>142.96880374217514</c:v>
                </c:pt>
                <c:pt idx="10">
                  <c:v>142.56952134859111</c:v>
                </c:pt>
                <c:pt idx="11">
                  <c:v>140.46279559409928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152.31026870670624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167.38479008295744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162.00319921250153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174.67843751483221</c:v>
                </c:pt>
                <c:pt idx="40">
                  <c:v>173.53086701682273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2015=100'!$A$40:$B$80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2015=100'!$D$40:$D$80</c:f>
              <c:numCache>
                <c:formatCode>0.0</c:formatCode>
                <c:ptCount val="41"/>
                <c:pt idx="0">
                  <c:v>125.39130434782609</c:v>
                </c:pt>
                <c:pt idx="1">
                  <c:v>114.6098003629764</c:v>
                </c:pt>
                <c:pt idx="2">
                  <c:v>86.983562860950684</c:v>
                </c:pt>
                <c:pt idx="3">
                  <c:v>93.725490196078425</c:v>
                </c:pt>
                <c:pt idx="4">
                  <c:v>97.804265997490589</c:v>
                </c:pt>
                <c:pt idx="5">
                  <c:v>113.95798783858486</c:v>
                </c:pt>
                <c:pt idx="6">
                  <c:v>114.01737497065039</c:v>
                </c:pt>
                <c:pt idx="7">
                  <c:v>113.61936626648297</c:v>
                </c:pt>
                <c:pt idx="8">
                  <c:v>119.63963963963964</c:v>
                </c:pt>
                <c:pt idx="9">
                  <c:v>119.04988878296791</c:v>
                </c:pt>
                <c:pt idx="10">
                  <c:v>121.39763211088652</c:v>
                </c:pt>
                <c:pt idx="11">
                  <c:v>120.58900523560209</c:v>
                </c:pt>
                <c:pt idx="12">
                  <c:v>143.30434782608697</c:v>
                </c:pt>
                <c:pt idx="13">
                  <c:v>134.75499092558982</c:v>
                </c:pt>
                <c:pt idx="14">
                  <c:v>82.674366948023106</c:v>
                </c:pt>
                <c:pt idx="15">
                  <c:v>88.44919786096257</c:v>
                </c:pt>
                <c:pt idx="16">
                  <c:v>96.643663739021335</c:v>
                </c:pt>
                <c:pt idx="17">
                  <c:v>101.99004975124379</c:v>
                </c:pt>
                <c:pt idx="18">
                  <c:v>105.16553181498004</c:v>
                </c:pt>
                <c:pt idx="19">
                  <c:v>103.64101554812045</c:v>
                </c:pt>
                <c:pt idx="20">
                  <c:v>115.90990990990991</c:v>
                </c:pt>
                <c:pt idx="21">
                  <c:v>125.24626628535113</c:v>
                </c:pt>
                <c:pt idx="22">
                  <c:v>122.94253537395322</c:v>
                </c:pt>
                <c:pt idx="23">
                  <c:v>131.45287958115182</c:v>
                </c:pt>
                <c:pt idx="24">
                  <c:v>204</c:v>
                </c:pt>
                <c:pt idx="25">
                  <c:v>161.16152450090743</c:v>
                </c:pt>
                <c:pt idx="26">
                  <c:v>111.77254553531763</c:v>
                </c:pt>
                <c:pt idx="27">
                  <c:v>113.93939393939394</c:v>
                </c:pt>
                <c:pt idx="28">
                  <c:v>116.62484316185696</c:v>
                </c:pt>
                <c:pt idx="29">
                  <c:v>123.60420121614152</c:v>
                </c:pt>
                <c:pt idx="30">
                  <c:v>130.45315801831416</c:v>
                </c:pt>
                <c:pt idx="31">
                  <c:v>125.9988191300925</c:v>
                </c:pt>
                <c:pt idx="32">
                  <c:v>125.8018018018018</c:v>
                </c:pt>
                <c:pt idx="33">
                  <c:v>124.10231966952654</c:v>
                </c:pt>
                <c:pt idx="34">
                  <c:v>129.35316199826741</c:v>
                </c:pt>
                <c:pt idx="35">
                  <c:v>129.62041884816753</c:v>
                </c:pt>
                <c:pt idx="36">
                  <c:v>146.2608695652174</c:v>
                </c:pt>
                <c:pt idx="37">
                  <c:v>151.27041742286752</c:v>
                </c:pt>
                <c:pt idx="38">
                  <c:v>108.97378942692137</c:v>
                </c:pt>
                <c:pt idx="39">
                  <c:v>111.26559714795009</c:v>
                </c:pt>
                <c:pt idx="40">
                  <c:v>132.21455457967377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5932480"/>
        <c:axId val="-1745922688"/>
      </c:lineChart>
      <c:catAx>
        <c:axId val="-1745932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22688"/>
        <c:crossesAt val="100"/>
        <c:auto val="1"/>
        <c:lblAlgn val="ctr"/>
        <c:lblOffset val="10"/>
        <c:tickMarkSkip val="1"/>
        <c:noMultiLvlLbl val="0"/>
      </c:catAx>
      <c:valAx>
        <c:axId val="-1745922688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4593248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6EC1C-DE45-4918-A01E-5780C175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7617</Words>
  <Characters>45704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10</cp:revision>
  <cp:lastPrinted>2022-06-30T08:07:00Z</cp:lastPrinted>
  <dcterms:created xsi:type="dcterms:W3CDTF">2022-06-30T07:01:00Z</dcterms:created>
  <dcterms:modified xsi:type="dcterms:W3CDTF">2022-06-30T08:10:00Z</dcterms:modified>
</cp:coreProperties>
</file>