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B82CF8">
        <w:rPr>
          <w:color w:val="auto"/>
          <w:shd w:val="clear" w:color="auto" w:fill="FFFFFF"/>
        </w:rPr>
        <w:t>sierpniu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E5474E" w:rsidRDefault="00C1325E" w:rsidP="00D1167A">
            <w:pPr>
              <w:pStyle w:val="tekstnapierwszejstronie"/>
            </w:pPr>
            <w:r w:rsidRPr="00E5474E">
              <w:t xml:space="preserve">Przeciętne zatrudnienie w sektorze przedsiębiorstw </w:t>
            </w:r>
            <w:r w:rsidR="00111AD8" w:rsidRPr="00E5474E">
              <w:t>zwięk</w:t>
            </w:r>
            <w:r w:rsidR="00EA29BB" w:rsidRPr="00E5474E">
              <w:t xml:space="preserve">szyło się </w:t>
            </w:r>
            <w:r w:rsidRPr="00E5474E">
              <w:t>w skali roku</w:t>
            </w:r>
            <w:r w:rsidR="00566DB7" w:rsidRPr="00E5474E">
              <w:t xml:space="preserve"> (o </w:t>
            </w:r>
            <w:r w:rsidR="00E5474E" w:rsidRPr="00E5474E">
              <w:t>1</w:t>
            </w:r>
            <w:r w:rsidR="00B65A60" w:rsidRPr="00E5474E">
              <w:t>,5</w:t>
            </w:r>
            <w:r w:rsidR="00566DB7" w:rsidRPr="00E5474E">
              <w:t>%)</w:t>
            </w:r>
            <w:r w:rsidR="00B65A60" w:rsidRPr="00E5474E">
              <w:t xml:space="preserve">, </w:t>
            </w:r>
            <w:r w:rsidR="00E5474E" w:rsidRPr="00E5474E">
              <w:t>ale zmniejszyło</w:t>
            </w:r>
            <w:r w:rsidR="00B65A60" w:rsidRPr="00E5474E">
              <w:t xml:space="preserve"> </w:t>
            </w:r>
            <w:r w:rsidR="002F61D1" w:rsidRPr="00E5474E">
              <w:t xml:space="preserve">w </w:t>
            </w:r>
            <w:r w:rsidR="006C0647" w:rsidRPr="00E5474E">
              <w:t>odniesieniu</w:t>
            </w:r>
            <w:r w:rsidR="003E5BB2" w:rsidRPr="00E5474E">
              <w:t xml:space="preserve"> </w:t>
            </w:r>
            <w:r w:rsidR="00960439" w:rsidRPr="00E5474E">
              <w:t>do poprzedniego miesiąca</w:t>
            </w:r>
            <w:r w:rsidR="0007181D" w:rsidRPr="00E5474E">
              <w:t xml:space="preserve"> </w:t>
            </w:r>
            <w:r w:rsidR="00B65A60" w:rsidRPr="00E5474E">
              <w:t>(</w:t>
            </w:r>
            <w:r w:rsidR="00292AD4" w:rsidRPr="00E5474E">
              <w:t>o 0,</w:t>
            </w:r>
            <w:r w:rsidR="00E5474E" w:rsidRPr="00E5474E">
              <w:t>1</w:t>
            </w:r>
            <w:r w:rsidR="00292AD4" w:rsidRPr="00E5474E">
              <w:t>%)</w:t>
            </w:r>
            <w:r w:rsidR="006C0647" w:rsidRPr="00E5474E">
              <w:t>.</w:t>
            </w:r>
          </w:p>
          <w:p w:rsidR="004B0030" w:rsidRPr="004B0030" w:rsidRDefault="004B0030" w:rsidP="004B0030">
            <w:pPr>
              <w:pStyle w:val="tekstnapierwszejstronie"/>
            </w:pPr>
            <w:r w:rsidRPr="004B0030">
              <w:t xml:space="preserve">Stopa bezrobocia rejestrowanego wyniosła 4,9% i w ujęciu rocznym uległa obniżeniu (o 0,3 p. proc.). W relacji do sierpnia 2020 r. odnotowano wzrost liczby nowo zarejestrowanych bezrobotnych (o 1,1%) oraz osób wyłączonych z ewidencji (o 15,8%). Pracodawcy zaproponowali osobom bezrobotnym </w:t>
            </w:r>
            <w:r w:rsidR="00A22C08">
              <w:t xml:space="preserve">znacznie </w:t>
            </w:r>
            <w:r w:rsidRPr="004B0030">
              <w:t xml:space="preserve">więcej (o 62,1%) ofert zatrudnienia niż rok wcześniej. </w:t>
            </w:r>
          </w:p>
          <w:p w:rsidR="00246FFA" w:rsidRPr="00D37E34" w:rsidRDefault="00F432C9" w:rsidP="004B0030">
            <w:pPr>
              <w:pStyle w:val="tekstnapierwszejstronie"/>
            </w:pPr>
            <w:r w:rsidRPr="00D37E34">
              <w:t xml:space="preserve">Przeciętne miesięczne wynagrodzenie brutto w sektorze przedsiębiorstw zwiększyło się </w:t>
            </w:r>
            <w:r w:rsidR="00305747" w:rsidRPr="00D37E34">
              <w:t>(</w:t>
            </w:r>
            <w:r w:rsidRPr="00D37E34">
              <w:t xml:space="preserve">o </w:t>
            </w:r>
            <w:r w:rsidR="00D37E34" w:rsidRPr="00D37E34">
              <w:t>14,4</w:t>
            </w:r>
            <w:r w:rsidR="002907F3" w:rsidRPr="00D37E34">
              <w:t>%</w:t>
            </w:r>
            <w:r w:rsidR="00305747" w:rsidRPr="00D37E34">
              <w:t>)</w:t>
            </w:r>
            <w:r w:rsidR="002907F3" w:rsidRPr="00D37E34">
              <w:t xml:space="preserve"> w ujęciu rocznym </w:t>
            </w:r>
            <w:r w:rsidR="006D6906" w:rsidRPr="00D37E34">
              <w:t>(</w:t>
            </w:r>
            <w:r w:rsidRPr="00D37E34">
              <w:t xml:space="preserve">w </w:t>
            </w:r>
            <w:r w:rsidR="00D37E34" w:rsidRPr="00D37E34">
              <w:t>sierpniu</w:t>
            </w:r>
            <w:r w:rsidR="007A2529" w:rsidRPr="00D37E34">
              <w:t xml:space="preserve"> 2020</w:t>
            </w:r>
            <w:r w:rsidRPr="00D37E34">
              <w:t xml:space="preserve"> r. wzrost wyniósł </w:t>
            </w:r>
            <w:r w:rsidR="00D37E34" w:rsidRPr="00D37E34">
              <w:t>5,7</w:t>
            </w:r>
            <w:r w:rsidRPr="00D37E34">
              <w:t>%).</w:t>
            </w:r>
          </w:p>
          <w:p w:rsidR="00246FFA" w:rsidRPr="00B82CF8" w:rsidRDefault="00B0225E" w:rsidP="00D1167A">
            <w:pPr>
              <w:pStyle w:val="tekstnapierwszejstronie"/>
              <w:rPr>
                <w:color w:val="FF0000"/>
              </w:rPr>
            </w:pPr>
            <w:r w:rsidRPr="000B3288">
              <w:rPr>
                <w:color w:val="auto"/>
              </w:rPr>
              <w:t>P</w:t>
            </w:r>
            <w:r w:rsidR="00CE2DC1" w:rsidRPr="000B3288">
              <w:rPr>
                <w:color w:val="auto"/>
              </w:rPr>
              <w:t>rodukcj</w:t>
            </w:r>
            <w:r w:rsidR="00B76286" w:rsidRPr="000B3288">
              <w:rPr>
                <w:color w:val="auto"/>
              </w:rPr>
              <w:t>a</w:t>
            </w:r>
            <w:r w:rsidR="00CE2DC1" w:rsidRPr="000B3288">
              <w:rPr>
                <w:color w:val="auto"/>
              </w:rPr>
              <w:t xml:space="preserve"> sprzedan</w:t>
            </w:r>
            <w:r w:rsidR="00B76286" w:rsidRPr="000B3288">
              <w:rPr>
                <w:color w:val="auto"/>
              </w:rPr>
              <w:t>a</w:t>
            </w:r>
            <w:r w:rsidR="00CE2DC1" w:rsidRPr="000B3288">
              <w:rPr>
                <w:color w:val="auto"/>
              </w:rPr>
              <w:t xml:space="preserve"> przemysłu </w:t>
            </w:r>
            <w:r w:rsidR="000953AB" w:rsidRPr="000B3288">
              <w:rPr>
                <w:color w:val="auto"/>
              </w:rPr>
              <w:t xml:space="preserve">była </w:t>
            </w:r>
            <w:r w:rsidR="00230D0A" w:rsidRPr="000B3288">
              <w:rPr>
                <w:color w:val="auto"/>
              </w:rPr>
              <w:t>większa</w:t>
            </w:r>
            <w:r w:rsidR="00B76286" w:rsidRPr="000B3288">
              <w:rPr>
                <w:color w:val="auto"/>
              </w:rPr>
              <w:t xml:space="preserve"> w skali roku </w:t>
            </w:r>
            <w:r w:rsidR="00CE2DC1" w:rsidRPr="000B3288">
              <w:rPr>
                <w:color w:val="auto"/>
              </w:rPr>
              <w:t xml:space="preserve">(o </w:t>
            </w:r>
            <w:r w:rsidR="000B3288" w:rsidRPr="000B3288">
              <w:rPr>
                <w:color w:val="auto"/>
              </w:rPr>
              <w:t>16,8</w:t>
            </w:r>
            <w:r w:rsidR="00CE2DC1" w:rsidRPr="000B3288">
              <w:rPr>
                <w:color w:val="auto"/>
              </w:rPr>
              <w:t>%, w cenach sta</w:t>
            </w:r>
            <w:r w:rsidR="00CE2DC1" w:rsidRPr="000B3288">
              <w:rPr>
                <w:rFonts w:hint="eastAsia"/>
                <w:color w:val="auto"/>
              </w:rPr>
              <w:t>ł</w:t>
            </w:r>
            <w:r w:rsidR="00D2673B" w:rsidRPr="000B3288">
              <w:rPr>
                <w:color w:val="auto"/>
              </w:rPr>
              <w:t>ych)</w:t>
            </w:r>
            <w:r w:rsidRPr="000B3288">
              <w:rPr>
                <w:color w:val="auto"/>
              </w:rPr>
              <w:t>,</w:t>
            </w:r>
            <w:r w:rsidR="00B76286" w:rsidRPr="000B3288">
              <w:rPr>
                <w:color w:val="auto"/>
              </w:rPr>
              <w:t xml:space="preserve"> </w:t>
            </w:r>
            <w:r w:rsidR="008A1E74" w:rsidRPr="000B3288">
              <w:rPr>
                <w:color w:val="auto"/>
              </w:rPr>
              <w:t>wzrosła także</w:t>
            </w:r>
            <w:r w:rsidR="002407BA" w:rsidRPr="000B3288">
              <w:rPr>
                <w:color w:val="auto"/>
              </w:rPr>
              <w:t xml:space="preserve"> </w:t>
            </w:r>
            <w:r w:rsidR="00CE2DC1" w:rsidRPr="000B3288">
              <w:rPr>
                <w:color w:val="auto"/>
              </w:rPr>
              <w:t>produkcj</w:t>
            </w:r>
            <w:r w:rsidR="00A75780" w:rsidRPr="000B3288">
              <w:rPr>
                <w:color w:val="auto"/>
              </w:rPr>
              <w:t>a</w:t>
            </w:r>
            <w:r w:rsidR="00CE2DC1" w:rsidRPr="000B3288">
              <w:rPr>
                <w:color w:val="auto"/>
              </w:rPr>
              <w:t xml:space="preserve"> budowlano-monta</w:t>
            </w:r>
            <w:r w:rsidR="00CE2DC1" w:rsidRPr="000B3288">
              <w:rPr>
                <w:rFonts w:hint="eastAsia"/>
                <w:color w:val="auto"/>
              </w:rPr>
              <w:t>ż</w:t>
            </w:r>
            <w:r w:rsidR="00CE2DC1" w:rsidRPr="000B3288">
              <w:rPr>
                <w:color w:val="auto"/>
              </w:rPr>
              <w:t>ow</w:t>
            </w:r>
            <w:r w:rsidR="00A75780" w:rsidRPr="000B3288">
              <w:rPr>
                <w:color w:val="auto"/>
              </w:rPr>
              <w:t>a</w:t>
            </w:r>
            <w:r w:rsidR="00230D0A" w:rsidRPr="000B3288">
              <w:rPr>
                <w:color w:val="auto"/>
              </w:rPr>
              <w:t xml:space="preserve"> </w:t>
            </w:r>
            <w:r w:rsidR="00CE2DC1" w:rsidRPr="000B3288">
              <w:rPr>
                <w:color w:val="auto"/>
              </w:rPr>
              <w:t xml:space="preserve">(o </w:t>
            </w:r>
            <w:r w:rsidR="000B3288" w:rsidRPr="000B3288">
              <w:rPr>
                <w:color w:val="auto"/>
              </w:rPr>
              <w:t>37</w:t>
            </w:r>
            <w:r w:rsidR="008A1E74" w:rsidRPr="000B3288">
              <w:rPr>
                <w:color w:val="auto"/>
              </w:rPr>
              <w:t>,1</w:t>
            </w:r>
            <w:r w:rsidR="00CE2DC1" w:rsidRPr="000B3288">
              <w:rPr>
                <w:color w:val="auto"/>
              </w:rPr>
              <w:t>%, w cenach bie</w:t>
            </w:r>
            <w:r w:rsidR="00CE2DC1" w:rsidRPr="000B3288">
              <w:rPr>
                <w:rFonts w:hint="eastAsia"/>
                <w:color w:val="auto"/>
              </w:rPr>
              <w:t>żą</w:t>
            </w:r>
            <w:r w:rsidR="00CE2DC1" w:rsidRPr="000B3288">
              <w:rPr>
                <w:color w:val="auto"/>
              </w:rPr>
              <w:t>cych).</w:t>
            </w:r>
          </w:p>
          <w:p w:rsidR="00CE2DC1" w:rsidRPr="00FD1522" w:rsidRDefault="009A2E59" w:rsidP="00D1167A">
            <w:pPr>
              <w:pStyle w:val="tekstnapierwszejstronie"/>
            </w:pPr>
            <w:r w:rsidRPr="00FD1522">
              <w:t xml:space="preserve">Według wstępnych danych liczba oddanych do użytkowania mieszkań była </w:t>
            </w:r>
            <w:r w:rsidR="00F91283" w:rsidRPr="00FD1522">
              <w:t>więk</w:t>
            </w:r>
            <w:r w:rsidR="00417242" w:rsidRPr="00FD1522">
              <w:t>sza</w:t>
            </w:r>
            <w:r w:rsidRPr="00FD1522">
              <w:t xml:space="preserve"> (o </w:t>
            </w:r>
            <w:r w:rsidR="00FD1522" w:rsidRPr="00FD1522">
              <w:t>44,4</w:t>
            </w:r>
            <w:r w:rsidRPr="00FD1522">
              <w:t xml:space="preserve">%) niż w </w:t>
            </w:r>
            <w:r w:rsidR="00FD1522" w:rsidRPr="00FD1522">
              <w:t>sierpniu</w:t>
            </w:r>
            <w:r w:rsidR="002919B9" w:rsidRPr="00FD1522">
              <w:t xml:space="preserve"> </w:t>
            </w:r>
            <w:r w:rsidR="002919B9" w:rsidRPr="00FD1522">
              <w:br/>
            </w:r>
            <w:r w:rsidRPr="00FD1522">
              <w:t>20</w:t>
            </w:r>
            <w:r w:rsidR="002635C7" w:rsidRPr="00FD1522">
              <w:t>20</w:t>
            </w:r>
            <w:r w:rsidRPr="00FD1522">
              <w:t xml:space="preserve"> r. </w:t>
            </w:r>
            <w:r w:rsidR="00B36210" w:rsidRPr="00FD1522">
              <w:t xml:space="preserve">Wzrosła </w:t>
            </w:r>
            <w:r w:rsidR="00F91283" w:rsidRPr="00FD1522">
              <w:t xml:space="preserve">także </w:t>
            </w:r>
            <w:r w:rsidR="00B36210" w:rsidRPr="00FD1522">
              <w:t xml:space="preserve">liczba mieszkań, </w:t>
            </w:r>
            <w:r w:rsidR="002919B9" w:rsidRPr="00FD1522">
              <w:t xml:space="preserve">których budowę rozpoczęto (o </w:t>
            </w:r>
            <w:r w:rsidR="00FD1522" w:rsidRPr="00FD1522">
              <w:t>50,0</w:t>
            </w:r>
            <w:r w:rsidR="002919B9" w:rsidRPr="00FD1522">
              <w:t xml:space="preserve">%) oraz </w:t>
            </w:r>
            <w:r w:rsidR="009A3BBC" w:rsidRPr="00FD1522">
              <w:t xml:space="preserve">na budowę których wydano pozwolenia lub dokonano zgłoszenia z projektem budowlanym (o </w:t>
            </w:r>
            <w:r w:rsidR="00FD1522" w:rsidRPr="00FD1522">
              <w:t>2,2</w:t>
            </w:r>
            <w:r w:rsidR="009A3BBC" w:rsidRPr="00FD1522">
              <w:t>%)</w:t>
            </w:r>
            <w:r w:rsidR="002919B9" w:rsidRPr="00FD1522">
              <w:t>.</w:t>
            </w:r>
            <w:r w:rsidR="009A3BBC" w:rsidRPr="00FD1522">
              <w:t xml:space="preserve"> </w:t>
            </w:r>
          </w:p>
          <w:p w:rsidR="00BB1C1D" w:rsidRPr="00B82CF8" w:rsidRDefault="007F59FC" w:rsidP="00D1167A">
            <w:pPr>
              <w:pStyle w:val="tekstnapierwszejstronie"/>
              <w:rPr>
                <w:color w:val="FF0000"/>
              </w:rPr>
            </w:pPr>
            <w:r w:rsidRPr="007F63C0">
              <w:rPr>
                <w:color w:val="auto"/>
              </w:rPr>
              <w:t>W</w:t>
            </w:r>
            <w:r w:rsidR="00EB55E1" w:rsidRPr="007F63C0">
              <w:rPr>
                <w:color w:val="auto"/>
              </w:rPr>
              <w:t xml:space="preserve"> </w:t>
            </w:r>
            <w:r w:rsidR="007F63C0" w:rsidRPr="007F63C0">
              <w:rPr>
                <w:color w:val="auto"/>
              </w:rPr>
              <w:t>sierpniu</w:t>
            </w:r>
            <w:r w:rsidRPr="007F63C0">
              <w:rPr>
                <w:color w:val="auto"/>
              </w:rPr>
              <w:t xml:space="preserve"> 20</w:t>
            </w:r>
            <w:r w:rsidR="00BF5D51" w:rsidRPr="007F63C0">
              <w:rPr>
                <w:color w:val="auto"/>
              </w:rPr>
              <w:t>2</w:t>
            </w:r>
            <w:r w:rsidR="00D51233" w:rsidRPr="007F63C0">
              <w:rPr>
                <w:color w:val="auto"/>
              </w:rPr>
              <w:t>1</w:t>
            </w:r>
            <w:r w:rsidRPr="007F63C0">
              <w:rPr>
                <w:color w:val="auto"/>
              </w:rPr>
              <w:t xml:space="preserve"> r. </w:t>
            </w:r>
            <w:r w:rsidR="00742844" w:rsidRPr="007F63C0">
              <w:rPr>
                <w:color w:val="auto"/>
              </w:rPr>
              <w:t>zwiększyła się</w:t>
            </w:r>
            <w:r w:rsidRPr="007F63C0">
              <w:rPr>
                <w:color w:val="auto"/>
              </w:rPr>
              <w:t xml:space="preserve"> </w:t>
            </w:r>
            <w:r w:rsidR="002116BF" w:rsidRPr="007F63C0">
              <w:rPr>
                <w:color w:val="auto"/>
              </w:rPr>
              <w:t xml:space="preserve">w ujęciu rocznym </w:t>
            </w:r>
            <w:r w:rsidR="00687F11" w:rsidRPr="007F63C0">
              <w:rPr>
                <w:color w:val="auto"/>
              </w:rPr>
              <w:t>zarówno</w:t>
            </w:r>
            <w:r w:rsidRPr="007F63C0">
              <w:rPr>
                <w:color w:val="auto"/>
              </w:rPr>
              <w:t xml:space="preserve"> </w:t>
            </w:r>
            <w:r w:rsidR="00742844" w:rsidRPr="007F63C0">
              <w:rPr>
                <w:color w:val="auto"/>
              </w:rPr>
              <w:t>sprzedaż detaliczna</w:t>
            </w:r>
            <w:r w:rsidR="00434E56" w:rsidRPr="007F63C0">
              <w:rPr>
                <w:color w:val="auto"/>
              </w:rPr>
              <w:t xml:space="preserve"> </w:t>
            </w:r>
            <w:r w:rsidRPr="007F63C0">
              <w:rPr>
                <w:color w:val="auto"/>
              </w:rPr>
              <w:t xml:space="preserve">(o </w:t>
            </w:r>
            <w:r w:rsidR="007F63C0" w:rsidRPr="007F63C0">
              <w:rPr>
                <w:color w:val="auto"/>
              </w:rPr>
              <w:t>5,4</w:t>
            </w:r>
            <w:r w:rsidRPr="007F63C0">
              <w:rPr>
                <w:color w:val="auto"/>
              </w:rPr>
              <w:t>%)</w:t>
            </w:r>
            <w:r w:rsidR="00687F11" w:rsidRPr="007F63C0">
              <w:rPr>
                <w:color w:val="auto"/>
              </w:rPr>
              <w:t>,</w:t>
            </w:r>
            <w:r w:rsidR="00315D2F" w:rsidRPr="007F63C0">
              <w:rPr>
                <w:color w:val="auto"/>
              </w:rPr>
              <w:t xml:space="preserve"> </w:t>
            </w:r>
            <w:r w:rsidR="00687F11" w:rsidRPr="007F63C0">
              <w:rPr>
                <w:color w:val="auto"/>
              </w:rPr>
              <w:t>jak i</w:t>
            </w:r>
            <w:r w:rsidR="00315D2F" w:rsidRPr="007F63C0">
              <w:rPr>
                <w:color w:val="auto"/>
              </w:rPr>
              <w:t xml:space="preserve"> </w:t>
            </w:r>
            <w:r w:rsidR="00742844" w:rsidRPr="007F63C0">
              <w:rPr>
                <w:color w:val="auto"/>
              </w:rPr>
              <w:t>sprzedaż</w:t>
            </w:r>
            <w:r w:rsidR="003D5BD2" w:rsidRPr="007F63C0">
              <w:rPr>
                <w:color w:val="auto"/>
              </w:rPr>
              <w:t xml:space="preserve"> </w:t>
            </w:r>
            <w:r w:rsidRPr="007F63C0">
              <w:rPr>
                <w:color w:val="auto"/>
              </w:rPr>
              <w:t>hurtow</w:t>
            </w:r>
            <w:r w:rsidR="00742844" w:rsidRPr="007F63C0">
              <w:rPr>
                <w:color w:val="auto"/>
              </w:rPr>
              <w:t>a</w:t>
            </w:r>
            <w:r w:rsidR="0055473C" w:rsidRPr="007F63C0">
              <w:rPr>
                <w:color w:val="auto"/>
              </w:rPr>
              <w:t xml:space="preserve"> </w:t>
            </w:r>
            <w:r w:rsidRPr="007F63C0">
              <w:rPr>
                <w:color w:val="auto"/>
              </w:rPr>
              <w:t xml:space="preserve">(o </w:t>
            </w:r>
            <w:r w:rsidR="007F63C0" w:rsidRPr="007F63C0">
              <w:rPr>
                <w:color w:val="auto"/>
              </w:rPr>
              <w:t>26,0</w:t>
            </w:r>
            <w:r w:rsidRPr="007F63C0">
              <w:rPr>
                <w:color w:val="auto"/>
              </w:rPr>
              <w:t>%).</w:t>
            </w:r>
            <w:r w:rsidR="00C347C8" w:rsidRPr="007F63C0">
              <w:rPr>
                <w:color w:val="auto"/>
              </w:rPr>
              <w:t xml:space="preserve"> </w:t>
            </w:r>
            <w:r w:rsidR="00687F11" w:rsidRPr="007F63C0">
              <w:rPr>
                <w:color w:val="auto"/>
              </w:rPr>
              <w:t>Największy wzrost</w:t>
            </w:r>
            <w:r w:rsidR="00C347C8" w:rsidRPr="007F63C0">
              <w:rPr>
                <w:color w:val="auto"/>
              </w:rPr>
              <w:t xml:space="preserve"> wartości sprzedaży detalicznej wystąpił </w:t>
            </w:r>
            <w:r w:rsidR="00687F11" w:rsidRPr="007F63C0">
              <w:rPr>
                <w:color w:val="auto"/>
              </w:rPr>
              <w:t xml:space="preserve">w jednostkach zajmujących się </w:t>
            </w:r>
            <w:r w:rsidR="002A750D" w:rsidRPr="007F63C0">
              <w:rPr>
                <w:color w:val="auto"/>
              </w:rPr>
              <w:t>handlem</w:t>
            </w:r>
            <w:r w:rsidR="00C37DA9" w:rsidRPr="007F63C0">
              <w:rPr>
                <w:color w:val="auto"/>
              </w:rPr>
              <w:t xml:space="preserve"> </w:t>
            </w:r>
            <w:r w:rsidR="008B015C" w:rsidRPr="007F63C0">
              <w:rPr>
                <w:color w:val="auto"/>
              </w:rPr>
              <w:t>paliw</w:t>
            </w:r>
            <w:r w:rsidR="002A750D" w:rsidRPr="007F63C0">
              <w:rPr>
                <w:color w:val="auto"/>
              </w:rPr>
              <w:t>ami stałymi, ciekłymi i gazowymi</w:t>
            </w:r>
            <w:r w:rsidR="00A33347" w:rsidRPr="007F63C0">
              <w:rPr>
                <w:rFonts w:eastAsia="Fira Sans Light" w:cs="Arial"/>
                <w:color w:val="auto"/>
                <w:szCs w:val="19"/>
              </w:rPr>
              <w:t xml:space="preserve"> (o </w:t>
            </w:r>
            <w:r w:rsidR="007F63C0" w:rsidRPr="007F63C0">
              <w:rPr>
                <w:rFonts w:eastAsia="Fira Sans Light" w:cs="Arial"/>
                <w:color w:val="auto"/>
                <w:szCs w:val="19"/>
              </w:rPr>
              <w:t>26,0</w:t>
            </w:r>
            <w:r w:rsidR="00A33347" w:rsidRPr="007F63C0">
              <w:rPr>
                <w:rFonts w:eastAsia="Fira Sans Light" w:cs="Arial"/>
                <w:color w:val="auto"/>
                <w:szCs w:val="19"/>
              </w:rPr>
              <w:t>%)</w:t>
            </w:r>
            <w:r w:rsidR="00C347C8" w:rsidRPr="007F63C0">
              <w:rPr>
                <w:color w:val="auto"/>
              </w:rPr>
              <w:t>.</w:t>
            </w:r>
          </w:p>
          <w:p w:rsidR="00950562" w:rsidRPr="00B9365A" w:rsidRDefault="00B9365A" w:rsidP="00B9365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4715FE">
              <w:t xml:space="preserve">W </w:t>
            </w:r>
            <w:r>
              <w:t>sierpniu</w:t>
            </w:r>
            <w:r w:rsidRPr="004715FE">
              <w:t xml:space="preserve"> br. 0,8% podmiotów gospodarczych, które złożyły meldunek DG1, wskazało pandemię COVID-19 jako czynnik wywołujący istotne zmiany w prowadzeniu działalności gospodarczej</w:t>
            </w:r>
            <w:r w:rsidR="00A26596">
              <w:t>.</w:t>
            </w:r>
          </w:p>
          <w:p w:rsidR="00927A3B" w:rsidRPr="00B17A1A" w:rsidRDefault="00742844" w:rsidP="00D1167A">
            <w:pPr>
              <w:pStyle w:val="tekstnapierwszejstronie"/>
              <w:rPr>
                <w:color w:val="auto"/>
              </w:rPr>
            </w:pPr>
            <w:r w:rsidRPr="00B17A1A">
              <w:rPr>
                <w:color w:val="auto"/>
              </w:rPr>
              <w:t xml:space="preserve">Na rynku rolnym </w:t>
            </w:r>
            <w:r w:rsidR="00A640EB" w:rsidRPr="00B17A1A">
              <w:rPr>
                <w:color w:val="auto"/>
              </w:rPr>
              <w:t xml:space="preserve">przeciętne ceny skupu w ujęciu rocznym były wyższe w przypadku większości badanych produktów roślinnych i zwierzęcych. </w:t>
            </w:r>
            <w:r w:rsidR="00B17A1A" w:rsidRPr="00B17A1A">
              <w:rPr>
                <w:color w:val="auto"/>
              </w:rPr>
              <w:t>Największy wzrost dotyczył cen skupu żywca wołowego oraz pszenicy.</w:t>
            </w:r>
          </w:p>
          <w:p w:rsidR="00E71EA6" w:rsidRPr="00B82CF8" w:rsidRDefault="00E71EA6" w:rsidP="00D1167A">
            <w:pPr>
              <w:pStyle w:val="tekstnapierwszejstronie"/>
              <w:rPr>
                <w:color w:val="FF0000"/>
              </w:rPr>
            </w:pPr>
            <w:r w:rsidRPr="00215874">
              <w:rPr>
                <w:color w:val="auto"/>
              </w:rPr>
              <w:t xml:space="preserve">Według stanu na koniec </w:t>
            </w:r>
            <w:r w:rsidR="00215874" w:rsidRPr="00215874">
              <w:rPr>
                <w:color w:val="auto"/>
              </w:rPr>
              <w:t>sierpnia</w:t>
            </w:r>
            <w:r w:rsidR="00CF775A" w:rsidRPr="00215874">
              <w:rPr>
                <w:color w:val="auto"/>
              </w:rPr>
              <w:t xml:space="preserve"> 202</w:t>
            </w:r>
            <w:r w:rsidR="00EA4DF8" w:rsidRPr="00215874">
              <w:rPr>
                <w:color w:val="auto"/>
              </w:rPr>
              <w:t>1</w:t>
            </w:r>
            <w:r w:rsidR="00CF775A" w:rsidRPr="00215874">
              <w:rPr>
                <w:color w:val="auto"/>
              </w:rPr>
              <w:t xml:space="preserve"> </w:t>
            </w:r>
            <w:r w:rsidRPr="00215874">
              <w:rPr>
                <w:color w:val="auto"/>
              </w:rPr>
              <w:t xml:space="preserve">r. w rejestrze REGON wpisanych było więcej </w:t>
            </w:r>
            <w:r w:rsidR="00F50BF8" w:rsidRPr="00215874">
              <w:rPr>
                <w:color w:val="auto"/>
              </w:rPr>
              <w:t xml:space="preserve">(o </w:t>
            </w:r>
            <w:r w:rsidR="00700592" w:rsidRPr="00215874">
              <w:rPr>
                <w:color w:val="auto"/>
              </w:rPr>
              <w:t>4,3</w:t>
            </w:r>
            <w:r w:rsidR="00F50BF8" w:rsidRPr="00215874">
              <w:rPr>
                <w:color w:val="auto"/>
              </w:rPr>
              <w:t xml:space="preserve">%) </w:t>
            </w:r>
            <w:r w:rsidRPr="00215874">
              <w:rPr>
                <w:color w:val="auto"/>
              </w:rPr>
              <w:t xml:space="preserve">podmiotów gospodarki narodowej niż </w:t>
            </w:r>
            <w:r w:rsidR="00CF775A" w:rsidRPr="00215874">
              <w:rPr>
                <w:color w:val="auto"/>
              </w:rPr>
              <w:t>rok wcześniej</w:t>
            </w:r>
            <w:r w:rsidRPr="00215874">
              <w:rPr>
                <w:color w:val="auto"/>
              </w:rPr>
              <w:t>.</w:t>
            </w:r>
            <w:r w:rsidR="0022741E" w:rsidRPr="00215874">
              <w:rPr>
                <w:color w:val="auto"/>
              </w:rPr>
              <w:t xml:space="preserve"> W relacji do poprzedniego miesiąca </w:t>
            </w:r>
            <w:r w:rsidR="00215874" w:rsidRPr="00215874">
              <w:rPr>
                <w:color w:val="auto"/>
              </w:rPr>
              <w:t>wzrosła</w:t>
            </w:r>
            <w:r w:rsidR="0022741E" w:rsidRPr="00215874">
              <w:rPr>
                <w:color w:val="auto"/>
              </w:rPr>
              <w:t xml:space="preserve"> (o </w:t>
            </w:r>
            <w:r w:rsidR="00215874" w:rsidRPr="00215874">
              <w:rPr>
                <w:color w:val="auto"/>
              </w:rPr>
              <w:t>0,7</w:t>
            </w:r>
            <w:r w:rsidR="001A7204" w:rsidRPr="00215874">
              <w:rPr>
                <w:color w:val="auto"/>
              </w:rPr>
              <w:t>%) liczba podmiotów</w:t>
            </w:r>
            <w:r w:rsidR="002F61D1" w:rsidRPr="00215874">
              <w:rPr>
                <w:color w:val="auto"/>
              </w:rPr>
              <w:t xml:space="preserve"> </w:t>
            </w:r>
            <w:r w:rsidR="00215874" w:rsidRPr="00215874">
              <w:rPr>
                <w:color w:val="auto"/>
              </w:rPr>
              <w:t xml:space="preserve">                 </w:t>
            </w:r>
            <w:r w:rsidR="0022741E" w:rsidRPr="00215874">
              <w:rPr>
                <w:color w:val="auto"/>
              </w:rPr>
              <w:t>z zawieszoną działalnością.</w:t>
            </w:r>
          </w:p>
          <w:p w:rsidR="00D5626A" w:rsidRPr="00B82CF8" w:rsidRDefault="003068B2" w:rsidP="00D5626A">
            <w:pPr>
              <w:pStyle w:val="tekstnapierwszejstronie"/>
              <w:rPr>
                <w:color w:val="FF0000"/>
              </w:rPr>
            </w:pPr>
            <w:r w:rsidRPr="003068B2">
              <w:rPr>
                <w:color w:val="auto"/>
              </w:rPr>
              <w:t>W większości badanych obszarów przedsiębiorcy we </w:t>
            </w:r>
            <w:r w:rsidRPr="003068B2">
              <w:rPr>
                <w:b/>
                <w:color w:val="auto"/>
              </w:rPr>
              <w:t>wrześniu</w:t>
            </w:r>
            <w:r w:rsidRPr="003068B2">
              <w:rPr>
                <w:color w:val="auto"/>
              </w:rPr>
              <w:t xml:space="preserve"> </w:t>
            </w:r>
            <w:r w:rsidRPr="003068B2">
              <w:rPr>
                <w:b/>
                <w:color w:val="auto"/>
              </w:rPr>
              <w:t>br.</w:t>
            </w:r>
            <w:r w:rsidRPr="003068B2">
              <w:rPr>
                <w:color w:val="auto"/>
              </w:rPr>
              <w:t xml:space="preserve"> oceniają koniunkturę negatywnie. Najbardziej pesymistyczne oceny formułowane są przez prowadzących działalność w zakresie zakwaterowania i gastronomii, natomiast najbardziej pozytywne – przez firmy z sekcji informacja i komunikacja.</w:t>
            </w:r>
          </w:p>
          <w:p w:rsidR="00B65A60" w:rsidRPr="00631FA8" w:rsidRDefault="00B65A60" w:rsidP="00655396">
            <w:pPr>
              <w:pStyle w:val="tekstnapierwszejstronie"/>
            </w:pPr>
            <w:r w:rsidRPr="00655396">
              <w:rPr>
                <w:color w:val="auto"/>
              </w:rPr>
              <w:t xml:space="preserve">W </w:t>
            </w:r>
            <w:r w:rsidR="00655396" w:rsidRPr="00655396">
              <w:rPr>
                <w:b/>
                <w:color w:val="auto"/>
              </w:rPr>
              <w:t>I</w:t>
            </w:r>
            <w:r w:rsidRPr="00655396">
              <w:rPr>
                <w:b/>
                <w:color w:val="auto"/>
              </w:rPr>
              <w:t>I kwartale 2021 r.</w:t>
            </w:r>
            <w:r w:rsidRPr="00655396">
              <w:rPr>
                <w:color w:val="auto"/>
              </w:rPr>
              <w:t xml:space="preserve"> ceny towarów i usług konsumpcyjnych w województwie małopolskim były wyższe </w:t>
            </w:r>
            <w:r w:rsidR="008134D7" w:rsidRPr="00655396">
              <w:rPr>
                <w:color w:val="auto"/>
              </w:rPr>
              <w:t>(</w:t>
            </w:r>
            <w:r w:rsidRPr="00655396">
              <w:rPr>
                <w:color w:val="auto"/>
              </w:rPr>
              <w:t xml:space="preserve">o </w:t>
            </w:r>
            <w:r w:rsidR="00655396" w:rsidRPr="00655396">
              <w:rPr>
                <w:color w:val="auto"/>
              </w:rPr>
              <w:t>5,6</w:t>
            </w:r>
            <w:r w:rsidRPr="00655396">
              <w:rPr>
                <w:color w:val="auto"/>
              </w:rPr>
              <w:t>%</w:t>
            </w:r>
            <w:r w:rsidR="008134D7" w:rsidRPr="00655396">
              <w:rPr>
                <w:color w:val="auto"/>
              </w:rPr>
              <w:t>)</w:t>
            </w:r>
            <w:r w:rsidRPr="00655396">
              <w:rPr>
                <w:color w:val="auto"/>
              </w:rPr>
              <w:t xml:space="preserve">   w skali roku.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4F1AF4" w:rsidRDefault="00566DB7" w:rsidP="004872E0">
      <w:pPr>
        <w:pStyle w:val="Spistreci"/>
        <w:spacing w:before="60" w:after="60"/>
      </w:pPr>
      <w:r w:rsidRPr="004F1AF4">
        <w:t>Rynek pracy</w:t>
      </w:r>
      <w:r w:rsidRPr="004F1AF4">
        <w:tab/>
        <w:t>4</w:t>
      </w:r>
    </w:p>
    <w:p w:rsidR="00566DB7" w:rsidRPr="004F1AF4" w:rsidRDefault="001D5F2C" w:rsidP="004872E0">
      <w:pPr>
        <w:pStyle w:val="Spistreci"/>
        <w:spacing w:before="60" w:after="60"/>
      </w:pPr>
      <w:r w:rsidRPr="004F1AF4">
        <w:t xml:space="preserve">Wpływ epidemii COVID–19 na wybrane elementy rynku pracy w </w:t>
      </w:r>
      <w:r w:rsidR="004F1AF4">
        <w:t>I</w:t>
      </w:r>
      <w:r w:rsidRPr="004F1AF4">
        <w:t>I kwartale 2021 r.</w:t>
      </w:r>
      <w:r w:rsidR="00566DB7" w:rsidRPr="004F1AF4">
        <w:tab/>
      </w:r>
      <w:r w:rsidR="00853942" w:rsidRPr="004F1AF4">
        <w:t>7</w:t>
      </w:r>
    </w:p>
    <w:p w:rsidR="001D5F2C" w:rsidRPr="004F1AF4" w:rsidRDefault="001D5F2C" w:rsidP="004872E0">
      <w:pPr>
        <w:pStyle w:val="Spistreci"/>
        <w:spacing w:before="60" w:after="60"/>
      </w:pPr>
      <w:r w:rsidRPr="004F1AF4">
        <w:t>Wynagrodzenia</w:t>
      </w:r>
      <w:r w:rsidRPr="004F1AF4">
        <w:tab/>
        <w:t>8</w:t>
      </w:r>
    </w:p>
    <w:p w:rsidR="00B80C6A" w:rsidRPr="004F1AF4" w:rsidRDefault="00B80C6A" w:rsidP="004872E0">
      <w:pPr>
        <w:pStyle w:val="Spistreci"/>
        <w:spacing w:before="60" w:after="60"/>
      </w:pPr>
      <w:r w:rsidRPr="004F1AF4">
        <w:t>Ceny...........................................................................................................................................................................................9</w:t>
      </w:r>
    </w:p>
    <w:p w:rsidR="00566DB7" w:rsidRPr="004F1AF4" w:rsidRDefault="00566DB7" w:rsidP="004872E0">
      <w:pPr>
        <w:pStyle w:val="Spistreci"/>
        <w:spacing w:before="60" w:after="60"/>
      </w:pPr>
      <w:r w:rsidRPr="004F1AF4">
        <w:t xml:space="preserve">Rolnictwo </w:t>
      </w:r>
      <w:r w:rsidRPr="004F1AF4">
        <w:tab/>
      </w:r>
      <w:r w:rsidR="004F1AF4" w:rsidRPr="004F1AF4">
        <w:t>10</w:t>
      </w:r>
    </w:p>
    <w:p w:rsidR="00566DB7" w:rsidRPr="004F1AF4" w:rsidRDefault="00566DB7" w:rsidP="004872E0">
      <w:pPr>
        <w:pStyle w:val="Spistreci"/>
        <w:spacing w:before="60" w:after="60"/>
      </w:pPr>
      <w:r w:rsidRPr="004F1AF4">
        <w:t xml:space="preserve">Przemysł i budownictwo </w:t>
      </w:r>
      <w:r w:rsidRPr="004F1AF4">
        <w:tab/>
      </w:r>
      <w:r w:rsidR="00156546" w:rsidRPr="004F1AF4">
        <w:t>1</w:t>
      </w:r>
      <w:r w:rsidR="004F1AF4" w:rsidRPr="004F1AF4">
        <w:t>3</w:t>
      </w:r>
    </w:p>
    <w:p w:rsidR="00566DB7" w:rsidRPr="004F1AF4" w:rsidRDefault="00566DB7" w:rsidP="004872E0">
      <w:pPr>
        <w:pStyle w:val="Spistreci"/>
        <w:spacing w:before="60" w:after="60"/>
      </w:pPr>
      <w:r w:rsidRPr="004F1AF4">
        <w:t>Budownictwo mieszkaniowe</w:t>
      </w:r>
      <w:r w:rsidRPr="004F1AF4">
        <w:tab/>
      </w:r>
      <w:r w:rsidR="00156546" w:rsidRPr="004F1AF4">
        <w:t>1</w:t>
      </w:r>
      <w:r w:rsidR="004F1AF4" w:rsidRPr="004F1AF4">
        <w:t>4</w:t>
      </w:r>
    </w:p>
    <w:p w:rsidR="003C3BD7" w:rsidRPr="004F1AF4" w:rsidRDefault="003C3BD7" w:rsidP="004872E0">
      <w:pPr>
        <w:pStyle w:val="Spistreci"/>
        <w:spacing w:before="60" w:after="60"/>
      </w:pPr>
      <w:r w:rsidRPr="004F1AF4">
        <w:t>Rynek wewnętrzny</w:t>
      </w:r>
      <w:r w:rsidRPr="004F1AF4">
        <w:tab/>
      </w:r>
      <w:r w:rsidR="00156546" w:rsidRPr="004F1AF4">
        <w:t>1</w:t>
      </w:r>
      <w:r w:rsidR="004F1AF4" w:rsidRPr="004F1AF4">
        <w:t>6</w:t>
      </w:r>
    </w:p>
    <w:p w:rsidR="0034074E" w:rsidRPr="004F1AF4" w:rsidRDefault="0034074E" w:rsidP="004872E0">
      <w:pPr>
        <w:pStyle w:val="Spistreci"/>
        <w:spacing w:before="60" w:after="60"/>
      </w:pPr>
      <w:r w:rsidRPr="004F1AF4">
        <w:t>Wpływ pandemii COVID-19 na działalność sektora przedsiębiorstw</w:t>
      </w:r>
      <w:r w:rsidRPr="004F1AF4">
        <w:tab/>
        <w:t>1</w:t>
      </w:r>
      <w:r w:rsidR="004F1AF4" w:rsidRPr="004F1AF4">
        <w:t>7</w:t>
      </w:r>
    </w:p>
    <w:p w:rsidR="004C339D" w:rsidRPr="004F1AF4" w:rsidRDefault="004C339D" w:rsidP="004872E0">
      <w:pPr>
        <w:pStyle w:val="Spistreci"/>
        <w:spacing w:before="60" w:after="60"/>
      </w:pPr>
      <w:r w:rsidRPr="004F1AF4">
        <w:t xml:space="preserve">Podmioty gospodarki narodowej </w:t>
      </w:r>
      <w:r w:rsidRPr="004F1AF4">
        <w:tab/>
        <w:t>1</w:t>
      </w:r>
      <w:r w:rsidR="004F1AF4" w:rsidRPr="004F1AF4">
        <w:t>8</w:t>
      </w:r>
    </w:p>
    <w:p w:rsidR="008B0973" w:rsidRPr="004F1AF4" w:rsidRDefault="008B0973" w:rsidP="004872E0">
      <w:pPr>
        <w:pStyle w:val="Spistreci"/>
        <w:spacing w:before="60" w:after="60"/>
      </w:pPr>
      <w:r w:rsidRPr="004F1AF4">
        <w:t xml:space="preserve">Koniunktura gospodarcza </w:t>
      </w:r>
      <w:r w:rsidRPr="004F1AF4">
        <w:tab/>
      </w:r>
      <w:r w:rsidR="004F1AF4" w:rsidRPr="004F1AF4">
        <w:t>20</w:t>
      </w:r>
    </w:p>
    <w:p w:rsidR="009F6680" w:rsidRPr="00B82CF8" w:rsidRDefault="009F6680" w:rsidP="004872E0">
      <w:pPr>
        <w:pStyle w:val="Spistreci"/>
        <w:spacing w:before="60" w:after="60"/>
        <w:rPr>
          <w:color w:val="FF0000"/>
        </w:rPr>
      </w:pPr>
      <w:r w:rsidRPr="006E7F3E">
        <w:t>Wybrane dane o województwie małopolskim</w:t>
      </w:r>
      <w:r w:rsidR="001D0453" w:rsidRPr="006E7F3E">
        <w:t>..............................................................................................................</w:t>
      </w:r>
      <w:r w:rsidR="004C339D" w:rsidRPr="006E7F3E">
        <w:t>2</w:t>
      </w:r>
      <w:r w:rsidR="006E7F3E" w:rsidRPr="006E7F3E">
        <w:t>4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43083">
        <w:rPr>
          <w:color w:val="595959" w:themeColor="text1" w:themeTint="A6"/>
        </w:rPr>
        <w:t>head</w:t>
      </w:r>
      <w:proofErr w:type="spellEnd"/>
      <w:r w:rsidRPr="00843083">
        <w:rPr>
          <w:color w:val="595959" w:themeColor="text1" w:themeTint="A6"/>
        </w:rPr>
        <w:t xml:space="preserve"> </w:t>
      </w:r>
      <w:proofErr w:type="spellStart"/>
      <w:r w:rsidRPr="00843083">
        <w:rPr>
          <w:color w:val="595959" w:themeColor="text1" w:themeTint="A6"/>
        </w:rPr>
        <w:t>offices</w:t>
      </w:r>
      <w:proofErr w:type="spellEnd"/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796F7A" w:rsidRPr="0034074E" w:rsidRDefault="00796F7A" w:rsidP="00796F7A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796F7A" w:rsidRPr="006D6789" w:rsidRDefault="00796F7A" w:rsidP="00796F7A">
      <w:pPr>
        <w:spacing w:before="0" w:after="0" w:line="240" w:lineRule="auto"/>
        <w:rPr>
          <w:color w:val="000000" w:themeColor="text1"/>
          <w:lang w:eastAsia="pl-PL"/>
        </w:rPr>
      </w:pPr>
    </w:p>
    <w:p w:rsidR="00796F7A" w:rsidRPr="002D6166" w:rsidRDefault="00796F7A" w:rsidP="00796F7A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15770E">
        <w:rPr>
          <w:rFonts w:eastAsia="Times New Roman" w:cs="Arial"/>
          <w:b/>
          <w:color w:val="000000" w:themeColor="text1"/>
          <w:szCs w:val="19"/>
          <w:lang w:eastAsia="pl-PL"/>
        </w:rPr>
        <w:t xml:space="preserve">Przeciętne zatrudnienie w sektorze przedsiębiorstw </w:t>
      </w:r>
      <w:r w:rsidRPr="0015770E">
        <w:rPr>
          <w:rFonts w:eastAsia="Times New Roman" w:cs="Arial"/>
          <w:color w:val="000000" w:themeColor="text1"/>
          <w:szCs w:val="19"/>
          <w:lang w:eastAsia="pl-PL"/>
        </w:rPr>
        <w:t xml:space="preserve">w sierpniu 2021 r. wyniosło 525,8 tys. osób, tym samym kształtowało się na poziomie wyższym (o 1,5%) niż rok wcześniej. </w:t>
      </w:r>
      <w:r w:rsidRPr="002D6166">
        <w:rPr>
          <w:rFonts w:eastAsia="Times New Roman" w:cs="Arial"/>
          <w:b/>
          <w:color w:val="000000" w:themeColor="text1"/>
          <w:szCs w:val="19"/>
          <w:lang w:eastAsia="pl-PL"/>
        </w:rPr>
        <w:t>Stopa bezrobocia</w:t>
      </w:r>
      <w:r w:rsidRPr="002D6166">
        <w:rPr>
          <w:rFonts w:eastAsia="Times New Roman" w:cs="Arial"/>
          <w:color w:val="000000" w:themeColor="text1"/>
          <w:szCs w:val="19"/>
          <w:lang w:eastAsia="pl-PL"/>
        </w:rPr>
        <w:t xml:space="preserve"> była niższa niż w roku poprzednim (4,9% wobec 5,2%).</w:t>
      </w:r>
    </w:p>
    <w:p w:rsidR="00796F7A" w:rsidRPr="0015770E" w:rsidRDefault="00796F7A" w:rsidP="00796F7A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15770E">
        <w:rPr>
          <w:rFonts w:eastAsia="Times New Roman" w:cs="Arial"/>
          <w:color w:val="000000" w:themeColor="text1"/>
          <w:szCs w:val="19"/>
          <w:lang w:eastAsia="pl-PL"/>
        </w:rPr>
        <w:t xml:space="preserve">W porównaniu z sierpniem 2020 r. przeciętne zatrudnienie wzrosło zwłaszcza w sekcjach działalność profesjonalna, naukowa i techniczna (o 13,3%) oraz informacja i komunikacja (o 12,5%). </w:t>
      </w:r>
      <w:r w:rsidRPr="0015770E">
        <w:rPr>
          <w:rFonts w:cs="Arial"/>
          <w:color w:val="000000" w:themeColor="text1"/>
          <w:szCs w:val="19"/>
        </w:rPr>
        <w:t>Spadek przeciętnego zatrudnienia odnotowano przede wszystkim w zakwaterowaniu i gastronomii (o 8,5%), a także m.in. w górnictwie i wydobywaniu (o 2,4%).</w:t>
      </w:r>
      <w:r w:rsidRPr="0015770E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:rsidR="00796F7A" w:rsidRPr="0015770E" w:rsidRDefault="00796F7A" w:rsidP="00796F7A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15770E">
        <w:rPr>
          <w:rFonts w:ascii="Fira Sans" w:hAnsi="Fira Sans" w:cs="Arial"/>
          <w:color w:val="000000" w:themeColor="text1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796F7A" w:rsidRPr="0015770E" w:rsidTr="00796F7A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96F7A" w:rsidRPr="0015770E" w:rsidRDefault="00796F7A" w:rsidP="00796F7A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96F7A" w:rsidRPr="0015770E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VIII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796F7A" w:rsidRPr="0015770E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softHyphen/>
              <w:t>–VIII 2021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96F7A" w:rsidRPr="0015770E" w:rsidRDefault="00796F7A" w:rsidP="00796F7A">
            <w:pPr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15770E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15770E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VIII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96F7A" w:rsidRPr="0015770E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96F7A" w:rsidRPr="0015770E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I–VIII 2020 = 100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525,8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522,7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15770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15770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15770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15770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techniczna</w:t>
            </w:r>
            <w:r w:rsidRPr="0015770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15770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796F7A" w:rsidRPr="0015770E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15770E" w:rsidRDefault="00796F7A" w:rsidP="00796F7A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15770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5770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15770E" w:rsidRDefault="00796F7A" w:rsidP="00796F7A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</w:tbl>
    <w:p w:rsidR="00796F7A" w:rsidRPr="0015770E" w:rsidRDefault="00796F7A" w:rsidP="00796F7A">
      <w:pPr>
        <w:pStyle w:val="Tekstpodstawowy"/>
        <w:spacing w:line="120" w:lineRule="auto"/>
        <w:ind w:firstLine="284"/>
        <w:jc w:val="left"/>
        <w:rPr>
          <w:rFonts w:ascii="Fira Sans" w:hAnsi="Fira Sans"/>
          <w:color w:val="000000" w:themeColor="text1"/>
          <w:sz w:val="16"/>
          <w:szCs w:val="16"/>
        </w:rPr>
      </w:pPr>
    </w:p>
    <w:p w:rsidR="00796F7A" w:rsidRPr="0015770E" w:rsidRDefault="00796F7A" w:rsidP="00796F7A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000000" w:themeColor="text1"/>
          <w:sz w:val="16"/>
          <w:szCs w:val="16"/>
        </w:rPr>
      </w:pPr>
      <w:r w:rsidRPr="0015770E">
        <w:rPr>
          <w:rFonts w:ascii="Fira Sans" w:hAnsi="Fira Sans"/>
          <w:color w:val="000000" w:themeColor="text1"/>
          <w:sz w:val="16"/>
          <w:szCs w:val="16"/>
        </w:rPr>
        <w:t>a</w:t>
      </w:r>
      <w:r w:rsidRPr="0015770E">
        <w:rPr>
          <w:rFonts w:ascii="Fira Sans" w:hAnsi="Fira Sans"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796F7A" w:rsidRPr="0015770E" w:rsidRDefault="00796F7A" w:rsidP="00796F7A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796F7A" w:rsidRPr="009C6582" w:rsidRDefault="00796F7A" w:rsidP="00796F7A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9C6582">
        <w:rPr>
          <w:rFonts w:eastAsia="Times New Roman" w:cs="Arial"/>
          <w:color w:val="000000" w:themeColor="text1"/>
          <w:szCs w:val="19"/>
          <w:lang w:eastAsia="pl-PL"/>
        </w:rPr>
        <w:t>W sierpniu 2021 r. przeciętne zatrudnienie w sektorze przedsiębiorstw było mniejsze (o 0,1%) niż w poprzednim miesiącu. Najgłębszy spadek przeciętnego zatrudnienia miał miejsce w transporcie i gospodarce magazynowej (o 0,7%),</w:t>
      </w:r>
      <w:r w:rsidRPr="009C6582">
        <w:rPr>
          <w:color w:val="000000" w:themeColor="text1"/>
        </w:rPr>
        <w:t xml:space="preserve"> </w:t>
      </w:r>
      <w:r w:rsidRPr="009C6582">
        <w:rPr>
          <w:color w:val="000000" w:themeColor="text1"/>
        </w:rPr>
        <w:br/>
      </w:r>
      <w:r w:rsidRPr="009C6582">
        <w:rPr>
          <w:rFonts w:eastAsia="Times New Roman" w:cs="Arial"/>
          <w:color w:val="000000" w:themeColor="text1"/>
          <w:szCs w:val="19"/>
          <w:lang w:eastAsia="pl-PL"/>
        </w:rPr>
        <w:t>a największy wzrost odnotowano w informacji i komunikacji (o 1,6%).</w:t>
      </w:r>
    </w:p>
    <w:p w:rsidR="00796F7A" w:rsidRPr="00266297" w:rsidRDefault="00796F7A" w:rsidP="00796F7A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266297">
        <w:rPr>
          <w:rFonts w:cs="Arial"/>
          <w:color w:val="000000" w:themeColor="text1"/>
          <w:szCs w:val="19"/>
        </w:rPr>
        <w:t xml:space="preserve">Przeciętne zatrudnienie w sektorze przedsiębiorstw w okresie </w:t>
      </w:r>
      <w:r w:rsidRPr="00266297">
        <w:rPr>
          <w:rFonts w:cs="Arial"/>
          <w:b/>
          <w:color w:val="000000" w:themeColor="text1"/>
          <w:szCs w:val="19"/>
        </w:rPr>
        <w:t>styczeń–sierpień</w:t>
      </w:r>
      <w:r w:rsidRPr="00266297">
        <w:rPr>
          <w:rFonts w:cs="Arial"/>
          <w:color w:val="000000" w:themeColor="text1"/>
          <w:szCs w:val="19"/>
        </w:rPr>
        <w:t xml:space="preserve"> </w:t>
      </w:r>
      <w:r w:rsidRPr="00266297">
        <w:rPr>
          <w:rFonts w:cs="Arial"/>
          <w:b/>
          <w:color w:val="000000" w:themeColor="text1"/>
          <w:szCs w:val="19"/>
        </w:rPr>
        <w:t>2021 r.</w:t>
      </w:r>
      <w:r w:rsidRPr="00266297">
        <w:rPr>
          <w:rFonts w:cs="Arial"/>
          <w:color w:val="000000" w:themeColor="text1"/>
          <w:szCs w:val="19"/>
        </w:rPr>
        <w:t xml:space="preserve"> kształtowało się na poziomie             522,7 tys. osób i było o 0,1% wyższe w ujęciu rocznym. Przeciętne zatrudnienie w ujęciu rocznym zwiększyło się przede wszystkim w informacji i komunikacji (o 9,7%) oraz działalności profesjonalnej, naukowej i technicznej (o 7,7%). Spadek przeciętnego zatrudnienia w tym okresie odnotowano m.in. w zakwaterowaniu i gastronomii (o 17,6%), a także w administrowaniu i działalności wspierającej (o 3,8%).</w:t>
      </w:r>
    </w:p>
    <w:p w:rsidR="00796F7A" w:rsidRPr="0015770E" w:rsidRDefault="00796F7A" w:rsidP="00796F7A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796F7A" w:rsidRPr="0015770E" w:rsidRDefault="00796F7A" w:rsidP="00796F7A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96F7A" w:rsidRPr="006B2D6C" w:rsidRDefault="00796F7A" w:rsidP="00796F7A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6B2D6C">
        <w:rPr>
          <w:rFonts w:eastAsia="Times New Roman" w:cs="Times New Roman"/>
          <w:b/>
          <w:color w:val="000000" w:themeColor="text1"/>
          <w:szCs w:val="19"/>
          <w:lang w:eastAsia="pl-PL"/>
        </w:rPr>
        <w:t>Wykres 1. Dynamika przeciętnego zatrudnienia w sektorze przedsiębiorstw</w:t>
      </w:r>
    </w:p>
    <w:p w:rsidR="00796F7A" w:rsidRPr="006B2D6C" w:rsidRDefault="00796F7A" w:rsidP="00796F7A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6B2D6C">
        <w:rPr>
          <w:rFonts w:eastAsia="Times New Roman" w:cs="Times New Roman"/>
          <w:color w:val="000000" w:themeColor="text1"/>
          <w:szCs w:val="19"/>
          <w:lang w:eastAsia="pl-PL"/>
        </w:rPr>
        <w:t>(przeciętna miesięczna 2015=100)</w:t>
      </w:r>
    </w:p>
    <w:p w:rsidR="00796F7A" w:rsidRPr="006B2D6C" w:rsidRDefault="00796F7A" w:rsidP="00796F7A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 w:rsidRPr="006B2D6C">
        <w:rPr>
          <w:noProof/>
          <w:color w:val="000000" w:themeColor="text1"/>
          <w:lang w:eastAsia="pl-PL"/>
        </w:rPr>
        <w:drawing>
          <wp:anchor distT="0" distB="0" distL="114300" distR="114300" simplePos="0" relativeHeight="251929088" behindDoc="1" locked="0" layoutInCell="1" allowOverlap="1" wp14:anchorId="17EC8A64" wp14:editId="6885E129">
            <wp:simplePos x="0" y="0"/>
            <wp:positionH relativeFrom="page">
              <wp:align>center</wp:align>
            </wp:positionH>
            <wp:positionV relativeFrom="paragraph">
              <wp:posOffset>74930</wp:posOffset>
            </wp:positionV>
            <wp:extent cx="5097600" cy="2552400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0E3F2A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0E3F2A">
        <w:rPr>
          <w:rFonts w:cs="Arial"/>
          <w:color w:val="000000" w:themeColor="text1"/>
          <w:szCs w:val="19"/>
        </w:rPr>
        <w:t xml:space="preserve">W końcu sierpnia 2021 r. liczba </w:t>
      </w:r>
      <w:r w:rsidRPr="000E3F2A">
        <w:rPr>
          <w:rFonts w:cs="Arial"/>
          <w:b/>
          <w:color w:val="000000" w:themeColor="text1"/>
          <w:szCs w:val="19"/>
        </w:rPr>
        <w:t>bezrobotnych zarejestrowanych</w:t>
      </w:r>
      <w:r w:rsidRPr="000E3F2A">
        <w:rPr>
          <w:rFonts w:cs="Arial"/>
          <w:color w:val="000000" w:themeColor="text1"/>
          <w:szCs w:val="19"/>
        </w:rPr>
        <w:t xml:space="preserve"> w urzędach pracy wyniosła 75,7 tys. osób i była mniejsza o 4,0 tys. osób (tj. o 5,1%) niż w analogicznym miesiącu ub. roku oraz o 1,1 tys. (tj. o 1,5%)</w:t>
      </w:r>
      <w:r w:rsidR="00A26596">
        <w:rPr>
          <w:rFonts w:cs="Arial"/>
          <w:color w:val="000000" w:themeColor="text1"/>
          <w:szCs w:val="19"/>
        </w:rPr>
        <w:t xml:space="preserve"> w relacji do lipca br. Kobiety</w:t>
      </w:r>
      <w:r w:rsidRPr="000E3F2A">
        <w:rPr>
          <w:rFonts w:cs="Arial"/>
          <w:color w:val="000000" w:themeColor="text1"/>
          <w:szCs w:val="19"/>
        </w:rPr>
        <w:t xml:space="preserve"> stanowiły 55,4% ogólnej liczby zarejestrowanych bezrobotnych (rok wcześniej </w:t>
      </w:r>
      <w:r w:rsidRPr="000E3F2A">
        <w:rPr>
          <w:rFonts w:cs="Arial"/>
          <w:color w:val="000000" w:themeColor="text1"/>
          <w:szCs w:val="19"/>
        </w:rPr>
        <w:softHyphen/>
        <w:t>– 55,3%).</w:t>
      </w:r>
    </w:p>
    <w:p w:rsidR="00796F7A" w:rsidRPr="0015770E" w:rsidRDefault="00796F7A" w:rsidP="00796F7A">
      <w:pPr>
        <w:spacing w:before="0" w:after="0"/>
        <w:ind w:firstLine="284"/>
        <w:rPr>
          <w:rFonts w:cs="Arial"/>
          <w:color w:val="FF0000"/>
          <w:szCs w:val="19"/>
        </w:rPr>
      </w:pPr>
    </w:p>
    <w:p w:rsidR="00796F7A" w:rsidRDefault="00796F7A" w:rsidP="00796F7A">
      <w:pPr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0E3F2A" w:rsidRDefault="00796F7A" w:rsidP="00796F7A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0E3F2A">
        <w:rPr>
          <w:rFonts w:cs="Arial"/>
          <w:color w:val="000000" w:themeColor="text1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796F7A" w:rsidRPr="000E3F2A" w:rsidTr="00796F7A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796F7A" w:rsidRPr="000E3F2A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96F7A" w:rsidRPr="000E3F2A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VIII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796F7A" w:rsidRPr="000E3F2A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796F7A" w:rsidRPr="000E3F2A" w:rsidTr="00796F7A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96F7A" w:rsidRPr="000E3F2A" w:rsidRDefault="00796F7A" w:rsidP="00796F7A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0E3F2A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0E3F2A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VII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796F7A" w:rsidRPr="000E3F2A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VIII</w:t>
            </w:r>
          </w:p>
        </w:tc>
      </w:tr>
      <w:tr w:rsidR="00796F7A" w:rsidRPr="000E3F2A" w:rsidTr="00796F7A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0E3F2A" w:rsidRDefault="00796F7A" w:rsidP="00796F7A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75,7</w:t>
            </w:r>
          </w:p>
        </w:tc>
      </w:tr>
      <w:tr w:rsidR="00796F7A" w:rsidRPr="000E3F2A" w:rsidTr="00796F7A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0E3F2A" w:rsidRDefault="00796F7A" w:rsidP="00796F7A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  <w:tr w:rsidR="00796F7A" w:rsidRPr="000E3F2A" w:rsidTr="00796F7A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0E3F2A" w:rsidRDefault="00796F7A" w:rsidP="00796F7A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796F7A" w:rsidRPr="000E3F2A" w:rsidTr="00796F7A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0E3F2A" w:rsidRDefault="00796F7A" w:rsidP="00796F7A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0E3F2A" w:rsidRDefault="00796F7A" w:rsidP="00796F7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F2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</w:tr>
    </w:tbl>
    <w:p w:rsidR="00796F7A" w:rsidRPr="000E3F2A" w:rsidRDefault="00796F7A" w:rsidP="00796F7A">
      <w:pPr>
        <w:spacing w:before="0" w:after="0"/>
        <w:ind w:firstLine="284"/>
        <w:rPr>
          <w:rFonts w:cs="Arial"/>
          <w:color w:val="000000" w:themeColor="text1"/>
          <w:szCs w:val="19"/>
        </w:rPr>
      </w:pPr>
    </w:p>
    <w:p w:rsidR="00796F7A" w:rsidRPr="002D6166" w:rsidRDefault="00796F7A" w:rsidP="00796F7A">
      <w:pPr>
        <w:spacing w:before="0" w:after="0"/>
        <w:ind w:firstLine="284"/>
        <w:rPr>
          <w:b/>
          <w:color w:val="000000" w:themeColor="text1"/>
          <w:szCs w:val="19"/>
        </w:rPr>
      </w:pPr>
      <w:r w:rsidRPr="002D6166">
        <w:rPr>
          <w:rFonts w:cs="Arial"/>
          <w:b/>
          <w:color w:val="000000" w:themeColor="text1"/>
          <w:spacing w:val="-2"/>
          <w:szCs w:val="19"/>
        </w:rPr>
        <w:t>Stopa bezrobocia rejestrowanego</w:t>
      </w:r>
      <w:r w:rsidRPr="002D6166">
        <w:rPr>
          <w:rFonts w:cs="Arial"/>
          <w:color w:val="000000" w:themeColor="text1"/>
          <w:spacing w:val="-2"/>
          <w:szCs w:val="19"/>
        </w:rPr>
        <w:t xml:space="preserve"> wyniosła 4,9%, tym samym obniżyła się zarówno w ujęciu rocznym (o 0,3 p. proc.), jak </w:t>
      </w:r>
      <w:r w:rsidRPr="002D6166">
        <w:rPr>
          <w:rFonts w:cs="Arial"/>
          <w:color w:val="000000" w:themeColor="text1"/>
          <w:spacing w:val="-2"/>
          <w:szCs w:val="19"/>
        </w:rPr>
        <w:br/>
        <w:t xml:space="preserve">i w relacji do poprzedniego miesiąca (o 0,1 p. proc.). </w:t>
      </w:r>
      <w:r w:rsidRPr="002D6166">
        <w:rPr>
          <w:rFonts w:cs="Arial"/>
          <w:color w:val="000000" w:themeColor="text1"/>
          <w:szCs w:val="19"/>
        </w:rPr>
        <w:t xml:space="preserve">Województwo małopolskie pod względem wysokości stopy bezrobocia wraz z województwem mazowieckim </w:t>
      </w:r>
      <w:r w:rsidRPr="00BB599E">
        <w:rPr>
          <w:rFonts w:cs="Arial"/>
          <w:color w:val="000000" w:themeColor="text1"/>
          <w:szCs w:val="19"/>
        </w:rPr>
        <w:t xml:space="preserve">zajmowało </w:t>
      </w:r>
      <w:r w:rsidRPr="002D6166">
        <w:rPr>
          <w:rFonts w:cs="Arial"/>
          <w:color w:val="000000" w:themeColor="text1"/>
          <w:szCs w:val="19"/>
        </w:rPr>
        <w:t>3 miejsce w Polsce (najwyższą korzystną pozycję zajmowało województwo wielkopolskie ze stopą bezrobocia równą 3,4%).</w:t>
      </w:r>
    </w:p>
    <w:p w:rsidR="00796F7A" w:rsidRPr="0015770E" w:rsidRDefault="00796F7A" w:rsidP="00796F7A">
      <w:pPr>
        <w:spacing w:before="0" w:after="0" w:line="120" w:lineRule="auto"/>
        <w:rPr>
          <w:b/>
          <w:color w:val="FF0000"/>
          <w:szCs w:val="19"/>
        </w:rPr>
      </w:pPr>
    </w:p>
    <w:p w:rsidR="00796F7A" w:rsidRPr="002D6166" w:rsidRDefault="00796F7A" w:rsidP="00796F7A">
      <w:pPr>
        <w:spacing w:before="0" w:after="0"/>
        <w:jc w:val="center"/>
        <w:rPr>
          <w:b/>
          <w:color w:val="000000" w:themeColor="text1"/>
          <w:szCs w:val="19"/>
        </w:rPr>
      </w:pPr>
      <w:r w:rsidRPr="002D6166">
        <w:rPr>
          <w:b/>
          <w:color w:val="000000" w:themeColor="text1"/>
          <w:szCs w:val="19"/>
        </w:rPr>
        <w:t>Wykres 2. Stopa bezrobocia rejestrowanego</w:t>
      </w:r>
    </w:p>
    <w:p w:rsidR="00796F7A" w:rsidRPr="002D6166" w:rsidRDefault="00796F7A" w:rsidP="00796F7A">
      <w:pPr>
        <w:spacing w:before="0" w:after="0"/>
        <w:jc w:val="center"/>
        <w:rPr>
          <w:color w:val="000000" w:themeColor="text1"/>
          <w:szCs w:val="19"/>
        </w:rPr>
      </w:pPr>
      <w:r w:rsidRPr="002D6166">
        <w:rPr>
          <w:color w:val="000000" w:themeColor="text1"/>
          <w:szCs w:val="19"/>
        </w:rPr>
        <w:t>Stan w końcu miesiąca</w:t>
      </w:r>
    </w:p>
    <w:p w:rsidR="00796F7A" w:rsidRPr="0015770E" w:rsidRDefault="00796F7A" w:rsidP="00796F7A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27040" behindDoc="1" locked="0" layoutInCell="1" allowOverlap="1" wp14:anchorId="731BE2FE" wp14:editId="0FE02935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5076000" cy="2394000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F7A" w:rsidRPr="0015770E" w:rsidRDefault="00796F7A" w:rsidP="00796F7A">
      <w:pPr>
        <w:tabs>
          <w:tab w:val="left" w:pos="567"/>
        </w:tabs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F03168">
        <w:rPr>
          <w:rFonts w:cs="Arial"/>
          <w:color w:val="000000" w:themeColor="text1"/>
          <w:szCs w:val="19"/>
        </w:rPr>
        <w:t xml:space="preserve">Nadal powiatem o najwyższej stopie bezrobocia był powiat dąbrowski (9,8% wobec 10,9% w sierpniu 2020 r.), a w dalszej kolejności nowosądecki (8,1%, przed rokiem – 8,9%) oraz tatrzański (7,4%, rok wcześniej 8,1%). Najniższą stopą bezrobocia charakteryzował się Kraków (3,2% wobec 2,7% w sierpniu 2020 r.). W porównaniu z analogicznym okresem 2020 r. stopa bezrobocia obniżyła się w większości powiatów, a najgłębszy spadek odnotowano w powiecie wadowickim </w:t>
      </w:r>
      <w:r>
        <w:rPr>
          <w:rFonts w:cs="Arial"/>
          <w:color w:val="000000" w:themeColor="text1"/>
          <w:szCs w:val="19"/>
        </w:rPr>
        <w:t xml:space="preserve">                </w:t>
      </w:r>
      <w:r w:rsidRPr="00F03168">
        <w:rPr>
          <w:rFonts w:cs="Arial"/>
          <w:color w:val="000000" w:themeColor="text1"/>
          <w:spacing w:val="-4"/>
          <w:szCs w:val="19"/>
        </w:rPr>
        <w:t>(o 1,5 p. proc.).</w:t>
      </w:r>
    </w:p>
    <w:p w:rsidR="00796F7A" w:rsidRPr="0015770E" w:rsidRDefault="00796F7A" w:rsidP="00796F7A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796F7A" w:rsidRPr="00F03168" w:rsidRDefault="00796F7A" w:rsidP="00796F7A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F03168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796F7A" w:rsidRPr="00F03168" w:rsidRDefault="00796F7A" w:rsidP="00796F7A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F03168">
        <w:rPr>
          <w:rFonts w:cs="Arial"/>
          <w:color w:val="000000" w:themeColor="text1"/>
          <w:szCs w:val="19"/>
        </w:rPr>
        <w:t>Stan w końcu sierpnia</w:t>
      </w: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 w:rsidRPr="00F03168">
        <w:rPr>
          <w:noProof/>
          <w:lang w:eastAsia="pl-PL"/>
        </w:rPr>
        <w:drawing>
          <wp:anchor distT="0" distB="0" distL="114300" distR="114300" simplePos="0" relativeHeight="251930112" behindDoc="1" locked="0" layoutInCell="1" allowOverlap="1" wp14:anchorId="25997E58" wp14:editId="0C90B044">
            <wp:simplePos x="0" y="0"/>
            <wp:positionH relativeFrom="page">
              <wp:align>center</wp:align>
            </wp:positionH>
            <wp:positionV relativeFrom="paragraph">
              <wp:posOffset>76200</wp:posOffset>
            </wp:positionV>
            <wp:extent cx="5742000" cy="3729600"/>
            <wp:effectExtent l="0" t="0" r="0" b="444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7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0E3F2A">
        <w:rPr>
          <w:rFonts w:cs="Arial"/>
          <w:color w:val="000000" w:themeColor="text1"/>
          <w:szCs w:val="19"/>
        </w:rPr>
        <w:lastRenderedPageBreak/>
        <w:t xml:space="preserve">W sierpniu 2021 r. w urzędach pracy </w:t>
      </w:r>
      <w:r w:rsidRPr="000E3F2A">
        <w:rPr>
          <w:rFonts w:cs="Arial"/>
          <w:b/>
          <w:color w:val="000000" w:themeColor="text1"/>
          <w:szCs w:val="19"/>
        </w:rPr>
        <w:t xml:space="preserve">zarejestrowano </w:t>
      </w:r>
      <w:r w:rsidRPr="000E3F2A">
        <w:rPr>
          <w:rFonts w:cs="Arial"/>
          <w:color w:val="000000" w:themeColor="text1"/>
          <w:szCs w:val="19"/>
        </w:rPr>
        <w:t xml:space="preserve">7,4 tys. nowych bezrobotnych, tj. więcej w skali roku (o 1,1%) oraz mniej relacji do poprzedniego </w:t>
      </w:r>
      <w:r w:rsidRPr="006C0F12">
        <w:rPr>
          <w:rFonts w:cs="Arial"/>
          <w:color w:val="000000" w:themeColor="text1"/>
          <w:szCs w:val="19"/>
        </w:rPr>
        <w:t xml:space="preserve">miesiąca (o 3,0%). Osoby rejestrujące się po raz pierwszy stanowiły 25,6% nowo zarejestrowanych </w:t>
      </w:r>
      <w:r w:rsidRPr="00D053B6">
        <w:rPr>
          <w:rFonts w:cs="Arial"/>
          <w:color w:val="000000" w:themeColor="text1"/>
          <w:szCs w:val="19"/>
        </w:rPr>
        <w:t xml:space="preserve">bezrobotnych (26,5% rok wcześniej). Stopa napływu bezrobotnych do urzędów pracy (tj. stosunek nowo zarejestrowanych bezrobotnych do liczby aktywnych zawodowo) wyniosła, podobnie jak przed rokiem, 0,5%. Wśród ogólnej liczby nowo zarejestrowanych bezrobotnych zwiększył się na przestrzeni roku udział osób rejestrujących się po raz kolejny (o 0,9 p. proc. do </w:t>
      </w:r>
      <w:r w:rsidRPr="00BB599E">
        <w:rPr>
          <w:rFonts w:cs="Arial"/>
          <w:color w:val="000000" w:themeColor="text1"/>
          <w:szCs w:val="19"/>
        </w:rPr>
        <w:t xml:space="preserve">poziomu </w:t>
      </w:r>
      <w:r w:rsidRPr="00D053B6">
        <w:rPr>
          <w:rFonts w:cs="Arial"/>
          <w:color w:val="000000" w:themeColor="text1"/>
          <w:szCs w:val="19"/>
        </w:rPr>
        <w:t>74,4%), a także poprzednio pracujących (o 0,8 p. proc. do 84,5%). Zmniejszeniu uległ natomiast odsetek osób zwolnionych z przyczyn dotyczących zakładu pracy (o 1,6 p. proc. do 3,5%), dotychczas niepracujących (o 0,8 p. proc. do 15,5%) oraz absolwentów (o 0,3 p. proc. do 10,9%).</w:t>
      </w:r>
    </w:p>
    <w:p w:rsidR="00796F7A" w:rsidRPr="0085502F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pacing w:val="-2"/>
          <w:szCs w:val="19"/>
        </w:rPr>
      </w:pPr>
      <w:r w:rsidRPr="00166D12">
        <w:rPr>
          <w:rFonts w:cs="Arial"/>
          <w:color w:val="000000" w:themeColor="text1"/>
          <w:szCs w:val="19"/>
        </w:rPr>
        <w:t xml:space="preserve">W omawianym okresie z ewidencji bezrobotnych </w:t>
      </w:r>
      <w:r w:rsidRPr="00166D12">
        <w:rPr>
          <w:rFonts w:cs="Arial"/>
          <w:b/>
          <w:color w:val="000000" w:themeColor="text1"/>
          <w:szCs w:val="19"/>
        </w:rPr>
        <w:t>wyrejestrowano</w:t>
      </w:r>
      <w:r w:rsidRPr="00166D12">
        <w:rPr>
          <w:rFonts w:cs="Arial"/>
          <w:color w:val="000000" w:themeColor="text1"/>
          <w:szCs w:val="19"/>
        </w:rPr>
        <w:t xml:space="preserve"> 8,5 tys. osób, tj. więcej w skali roku (o 15,8%) oraz mniej w odniesieniu do lipca br. (o 7,8%). Z tytułu podjęcia pracy (głównej przyczyny wyrejestrowania) z rejestru bezrobotnych wyłączono 4,8 tys. osób (rok wcześniej – 4,7 tys.). Udział tej kategorii osób w ogólnej liczbie wyrejestrowanych bezrobotnych zmniejszył się w ujęciu rocznym (o 6,7 p. proc. do poziomu 56,5%). Ponadto odnotowano spadek udziału osób, które rozpoczęły szkolenie lub staż u pracodawcy (o 1,3 p. proc. do 10,1%). Równocześnie wśród wyłączonych z ewidencji zwiększył się odsetek osób, które nie potwierdziły gotowości do podjęcia pracy (o 5,0 p. proc. do 12,7%) oraz dobrowolnie zrezygnowały ze statusu bezrobotnego (o 2,3 p. proc. do 7,7%). Odsetek osób, które nabyły prawa emerytalne lub </w:t>
      </w:r>
      <w:r w:rsidRPr="0085502F">
        <w:rPr>
          <w:rFonts w:cs="Arial"/>
          <w:color w:val="000000" w:themeColor="text1"/>
          <w:szCs w:val="19"/>
        </w:rPr>
        <w:t xml:space="preserve">rentowe utrzymał się na poziomie notowanym przed rokiem (0,6%). Stopa odpływu bezrobotnych z urzędów pracy </w:t>
      </w:r>
      <w:r>
        <w:rPr>
          <w:rFonts w:cs="Arial"/>
          <w:color w:val="000000" w:themeColor="text1"/>
          <w:szCs w:val="19"/>
        </w:rPr>
        <w:t xml:space="preserve">             </w:t>
      </w:r>
      <w:r w:rsidRPr="0085502F">
        <w:rPr>
          <w:rFonts w:cs="Arial"/>
          <w:color w:val="000000" w:themeColor="text1"/>
          <w:szCs w:val="19"/>
        </w:rPr>
        <w:t xml:space="preserve">(tj. stosunek liczby bezrobotnych wyrejestrowanych w danym miesiącu do liczby bezrobotnych na koniec ub. miesiąca) wyniosła 11,1% wobec 9,2% rok wcześniej. </w:t>
      </w:r>
    </w:p>
    <w:p w:rsidR="00796F7A" w:rsidRPr="0085502F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pacing w:val="-2"/>
          <w:szCs w:val="19"/>
        </w:rPr>
      </w:pPr>
      <w:r w:rsidRPr="0085502F">
        <w:rPr>
          <w:rFonts w:cs="Arial"/>
          <w:color w:val="000000" w:themeColor="text1"/>
          <w:spacing w:val="-2"/>
          <w:szCs w:val="19"/>
        </w:rPr>
        <w:t xml:space="preserve">W końcu sierpnia 2021 r. </w:t>
      </w:r>
      <w:r w:rsidRPr="0085502F">
        <w:rPr>
          <w:rFonts w:cs="Arial"/>
          <w:b/>
          <w:color w:val="000000" w:themeColor="text1"/>
          <w:spacing w:val="-2"/>
          <w:szCs w:val="19"/>
        </w:rPr>
        <w:t xml:space="preserve">bez prawa </w:t>
      </w:r>
      <w:r w:rsidRPr="0085502F">
        <w:rPr>
          <w:rFonts w:cs="Arial"/>
          <w:b/>
          <w:color w:val="000000" w:themeColor="text1"/>
          <w:szCs w:val="19"/>
        </w:rPr>
        <w:t xml:space="preserve">do zasiłku </w:t>
      </w:r>
      <w:r w:rsidRPr="0085502F">
        <w:rPr>
          <w:rFonts w:cs="Arial"/>
          <w:color w:val="000000" w:themeColor="text1"/>
          <w:szCs w:val="19"/>
        </w:rPr>
        <w:t>pozostawało 66,6 tys. bezrobotnych, a ich udział w liczbie bezrobotnych ogółem wyniósł 87,9% (83,1% w sierpniu 2020 r.).</w:t>
      </w: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E47F94">
        <w:rPr>
          <w:rFonts w:cs="Arial"/>
          <w:color w:val="000000" w:themeColor="text1"/>
          <w:spacing w:val="-2"/>
          <w:szCs w:val="19"/>
        </w:rPr>
        <w:t>Na koniec badanego miesiąca wśród bezrobotnych zarejestrowanych przeszło połowę (52,6%) stanowiły osoby długotrwale bezrobotne</w:t>
      </w:r>
      <w:r w:rsidRPr="00E47F94">
        <w:rPr>
          <w:rFonts w:cs="Arial"/>
          <w:color w:val="000000" w:themeColor="text1"/>
          <w:spacing w:val="-2"/>
          <w:szCs w:val="19"/>
          <w:vertAlign w:val="superscript"/>
        </w:rPr>
        <w:footnoteReference w:id="1"/>
      </w:r>
      <w:r w:rsidRPr="00E47F94">
        <w:rPr>
          <w:rFonts w:cs="Arial"/>
          <w:color w:val="000000" w:themeColor="text1"/>
          <w:spacing w:val="-2"/>
          <w:szCs w:val="19"/>
        </w:rPr>
        <w:t xml:space="preserve"> (rok wcześniej ich udział wyniósł 42,4%). Większy niż rok wcześniej był także odsetek bezrobotnych powyżej 50 roku życia (</w:t>
      </w:r>
      <w:r w:rsidRPr="00C25520">
        <w:rPr>
          <w:rFonts w:cs="Arial"/>
          <w:color w:val="000000" w:themeColor="text1"/>
          <w:spacing w:val="-2"/>
          <w:szCs w:val="19"/>
        </w:rPr>
        <w:t>25,2% wobec 23,8%) oraz korzystających ze świadczeń pomocy społecznej (1,1% wobec 1,0%). Jednocześnie obniżył się odsetek bezrobotnych poniżej 30 roku życia (o 3,1 p. proc. do 26,2%, w tym odsetek osób w wieku poniżej 25 roku życia był mniejszy niż rok wcześniej o 1,7 p. proc. i wyniósł 12,8%). Ponadto zmniejszył się udział osób bezrobotnych posiadających co najmniej jedno dziecko w wieku do 6 roku życia oraz niepełnosprawnych (po 0,3 p. proc. odpowiednio do 18,4% i 5,2%), a także bezrobotnych posiadających dziecko niepełnosprawne w wieku do 18 roku życia (0,1 p. proc. do 0,1%).</w:t>
      </w:r>
    </w:p>
    <w:p w:rsidR="00796F7A" w:rsidRPr="00C25520" w:rsidRDefault="00796F7A" w:rsidP="00796F7A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C25520">
        <w:rPr>
          <w:rFonts w:cs="Arial"/>
          <w:color w:val="000000" w:themeColor="text1"/>
          <w:position w:val="1"/>
          <w:szCs w:val="19"/>
        </w:rPr>
        <w:t>Wybrane</w:t>
      </w:r>
      <w:r w:rsidRPr="00C25520">
        <w:rPr>
          <w:rFonts w:cs="Arial"/>
          <w:color w:val="000000" w:themeColor="text1"/>
          <w:spacing w:val="-9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k</w:t>
      </w:r>
      <w:r w:rsidRPr="00C25520">
        <w:rPr>
          <w:rFonts w:cs="Arial"/>
          <w:color w:val="000000" w:themeColor="text1"/>
          <w:spacing w:val="2"/>
          <w:position w:val="1"/>
          <w:szCs w:val="19"/>
        </w:rPr>
        <w:t>a</w:t>
      </w:r>
      <w:r w:rsidRPr="00C25520">
        <w:rPr>
          <w:rFonts w:cs="Arial"/>
          <w:color w:val="000000" w:themeColor="text1"/>
          <w:position w:val="1"/>
          <w:szCs w:val="19"/>
        </w:rPr>
        <w:t>tegorie</w:t>
      </w:r>
      <w:r w:rsidRPr="00C25520">
        <w:rPr>
          <w:rFonts w:cs="Arial"/>
          <w:color w:val="000000" w:themeColor="text1"/>
          <w:spacing w:val="-8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bezrobotnych</w:t>
      </w:r>
      <w:r w:rsidRPr="00C25520">
        <w:rPr>
          <w:rFonts w:cs="Arial"/>
          <w:color w:val="000000" w:themeColor="text1"/>
          <w:spacing w:val="-13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spacing w:val="1"/>
          <w:position w:val="1"/>
          <w:szCs w:val="19"/>
        </w:rPr>
        <w:t>b</w:t>
      </w:r>
      <w:r w:rsidRPr="00C25520">
        <w:rPr>
          <w:rFonts w:cs="Arial"/>
          <w:color w:val="000000" w:themeColor="text1"/>
          <w:position w:val="1"/>
          <w:szCs w:val="19"/>
        </w:rPr>
        <w:t>ęd</w:t>
      </w:r>
      <w:r w:rsidRPr="00C25520">
        <w:rPr>
          <w:rFonts w:cs="Arial"/>
          <w:color w:val="000000" w:themeColor="text1"/>
          <w:spacing w:val="2"/>
          <w:position w:val="1"/>
          <w:szCs w:val="19"/>
        </w:rPr>
        <w:t>ą</w:t>
      </w:r>
      <w:r w:rsidRPr="00C25520">
        <w:rPr>
          <w:rFonts w:cs="Arial"/>
          <w:color w:val="000000" w:themeColor="text1"/>
          <w:position w:val="1"/>
          <w:szCs w:val="19"/>
        </w:rPr>
        <w:t>cych</w:t>
      </w:r>
      <w:r w:rsidRPr="00C25520">
        <w:rPr>
          <w:rFonts w:cs="Arial"/>
          <w:color w:val="000000" w:themeColor="text1"/>
          <w:spacing w:val="-7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w</w:t>
      </w:r>
      <w:r w:rsidRPr="00C25520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szczególnej</w:t>
      </w:r>
      <w:r w:rsidRPr="00C25520">
        <w:rPr>
          <w:rFonts w:cs="Arial"/>
          <w:color w:val="000000" w:themeColor="text1"/>
          <w:spacing w:val="-10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sytuacji</w:t>
      </w:r>
      <w:r w:rsidRPr="00C25520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na</w:t>
      </w:r>
      <w:r w:rsidRPr="00C25520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rynku</w:t>
      </w:r>
      <w:r w:rsidRPr="00C25520">
        <w:rPr>
          <w:rFonts w:cs="Arial"/>
          <w:color w:val="000000" w:themeColor="text1"/>
          <w:spacing w:val="-4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pracy</w:t>
      </w:r>
      <w:r w:rsidRPr="00C25520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position w:val="1"/>
          <w:szCs w:val="19"/>
        </w:rPr>
        <w:t>kszt</w:t>
      </w:r>
      <w:r w:rsidRPr="00C25520">
        <w:rPr>
          <w:rFonts w:cs="Arial"/>
          <w:color w:val="000000" w:themeColor="text1"/>
          <w:spacing w:val="1"/>
          <w:position w:val="1"/>
          <w:szCs w:val="19"/>
        </w:rPr>
        <w:t>ał</w:t>
      </w:r>
      <w:r w:rsidRPr="00C25520">
        <w:rPr>
          <w:rFonts w:cs="Arial"/>
          <w:color w:val="000000" w:themeColor="text1"/>
          <w:position w:val="1"/>
          <w:szCs w:val="19"/>
        </w:rPr>
        <w:t>towa</w:t>
      </w:r>
      <w:r w:rsidRPr="00C25520">
        <w:rPr>
          <w:rFonts w:cs="Arial"/>
          <w:color w:val="000000" w:themeColor="text1"/>
          <w:spacing w:val="1"/>
          <w:position w:val="1"/>
          <w:szCs w:val="19"/>
        </w:rPr>
        <w:t>ł</w:t>
      </w:r>
      <w:r w:rsidRPr="00C25520">
        <w:rPr>
          <w:rFonts w:cs="Arial"/>
          <w:color w:val="000000" w:themeColor="text1"/>
          <w:position w:val="1"/>
          <w:szCs w:val="19"/>
        </w:rPr>
        <w:t>y</w:t>
      </w:r>
      <w:r w:rsidRPr="00C25520">
        <w:rPr>
          <w:rFonts w:cs="Arial"/>
          <w:color w:val="000000" w:themeColor="text1"/>
          <w:spacing w:val="-11"/>
          <w:position w:val="1"/>
          <w:szCs w:val="19"/>
        </w:rPr>
        <w:t xml:space="preserve"> </w:t>
      </w:r>
      <w:r w:rsidRPr="00C25520">
        <w:rPr>
          <w:rFonts w:cs="Arial"/>
          <w:color w:val="000000" w:themeColor="text1"/>
          <w:spacing w:val="1"/>
          <w:position w:val="1"/>
          <w:szCs w:val="19"/>
        </w:rPr>
        <w:t>s</w:t>
      </w:r>
      <w:r w:rsidRPr="00C25520">
        <w:rPr>
          <w:rFonts w:cs="Arial"/>
          <w:color w:val="000000" w:themeColor="text1"/>
          <w:position w:val="1"/>
          <w:szCs w:val="19"/>
        </w:rPr>
        <w:t>ię</w:t>
      </w:r>
      <w:r w:rsidRPr="00C25520">
        <w:rPr>
          <w:rFonts w:cs="Arial"/>
          <w:color w:val="000000" w:themeColor="text1"/>
          <w:szCs w:val="19"/>
        </w:rPr>
        <w:t xml:space="preserve"> nas</w:t>
      </w:r>
      <w:r w:rsidRPr="00C25520">
        <w:rPr>
          <w:rFonts w:cs="Arial"/>
          <w:color w:val="000000" w:themeColor="text1"/>
          <w:spacing w:val="-1"/>
          <w:szCs w:val="19"/>
        </w:rPr>
        <w:t>t</w:t>
      </w:r>
      <w:r w:rsidRPr="00C25520">
        <w:rPr>
          <w:rFonts w:cs="Arial"/>
          <w:color w:val="000000" w:themeColor="text1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796F7A" w:rsidRPr="00C25520" w:rsidTr="00796F7A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96F7A" w:rsidRPr="00C25520" w:rsidRDefault="00796F7A" w:rsidP="00796F7A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96F7A" w:rsidRPr="00C25520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V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96F7A" w:rsidRPr="00C25520" w:rsidRDefault="00796F7A" w:rsidP="00796F7A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796F7A" w:rsidRPr="00C25520" w:rsidTr="00796F7A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96F7A" w:rsidRPr="00C25520" w:rsidRDefault="00796F7A" w:rsidP="00796F7A">
            <w:pPr>
              <w:spacing w:before="40" w:after="4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96F7A" w:rsidRPr="00C25520" w:rsidRDefault="00796F7A" w:rsidP="00796F7A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96F7A" w:rsidRPr="00C25520" w:rsidRDefault="00796F7A" w:rsidP="00796F7A">
            <w:pPr>
              <w:spacing w:before="20" w:afterLines="20" w:after="48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V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96F7A" w:rsidRPr="00C25520" w:rsidRDefault="00796F7A" w:rsidP="00796F7A">
            <w:pPr>
              <w:spacing w:before="20" w:afterLines="20" w:after="48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VII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</w:p>
        </w:tc>
      </w:tr>
      <w:tr w:rsidR="00796F7A" w:rsidRPr="00C25520" w:rsidTr="00796F7A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96F7A" w:rsidRPr="00C25520" w:rsidRDefault="00796F7A" w:rsidP="00796F7A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796F7A" w:rsidRPr="00C25520" w:rsidRDefault="00796F7A" w:rsidP="00796F7A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796F7A" w:rsidRPr="00C25520" w:rsidTr="00796F7A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796F7A" w:rsidRPr="00C25520" w:rsidRDefault="00796F7A" w:rsidP="00796F7A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</w:tr>
      <w:tr w:rsidR="00796F7A" w:rsidRPr="00C25520" w:rsidTr="00796F7A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C25520" w:rsidRDefault="00796F7A" w:rsidP="00796F7A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52,6</w:t>
            </w:r>
          </w:p>
        </w:tc>
      </w:tr>
      <w:tr w:rsidR="00796F7A" w:rsidRPr="00C25520" w:rsidTr="00796F7A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796F7A" w:rsidRPr="00C25520" w:rsidRDefault="00796F7A" w:rsidP="00796F7A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</w:tr>
      <w:tr w:rsidR="00796F7A" w:rsidRPr="00C25520" w:rsidTr="00796F7A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796F7A" w:rsidRPr="00C25520" w:rsidRDefault="00796F7A" w:rsidP="00796F7A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5520"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96F7A" w:rsidRPr="00C25520" w:rsidRDefault="00796F7A" w:rsidP="00796F7A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</w:tr>
    </w:tbl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796F7A" w:rsidRPr="00322709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322709">
        <w:rPr>
          <w:rFonts w:cs="Arial"/>
          <w:color w:val="000000" w:themeColor="text1"/>
          <w:szCs w:val="19"/>
        </w:rPr>
        <w:t xml:space="preserve">W sierpniu 2021 r. do urzędów pracy zgłoszono 8,3 tys. </w:t>
      </w:r>
      <w:r w:rsidRPr="00322709">
        <w:rPr>
          <w:rFonts w:cs="Arial"/>
          <w:b/>
          <w:color w:val="000000" w:themeColor="text1"/>
          <w:szCs w:val="19"/>
        </w:rPr>
        <w:t>ofert zatrudnienia</w:t>
      </w:r>
      <w:r w:rsidRPr="00322709">
        <w:rPr>
          <w:rFonts w:cs="Arial"/>
          <w:color w:val="000000" w:themeColor="text1"/>
          <w:szCs w:val="19"/>
          <w:vertAlign w:val="superscript"/>
        </w:rPr>
        <w:footnoteReference w:id="2"/>
      </w:r>
      <w:r w:rsidRPr="00322709">
        <w:rPr>
          <w:rFonts w:cs="Arial"/>
          <w:color w:val="000000" w:themeColor="text1"/>
          <w:szCs w:val="19"/>
        </w:rPr>
        <w:t>, tj. więcej niż miesiąc wcześniej (o 6,3%) oraz w relacji do sierpnia 2020 r. (o 62,1%). W końcu miesiąca na 1 ofertę pracy przypadało 11 bezrobotnych (w lipcu br. – 12, w sierpniu 2020 r. – 19).</w:t>
      </w:r>
    </w:p>
    <w:p w:rsidR="00796F7A" w:rsidRPr="00322709" w:rsidRDefault="00796F7A" w:rsidP="00796F7A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color w:val="000000" w:themeColor="text1"/>
          <w:szCs w:val="19"/>
        </w:rPr>
      </w:pPr>
      <w:r w:rsidRPr="00322709">
        <w:rPr>
          <w:rFonts w:cs="Arial"/>
          <w:b/>
          <w:bCs/>
          <w:color w:val="000000" w:themeColor="text1"/>
          <w:szCs w:val="19"/>
        </w:rPr>
        <w:t>Wykres 3. Bezrobotni na 1 ofertę pracy</w:t>
      </w:r>
    </w:p>
    <w:p w:rsidR="00796F7A" w:rsidRPr="00322709" w:rsidRDefault="00796F7A" w:rsidP="00796F7A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322709">
        <w:rPr>
          <w:rFonts w:cs="Arial"/>
          <w:color w:val="000000" w:themeColor="text1"/>
          <w:szCs w:val="19"/>
        </w:rPr>
        <w:t>Stan w końcu miesiąca</w:t>
      </w:r>
    </w:p>
    <w:p w:rsidR="00796F7A" w:rsidRPr="00322709" w:rsidRDefault="00796F7A" w:rsidP="00796F7A">
      <w:pPr>
        <w:tabs>
          <w:tab w:val="left" w:pos="567"/>
        </w:tabs>
        <w:spacing w:line="360" w:lineRule="auto"/>
        <w:jc w:val="center"/>
        <w:rPr>
          <w:rFonts w:cs="Arial"/>
          <w:bCs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28064" behindDoc="1" locked="0" layoutInCell="1" allowOverlap="1" wp14:anchorId="25C6E052" wp14:editId="5998656E">
            <wp:simplePos x="0" y="0"/>
            <wp:positionH relativeFrom="page">
              <wp:align>center</wp:align>
            </wp:positionH>
            <wp:positionV relativeFrom="paragraph">
              <wp:posOffset>78740</wp:posOffset>
            </wp:positionV>
            <wp:extent cx="5022000" cy="2023200"/>
            <wp:effectExtent l="0" t="0" r="0" b="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96F7A" w:rsidRPr="0015770E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96F7A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96F7A" w:rsidRPr="003F35D2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7F6FA7">
        <w:rPr>
          <w:rFonts w:cs="Arial"/>
          <w:bCs/>
          <w:color w:val="000000" w:themeColor="text1"/>
          <w:szCs w:val="19"/>
        </w:rPr>
        <w:t xml:space="preserve">Według stanu w końcu sierpnia br. trudna sytuacja na rynku pracy dotyczyła przede wszystkim ludzi młodych. Bezrobotni w wieku do 34 roku życia stanowili 40,4% wszystkich zarejestrowanych bezrobotnych, a osoby bez stażu pracy lub </w:t>
      </w:r>
      <w:r w:rsidRPr="006B01F1">
        <w:rPr>
          <w:rFonts w:cs="Arial"/>
          <w:bCs/>
          <w:color w:val="000000" w:themeColor="text1"/>
          <w:szCs w:val="19"/>
        </w:rPr>
        <w:lastRenderedPageBreak/>
        <w:t xml:space="preserve">posiadające niewielki staż pracy (do 5 lat) </w:t>
      </w:r>
      <w:r w:rsidRPr="006B01F1">
        <w:rPr>
          <w:rFonts w:cs="Arial"/>
          <w:color w:val="000000" w:themeColor="text1"/>
          <w:szCs w:val="19"/>
        </w:rPr>
        <w:t>–</w:t>
      </w:r>
      <w:r w:rsidRPr="006B01F1">
        <w:rPr>
          <w:rFonts w:cs="Arial"/>
          <w:bCs/>
          <w:color w:val="000000" w:themeColor="text1"/>
          <w:szCs w:val="19"/>
        </w:rPr>
        <w:t xml:space="preserve"> 57,6%. Najwięcej bezrobotnych legitymowało się wykształceniem zasadniczym </w:t>
      </w:r>
      <w:r w:rsidRPr="003F35D2">
        <w:rPr>
          <w:rFonts w:cs="Arial"/>
          <w:bCs/>
          <w:color w:val="000000" w:themeColor="text1"/>
          <w:szCs w:val="19"/>
        </w:rPr>
        <w:t xml:space="preserve">zawodowym </w:t>
      </w:r>
      <w:r w:rsidRPr="003F35D2">
        <w:rPr>
          <w:rFonts w:cs="Arial"/>
          <w:color w:val="000000" w:themeColor="text1"/>
          <w:szCs w:val="19"/>
        </w:rPr>
        <w:t>–</w:t>
      </w:r>
      <w:r w:rsidRPr="003F35D2">
        <w:rPr>
          <w:rFonts w:cs="Arial"/>
          <w:bCs/>
          <w:color w:val="000000" w:themeColor="text1"/>
          <w:szCs w:val="19"/>
        </w:rPr>
        <w:t xml:space="preserve"> 25,1%. Biorąc pod uwagę czas pozostawania bez pracy, najliczniejsza grupa to osoby pozostające bez pracy powyżej 12 miesięcy </w:t>
      </w:r>
      <w:r w:rsidRPr="003F35D2">
        <w:rPr>
          <w:rFonts w:cs="Arial"/>
          <w:color w:val="000000" w:themeColor="text1"/>
          <w:szCs w:val="19"/>
        </w:rPr>
        <w:t>–</w:t>
      </w:r>
      <w:r w:rsidRPr="003F35D2">
        <w:rPr>
          <w:rFonts w:cs="Arial"/>
          <w:bCs/>
          <w:color w:val="000000" w:themeColor="text1"/>
          <w:szCs w:val="19"/>
        </w:rPr>
        <w:t xml:space="preserve"> 46,3% ogółu bezrobotnych.</w:t>
      </w:r>
    </w:p>
    <w:p w:rsidR="00796F7A" w:rsidRPr="003F35D2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3F35D2">
        <w:rPr>
          <w:rFonts w:cs="Arial"/>
          <w:color w:val="000000" w:themeColor="text1"/>
          <w:szCs w:val="19"/>
        </w:rPr>
        <w:t>Z danych urzędów pracy wynika, że w końcu sierpnia 2021 r. 24 zakłady pracy zgłosił</w:t>
      </w:r>
      <w:r>
        <w:rPr>
          <w:rFonts w:cs="Arial"/>
          <w:color w:val="000000" w:themeColor="text1"/>
          <w:szCs w:val="19"/>
        </w:rPr>
        <w:t>y</w:t>
      </w:r>
      <w:r w:rsidRPr="003F35D2">
        <w:rPr>
          <w:rFonts w:cs="Arial"/>
          <w:color w:val="000000" w:themeColor="text1"/>
          <w:szCs w:val="19"/>
        </w:rPr>
        <w:t xml:space="preserve"> zwolnienie w najbliższym czasie 4,2 tys. pracowników (rok wcześniej 15 zakładów – 3,2 tys. pracowników).</w:t>
      </w:r>
    </w:p>
    <w:p w:rsidR="00796F7A" w:rsidRPr="003F35D2" w:rsidRDefault="00796F7A" w:rsidP="00796F7A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000000" w:themeColor="text1"/>
          <w:szCs w:val="19"/>
        </w:rPr>
      </w:pPr>
    </w:p>
    <w:p w:rsidR="004872E0" w:rsidRPr="00A15AAC" w:rsidRDefault="00796F7A" w:rsidP="00796F7A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3F35D2">
        <w:rPr>
          <w:rFonts w:cs="Arial"/>
          <w:color w:val="000000" w:themeColor="text1"/>
          <w:szCs w:val="19"/>
        </w:rPr>
        <w:t>***</w:t>
      </w:r>
    </w:p>
    <w:p w:rsidR="007662E1" w:rsidRDefault="007662E1" w:rsidP="007662E1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796F7A" w:rsidRPr="00500F85" w:rsidRDefault="00796F7A" w:rsidP="00796F7A">
      <w:pPr>
        <w:pStyle w:val="tytuinformacji"/>
        <w:spacing w:before="0"/>
        <w:rPr>
          <w:b/>
          <w:color w:val="FF0000"/>
          <w:sz w:val="19"/>
          <w:szCs w:val="19"/>
        </w:rPr>
      </w:pP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Wpływ epidemii COVID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–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19 na wybrane elementy rynku pracy w 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II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 kwartale 202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1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 r.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br/>
      </w:r>
    </w:p>
    <w:p w:rsidR="00796F7A" w:rsidRPr="002F41BD" w:rsidRDefault="00796F7A" w:rsidP="00796F7A">
      <w:pPr>
        <w:spacing w:before="0" w:after="0"/>
        <w:ind w:firstLine="284"/>
        <w:rPr>
          <w:szCs w:val="19"/>
        </w:rPr>
      </w:pPr>
      <w:r w:rsidRPr="002F41BD">
        <w:rPr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 </w:t>
      </w: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  <w:r w:rsidRPr="002F41BD">
        <w:rPr>
          <w:szCs w:val="19"/>
        </w:rPr>
        <w:t>Zaistniała w marcu 2020 r.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praca zdalna.</w:t>
      </w:r>
      <w:r w:rsidRPr="002F41BD">
        <w:rPr>
          <w:color w:val="FF0000"/>
          <w:szCs w:val="19"/>
        </w:rPr>
        <w:t xml:space="preserve"> </w:t>
      </w: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  <w:bookmarkStart w:id="0" w:name="_Hlk50548899"/>
      <w:r w:rsidRPr="002F41BD">
        <w:rPr>
          <w:szCs w:val="19"/>
        </w:rPr>
        <w:t xml:space="preserve">W końcu czerwca 2021 r. udział osób, które pracowały zdalnie w związku z sytuacją epidemiczną w ogólnej liczbie pracujących objętych badaniem „Popyt na pracę” w województwie małopolskim wyniósł 8,7%. Skala wykorzystania pracy zdalnej w sektorze publicznym była niższa niż w prywatnym (4,8% wobec 9,9%). </w:t>
      </w:r>
    </w:p>
    <w:p w:rsidR="00796F7A" w:rsidRPr="002F41BD" w:rsidRDefault="00796F7A" w:rsidP="00796F7A">
      <w:pPr>
        <w:spacing w:before="0" w:after="0"/>
        <w:ind w:firstLine="284"/>
        <w:jc w:val="both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left="833" w:hanging="833"/>
        <w:jc w:val="center"/>
        <w:rPr>
          <w:b/>
          <w:color w:val="FF0000"/>
          <w:szCs w:val="19"/>
        </w:rPr>
      </w:pPr>
      <w:r w:rsidRPr="00B6111C">
        <w:rPr>
          <w:noProof/>
          <w:lang w:eastAsia="pl-PL"/>
        </w:rPr>
        <w:drawing>
          <wp:anchor distT="0" distB="0" distL="114300" distR="114300" simplePos="0" relativeHeight="251932160" behindDoc="1" locked="0" layoutInCell="1" allowOverlap="1" wp14:anchorId="42791C22" wp14:editId="3B39126D">
            <wp:simplePos x="0" y="0"/>
            <wp:positionH relativeFrom="page">
              <wp:align>center</wp:align>
            </wp:positionH>
            <wp:positionV relativeFrom="paragraph">
              <wp:posOffset>263800</wp:posOffset>
            </wp:positionV>
            <wp:extent cx="4773600" cy="18108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11C">
        <w:rPr>
          <w:b/>
          <w:szCs w:val="19"/>
        </w:rPr>
        <w:t xml:space="preserve">Wykres 4. Udział pracujących, którzy w związku z sytuacją epidemiczną pracowali zdalnie </w:t>
      </w:r>
      <w:r w:rsidRPr="00B6111C">
        <w:rPr>
          <w:b/>
          <w:szCs w:val="19"/>
        </w:rPr>
        <w:br/>
        <w:t>według sektorów własności na koniec II kwartału 2021 r.</w:t>
      </w:r>
    </w:p>
    <w:p w:rsidR="00796F7A" w:rsidRPr="002F41BD" w:rsidRDefault="00796F7A" w:rsidP="00796F7A">
      <w:pPr>
        <w:spacing w:before="240"/>
        <w:ind w:left="833" w:hanging="833"/>
        <w:jc w:val="center"/>
        <w:rPr>
          <w:b/>
          <w:color w:val="FF0000"/>
          <w:szCs w:val="19"/>
        </w:rPr>
      </w:pPr>
    </w:p>
    <w:p w:rsidR="00796F7A" w:rsidRPr="002F41BD" w:rsidRDefault="00796F7A" w:rsidP="00796F7A">
      <w:pPr>
        <w:jc w:val="both"/>
        <w:rPr>
          <w:color w:val="FF0000"/>
          <w:szCs w:val="19"/>
        </w:rPr>
      </w:pPr>
    </w:p>
    <w:p w:rsidR="00796F7A" w:rsidRPr="002F41BD" w:rsidRDefault="00796F7A" w:rsidP="00796F7A">
      <w:pPr>
        <w:rPr>
          <w:color w:val="FF0000"/>
          <w:szCs w:val="19"/>
        </w:rPr>
      </w:pPr>
    </w:p>
    <w:p w:rsidR="00796F7A" w:rsidRPr="002F41BD" w:rsidRDefault="00796F7A" w:rsidP="00796F7A">
      <w:pPr>
        <w:rPr>
          <w:color w:val="FF0000"/>
          <w:szCs w:val="19"/>
        </w:rPr>
      </w:pPr>
    </w:p>
    <w:p w:rsidR="00796F7A" w:rsidRPr="002F41BD" w:rsidRDefault="00796F7A" w:rsidP="00796F7A">
      <w:pPr>
        <w:rPr>
          <w:color w:val="FF0000"/>
          <w:szCs w:val="19"/>
        </w:rPr>
      </w:pPr>
    </w:p>
    <w:p w:rsidR="00796F7A" w:rsidRPr="002F41BD" w:rsidRDefault="00796F7A" w:rsidP="00796F7A">
      <w:pPr>
        <w:rPr>
          <w:color w:val="FF0000"/>
          <w:szCs w:val="19"/>
        </w:rPr>
      </w:pPr>
    </w:p>
    <w:p w:rsidR="00796F7A" w:rsidRPr="002F41BD" w:rsidRDefault="00796F7A" w:rsidP="00796F7A">
      <w:pPr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 w:line="140" w:lineRule="exact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  <w:r w:rsidRPr="002F41BD">
        <w:rPr>
          <w:szCs w:val="19"/>
        </w:rPr>
        <w:t xml:space="preserve">W skali całej gospodarki wykorzystanie pracy zdalnej w celu ograniczenia zagrożenia epidemicznego rosło wraz ze wzrostem wielkości podmiotów. W jednostkach zatrudniających powyżej 49 osób 12,1% pracujących świadczyło pracę </w:t>
      </w:r>
      <w:r w:rsidRPr="002F41BD">
        <w:rPr>
          <w:spacing w:val="-4"/>
          <w:szCs w:val="19"/>
        </w:rPr>
        <w:t>zdalnie w związku z sytuacją epidemiczną, podczas gdy w jednostkach zatrudniających do 9 osób było to 3,3% pracujących.</w:t>
      </w:r>
      <w:r w:rsidRPr="002F41BD">
        <w:rPr>
          <w:szCs w:val="19"/>
        </w:rPr>
        <w:t xml:space="preserve"> </w:t>
      </w: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136104" w:rsidRDefault="00796F7A" w:rsidP="00796F7A">
      <w:pPr>
        <w:spacing w:before="0" w:after="0"/>
        <w:ind w:left="833" w:hanging="833"/>
        <w:jc w:val="center"/>
        <w:rPr>
          <w:szCs w:val="19"/>
        </w:rPr>
      </w:pPr>
      <w:r w:rsidRPr="00136104">
        <w:rPr>
          <w:b/>
          <w:szCs w:val="19"/>
        </w:rPr>
        <w:t xml:space="preserve">Wykres 5. Struktura pracujących według wielkości jednostki na koniec II kwartału 2021 r. </w:t>
      </w:r>
    </w:p>
    <w:p w:rsidR="00796F7A" w:rsidRPr="002F41BD" w:rsidRDefault="00796F7A" w:rsidP="00796F7A">
      <w:pPr>
        <w:spacing w:before="0" w:after="0"/>
        <w:ind w:firstLine="284"/>
        <w:jc w:val="center"/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33184" behindDoc="1" locked="0" layoutInCell="1" allowOverlap="1" wp14:anchorId="1784C3C8" wp14:editId="5B577D83">
            <wp:simplePos x="0" y="0"/>
            <wp:positionH relativeFrom="page">
              <wp:align>center</wp:align>
            </wp:positionH>
            <wp:positionV relativeFrom="paragraph">
              <wp:posOffset>10198</wp:posOffset>
            </wp:positionV>
            <wp:extent cx="5497200" cy="1828800"/>
            <wp:effectExtent l="0" t="0" r="8255" b="0"/>
            <wp:wrapNone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  <w:bookmarkStart w:id="1" w:name="_Hlk50548951"/>
      <w:bookmarkEnd w:id="0"/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 w:line="80" w:lineRule="exact"/>
        <w:ind w:firstLine="284"/>
        <w:rPr>
          <w:color w:val="FF0000"/>
          <w:szCs w:val="19"/>
        </w:rPr>
      </w:pP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  <w:r w:rsidRPr="008C32DD">
        <w:rPr>
          <w:szCs w:val="19"/>
        </w:rPr>
        <w:t>Praca zdalna spowodowana sytuacją epidemiczną była wdrożona przez pracodawców w poszczególnych województwach w różnej skali. Najwyższy udział pracy zdalnej w końcu II kwartału 2021 r. odnotowano w województwach mazowieckim (15,0%) oraz małopolskim (8,7%), a najniższy w województwach warmińsko-mazurskim (1,3%), świętokrzyskim (1,4%) oraz podlaskim (2,0%).</w:t>
      </w:r>
    </w:p>
    <w:p w:rsidR="00796F7A" w:rsidRPr="002F41BD" w:rsidRDefault="00796F7A" w:rsidP="00796F7A">
      <w:pPr>
        <w:spacing w:before="0" w:after="0"/>
        <w:ind w:firstLine="284"/>
        <w:rPr>
          <w:color w:val="FF0000"/>
          <w:szCs w:val="19"/>
        </w:rPr>
      </w:pPr>
      <w:r w:rsidRPr="00D44EA1">
        <w:rPr>
          <w:szCs w:val="19"/>
        </w:rPr>
        <w:t>Ustawą z dnia 2 marca 2020 r. o szczególnych rozwiązaniach związanych z zapobieganiem, przeciwdziałaniem i zwalczaniem COVID-19, innych chorób zakaźnych oraz wywołanych nimi sytuacji kryzysowych pracującym rodzicom oraz opiekunom prawnym została stworzona możliwość skorzystania z zasiłku opiekuńczego na czas opieki nad dzieckiem do lat 8 z powodu zamknięcia żłobka, przedszkola, klubu dziecięcego, szkoły. Według stanu na koniec</w:t>
      </w:r>
      <w:r w:rsidRPr="002F41BD">
        <w:rPr>
          <w:color w:val="FF0000"/>
          <w:szCs w:val="19"/>
        </w:rPr>
        <w:t xml:space="preserve"> </w:t>
      </w:r>
      <w:r w:rsidRPr="00D44EA1">
        <w:rPr>
          <w:szCs w:val="19"/>
        </w:rPr>
        <w:t xml:space="preserve">II kwartału 2021 r. z tego </w:t>
      </w:r>
      <w:r w:rsidRPr="00D44EA1">
        <w:rPr>
          <w:szCs w:val="19"/>
        </w:rPr>
        <w:lastRenderedPageBreak/>
        <w:t xml:space="preserve">prawa skorzystało w województwie małopolskim 1,5% pracujących. Udział pracujących, którzy na mocy wspomnianej ustawy pozostali w domu był </w:t>
      </w:r>
      <w:r w:rsidRPr="00C360AE">
        <w:rPr>
          <w:szCs w:val="19"/>
        </w:rPr>
        <w:t xml:space="preserve">większy w sektorze prywatnym (1,6%) niż publicznym (1,1%). </w:t>
      </w:r>
    </w:p>
    <w:bookmarkEnd w:id="1"/>
    <w:p w:rsidR="00796F7A" w:rsidRPr="00C360AE" w:rsidRDefault="00796F7A" w:rsidP="00796F7A">
      <w:pPr>
        <w:spacing w:before="0" w:after="0"/>
        <w:ind w:firstLine="284"/>
        <w:rPr>
          <w:rFonts w:cs="Segoe UI"/>
          <w:szCs w:val="19"/>
        </w:rPr>
      </w:pPr>
      <w:r w:rsidRPr="00C360AE">
        <w:rPr>
          <w:rFonts w:cs="Segoe UI"/>
          <w:szCs w:val="19"/>
        </w:rPr>
        <w:t xml:space="preserve">Wykorzystanie omawianego instrumentu zapobiegania rozprzestrzenianiu się COVID-19 przez pracujących rodziców oraz </w:t>
      </w:r>
      <w:r w:rsidRPr="00C360AE">
        <w:rPr>
          <w:szCs w:val="19"/>
        </w:rPr>
        <w:t>opiekunów prawnych było</w:t>
      </w:r>
      <w:r w:rsidRPr="002F41BD">
        <w:rPr>
          <w:color w:val="FF0000"/>
          <w:szCs w:val="19"/>
        </w:rPr>
        <w:t xml:space="preserve"> </w:t>
      </w:r>
      <w:r w:rsidRPr="00C360AE">
        <w:rPr>
          <w:szCs w:val="19"/>
        </w:rPr>
        <w:t>odwrotnie proporcjonalne do wielkości jednostek. W</w:t>
      </w:r>
      <w:r w:rsidRPr="00C360AE">
        <w:rPr>
          <w:rFonts w:cs="Segoe UI"/>
          <w:szCs w:val="19"/>
        </w:rPr>
        <w:t xml:space="preserve"> jednostkach najmniejszych było to 2,8%, a w jednostkach zatrudniających powyżej 49 osób 1,0%. </w:t>
      </w:r>
    </w:p>
    <w:p w:rsidR="00796F7A" w:rsidRDefault="00796F7A" w:rsidP="00796F7A">
      <w:pPr>
        <w:spacing w:before="0" w:after="0"/>
        <w:ind w:firstLine="284"/>
        <w:rPr>
          <w:rFonts w:cs="Segoe UI"/>
          <w:szCs w:val="19"/>
        </w:rPr>
      </w:pPr>
      <w:r w:rsidRPr="000E4F17">
        <w:rPr>
          <w:rFonts w:cs="Segoe UI"/>
          <w:szCs w:val="19"/>
        </w:rPr>
        <w:t>Skala wykorzystania możliwości opieki nad dzieckiem z omawianego powodu była porównywalna w poszczególnych województwach. Udział liczby pracujących rodziców oraz opiekunów prawnych korzystających z prawa opieki nad dzieckiem z powodu sytuacji epidemicznej wahał się od 1,0% w województwie lubuskim do 1,6% w województwie zachodniopomorskim.</w:t>
      </w:r>
    </w:p>
    <w:p w:rsidR="00796F7A" w:rsidRPr="000E4F17" w:rsidRDefault="00796F7A" w:rsidP="00796F7A">
      <w:pPr>
        <w:spacing w:before="0" w:after="0"/>
        <w:ind w:firstLine="284"/>
        <w:rPr>
          <w:rFonts w:cs="Segoe UI"/>
          <w:szCs w:val="19"/>
        </w:rPr>
      </w:pPr>
      <w:r w:rsidRPr="000E4F17">
        <w:rPr>
          <w:rFonts w:cs="Segoe UI"/>
          <w:szCs w:val="19"/>
        </w:rPr>
        <w:t xml:space="preserve">  </w:t>
      </w:r>
      <w:r w:rsidRPr="00F6672D">
        <w:rPr>
          <w:rFonts w:cs="Segoe UI"/>
          <w:szCs w:val="19"/>
        </w:rPr>
        <w:t xml:space="preserve">Liczba </w:t>
      </w:r>
      <w:r>
        <w:rPr>
          <w:rFonts w:cs="Segoe UI"/>
          <w:szCs w:val="19"/>
        </w:rPr>
        <w:t>osób</w:t>
      </w:r>
      <w:r w:rsidRPr="00F6672D">
        <w:rPr>
          <w:rFonts w:cs="Segoe UI"/>
          <w:szCs w:val="19"/>
        </w:rPr>
        <w:t>, któr</w:t>
      </w:r>
      <w:r>
        <w:rPr>
          <w:rFonts w:cs="Segoe UI"/>
          <w:szCs w:val="19"/>
        </w:rPr>
        <w:t>e</w:t>
      </w:r>
      <w:r w:rsidRPr="00F6672D">
        <w:rPr>
          <w:rFonts w:cs="Segoe UI"/>
          <w:szCs w:val="19"/>
        </w:rPr>
        <w:t xml:space="preserve"> w związku z sytuacją epidemiczną korzysta</w:t>
      </w:r>
      <w:r>
        <w:rPr>
          <w:rFonts w:cs="Segoe UI"/>
          <w:szCs w:val="19"/>
        </w:rPr>
        <w:t>ły</w:t>
      </w:r>
      <w:r w:rsidRPr="00F6672D">
        <w:rPr>
          <w:rFonts w:cs="Segoe UI"/>
          <w:szCs w:val="19"/>
        </w:rPr>
        <w:t xml:space="preserve"> z wynagrodzenia za czas choroby/zasiłku chorobowego z powodu poddania się kwarantannie lub izolacji</w:t>
      </w:r>
      <w:r>
        <w:rPr>
          <w:rFonts w:cs="Segoe UI"/>
          <w:szCs w:val="19"/>
        </w:rPr>
        <w:t xml:space="preserve"> w końcu II kwartału 2021 r. stanowiła 1,3% ogólnej liczby pracujących w województwie małopolskim. Udział liczby pracujących korzystających z tego rodzaju wynagrodzenia wahał się od 0,7% w województwie podlaskim do 1,7% w województwach kujawsko-pomorskim, pomorskim, śląskim i zachodniopomorskim.</w:t>
      </w:r>
    </w:p>
    <w:p w:rsidR="00796F7A" w:rsidRPr="000E4F17" w:rsidRDefault="00796F7A" w:rsidP="00796F7A">
      <w:pPr>
        <w:tabs>
          <w:tab w:val="left" w:pos="567"/>
        </w:tabs>
        <w:spacing w:before="0" w:after="0" w:line="120" w:lineRule="auto"/>
        <w:jc w:val="center"/>
        <w:rPr>
          <w:rFonts w:cs="Arial"/>
          <w:szCs w:val="19"/>
        </w:rPr>
      </w:pPr>
    </w:p>
    <w:p w:rsidR="004872E0" w:rsidRPr="009873BD" w:rsidRDefault="00796F7A" w:rsidP="00796F7A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0E4F17">
        <w:rPr>
          <w:rFonts w:cs="Arial"/>
          <w:szCs w:val="19"/>
        </w:rPr>
        <w:t>***</w:t>
      </w:r>
    </w:p>
    <w:p w:rsidR="00906C8C" w:rsidRDefault="00906C8C" w:rsidP="00796F7A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96F7A" w:rsidRPr="0034074E" w:rsidRDefault="00796F7A" w:rsidP="00796F7A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796F7A" w:rsidRPr="00AF5C8D" w:rsidRDefault="00796F7A" w:rsidP="00796F7A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796F7A" w:rsidRPr="00684897" w:rsidRDefault="00796F7A" w:rsidP="00796F7A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684897">
        <w:rPr>
          <w:rFonts w:cs="Arial"/>
          <w:color w:val="000000" w:themeColor="text1"/>
          <w:szCs w:val="19"/>
        </w:rPr>
        <w:t xml:space="preserve">W sierpniu 2021 r. </w:t>
      </w:r>
      <w:r w:rsidRPr="00684897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684897">
        <w:rPr>
          <w:rFonts w:cs="Arial"/>
          <w:color w:val="000000" w:themeColor="text1"/>
          <w:szCs w:val="19"/>
        </w:rPr>
        <w:t xml:space="preserve"> wyniosło 6142,54 zł i było </w:t>
      </w:r>
      <w:r w:rsidRPr="00684897">
        <w:rPr>
          <w:rFonts w:cs="Arial"/>
          <w:color w:val="000000" w:themeColor="text1"/>
          <w:szCs w:val="19"/>
        </w:rPr>
        <w:br/>
        <w:t xml:space="preserve">o 14,4% wyższe niż rok wcześniej. </w:t>
      </w:r>
    </w:p>
    <w:p w:rsidR="00796F7A" w:rsidRPr="007D51BC" w:rsidRDefault="00796F7A" w:rsidP="00796F7A">
      <w:pPr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7D51BC">
        <w:rPr>
          <w:rFonts w:cs="Arial"/>
          <w:bCs/>
          <w:color w:val="000000" w:themeColor="text1"/>
          <w:szCs w:val="19"/>
        </w:rPr>
        <w:t xml:space="preserve">W porównaniu z analogicznym miesiącem 2020 r. wzrost przeciętnych wynagrodzeń odnotowano we wszystkich sekcjach PKD, w tym największy w wytwarzaniu i zaopatrywaniu w energię elektryczną, gaz, parę wodną i gorącą wodę </w:t>
      </w:r>
      <w:r w:rsidRPr="007D51BC">
        <w:rPr>
          <w:rFonts w:cs="Arial"/>
          <w:bCs/>
          <w:color w:val="000000" w:themeColor="text1"/>
          <w:szCs w:val="19"/>
        </w:rPr>
        <w:br/>
        <w:t>(o 87,9%).</w:t>
      </w:r>
    </w:p>
    <w:p w:rsidR="00796F7A" w:rsidRPr="007D51BC" w:rsidRDefault="00796F7A" w:rsidP="00796F7A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7D51BC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796F7A" w:rsidRPr="007D51BC" w:rsidTr="00796F7A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96F7A" w:rsidRPr="007D51BC" w:rsidRDefault="00796F7A" w:rsidP="00796F7A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96F7A" w:rsidRPr="007D51BC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VIII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796F7A" w:rsidRPr="007D51BC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softHyphen/>
              <w:t>–VIII 2021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96F7A" w:rsidRPr="007D51BC" w:rsidRDefault="00796F7A" w:rsidP="00796F7A">
            <w:pPr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7D51BC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7D51BC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VIII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96F7A" w:rsidRPr="007D51BC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96F7A" w:rsidRPr="007D51BC" w:rsidRDefault="00796F7A" w:rsidP="00796F7A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I–VIII 2020 = 100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6142,54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5905,21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6195,22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5748,65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5470,86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5446,79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7D51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5661,17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5381,37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5217,56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5026,53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7D51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4965,56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4877,96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4394,48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4163,99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816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7D51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4132,73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3786,57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10686,85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10914,86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7D51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5091,31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5000,32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techniczna</w:t>
            </w:r>
            <w:r w:rsidRPr="007D51B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7D51B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8619,39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8995,06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796F7A" w:rsidRPr="007D51BC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7D51BC" w:rsidRDefault="00796F7A" w:rsidP="00796F7A">
            <w:pPr>
              <w:tabs>
                <w:tab w:val="left" w:leader="dot" w:pos="3753"/>
              </w:tabs>
              <w:spacing w:before="3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7D51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D51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5322,47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5052,58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7D51BC" w:rsidRDefault="00796F7A" w:rsidP="00796F7A">
            <w:pPr>
              <w:spacing w:before="3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</w:tbl>
    <w:p w:rsidR="00796F7A" w:rsidRPr="00B80323" w:rsidRDefault="00796F7A" w:rsidP="00796F7A">
      <w:pPr>
        <w:spacing w:before="0" w:after="0" w:line="120" w:lineRule="auto"/>
        <w:ind w:firstLine="284"/>
        <w:jc w:val="both"/>
        <w:rPr>
          <w:color w:val="FF0000"/>
          <w:sz w:val="16"/>
          <w:szCs w:val="16"/>
        </w:rPr>
      </w:pPr>
    </w:p>
    <w:p w:rsidR="00796F7A" w:rsidRPr="00047DD1" w:rsidRDefault="00796F7A" w:rsidP="00796F7A">
      <w:pPr>
        <w:spacing w:before="0" w:after="0" w:line="240" w:lineRule="auto"/>
        <w:ind w:firstLine="284"/>
        <w:jc w:val="both"/>
        <w:rPr>
          <w:rFonts w:cs="Arial"/>
          <w:color w:val="000000" w:themeColor="text1"/>
          <w:sz w:val="16"/>
          <w:szCs w:val="16"/>
        </w:rPr>
      </w:pPr>
      <w:r w:rsidRPr="00047DD1">
        <w:rPr>
          <w:color w:val="000000" w:themeColor="text1"/>
          <w:sz w:val="16"/>
          <w:szCs w:val="16"/>
        </w:rPr>
        <w:t>a</w:t>
      </w:r>
      <w:r w:rsidRPr="00047DD1">
        <w:rPr>
          <w:rFonts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796F7A" w:rsidRPr="00047DD1" w:rsidRDefault="00796F7A" w:rsidP="00796F7A">
      <w:pPr>
        <w:spacing w:before="0" w:after="0" w:line="120" w:lineRule="auto"/>
        <w:ind w:firstLine="284"/>
        <w:jc w:val="both"/>
        <w:rPr>
          <w:rFonts w:cs="Arial"/>
          <w:bCs/>
          <w:color w:val="000000" w:themeColor="text1"/>
          <w:szCs w:val="19"/>
        </w:rPr>
      </w:pPr>
    </w:p>
    <w:p w:rsidR="00796F7A" w:rsidRPr="00B80323" w:rsidRDefault="00796F7A" w:rsidP="00796F7A">
      <w:pPr>
        <w:tabs>
          <w:tab w:val="left" w:pos="4253"/>
          <w:tab w:val="left" w:pos="4536"/>
        </w:tabs>
        <w:spacing w:before="0" w:after="0"/>
        <w:ind w:firstLine="284"/>
        <w:rPr>
          <w:rFonts w:cs="Arial"/>
          <w:bCs/>
          <w:color w:val="FF0000"/>
          <w:szCs w:val="19"/>
        </w:rPr>
      </w:pPr>
      <w:r w:rsidRPr="00CB4981">
        <w:rPr>
          <w:rFonts w:cs="Arial"/>
          <w:bCs/>
          <w:color w:val="000000" w:themeColor="text1"/>
          <w:szCs w:val="19"/>
        </w:rPr>
        <w:t xml:space="preserve">W sierpniu 2021 r. najwyższe przeciętne miesięczne wynagrodzenie brutto notowano w wytwarzaniu i zaopatrywaniu </w:t>
      </w:r>
      <w:r w:rsidRPr="00CB4981">
        <w:rPr>
          <w:rFonts w:cs="Arial"/>
          <w:bCs/>
          <w:color w:val="000000" w:themeColor="text1"/>
          <w:szCs w:val="19"/>
        </w:rPr>
        <w:br/>
        <w:t xml:space="preserve">w energię elektryczną, gaz, parę wodną i gorącą wodę (o 104,1% wyższe niż średnie wynagrodzenie w sektorze przedsiębiorstw w województwie), natomiast najniższe w sekcji zakwaterowanie i gastronomia (o 32,7% niższe od przeciętnego wynagrodzenia w sektorze przedsiębiorstw). </w:t>
      </w: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FF0000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Default="00796F7A" w:rsidP="00796F7A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796F7A" w:rsidRPr="002C5F68" w:rsidRDefault="00796F7A" w:rsidP="009F7F35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2C5F68">
        <w:rPr>
          <w:b/>
          <w:noProof/>
          <w:color w:val="000000" w:themeColor="text1"/>
          <w:szCs w:val="19"/>
        </w:rPr>
        <w:lastRenderedPageBreak/>
        <w:t xml:space="preserve">Wykres </w:t>
      </w:r>
      <w:r w:rsidR="004F1AF4">
        <w:rPr>
          <w:b/>
          <w:noProof/>
          <w:color w:val="000000" w:themeColor="text1"/>
          <w:szCs w:val="19"/>
        </w:rPr>
        <w:t>6</w:t>
      </w:r>
      <w:r w:rsidRPr="002C5F68">
        <w:rPr>
          <w:b/>
          <w:noProof/>
          <w:color w:val="000000" w:themeColor="text1"/>
          <w:szCs w:val="19"/>
        </w:rPr>
        <w:t xml:space="preserve">. Odchylenia względne przeciętnych miesięcznych wynagrodzeń brutto </w:t>
      </w:r>
      <w:r w:rsidR="009F7F35">
        <w:rPr>
          <w:b/>
          <w:noProof/>
          <w:color w:val="000000" w:themeColor="text1"/>
          <w:szCs w:val="19"/>
        </w:rPr>
        <w:t xml:space="preserve">w wybranych sekcjach                                </w:t>
      </w:r>
      <w:r w:rsidRPr="002C5F68">
        <w:rPr>
          <w:b/>
          <w:noProof/>
          <w:color w:val="000000" w:themeColor="text1"/>
          <w:szCs w:val="19"/>
        </w:rPr>
        <w:t>od średniego wynagrodzenia w sektorze przedsiębiorstw w województwie w sierpniu 2021 r.</w:t>
      </w:r>
    </w:p>
    <w:p w:rsidR="00796F7A" w:rsidRPr="002C5F68" w:rsidRDefault="00796F7A" w:rsidP="00796F7A">
      <w:pPr>
        <w:spacing w:line="360" w:lineRule="auto"/>
        <w:ind w:firstLine="425"/>
        <w:jc w:val="center"/>
        <w:rPr>
          <w:rFonts w:cs="Arial"/>
          <w:bCs/>
          <w:color w:val="000000" w:themeColor="text1"/>
          <w:szCs w:val="19"/>
        </w:rPr>
      </w:pPr>
      <w:r w:rsidRPr="00A90AB4">
        <w:rPr>
          <w:noProof/>
          <w:lang w:eastAsia="pl-PL"/>
        </w:rPr>
        <w:drawing>
          <wp:anchor distT="0" distB="0" distL="114300" distR="114300" simplePos="0" relativeHeight="251935232" behindDoc="1" locked="0" layoutInCell="1" allowOverlap="1" wp14:anchorId="437A7378" wp14:editId="4BACA01B">
            <wp:simplePos x="0" y="0"/>
            <wp:positionH relativeFrom="page">
              <wp:align>center</wp:align>
            </wp:positionH>
            <wp:positionV relativeFrom="paragraph">
              <wp:posOffset>78741</wp:posOffset>
            </wp:positionV>
            <wp:extent cx="6202800" cy="2847600"/>
            <wp:effectExtent l="0" t="0" r="0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800" cy="28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spacing w:before="80" w:after="0"/>
        <w:ind w:firstLine="284"/>
        <w:rPr>
          <w:rFonts w:cs="Arial"/>
          <w:bCs/>
          <w:color w:val="FF0000"/>
          <w:szCs w:val="19"/>
        </w:rPr>
      </w:pPr>
      <w:r w:rsidRPr="007C6C4B">
        <w:rPr>
          <w:rFonts w:cs="Arial"/>
          <w:bCs/>
          <w:color w:val="000000" w:themeColor="text1"/>
          <w:szCs w:val="19"/>
        </w:rPr>
        <w:t xml:space="preserve">W relacji do lipca br. przeciętne miesięczne wynagrodzenie brutto zwiększyło się o 2,7%.    </w:t>
      </w:r>
    </w:p>
    <w:p w:rsidR="00796F7A" w:rsidRPr="00B80323" w:rsidRDefault="00796F7A" w:rsidP="00796F7A">
      <w:pPr>
        <w:spacing w:before="0" w:after="0" w:line="240" w:lineRule="auto"/>
        <w:jc w:val="center"/>
        <w:rPr>
          <w:b/>
          <w:noProof/>
          <w:color w:val="FF0000"/>
          <w:szCs w:val="19"/>
        </w:rPr>
      </w:pPr>
    </w:p>
    <w:p w:rsidR="00796F7A" w:rsidRPr="00357B52" w:rsidRDefault="00796F7A" w:rsidP="00796F7A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357B52">
        <w:rPr>
          <w:b/>
          <w:noProof/>
          <w:color w:val="000000" w:themeColor="text1"/>
          <w:szCs w:val="19"/>
        </w:rPr>
        <w:t xml:space="preserve">Wykres </w:t>
      </w:r>
      <w:r w:rsidR="004F1AF4">
        <w:rPr>
          <w:b/>
          <w:noProof/>
          <w:color w:val="000000" w:themeColor="text1"/>
          <w:szCs w:val="19"/>
        </w:rPr>
        <w:t>7</w:t>
      </w:r>
      <w:r w:rsidRPr="00357B52">
        <w:rPr>
          <w:b/>
          <w:noProof/>
          <w:color w:val="000000" w:themeColor="text1"/>
          <w:szCs w:val="19"/>
        </w:rPr>
        <w:t>. Dynamika przeciętnego miesięcznego wynagrodzenia brutto w sektorze przedsiębiorstw</w:t>
      </w:r>
    </w:p>
    <w:p w:rsidR="00796F7A" w:rsidRPr="00357B52" w:rsidRDefault="00796F7A" w:rsidP="00796F7A">
      <w:pPr>
        <w:spacing w:before="0" w:after="0"/>
        <w:jc w:val="center"/>
        <w:rPr>
          <w:color w:val="000000" w:themeColor="text1"/>
          <w:szCs w:val="19"/>
        </w:rPr>
      </w:pPr>
      <w:r w:rsidRPr="00357B52">
        <w:rPr>
          <w:color w:val="000000" w:themeColor="text1"/>
          <w:szCs w:val="19"/>
        </w:rPr>
        <w:t>(przeciętna miesięczna 2015=100)</w:t>
      </w:r>
    </w:p>
    <w:p w:rsidR="00796F7A" w:rsidRPr="00357B52" w:rsidRDefault="00796F7A" w:rsidP="00796F7A">
      <w:pPr>
        <w:spacing w:before="0" w:after="0"/>
        <w:jc w:val="center"/>
        <w:rPr>
          <w:color w:val="000000" w:themeColor="text1"/>
          <w:szCs w:val="19"/>
        </w:rPr>
      </w:pPr>
      <w:r w:rsidRPr="00357B52">
        <w:rPr>
          <w:noProof/>
          <w:color w:val="000000" w:themeColor="text1"/>
          <w:lang w:eastAsia="pl-PL"/>
        </w:rPr>
        <w:drawing>
          <wp:anchor distT="0" distB="0" distL="114300" distR="114300" simplePos="0" relativeHeight="251936256" behindDoc="1" locked="0" layoutInCell="1" allowOverlap="1" wp14:anchorId="3886F9A9" wp14:editId="2D2497AC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5061600" cy="2469600"/>
            <wp:effectExtent l="0" t="0" r="0" b="0"/>
            <wp:wrapNone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F7A" w:rsidRPr="00B80323" w:rsidRDefault="00796F7A" w:rsidP="00796F7A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B80323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796F7A" w:rsidRPr="00DD19BC" w:rsidRDefault="00796F7A" w:rsidP="00796F7A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DD19BC">
        <w:rPr>
          <w:rFonts w:cs="Arial"/>
          <w:bCs/>
          <w:color w:val="000000" w:themeColor="text1"/>
        </w:rPr>
        <w:t xml:space="preserve">W okresie </w:t>
      </w:r>
      <w:r w:rsidRPr="00DD19BC">
        <w:rPr>
          <w:rFonts w:cs="Arial"/>
          <w:b/>
          <w:bCs/>
          <w:color w:val="000000" w:themeColor="text1"/>
        </w:rPr>
        <w:t>styczeń–sierpień 2021 r.</w:t>
      </w:r>
      <w:r w:rsidRPr="00DD19BC">
        <w:rPr>
          <w:rFonts w:cs="Arial"/>
          <w:bCs/>
          <w:color w:val="000000" w:themeColor="text1"/>
        </w:rPr>
        <w:t xml:space="preserve"> przeciętne miesięczne wynagrodzenie brutto w sektorze przedsiębiorstw wyniosło 5905,21 zł i było o 9,7% wyższe w ujęciu rocznym. Wzrost średnich miesięcznych wynagrodzeń w omawianym okresie zanotowano we wszystkich sekcjach, w tym zwłaszcza w informacji i komunikacji (o 10,8%) oraz przetwórstwie przemysłowym (o 10,4%).</w:t>
      </w:r>
    </w:p>
    <w:p w:rsidR="00796F7A" w:rsidRPr="00DD19BC" w:rsidRDefault="00796F7A" w:rsidP="00796F7A">
      <w:pPr>
        <w:tabs>
          <w:tab w:val="left" w:pos="567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200FCF" w:rsidRPr="00FD5423" w:rsidRDefault="00796F7A" w:rsidP="00796F7A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DD19BC">
        <w:rPr>
          <w:rFonts w:eastAsia="Fira Sans Light" w:cs="Arial"/>
          <w:color w:val="000000" w:themeColor="text1"/>
          <w:szCs w:val="19"/>
        </w:rPr>
        <w:t>***</w:t>
      </w:r>
    </w:p>
    <w:p w:rsidR="00200FCF" w:rsidRDefault="00200FCF" w:rsidP="00796F7A">
      <w:pPr>
        <w:spacing w:before="0" w:after="0" w:line="24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96F7A" w:rsidRPr="00843083" w:rsidRDefault="00796F7A" w:rsidP="00796F7A">
      <w:pPr>
        <w:pStyle w:val="Nagwek1"/>
        <w:spacing w:before="0" w:after="0" w:line="240" w:lineRule="exact"/>
        <w:rPr>
          <w:caps/>
          <w:color w:val="522398"/>
        </w:rPr>
      </w:pPr>
      <w:r w:rsidRPr="00843083">
        <w:rPr>
          <w:color w:val="522398"/>
        </w:rPr>
        <w:t xml:space="preserve">Ceny </w:t>
      </w:r>
    </w:p>
    <w:p w:rsidR="00796F7A" w:rsidRPr="00843083" w:rsidRDefault="00796F7A" w:rsidP="00796F7A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796F7A" w:rsidRPr="00C64113" w:rsidRDefault="00796F7A" w:rsidP="00796F7A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  <w:r w:rsidRPr="00C64113">
        <w:rPr>
          <w:rFonts w:eastAsia="Times New Roman" w:cs="Arial"/>
          <w:bCs/>
          <w:szCs w:val="19"/>
          <w:lang w:eastAsia="pl-PL"/>
        </w:rPr>
        <w:t xml:space="preserve">W </w:t>
      </w:r>
      <w:r w:rsidRPr="00C64113">
        <w:rPr>
          <w:rFonts w:eastAsia="Times New Roman" w:cs="Arial"/>
          <w:b/>
          <w:bCs/>
          <w:szCs w:val="19"/>
          <w:lang w:eastAsia="pl-PL"/>
        </w:rPr>
        <w:t>II kwartale 2021 r.</w:t>
      </w:r>
      <w:r w:rsidRPr="00C64113">
        <w:rPr>
          <w:rFonts w:eastAsia="Times New Roman" w:cs="Arial"/>
          <w:bCs/>
          <w:szCs w:val="19"/>
          <w:lang w:eastAsia="pl-PL"/>
        </w:rPr>
        <w:t xml:space="preserve"> ceny towarów i usług konsumpcyjnych w województwie małopolskim były wyższe o 5,6% w skali roku (w Polsce zwiększyły się o 4,5%). Wzrost cen zanotowano przede wszystkim w grupach „transport” (o 21,1%) oraz „mieszkanie” (o 7,5%), natomiast spadek </w:t>
      </w:r>
      <w:r w:rsidR="00CD48B7">
        <w:rPr>
          <w:rFonts w:eastAsia="Times New Roman" w:cs="Arial"/>
          <w:bCs/>
          <w:szCs w:val="19"/>
          <w:lang w:eastAsia="pl-PL"/>
        </w:rPr>
        <w:t xml:space="preserve">wystąpił jedynie </w:t>
      </w:r>
      <w:r w:rsidRPr="00C64113">
        <w:rPr>
          <w:rFonts w:eastAsia="Times New Roman" w:cs="Arial"/>
          <w:bCs/>
          <w:szCs w:val="19"/>
          <w:lang w:eastAsia="pl-PL"/>
        </w:rPr>
        <w:t>w grupie „odzież i obuwie” (o 0,4%).</w:t>
      </w:r>
      <w:r w:rsidRPr="00C6411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</w:p>
    <w:p w:rsidR="00796F7A" w:rsidRPr="00C64113" w:rsidRDefault="00796F7A" w:rsidP="00796F7A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  <w:r w:rsidRPr="00C64113">
        <w:rPr>
          <w:rFonts w:ascii="Fira Sans" w:hAnsi="Fira Sans" w:cs="Arial"/>
          <w:sz w:val="19"/>
          <w:szCs w:val="19"/>
        </w:rPr>
        <w:lastRenderedPageBreak/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796F7A" w:rsidRPr="00C64113" w:rsidTr="00796F7A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:rsidR="00796F7A" w:rsidRPr="00C64113" w:rsidRDefault="00796F7A" w:rsidP="00796F7A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single" w:sz="2" w:space="0" w:color="7030A0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nil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796F7A" w:rsidRPr="00C64113" w:rsidRDefault="00796F7A" w:rsidP="00796F7A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II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II kw.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96F7A" w:rsidRPr="00C64113" w:rsidRDefault="00796F7A" w:rsidP="00796F7A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96F7A" w:rsidRPr="00C64113" w:rsidRDefault="00796F7A" w:rsidP="00796F7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C64113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7030A0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64113">
              <w:rPr>
                <w:rFonts w:cs="Arial"/>
                <w:b/>
                <w:sz w:val="16"/>
                <w:szCs w:val="16"/>
              </w:rPr>
              <w:t>103,9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7E53A8">
              <w:rPr>
                <w:rFonts w:cs="Arial"/>
                <w:b/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64113">
              <w:rPr>
                <w:rFonts w:cs="Arial"/>
                <w:b/>
                <w:sz w:val="16"/>
                <w:szCs w:val="16"/>
              </w:rPr>
              <w:t>105,6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796F7A" w:rsidRPr="00C64113" w:rsidTr="00796F7A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796F7A" w:rsidRPr="00C64113" w:rsidRDefault="00796F7A" w:rsidP="00796F7A">
            <w:pPr>
              <w:tabs>
                <w:tab w:val="left" w:leader="dot" w:pos="3753"/>
              </w:tabs>
              <w:spacing w:before="60" w:after="4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796F7A" w:rsidRPr="00C64113" w:rsidRDefault="00796F7A" w:rsidP="00796F7A">
            <w:pPr>
              <w:spacing w:before="60" w:after="40" w:line="240" w:lineRule="auto"/>
              <w:ind w:right="113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64113"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7E53A8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796F7A" w:rsidRPr="00C64113" w:rsidRDefault="00796F7A" w:rsidP="00796F7A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64113">
              <w:rPr>
                <w:rFonts w:cs="Arial"/>
                <w:sz w:val="16"/>
                <w:szCs w:val="16"/>
              </w:rPr>
              <w:t>105,6</w:t>
            </w:r>
          </w:p>
        </w:tc>
      </w:tr>
    </w:tbl>
    <w:p w:rsidR="00796F7A" w:rsidRPr="00C64113" w:rsidRDefault="00796F7A" w:rsidP="00796F7A">
      <w:pPr>
        <w:pStyle w:val="Tekstpodstawowy"/>
        <w:spacing w:line="120" w:lineRule="auto"/>
        <w:ind w:firstLine="425"/>
        <w:rPr>
          <w:rFonts w:ascii="Fira Sans" w:hAnsi="Fira Sans"/>
          <w:color w:val="FF0000"/>
          <w:sz w:val="19"/>
          <w:szCs w:val="19"/>
        </w:rPr>
      </w:pPr>
    </w:p>
    <w:p w:rsidR="00796F7A" w:rsidRPr="008634BB" w:rsidRDefault="00796F7A" w:rsidP="00796F7A">
      <w:pPr>
        <w:tabs>
          <w:tab w:val="left" w:pos="567"/>
        </w:tabs>
        <w:spacing w:before="0" w:after="0"/>
        <w:ind w:firstLine="284"/>
        <w:jc w:val="both"/>
        <w:rPr>
          <w:rFonts w:eastAsia="Times New Roman" w:cs="Arial"/>
          <w:bCs/>
          <w:szCs w:val="19"/>
          <w:lang w:eastAsia="pl-PL"/>
        </w:rPr>
      </w:pPr>
      <w:r w:rsidRPr="008634BB">
        <w:rPr>
          <w:rFonts w:eastAsia="Times New Roman" w:cs="Arial"/>
          <w:bCs/>
          <w:szCs w:val="19"/>
          <w:lang w:eastAsia="pl-PL"/>
        </w:rPr>
        <w:t>W relacji do I kwartału 2021 r. ceny towarów i usług konsumpcyjnych wzrosły o 2,0% (w kraju były wyższe o 1,9%). Największy wzrost odnotowano w grupach „transport” (o 6,7%) oraz „odzież i obuwie” (o 3,0%).</w:t>
      </w:r>
    </w:p>
    <w:p w:rsidR="00796F7A" w:rsidRPr="008634BB" w:rsidRDefault="00796F7A" w:rsidP="00796F7A">
      <w:pPr>
        <w:tabs>
          <w:tab w:val="left" w:pos="567"/>
        </w:tabs>
        <w:spacing w:before="0" w:after="0"/>
        <w:jc w:val="center"/>
        <w:rPr>
          <w:rFonts w:cs="Arial"/>
          <w:szCs w:val="19"/>
        </w:rPr>
      </w:pPr>
    </w:p>
    <w:p w:rsidR="00200FCF" w:rsidRPr="00796F7A" w:rsidRDefault="00796F7A" w:rsidP="00796F7A">
      <w:pPr>
        <w:pStyle w:val="Tekstpodstawowy2"/>
        <w:spacing w:line="240" w:lineRule="auto"/>
        <w:jc w:val="center"/>
        <w:rPr>
          <w:rFonts w:ascii="Fira Sans" w:eastAsia="Fira Sans Light" w:hAnsi="Fira Sans" w:cs="Arial"/>
          <w:color w:val="000000" w:themeColor="text1"/>
          <w:sz w:val="19"/>
          <w:szCs w:val="19"/>
          <w:lang w:eastAsia="en-US"/>
        </w:rPr>
      </w:pPr>
      <w:r w:rsidRPr="00796F7A">
        <w:rPr>
          <w:rFonts w:ascii="Fira Sans" w:hAnsi="Fira Sans" w:cs="Arial"/>
          <w:sz w:val="19"/>
          <w:szCs w:val="19"/>
        </w:rPr>
        <w:t>***</w:t>
      </w:r>
    </w:p>
    <w:p w:rsidR="00200FCF" w:rsidRDefault="00200FCF" w:rsidP="00284079">
      <w:pPr>
        <w:spacing w:before="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96F7A" w:rsidRPr="004E3E64" w:rsidRDefault="00796F7A" w:rsidP="00796F7A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796F7A" w:rsidRPr="00256A66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2F6CE5">
        <w:rPr>
          <w:rFonts w:eastAsia="Times New Roman" w:cs="Times New Roman"/>
          <w:szCs w:val="19"/>
          <w:lang w:eastAsia="pl-PL"/>
        </w:rPr>
        <w:t xml:space="preserve">W sierpniu 2021 r. przeciętne ceny skupu w ujęciu rocznym były wyższe w przypadku większości badanych produktów roślinnych i </w:t>
      </w:r>
      <w:r w:rsidRPr="00AA7EAE">
        <w:rPr>
          <w:rFonts w:eastAsia="Times New Roman" w:cs="Times New Roman"/>
          <w:szCs w:val="19"/>
          <w:lang w:eastAsia="pl-PL"/>
        </w:rPr>
        <w:t xml:space="preserve">zwierzęcych. Największy wzrost dotyczył cen skupu żywca wołowego oraz pszenicy. </w:t>
      </w: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1A42AE">
        <w:rPr>
          <w:rFonts w:eastAsia="Times New Roman" w:cs="Times New Roman"/>
          <w:szCs w:val="19"/>
          <w:lang w:eastAsia="pl-PL"/>
        </w:rPr>
        <w:t>Średnia</w:t>
      </w:r>
      <w:r w:rsidRPr="001A42AE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1A42AE">
        <w:rPr>
          <w:rFonts w:eastAsia="Times New Roman" w:cs="Times New Roman"/>
          <w:szCs w:val="19"/>
          <w:lang w:eastAsia="pl-PL"/>
        </w:rPr>
        <w:t xml:space="preserve"> temperatura powietrza na obszarze województwa małopolskiego w sierpniu 2021 r. wyniosła 16,7</w:t>
      </w:r>
      <w:r w:rsidRPr="001A42AE">
        <w:rPr>
          <w:rFonts w:eastAsia="Times New Roman" w:cs="Arial"/>
          <w:szCs w:val="19"/>
          <w:lang w:eastAsia="pl-PL"/>
        </w:rPr>
        <w:t>°</w:t>
      </w:r>
      <w:r w:rsidRPr="001A42AE">
        <w:rPr>
          <w:rFonts w:eastAsia="Times New Roman" w:cs="Times New Roman"/>
          <w:szCs w:val="19"/>
          <w:lang w:eastAsia="pl-PL"/>
        </w:rPr>
        <w:t xml:space="preserve">C i była             </w:t>
      </w:r>
      <w:r w:rsidRPr="00463893">
        <w:rPr>
          <w:rFonts w:eastAsia="Times New Roman" w:cs="Times New Roman"/>
          <w:szCs w:val="19"/>
          <w:lang w:eastAsia="pl-PL"/>
        </w:rPr>
        <w:t>o 3,0°C niższa od średniej notowanej w analogicznym okresie 2020 r., przy czym maksymalna temperatura wyniosła 31,7</w:t>
      </w:r>
      <w:r w:rsidRPr="00463893">
        <w:rPr>
          <w:rFonts w:eastAsia="Times New Roman" w:cs="Arial"/>
          <w:szCs w:val="19"/>
          <w:lang w:eastAsia="pl-PL"/>
        </w:rPr>
        <w:t>°</w:t>
      </w:r>
      <w:r w:rsidRPr="00463893">
        <w:rPr>
          <w:rFonts w:eastAsia="Times New Roman" w:cs="Times New Roman"/>
          <w:szCs w:val="19"/>
          <w:lang w:eastAsia="pl-PL"/>
        </w:rPr>
        <w:t>C (Tarnów), a minimalna 4,0</w:t>
      </w:r>
      <w:r w:rsidRPr="00463893">
        <w:rPr>
          <w:rFonts w:eastAsia="Times New Roman" w:cs="Arial"/>
          <w:szCs w:val="19"/>
          <w:lang w:eastAsia="pl-PL"/>
        </w:rPr>
        <w:t>°</w:t>
      </w:r>
      <w:r w:rsidRPr="00463893">
        <w:rPr>
          <w:rFonts w:eastAsia="Times New Roman" w:cs="Times New Roman"/>
          <w:szCs w:val="19"/>
          <w:lang w:eastAsia="pl-PL"/>
        </w:rPr>
        <w:t>C (Zakopane). Średnia suma opadów atmosferycznych wyniosła 218,2 mm (97,2 mm w sierpniu 2020 r.). Liczba dni z opadami, w zależności od regionu, wahała się od 17 do 22.</w:t>
      </w:r>
    </w:p>
    <w:p w:rsidR="00796F7A" w:rsidRPr="00622DC2" w:rsidRDefault="00796F7A" w:rsidP="00796F7A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622DC2">
        <w:rPr>
          <w:rFonts w:eastAsia="Times New Roman" w:cs="Times New Roman"/>
          <w:szCs w:val="19"/>
          <w:lang w:eastAsia="pl-PL"/>
        </w:rPr>
        <w:t xml:space="preserve">Skup </w:t>
      </w:r>
      <w:proofErr w:type="spellStart"/>
      <w:r w:rsidRPr="00622DC2">
        <w:rPr>
          <w:rFonts w:eastAsia="Times New Roman" w:cs="Times New Roman"/>
          <w:szCs w:val="19"/>
          <w:lang w:eastAsia="pl-PL"/>
        </w:rPr>
        <w:t>zbóż</w:t>
      </w:r>
      <w:r w:rsidRPr="00622DC2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622DC2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622DC2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796F7A" w:rsidRPr="00622DC2" w:rsidTr="00796F7A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VII–VIII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VIII 2021</w:t>
            </w:r>
          </w:p>
        </w:tc>
      </w:tr>
      <w:tr w:rsidR="00796F7A" w:rsidRPr="00622DC2" w:rsidTr="00796F7A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796F7A" w:rsidRPr="00622DC2" w:rsidRDefault="00796F7A" w:rsidP="00796F7A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796F7A" w:rsidRPr="00622DC2" w:rsidRDefault="00796F7A" w:rsidP="00796F7A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VIII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VII 2021 = 100</w:t>
            </w:r>
          </w:p>
        </w:tc>
      </w:tr>
      <w:tr w:rsidR="00796F7A" w:rsidRPr="00622DC2" w:rsidTr="00796F7A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796F7A" w:rsidRPr="00622DC2" w:rsidRDefault="00796F7A" w:rsidP="00796F7A">
            <w:pPr>
              <w:tabs>
                <w:tab w:val="right" w:leader="dot" w:pos="1452"/>
              </w:tabs>
              <w:spacing w:before="10" w:after="1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podstawowych</w:t>
            </w:r>
            <w:r w:rsidRPr="00622DC2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68,5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369,2</w:t>
            </w:r>
          </w:p>
        </w:tc>
      </w:tr>
      <w:tr w:rsidR="00796F7A" w:rsidRPr="00622DC2" w:rsidTr="00796F7A">
        <w:trPr>
          <w:trHeight w:val="20"/>
        </w:trPr>
        <w:tc>
          <w:tcPr>
            <w:tcW w:w="2616" w:type="dxa"/>
            <w:vAlign w:val="center"/>
            <w:hideMark/>
          </w:tcPr>
          <w:p w:rsidR="00796F7A" w:rsidRPr="00622DC2" w:rsidRDefault="00796F7A" w:rsidP="00796F7A">
            <w:pPr>
              <w:tabs>
                <w:tab w:val="right" w:leader="dot" w:pos="1452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96F7A" w:rsidRPr="00622DC2" w:rsidTr="00796F7A">
        <w:trPr>
          <w:trHeight w:val="20"/>
        </w:trPr>
        <w:tc>
          <w:tcPr>
            <w:tcW w:w="2616" w:type="dxa"/>
            <w:vAlign w:val="center"/>
            <w:hideMark/>
          </w:tcPr>
          <w:p w:rsidR="00796F7A" w:rsidRPr="00622DC2" w:rsidRDefault="00796F7A" w:rsidP="00796F7A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69,0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65,0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309E">
              <w:rPr>
                <w:rFonts w:eastAsia="Times New Roman" w:cs="Times New Roman"/>
                <w:sz w:val="16"/>
                <w:szCs w:val="16"/>
                <w:lang w:eastAsia="pl-PL"/>
              </w:rPr>
              <w:t>417,9</w:t>
            </w:r>
          </w:p>
        </w:tc>
      </w:tr>
      <w:tr w:rsidR="00796F7A" w:rsidRPr="00622DC2" w:rsidTr="00796F7A">
        <w:trPr>
          <w:trHeight w:val="20"/>
        </w:trPr>
        <w:tc>
          <w:tcPr>
            <w:tcW w:w="2616" w:type="dxa"/>
            <w:vAlign w:val="center"/>
            <w:hideMark/>
          </w:tcPr>
          <w:p w:rsidR="00796F7A" w:rsidRPr="00622DC2" w:rsidRDefault="00796F7A" w:rsidP="00796F7A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2DC2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A7433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A7433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796F7A" w:rsidRPr="00622DC2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796F7A" w:rsidRPr="00622DC2" w:rsidRDefault="00796F7A" w:rsidP="00796F7A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796F7A" w:rsidRPr="00201BE8" w:rsidRDefault="00796F7A" w:rsidP="00796F7A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622DC2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796F7A" w:rsidRPr="00201BE8" w:rsidRDefault="00796F7A" w:rsidP="00796F7A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3309E">
        <w:rPr>
          <w:rFonts w:eastAsia="Times New Roman" w:cs="Times New Roman"/>
          <w:szCs w:val="19"/>
          <w:lang w:eastAsia="pl-PL"/>
        </w:rPr>
        <w:t xml:space="preserve">W okresie od lipca do sierpnia 2021 r. </w:t>
      </w:r>
      <w:r w:rsidRPr="0063309E">
        <w:rPr>
          <w:rFonts w:eastAsia="Times New Roman" w:cs="Times New Roman"/>
          <w:b/>
          <w:bCs/>
          <w:szCs w:val="19"/>
          <w:lang w:eastAsia="pl-PL"/>
        </w:rPr>
        <w:t xml:space="preserve">skup zbóż podstawowych </w:t>
      </w:r>
      <w:r w:rsidRPr="0063309E">
        <w:rPr>
          <w:rFonts w:eastAsia="Times New Roman" w:cs="Times New Roman"/>
          <w:szCs w:val="19"/>
          <w:lang w:eastAsia="pl-PL"/>
        </w:rPr>
        <w:t>(z mieszankami zbożowymi, bez ziarna siewnego) był o 28,1% mniejszy niż w analogicznym okresie poprzedniego roku gospodarczego, w tym pszenicy obniżył się o 31,</w:t>
      </w:r>
      <w:r>
        <w:rPr>
          <w:rFonts w:eastAsia="Times New Roman" w:cs="Times New Roman"/>
          <w:szCs w:val="19"/>
          <w:lang w:eastAsia="pl-PL"/>
        </w:rPr>
        <w:t>0</w:t>
      </w:r>
      <w:r w:rsidRPr="0063309E">
        <w:rPr>
          <w:rFonts w:eastAsia="Times New Roman" w:cs="Times New Roman"/>
          <w:szCs w:val="19"/>
          <w:lang w:eastAsia="pl-PL"/>
        </w:rPr>
        <w:t>%.</w:t>
      </w: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3309E">
        <w:rPr>
          <w:rFonts w:eastAsia="Times New Roman" w:cs="Times New Roman"/>
          <w:szCs w:val="19"/>
          <w:lang w:eastAsia="pl-PL"/>
        </w:rPr>
        <w:t>W sierpniu 2021 r.</w:t>
      </w:r>
      <w:r w:rsidRPr="0063309E">
        <w:rPr>
          <w:rFonts w:eastAsia="Times New Roman" w:cs="Times New Roman"/>
          <w:b/>
          <w:szCs w:val="19"/>
          <w:lang w:eastAsia="pl-PL"/>
        </w:rPr>
        <w:t xml:space="preserve"> </w:t>
      </w:r>
      <w:r w:rsidRPr="0063309E">
        <w:rPr>
          <w:rFonts w:eastAsia="Times New Roman" w:cs="Times New Roman"/>
          <w:szCs w:val="19"/>
          <w:lang w:eastAsia="pl-PL"/>
        </w:rPr>
        <w:t>skup zbóż podstawowych (z mieszankami zbożowymi, bez ziarna siewnego) był o 31,5% mniejszy niż rok wcześniej. Dostawy zbóż do skupu były znacznie większe w skali miesiąca – łącznie skupiono 7,8 tys. t zbóż, tj. blisko czterokrotnie więcej niż w lipcu br.</w:t>
      </w:r>
    </w:p>
    <w:p w:rsidR="00796F7A" w:rsidRPr="00774857" w:rsidRDefault="00796F7A" w:rsidP="00796F7A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774857">
        <w:rPr>
          <w:rFonts w:eastAsia="Times New Roman" w:cs="Times New Roman"/>
          <w:szCs w:val="19"/>
          <w:lang w:eastAsia="pl-PL"/>
        </w:rPr>
        <w:t xml:space="preserve">Skup podstawowych produktów </w:t>
      </w:r>
      <w:proofErr w:type="spellStart"/>
      <w:r w:rsidRPr="00774857">
        <w:rPr>
          <w:rFonts w:eastAsia="Times New Roman" w:cs="Times New Roman"/>
          <w:szCs w:val="19"/>
          <w:lang w:eastAsia="pl-PL"/>
        </w:rPr>
        <w:t>zwierzęcych</w:t>
      </w:r>
      <w:r w:rsidRPr="00774857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774857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774857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796F7A" w:rsidRPr="00774857" w:rsidTr="00796F7A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I–VIII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VIII 2021</w:t>
            </w:r>
          </w:p>
        </w:tc>
      </w:tr>
      <w:tr w:rsidR="00796F7A" w:rsidRPr="00774857" w:rsidTr="00796F7A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I–VIII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VIII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96F7A" w:rsidRPr="00774857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VII 2021 = 100</w:t>
            </w:r>
          </w:p>
        </w:tc>
      </w:tr>
      <w:tr w:rsidR="00796F7A" w:rsidRPr="00774857" w:rsidTr="00796F7A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rzeźny</w:t>
            </w:r>
            <w:r w:rsidRPr="00774857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42,1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148,0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102,4</w:t>
            </w:r>
          </w:p>
        </w:tc>
      </w:tr>
      <w:tr w:rsidR="00796F7A" w:rsidRPr="00774857" w:rsidTr="00796F7A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96F7A" w:rsidRPr="00774857" w:rsidTr="00796F7A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12x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119,9</w:t>
            </w:r>
          </w:p>
        </w:tc>
      </w:tr>
      <w:tr w:rsidR="00796F7A" w:rsidRPr="00774857" w:rsidTr="00796F7A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70,7</w:t>
            </w:r>
          </w:p>
        </w:tc>
      </w:tr>
      <w:tr w:rsidR="00796F7A" w:rsidRPr="00774857" w:rsidTr="00796F7A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07561">
              <w:rPr>
                <w:rFonts w:eastAsia="Times New Roman" w:cs="Times New Roman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125,9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90F15">
              <w:rPr>
                <w:rFonts w:eastAsia="Times New Roman" w:cs="Times New Roman"/>
                <w:sz w:val="16"/>
                <w:szCs w:val="16"/>
                <w:lang w:eastAsia="pl-PL"/>
              </w:rPr>
              <w:t>109,3</w:t>
            </w:r>
          </w:p>
        </w:tc>
      </w:tr>
      <w:tr w:rsidR="00796F7A" w:rsidRPr="00774857" w:rsidTr="00796F7A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96F7A" w:rsidRPr="00774857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774857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77485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0001E">
              <w:rPr>
                <w:rFonts w:eastAsia="Times New Roman" w:cs="Times New Roman"/>
                <w:sz w:val="16"/>
                <w:szCs w:val="16"/>
                <w:lang w:eastAsia="pl-PL"/>
              </w:rPr>
              <w:t>85,9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0001E">
              <w:rPr>
                <w:rFonts w:eastAsia="Times New Roman" w:cs="Times New Roman"/>
                <w:sz w:val="16"/>
                <w:szCs w:val="16"/>
                <w:lang w:eastAsia="pl-PL"/>
              </w:rPr>
              <w:t>90,0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96F7A" w:rsidRPr="00774857" w:rsidRDefault="00796F7A" w:rsidP="00796F7A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99,3</w:t>
            </w:r>
          </w:p>
        </w:tc>
      </w:tr>
    </w:tbl>
    <w:p w:rsidR="00796F7A" w:rsidRPr="00774857" w:rsidRDefault="00796F7A" w:rsidP="00796F7A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796F7A" w:rsidRPr="00201BE8" w:rsidRDefault="00796F7A" w:rsidP="00796F7A">
      <w:pPr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774857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774857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774857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 w:val="20"/>
          <w:szCs w:val="20"/>
          <w:lang w:eastAsia="pl-PL"/>
        </w:rPr>
      </w:pPr>
      <w:r w:rsidRPr="00E07561">
        <w:rPr>
          <w:rFonts w:eastAsia="Times New Roman" w:cs="Times New Roman"/>
          <w:szCs w:val="19"/>
          <w:lang w:eastAsia="pl-PL"/>
        </w:rPr>
        <w:t xml:space="preserve">W okresie styczeń–sierpień 2021 r. </w:t>
      </w:r>
      <w:r w:rsidRPr="00E07561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E07561">
        <w:rPr>
          <w:rFonts w:eastAsia="Times New Roman" w:cs="Times New Roman"/>
          <w:szCs w:val="19"/>
          <w:lang w:eastAsia="pl-PL"/>
        </w:rPr>
        <w:t>(w wadze żywej) wyniósł 42,1 tys. t, tym samym był większy                (o 4,0%) niż w analogicznym okresie roku poprzedniego.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E07561">
        <w:rPr>
          <w:rFonts w:eastAsia="Times New Roman" w:cs="Times New Roman"/>
          <w:szCs w:val="19"/>
          <w:lang w:eastAsia="pl-PL"/>
        </w:rPr>
        <w:t>Skupiono więcej trzody chlewnej (o 11,1%) oraz drobiu (o 5,0%),  natomiast zmniejszeniu uległ skup bydła (o 5,9%). W sierpniu 2021 r. skup żywca rzeźnego</w:t>
      </w:r>
      <w:r w:rsidRPr="00E07561">
        <w:rPr>
          <w:rFonts w:eastAsia="Times New Roman" w:cs="Times New Roman"/>
          <w:b/>
          <w:szCs w:val="19"/>
          <w:lang w:eastAsia="pl-PL"/>
        </w:rPr>
        <w:t xml:space="preserve"> </w:t>
      </w:r>
      <w:r w:rsidRPr="00E07561">
        <w:rPr>
          <w:rFonts w:eastAsia="Times New Roman" w:cs="Times New Roman"/>
          <w:szCs w:val="19"/>
          <w:lang w:eastAsia="pl-PL"/>
        </w:rPr>
        <w:t>(w wadze żywej) wyniósł                   5,1 tys. t, co oznacza, że zwiększył się w skali roku (o 48,0%) oraz w relacji do poprzedniego miesiąca (o 2,4%).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796F7A" w:rsidRPr="002770CF" w:rsidRDefault="00796F7A" w:rsidP="00796F7A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2770CF">
        <w:rPr>
          <w:rFonts w:eastAsia="Times New Roman" w:cs="Times New Roman"/>
          <w:szCs w:val="19"/>
          <w:lang w:eastAsia="pl-PL"/>
        </w:rPr>
        <w:lastRenderedPageBreak/>
        <w:t xml:space="preserve">Przeciętne ceny skupu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65"/>
        <w:gridCol w:w="1566"/>
        <w:gridCol w:w="1566"/>
        <w:gridCol w:w="1566"/>
        <w:gridCol w:w="1566"/>
      </w:tblGrid>
      <w:tr w:rsidR="00796F7A" w:rsidRPr="002770CF" w:rsidTr="00796F7A">
        <w:trPr>
          <w:trHeight w:val="20"/>
        </w:trPr>
        <w:tc>
          <w:tcPr>
            <w:tcW w:w="2638" w:type="dxa"/>
            <w:vMerge w:val="restart"/>
            <w:tcBorders>
              <w:left w:val="nil"/>
              <w:right w:val="single" w:sz="4" w:space="0" w:color="522398"/>
            </w:tcBorders>
            <w:vAlign w:val="center"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97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VIII 2021</w:t>
            </w:r>
          </w:p>
        </w:tc>
        <w:tc>
          <w:tcPr>
            <w:tcW w:w="3132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I–VIII 2021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VIII 2020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VII 2021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796F7A" w:rsidRPr="002770CF" w:rsidRDefault="00796F7A" w:rsidP="00796F7A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I–VIII 2020 = 100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2770C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56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85,45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495F">
              <w:rPr>
                <w:rFonts w:eastAsia="Times New Roman" w:cs="Times New Roman"/>
                <w:sz w:val="16"/>
                <w:szCs w:val="16"/>
                <w:lang w:eastAsia="pl-PL"/>
              </w:rPr>
              <w:t>89,06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495F">
              <w:rPr>
                <w:rFonts w:eastAsia="Times New Roman" w:cs="Times New Roman"/>
                <w:sz w:val="16"/>
                <w:szCs w:val="16"/>
                <w:lang w:eastAsia="pl-PL"/>
              </w:rPr>
              <w:t>125,0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2770CF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66,49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A3B17">
              <w:rPr>
                <w:rFonts w:eastAsia="Times New Roman" w:cs="Times New Roman"/>
                <w:sz w:val="16"/>
                <w:szCs w:val="16"/>
                <w:lang w:eastAsia="pl-PL"/>
              </w:rPr>
              <w:t>63,90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A3B17">
              <w:rPr>
                <w:rFonts w:eastAsia="Times New Roman" w:cs="Times New Roman"/>
                <w:sz w:val="16"/>
                <w:szCs w:val="16"/>
                <w:lang w:eastAsia="pl-PL"/>
              </w:rPr>
              <w:t>66,6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8,63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11683">
              <w:rPr>
                <w:rFonts w:eastAsia="Times New Roman" w:cs="Times New Roman"/>
                <w:sz w:val="16"/>
                <w:szCs w:val="16"/>
                <w:lang w:eastAsia="pl-PL"/>
              </w:rPr>
              <w:t>7,69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11683">
              <w:rPr>
                <w:rFonts w:eastAsia="Times New Roman" w:cs="Times New Roman"/>
                <w:sz w:val="16"/>
                <w:szCs w:val="16"/>
                <w:lang w:eastAsia="pl-PL"/>
              </w:rPr>
              <w:t>116,9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5,32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5412D">
              <w:rPr>
                <w:rFonts w:eastAsia="Times New Roman" w:cs="Times New Roman"/>
                <w:sz w:val="16"/>
                <w:szCs w:val="16"/>
                <w:lang w:eastAsia="pl-PL"/>
              </w:rPr>
              <w:t>5,16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5412D">
              <w:rPr>
                <w:rFonts w:eastAsia="Times New Roman" w:cs="Times New Roman"/>
                <w:sz w:val="16"/>
                <w:szCs w:val="16"/>
                <w:lang w:eastAsia="pl-PL"/>
              </w:rPr>
              <w:t>87,9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3,96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118,7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4108">
              <w:rPr>
                <w:rFonts w:eastAsia="Times New Roman" w:cs="Times New Roman"/>
                <w:sz w:val="16"/>
                <w:szCs w:val="16"/>
                <w:lang w:eastAsia="pl-PL"/>
              </w:rPr>
              <w:t>3,91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120,4</w:t>
            </w:r>
          </w:p>
        </w:tc>
      </w:tr>
      <w:tr w:rsidR="00796F7A" w:rsidRPr="002770CF" w:rsidTr="00796F7A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96F7A" w:rsidRPr="002770CF" w:rsidRDefault="00796F7A" w:rsidP="00796F7A">
            <w:pPr>
              <w:tabs>
                <w:tab w:val="right" w:leader="dot" w:pos="1911"/>
              </w:tabs>
              <w:spacing w:before="10" w:after="1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</w:t>
            </w:r>
            <w:proofErr w:type="spellStart"/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>hl</w:t>
            </w:r>
            <w:proofErr w:type="spellEnd"/>
            <w:r w:rsidRPr="002770C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138,01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E497C">
              <w:rPr>
                <w:rFonts w:eastAsia="Times New Roman" w:cs="Times New Roman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C596B">
              <w:rPr>
                <w:rFonts w:eastAsia="Times New Roman" w:cs="Times New Roman"/>
                <w:sz w:val="16"/>
                <w:szCs w:val="16"/>
                <w:lang w:eastAsia="pl-PL"/>
              </w:rPr>
              <w:t>137,52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96F7A" w:rsidRPr="002770CF" w:rsidRDefault="00796F7A" w:rsidP="00796F7A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C596B">
              <w:rPr>
                <w:rFonts w:eastAsia="Times New Roman" w:cs="Times New Roman"/>
                <w:sz w:val="16"/>
                <w:szCs w:val="16"/>
                <w:lang w:eastAsia="pl-PL"/>
              </w:rPr>
              <w:t>110,5</w:t>
            </w:r>
          </w:p>
        </w:tc>
      </w:tr>
    </w:tbl>
    <w:p w:rsidR="00796F7A" w:rsidRPr="002770CF" w:rsidRDefault="00796F7A" w:rsidP="00796F7A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796F7A" w:rsidRPr="00201BE8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2770CF">
        <w:rPr>
          <w:rFonts w:eastAsia="Times New Roman" w:cs="Times New Roman"/>
          <w:sz w:val="16"/>
          <w:szCs w:val="16"/>
          <w:lang w:eastAsia="pl-PL"/>
        </w:rPr>
        <w:t xml:space="preserve">a W skupie bez ziarna siewnego. </w:t>
      </w:r>
    </w:p>
    <w:p w:rsidR="00796F7A" w:rsidRPr="00201BE8" w:rsidRDefault="00796F7A" w:rsidP="00796F7A">
      <w:pPr>
        <w:spacing w:before="0" w:after="0" w:line="192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2495F">
        <w:rPr>
          <w:rFonts w:eastAsia="Times New Roman" w:cs="Times New Roman"/>
          <w:szCs w:val="19"/>
          <w:lang w:eastAsia="pl-PL"/>
        </w:rPr>
        <w:t xml:space="preserve">W okresie styczeń–sierpień br. przeciętne ceny skupu </w:t>
      </w:r>
      <w:r w:rsidRPr="007B2EAE">
        <w:rPr>
          <w:rFonts w:eastAsia="Times New Roman" w:cs="Times New Roman"/>
          <w:b/>
          <w:szCs w:val="19"/>
          <w:lang w:eastAsia="pl-PL"/>
        </w:rPr>
        <w:t>pszenicy</w:t>
      </w:r>
      <w:r w:rsidRPr="0072495F">
        <w:rPr>
          <w:rFonts w:eastAsia="Times New Roman" w:cs="Times New Roman"/>
          <w:szCs w:val="19"/>
          <w:lang w:eastAsia="pl-PL"/>
        </w:rPr>
        <w:t xml:space="preserve"> wynoszące 89,06 zł/</w:t>
      </w:r>
      <w:proofErr w:type="spellStart"/>
      <w:r w:rsidRPr="0072495F">
        <w:rPr>
          <w:rFonts w:eastAsia="Times New Roman" w:cs="Times New Roman"/>
          <w:szCs w:val="19"/>
          <w:lang w:eastAsia="pl-PL"/>
        </w:rPr>
        <w:t>dt</w:t>
      </w:r>
      <w:proofErr w:type="spellEnd"/>
      <w:r w:rsidRPr="0072495F">
        <w:rPr>
          <w:rFonts w:eastAsia="Times New Roman" w:cs="Times New Roman"/>
          <w:szCs w:val="19"/>
          <w:lang w:eastAsia="pl-PL"/>
        </w:rPr>
        <w:t xml:space="preserve"> były wyższe (o 25,0%) niż w roku poprzednim. W sierpniu 2021 r., przy znacznie większej w stosunku do poprzedniego miesiąca podaży, przeciętne ceny skupu pszenicy wynoszące 85,45 zł/</w:t>
      </w:r>
      <w:proofErr w:type="spellStart"/>
      <w:r w:rsidRPr="0072495F">
        <w:rPr>
          <w:rFonts w:eastAsia="Times New Roman" w:cs="Times New Roman"/>
          <w:szCs w:val="19"/>
          <w:lang w:eastAsia="pl-PL"/>
        </w:rPr>
        <w:t>dt</w:t>
      </w:r>
      <w:proofErr w:type="spellEnd"/>
      <w:r w:rsidRPr="0072495F">
        <w:rPr>
          <w:rFonts w:eastAsia="Times New Roman" w:cs="Times New Roman"/>
          <w:szCs w:val="19"/>
          <w:lang w:eastAsia="pl-PL"/>
        </w:rPr>
        <w:t xml:space="preserve"> były niższe niż w lipcu br. (o 1,0%), natomiast w ujęciu rocznym wzrosły (o 30,5%). </w:t>
      </w:r>
    </w:p>
    <w:p w:rsidR="00796F7A" w:rsidRPr="00201BE8" w:rsidRDefault="00796F7A" w:rsidP="00796F7A">
      <w:pPr>
        <w:spacing w:before="0" w:after="0" w:line="12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96F7A" w:rsidRDefault="00796F7A" w:rsidP="00796F7A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  <w:r w:rsidRPr="004743C2">
        <w:rPr>
          <w:rFonts w:eastAsia="Times New Roman" w:cs="Times New Roman"/>
          <w:b/>
          <w:szCs w:val="19"/>
          <w:lang w:eastAsia="pl-PL"/>
        </w:rPr>
        <w:t>Wykres 8. Przeciętne ceny skupu zbóż i targowiskowe ceny ziemniaków</w:t>
      </w:r>
    </w:p>
    <w:p w:rsidR="00796F7A" w:rsidRPr="00201BE8" w:rsidRDefault="00796F7A" w:rsidP="00796F7A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38304" behindDoc="1" locked="0" layoutInCell="1" allowOverlap="1" wp14:anchorId="68EFF75F" wp14:editId="58F1DFBC">
            <wp:simplePos x="0" y="0"/>
            <wp:positionH relativeFrom="page">
              <wp:align>center</wp:align>
            </wp:positionH>
            <wp:positionV relativeFrom="page">
              <wp:posOffset>3323408</wp:posOffset>
            </wp:positionV>
            <wp:extent cx="5076000" cy="2383200"/>
            <wp:effectExtent l="0" t="0" r="0" b="0"/>
            <wp:wrapNone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96F7A" w:rsidRDefault="00796F7A" w:rsidP="00796F7A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021FDF">
        <w:rPr>
          <w:rFonts w:eastAsia="Times New Roman" w:cs="Times New Roman"/>
          <w:szCs w:val="19"/>
          <w:lang w:eastAsia="pl-PL"/>
        </w:rPr>
        <w:t xml:space="preserve">Ceny skupu </w:t>
      </w:r>
      <w:r w:rsidRPr="007B2EAE">
        <w:rPr>
          <w:rFonts w:eastAsia="Times New Roman" w:cs="Times New Roman"/>
          <w:b/>
          <w:szCs w:val="19"/>
          <w:lang w:eastAsia="pl-PL"/>
        </w:rPr>
        <w:t>ziemniaków</w:t>
      </w:r>
      <w:r w:rsidRPr="00021FDF">
        <w:rPr>
          <w:rFonts w:eastAsia="Times New Roman" w:cs="Times New Roman"/>
          <w:szCs w:val="19"/>
          <w:lang w:eastAsia="pl-PL"/>
        </w:rPr>
        <w:t xml:space="preserve"> w okresie styczeń–sierpień 2021 r. obniżyły się w skali roku (o 33,4%) do poziomu 63,90 zł/</w:t>
      </w:r>
      <w:proofErr w:type="spellStart"/>
      <w:r w:rsidRPr="00021FDF">
        <w:rPr>
          <w:rFonts w:eastAsia="Times New Roman" w:cs="Times New Roman"/>
          <w:szCs w:val="19"/>
          <w:lang w:eastAsia="pl-PL"/>
        </w:rPr>
        <w:t>dt</w:t>
      </w:r>
      <w:proofErr w:type="spellEnd"/>
      <w:r w:rsidRPr="00021FDF">
        <w:rPr>
          <w:rFonts w:eastAsia="Times New Roman" w:cs="Times New Roman"/>
          <w:szCs w:val="19"/>
          <w:lang w:eastAsia="pl-PL"/>
        </w:rPr>
        <w:t xml:space="preserve">. </w:t>
      </w:r>
      <w:r w:rsidRPr="00021FDF">
        <w:rPr>
          <w:rFonts w:eastAsia="Times New Roman" w:cs="Times New Roman"/>
          <w:szCs w:val="19"/>
          <w:lang w:eastAsia="pl-PL"/>
        </w:rPr>
        <w:br/>
        <w:t>W sierpniu 2021 r. cena ziemniaków w skupie wynosząca 66,49 zł/</w:t>
      </w:r>
      <w:proofErr w:type="spellStart"/>
      <w:r w:rsidRPr="00021FDF">
        <w:rPr>
          <w:rFonts w:eastAsia="Times New Roman" w:cs="Times New Roman"/>
          <w:szCs w:val="19"/>
          <w:lang w:eastAsia="pl-PL"/>
        </w:rPr>
        <w:t>dt</w:t>
      </w:r>
      <w:proofErr w:type="spellEnd"/>
      <w:r w:rsidRPr="00021FDF">
        <w:rPr>
          <w:rFonts w:eastAsia="Times New Roman" w:cs="Times New Roman"/>
          <w:szCs w:val="19"/>
          <w:lang w:eastAsia="pl-PL"/>
        </w:rPr>
        <w:t xml:space="preserve"> była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021FDF">
        <w:rPr>
          <w:rFonts w:eastAsia="Times New Roman" w:cs="Times New Roman"/>
          <w:szCs w:val="19"/>
          <w:lang w:eastAsia="pl-PL"/>
        </w:rPr>
        <w:t>wyższa w ujęciu rocznym (o 4,7%) oraz niższa                  w porównaniu z ubiegłym miesiącem (o 4,7%).</w:t>
      </w:r>
    </w:p>
    <w:p w:rsidR="00796F7A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85412D">
        <w:rPr>
          <w:rFonts w:eastAsia="Times New Roman" w:cs="Times New Roman"/>
          <w:szCs w:val="19"/>
          <w:lang w:eastAsia="pl-PL"/>
        </w:rPr>
        <w:t xml:space="preserve">W okresie styczeń–sierpień 2021 r. ceny </w:t>
      </w:r>
      <w:r w:rsidRPr="0085412D">
        <w:rPr>
          <w:rFonts w:eastAsia="Times New Roman" w:cs="Times New Roman"/>
          <w:b/>
          <w:szCs w:val="19"/>
          <w:lang w:eastAsia="pl-PL"/>
        </w:rPr>
        <w:t>żywca wieprzowego</w:t>
      </w:r>
      <w:r w:rsidRPr="0085412D">
        <w:rPr>
          <w:rFonts w:eastAsia="Times New Roman" w:cs="Times New Roman"/>
          <w:szCs w:val="19"/>
          <w:lang w:eastAsia="pl-PL"/>
        </w:rPr>
        <w:t xml:space="preserve"> w skupie spadły (o 12,1%) w ujęciu rocznym do 5,16 zł/kg.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201BE8">
        <w:rPr>
          <w:rFonts w:eastAsia="Times New Roman" w:cs="Times New Roman"/>
          <w:color w:val="FF0000"/>
          <w:szCs w:val="19"/>
          <w:lang w:eastAsia="pl-PL"/>
        </w:rPr>
        <w:br/>
      </w:r>
      <w:r w:rsidRPr="00865090">
        <w:rPr>
          <w:rFonts w:eastAsia="Times New Roman" w:cs="Times New Roman"/>
          <w:szCs w:val="19"/>
          <w:lang w:eastAsia="pl-PL"/>
        </w:rPr>
        <w:t xml:space="preserve">W sierpniu 2021 r. przeciętne ceny skupu </w:t>
      </w:r>
      <w:r w:rsidRPr="00865090">
        <w:rPr>
          <w:rFonts w:eastAsia="Times New Roman" w:cs="Times New Roman"/>
          <w:bCs/>
          <w:szCs w:val="19"/>
          <w:lang w:eastAsia="pl-PL"/>
        </w:rPr>
        <w:t>żywca wieprzowego</w:t>
      </w:r>
      <w:r w:rsidRPr="00865090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865090">
        <w:rPr>
          <w:rFonts w:eastAsia="Times New Roman" w:cs="Times New Roman"/>
          <w:bCs/>
          <w:szCs w:val="19"/>
          <w:lang w:eastAsia="pl-PL"/>
        </w:rPr>
        <w:t>wynoszące 5,32</w:t>
      </w:r>
      <w:r w:rsidRPr="00865090">
        <w:rPr>
          <w:rFonts w:eastAsia="Times New Roman" w:cs="Times New Roman"/>
          <w:szCs w:val="19"/>
          <w:lang w:eastAsia="pl-PL"/>
        </w:rPr>
        <w:t xml:space="preserve"> zł/kg były wyższe w skali roku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865090">
        <w:rPr>
          <w:rFonts w:eastAsia="Times New Roman" w:cs="Times New Roman"/>
          <w:szCs w:val="19"/>
          <w:lang w:eastAsia="pl-PL"/>
        </w:rPr>
        <w:t>(o 4,0%) oraz            w relacji do poprzedniego miesiąca (o 2,5%).</w:t>
      </w:r>
    </w:p>
    <w:p w:rsidR="00796F7A" w:rsidRPr="00F0001E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6C6845">
        <w:rPr>
          <w:rFonts w:eastAsia="Times New Roman" w:cs="Times New Roman"/>
          <w:szCs w:val="19"/>
          <w:lang w:eastAsia="pl-PL"/>
        </w:rPr>
        <w:t xml:space="preserve"> czerwcu 2021 r. </w:t>
      </w:r>
      <w:r w:rsidRPr="006C6845">
        <w:rPr>
          <w:rFonts w:eastAsia="Times New Roman" w:cs="Times New Roman"/>
          <w:b/>
          <w:szCs w:val="19"/>
          <w:lang w:eastAsia="pl-PL"/>
        </w:rPr>
        <w:t>pogłowie świń</w:t>
      </w:r>
      <w:r w:rsidRPr="006C6845">
        <w:rPr>
          <w:rFonts w:eastAsia="Times New Roman" w:cs="Times New Roman"/>
          <w:szCs w:val="19"/>
          <w:lang w:eastAsia="pl-PL"/>
        </w:rPr>
        <w:t xml:space="preserve"> w województwie małopolskim liczyło 117,1 tys. szt. i było mniejsze o 17,2% w skali roku.</w:t>
      </w:r>
      <w:r w:rsidRPr="00F0001E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E16A4B">
        <w:rPr>
          <w:rFonts w:eastAsia="Times New Roman" w:cs="Times New Roman"/>
          <w:szCs w:val="19"/>
          <w:lang w:eastAsia="pl-PL"/>
        </w:rPr>
        <w:t>Pogłowie loch na chów, którego wielkość świadczy o nastawieniach produkcyjnych w chowie trzody i jednocześnie określa aktualne możliwości reprodukcyjne stada, zmniejszyło się o 20,5%. Pogłowie grup decydujących o wielkości produkcji, tj. warchlaków i trzody chlewnej o wadze 50 kg i więcej z przeznaczeniem na ubój (tuczników), w ujęciu rocznym zmniejszyło się łącznie o 16,3%. Stado prosiąt liczyło 31,9 tys. szt., tj. o 17,8% mniej w ujęciu rocznym.</w:t>
      </w:r>
    </w:p>
    <w:p w:rsidR="00796F7A" w:rsidRPr="00B825C1" w:rsidRDefault="00796F7A" w:rsidP="00796F7A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  <w:r w:rsidRPr="00B825C1">
        <w:rPr>
          <w:rFonts w:eastAsia="Times New Roman" w:cs="Times New Roman"/>
          <w:szCs w:val="19"/>
          <w:lang w:eastAsia="pl-PL"/>
        </w:rPr>
        <w:t xml:space="preserve">Pogłowie świń w czerwcu 2021 r. kształtowało się następująco: </w:t>
      </w:r>
    </w:p>
    <w:tbl>
      <w:tblPr>
        <w:tblW w:w="10552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637"/>
        <w:gridCol w:w="2637"/>
        <w:gridCol w:w="2637"/>
      </w:tblGrid>
      <w:tr w:rsidR="00796F7A" w:rsidRPr="00B825C1" w:rsidTr="00796F7A">
        <w:trPr>
          <w:trHeight w:val="340"/>
        </w:trPr>
        <w:tc>
          <w:tcPr>
            <w:tcW w:w="2641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0" w:after="0" w:line="240" w:lineRule="auto"/>
              <w:ind w:left="113" w:right="-113" w:hanging="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spacing w:before="0" w:after="0" w:line="240" w:lineRule="auto"/>
              <w:ind w:right="176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spacing w:before="0" w:after="0" w:line="240" w:lineRule="auto"/>
              <w:ind w:right="176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spacing w:before="0" w:after="0" w:line="240" w:lineRule="auto"/>
              <w:ind w:right="176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VI 2020 = 100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 g ó ł e m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C6845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117</w:t>
            </w:r>
            <w:r w:rsidR="00AF06E4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C6845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82,8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Prosięta o wadze do 20 kg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C6845">
              <w:rPr>
                <w:rFonts w:eastAsia="Times New Roman" w:cs="Times New Roman"/>
                <w:sz w:val="16"/>
                <w:szCs w:val="16"/>
                <w:lang w:eastAsia="pl-PL"/>
              </w:rPr>
              <w:t>31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6A4B">
              <w:rPr>
                <w:rFonts w:eastAsia="Times New Roman" w:cs="Times New Roman"/>
                <w:sz w:val="16"/>
                <w:szCs w:val="16"/>
                <w:lang w:eastAsia="pl-PL"/>
              </w:rPr>
              <w:t>82,2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Warchlaki o wadze od 20 kg do 50 kg</w:t>
            </w:r>
          </w:p>
        </w:tc>
        <w:tc>
          <w:tcPr>
            <w:tcW w:w="2637" w:type="dxa"/>
            <w:vAlign w:val="bottom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26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2637" w:type="dxa"/>
            <w:vAlign w:val="bottom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22,3</w:t>
            </w:r>
          </w:p>
        </w:tc>
        <w:tc>
          <w:tcPr>
            <w:tcW w:w="2637" w:type="dxa"/>
            <w:vAlign w:val="bottom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6A4B">
              <w:rPr>
                <w:rFonts w:eastAsia="Times New Roman" w:cs="Times New Roman"/>
                <w:sz w:val="16"/>
                <w:szCs w:val="16"/>
                <w:lang w:eastAsia="pl-PL"/>
              </w:rPr>
              <w:t>69,4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Trzoda chlewna o wadze 50 kg             i więcej: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na ubój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45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38,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6A4B">
              <w:rPr>
                <w:rFonts w:eastAsia="Times New Roman" w:cs="Times New Roman"/>
                <w:sz w:val="16"/>
                <w:szCs w:val="16"/>
                <w:lang w:eastAsia="pl-PL"/>
              </w:rPr>
              <w:t>95,0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na chów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13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6A4B">
              <w:rPr>
                <w:rFonts w:eastAsia="Times New Roman" w:cs="Times New Roman"/>
                <w:sz w:val="16"/>
                <w:szCs w:val="16"/>
                <w:lang w:eastAsia="pl-PL"/>
              </w:rPr>
              <w:t>79,7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w tym lochy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13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6A4B">
              <w:rPr>
                <w:rFonts w:eastAsia="Times New Roman" w:cs="Times New Roman"/>
                <w:sz w:val="16"/>
                <w:szCs w:val="16"/>
                <w:lang w:eastAsia="pl-PL"/>
              </w:rPr>
              <w:t>79,5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 w tym prośne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E044C">
              <w:rPr>
                <w:rFonts w:eastAsia="Times New Roman" w:cs="Times New Roman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16A4B">
              <w:rPr>
                <w:rFonts w:eastAsia="Times New Roman" w:cs="Times New Roman"/>
                <w:sz w:val="16"/>
                <w:szCs w:val="16"/>
                <w:lang w:eastAsia="pl-PL"/>
              </w:rPr>
              <w:t>81,7</w:t>
            </w:r>
          </w:p>
        </w:tc>
      </w:tr>
    </w:tbl>
    <w:p w:rsidR="00796F7A" w:rsidRPr="00F0001E" w:rsidRDefault="00796F7A" w:rsidP="00796F7A">
      <w:pPr>
        <w:tabs>
          <w:tab w:val="left" w:pos="2694"/>
        </w:tabs>
        <w:spacing w:before="0" w:after="0" w:line="120" w:lineRule="auto"/>
        <w:jc w:val="center"/>
        <w:rPr>
          <w:rFonts w:eastAsia="Fira Sans Light" w:cs="Times New Roman"/>
          <w:b/>
          <w:color w:val="FF0000"/>
          <w:szCs w:val="19"/>
        </w:rPr>
      </w:pPr>
    </w:p>
    <w:p w:rsidR="00796F7A" w:rsidRPr="00F0001E" w:rsidRDefault="00796F7A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color w:val="FF0000"/>
          <w:szCs w:val="19"/>
        </w:rPr>
      </w:pPr>
    </w:p>
    <w:p w:rsidR="00796F7A" w:rsidRDefault="00796F7A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szCs w:val="19"/>
        </w:rPr>
      </w:pPr>
    </w:p>
    <w:p w:rsidR="00796F7A" w:rsidRDefault="00796F7A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szCs w:val="19"/>
        </w:rPr>
      </w:pPr>
    </w:p>
    <w:p w:rsidR="00796F7A" w:rsidRDefault="00796F7A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szCs w:val="19"/>
        </w:rPr>
      </w:pPr>
    </w:p>
    <w:p w:rsidR="00796F7A" w:rsidRDefault="00796F7A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szCs w:val="19"/>
        </w:rPr>
      </w:pPr>
    </w:p>
    <w:p w:rsidR="00796F7A" w:rsidRPr="00F0001E" w:rsidRDefault="00761B59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color w:val="FF0000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41376" behindDoc="1" locked="0" layoutInCell="1" allowOverlap="1" wp14:anchorId="52212289" wp14:editId="5C36C98B">
            <wp:simplePos x="0" y="0"/>
            <wp:positionH relativeFrom="page">
              <wp:align>center</wp:align>
            </wp:positionH>
            <wp:positionV relativeFrom="page">
              <wp:posOffset>596355</wp:posOffset>
            </wp:positionV>
            <wp:extent cx="5076000" cy="2203200"/>
            <wp:effectExtent l="0" t="0" r="0" b="0"/>
            <wp:wrapNone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7A" w:rsidRPr="00E16A4B">
        <w:rPr>
          <w:rFonts w:eastAsia="Fira Sans Light" w:cs="Times New Roman"/>
          <w:b/>
          <w:szCs w:val="19"/>
        </w:rPr>
        <w:t>Wykres 9. Pogłowie świń</w:t>
      </w:r>
    </w:p>
    <w:p w:rsidR="00796F7A" w:rsidRPr="00F0001E" w:rsidRDefault="00796F7A" w:rsidP="00796F7A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color w:val="FF0000"/>
          <w:szCs w:val="19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F0001E" w:rsidRDefault="00796F7A" w:rsidP="00796F7A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</w:p>
    <w:p w:rsidR="00796F7A" w:rsidRPr="00F0001E" w:rsidRDefault="00796F7A" w:rsidP="00796F7A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11683">
        <w:rPr>
          <w:rFonts w:eastAsia="Times New Roman" w:cs="Times New Roman"/>
          <w:szCs w:val="19"/>
          <w:lang w:eastAsia="pl-PL"/>
        </w:rPr>
        <w:t xml:space="preserve">W okresie styczeń–sierpień 2021 r. obserwowano wzrost cen skupu </w:t>
      </w:r>
      <w:r w:rsidRPr="00C11683">
        <w:rPr>
          <w:rFonts w:eastAsia="Times New Roman" w:cs="Times New Roman"/>
          <w:b/>
          <w:szCs w:val="19"/>
          <w:lang w:eastAsia="pl-PL"/>
        </w:rPr>
        <w:t>żywca wołowego</w:t>
      </w:r>
      <w:r w:rsidRPr="00C11683">
        <w:rPr>
          <w:rFonts w:eastAsia="Times New Roman" w:cs="Times New Roman"/>
          <w:szCs w:val="19"/>
          <w:lang w:eastAsia="pl-PL"/>
        </w:rPr>
        <w:t xml:space="preserve"> (o 16,9%) w skali roku do                 7,69 zł/kg.</w:t>
      </w:r>
      <w:r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C11683">
        <w:rPr>
          <w:rFonts w:eastAsia="Times New Roman" w:cs="Times New Roman"/>
          <w:szCs w:val="19"/>
          <w:lang w:eastAsia="pl-PL"/>
        </w:rPr>
        <w:t xml:space="preserve">W sierpniu br. przeciętna cena </w:t>
      </w:r>
      <w:r w:rsidRPr="00C11683">
        <w:rPr>
          <w:rFonts w:eastAsia="Times New Roman" w:cs="Times New Roman"/>
          <w:bCs/>
          <w:szCs w:val="19"/>
          <w:lang w:eastAsia="pl-PL"/>
        </w:rPr>
        <w:t>żywca wołowego</w:t>
      </w:r>
      <w:r w:rsidRPr="00C11683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C11683">
        <w:rPr>
          <w:rFonts w:eastAsia="Times New Roman" w:cs="Times New Roman"/>
          <w:szCs w:val="19"/>
          <w:lang w:eastAsia="pl-PL"/>
        </w:rPr>
        <w:t>w skupie kształtowała się na poziomie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C11683">
        <w:rPr>
          <w:rFonts w:eastAsia="Times New Roman" w:cs="Times New Roman"/>
          <w:szCs w:val="19"/>
          <w:lang w:eastAsia="pl-PL"/>
        </w:rPr>
        <w:t>8,63 zł/kg i była wyższa zarówno na przestrzeni roku (o 37,2%), jak i w relacji do poprzedniego miesiąca (o 7,1%).</w:t>
      </w:r>
    </w:p>
    <w:p w:rsidR="00796F7A" w:rsidRPr="00201BE8" w:rsidRDefault="00796F7A" w:rsidP="00796F7A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F3475C">
        <w:rPr>
          <w:rFonts w:eastAsia="Times New Roman" w:cs="Times New Roman"/>
          <w:szCs w:val="19"/>
          <w:lang w:eastAsia="pl-PL"/>
        </w:rPr>
        <w:t xml:space="preserve">Ceny skupu </w:t>
      </w:r>
      <w:r w:rsidRPr="00F3475C">
        <w:rPr>
          <w:rFonts w:eastAsia="Times New Roman" w:cs="Times New Roman"/>
          <w:b/>
          <w:szCs w:val="19"/>
          <w:lang w:eastAsia="pl-PL"/>
        </w:rPr>
        <w:t>żywca drobiowego</w:t>
      </w:r>
      <w:r w:rsidRPr="00F3475C">
        <w:rPr>
          <w:rFonts w:eastAsia="Times New Roman" w:cs="Times New Roman"/>
          <w:szCs w:val="19"/>
          <w:lang w:eastAsia="pl-PL"/>
        </w:rPr>
        <w:t xml:space="preserve"> na przestrzeni ostatnich ośmiu miesięcy zwiększyły się (o 20,4%) do 3,91 zł/kg. W sierpniu 2021 r. za 1 kg drobiu rzeźnego producenci otrzymywali w skupie przeciętnie 3,96 zł, tj. więcej</w:t>
      </w:r>
      <w:r w:rsidRPr="00201BE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EC36EF">
        <w:rPr>
          <w:rFonts w:eastAsia="Times New Roman" w:cs="Times New Roman"/>
          <w:szCs w:val="19"/>
          <w:lang w:eastAsia="pl-PL"/>
        </w:rPr>
        <w:t>w skali roku (o 18,7%) oraz mniej niż w lipcu br. (o 6,4%).</w:t>
      </w:r>
    </w:p>
    <w:p w:rsidR="00796F7A" w:rsidRPr="00201BE8" w:rsidRDefault="00796F7A" w:rsidP="00796F7A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96F7A" w:rsidRPr="00B825C1" w:rsidRDefault="00796F7A" w:rsidP="00796F7A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B825C1">
        <w:rPr>
          <w:noProof/>
          <w:lang w:eastAsia="pl-PL"/>
        </w:rPr>
        <w:drawing>
          <wp:anchor distT="0" distB="0" distL="114300" distR="114300" simplePos="0" relativeHeight="251939328" behindDoc="1" locked="0" layoutInCell="1" allowOverlap="1" wp14:anchorId="3CDEC94A" wp14:editId="49DCF605">
            <wp:simplePos x="0" y="0"/>
            <wp:positionH relativeFrom="page">
              <wp:align>center</wp:align>
            </wp:positionH>
            <wp:positionV relativeFrom="paragraph">
              <wp:posOffset>36859</wp:posOffset>
            </wp:positionV>
            <wp:extent cx="5140800" cy="2332800"/>
            <wp:effectExtent l="0" t="0" r="0" b="0"/>
            <wp:wrapNone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5C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4F1AF4">
        <w:rPr>
          <w:rFonts w:eastAsia="Times New Roman" w:cs="Times New Roman"/>
          <w:b/>
          <w:szCs w:val="19"/>
          <w:lang w:eastAsia="pl-PL"/>
        </w:rPr>
        <w:t>10</w:t>
      </w:r>
      <w:r w:rsidRPr="00B825C1">
        <w:rPr>
          <w:rFonts w:eastAsia="Times New Roman" w:cs="Times New Roman"/>
          <w:b/>
          <w:szCs w:val="19"/>
          <w:lang w:eastAsia="pl-PL"/>
        </w:rPr>
        <w:t>. Przeciętne ceny skupu żywca i mleka</w:t>
      </w:r>
    </w:p>
    <w:p w:rsidR="00796F7A" w:rsidRPr="00201BE8" w:rsidRDefault="00796F7A" w:rsidP="00796F7A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201BE8" w:rsidRDefault="00796F7A" w:rsidP="00796F7A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796F7A" w:rsidRPr="00F0001E" w:rsidRDefault="00796F7A" w:rsidP="00796F7A">
      <w:pPr>
        <w:spacing w:before="0" w:after="0"/>
        <w:ind w:firstLine="284"/>
        <w:rPr>
          <w:rFonts w:eastAsia="Fira Sans Light" w:cs="Arial"/>
          <w:color w:val="FF0000"/>
          <w:szCs w:val="19"/>
        </w:rPr>
      </w:pPr>
      <w:r w:rsidRPr="004B6343">
        <w:rPr>
          <w:rFonts w:eastAsia="Fira Sans Light" w:cs="Arial"/>
          <w:szCs w:val="19"/>
        </w:rPr>
        <w:t xml:space="preserve">W okresie styczeń–sierpień 2021 r. skup </w:t>
      </w:r>
      <w:r w:rsidRPr="004B6343">
        <w:rPr>
          <w:rFonts w:eastAsia="Fira Sans Light" w:cs="Arial"/>
          <w:b/>
          <w:szCs w:val="19"/>
        </w:rPr>
        <w:t>mleka</w:t>
      </w:r>
      <w:r w:rsidRPr="004B6343">
        <w:rPr>
          <w:rFonts w:eastAsia="Fira Sans Light" w:cs="Arial"/>
          <w:szCs w:val="19"/>
        </w:rPr>
        <w:t xml:space="preserve"> był o 10,0% mniejszy niż rok wcześniej i wyniósł 85,9 mln l. Średnia cena tego surowca ukształtowała się na poziomie 137,52 zł za 100 l co oznacza wzrost (o 10,5%). Dostawy mleka do skupu </w:t>
      </w:r>
      <w:r w:rsidRPr="004B6343">
        <w:rPr>
          <w:rFonts w:eastAsia="Fira Sans Light" w:cs="Arial"/>
          <w:szCs w:val="19"/>
        </w:rPr>
        <w:br/>
        <w:t>w sierpniu 2021 r. wyniosły 11,7 mln l i były mniejsze zarówno w ujęciu rocznym (o 0,3%), jak i w skali miesiąca (o 0,7%). Za 100 l mleka płacono średnio 138,01 zł, tj. więcej niż w analogicznym okresie 2020 r. (o 11,8%) oraz mniej w relacji do poprzedniego miesiąca (o 0,4%).</w:t>
      </w:r>
      <w:r w:rsidRPr="00F0001E">
        <w:rPr>
          <w:rFonts w:eastAsia="Fira Sans Light" w:cs="Arial"/>
          <w:color w:val="FF0000"/>
          <w:szCs w:val="19"/>
        </w:rPr>
        <w:t xml:space="preserve"> </w:t>
      </w:r>
    </w:p>
    <w:p w:rsidR="00796F7A" w:rsidRPr="00B825C1" w:rsidRDefault="00796F7A" w:rsidP="00796F7A">
      <w:pPr>
        <w:spacing w:before="0" w:after="0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825C1">
        <w:rPr>
          <w:rFonts w:eastAsia="Times New Roman" w:cs="Times New Roman"/>
          <w:szCs w:val="19"/>
          <w:lang w:eastAsia="pl-PL"/>
        </w:rPr>
        <w:t>Pogłowie bydła w czerwcu 2021 r. kształtowało się następująco:</w:t>
      </w:r>
      <w:r w:rsidRPr="00B825C1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552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637"/>
        <w:gridCol w:w="2637"/>
        <w:gridCol w:w="2637"/>
      </w:tblGrid>
      <w:tr w:rsidR="00796F7A" w:rsidRPr="00B825C1" w:rsidTr="00796F7A">
        <w:trPr>
          <w:trHeight w:val="283"/>
        </w:trPr>
        <w:tc>
          <w:tcPr>
            <w:tcW w:w="2641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tabs>
                <w:tab w:val="right" w:leader="dot" w:pos="1452"/>
              </w:tabs>
              <w:spacing w:before="20" w:after="20" w:line="240" w:lineRule="auto"/>
              <w:ind w:left="113" w:right="-113" w:hanging="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796F7A" w:rsidRPr="00B825C1" w:rsidRDefault="00796F7A" w:rsidP="00796F7A">
            <w:pPr>
              <w:spacing w:before="20" w:after="20" w:line="240" w:lineRule="auto"/>
              <w:ind w:right="176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VI 2020 = 100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61B59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 g ó ł e m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B50A72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172</w:t>
            </w: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13032F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96,4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61B59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Cielęta poniżej 1 roku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49,</w:t>
            </w:r>
            <w:r w:rsidRPr="00B50A72">
              <w:rPr>
                <w:rFonts w:eastAsia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50B58">
              <w:rPr>
                <w:rFonts w:eastAsia="Times New Roman" w:cs="Times New Roman"/>
                <w:sz w:val="16"/>
                <w:szCs w:val="16"/>
                <w:lang w:eastAsia="pl-PL"/>
              </w:rPr>
              <w:t>28,6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3032F">
              <w:rPr>
                <w:rFonts w:eastAsia="Times New Roman" w:cs="Times New Roman"/>
                <w:sz w:val="16"/>
                <w:szCs w:val="16"/>
                <w:lang w:eastAsia="pl-PL"/>
              </w:rPr>
              <w:t>108,2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61B59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Młode bydło od 1 do 2 lat</w:t>
            </w:r>
          </w:p>
        </w:tc>
        <w:tc>
          <w:tcPr>
            <w:tcW w:w="2637" w:type="dxa"/>
            <w:vAlign w:val="bottom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38,4</w:t>
            </w:r>
          </w:p>
        </w:tc>
        <w:tc>
          <w:tcPr>
            <w:tcW w:w="2637" w:type="dxa"/>
            <w:vAlign w:val="bottom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50B58">
              <w:rPr>
                <w:rFonts w:eastAsia="Times New Roman" w:cs="Times New Roman"/>
                <w:sz w:val="16"/>
                <w:szCs w:val="16"/>
                <w:lang w:eastAsia="pl-PL"/>
              </w:rPr>
              <w:t>22,3</w:t>
            </w:r>
          </w:p>
        </w:tc>
        <w:tc>
          <w:tcPr>
            <w:tcW w:w="2637" w:type="dxa"/>
            <w:vAlign w:val="bottom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3032F">
              <w:rPr>
                <w:rFonts w:eastAsia="Times New Roman" w:cs="Times New Roman"/>
                <w:sz w:val="16"/>
                <w:szCs w:val="16"/>
                <w:lang w:eastAsia="pl-PL"/>
              </w:rPr>
              <w:t>94,0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61B59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Bydło 2-letnie i starsze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50B58">
              <w:rPr>
                <w:rFonts w:eastAsia="Times New Roman" w:cs="Times New Roman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3032F">
              <w:rPr>
                <w:rFonts w:eastAsia="Times New Roman" w:cs="Times New Roman"/>
                <w:sz w:val="16"/>
                <w:szCs w:val="16"/>
                <w:lang w:eastAsia="pl-PL"/>
              </w:rPr>
              <w:t>91,7</w:t>
            </w:r>
          </w:p>
        </w:tc>
      </w:tr>
      <w:tr w:rsidR="00796F7A" w:rsidRPr="00B825C1" w:rsidTr="00796F7A">
        <w:trPr>
          <w:trHeight w:val="20"/>
        </w:trPr>
        <w:tc>
          <w:tcPr>
            <w:tcW w:w="2641" w:type="dxa"/>
            <w:vAlign w:val="center"/>
          </w:tcPr>
          <w:p w:rsidR="00796F7A" w:rsidRPr="00B825C1" w:rsidRDefault="00796F7A" w:rsidP="00761B59">
            <w:pPr>
              <w:tabs>
                <w:tab w:val="right" w:leader="dot" w:pos="1452"/>
              </w:tabs>
              <w:spacing w:before="30" w:after="3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825C1">
              <w:rPr>
                <w:rFonts w:eastAsia="Times New Roman" w:cs="Times New Roman"/>
                <w:sz w:val="16"/>
                <w:szCs w:val="16"/>
                <w:lang w:eastAsia="pl-PL"/>
              </w:rPr>
              <w:t>w tym krowy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78,2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45,3</w:t>
            </w:r>
          </w:p>
        </w:tc>
        <w:tc>
          <w:tcPr>
            <w:tcW w:w="2637" w:type="dxa"/>
            <w:vAlign w:val="center"/>
          </w:tcPr>
          <w:p w:rsidR="00796F7A" w:rsidRPr="00B825C1" w:rsidRDefault="00796F7A" w:rsidP="00761B59">
            <w:pPr>
              <w:spacing w:before="30" w:after="3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3032F">
              <w:rPr>
                <w:rFonts w:eastAsia="Times New Roman" w:cs="Times New Roman"/>
                <w:sz w:val="16"/>
                <w:szCs w:val="16"/>
                <w:lang w:eastAsia="pl-PL"/>
              </w:rPr>
              <w:t>91,0</w:t>
            </w:r>
          </w:p>
        </w:tc>
      </w:tr>
    </w:tbl>
    <w:p w:rsidR="00796F7A" w:rsidRDefault="00796F7A" w:rsidP="00796F7A">
      <w:pPr>
        <w:spacing w:before="0" w:after="0" w:line="120" w:lineRule="auto"/>
        <w:ind w:firstLine="284"/>
        <w:rPr>
          <w:rFonts w:eastAsia="Fira Sans Light" w:cs="Arial"/>
          <w:szCs w:val="19"/>
        </w:rPr>
      </w:pPr>
    </w:p>
    <w:p w:rsidR="00796F7A" w:rsidRPr="00CE2ADC" w:rsidRDefault="00796F7A" w:rsidP="00796F7A">
      <w:pPr>
        <w:spacing w:before="0" w:after="0"/>
        <w:ind w:firstLine="284"/>
        <w:rPr>
          <w:rFonts w:eastAsia="Fira Sans Light" w:cs="Arial"/>
          <w:szCs w:val="19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CE2ADC">
        <w:rPr>
          <w:rFonts w:eastAsia="Fira Sans Light" w:cs="Arial"/>
          <w:szCs w:val="19"/>
        </w:rPr>
        <w:t xml:space="preserve"> czerwcu 2021 r. </w:t>
      </w:r>
      <w:r w:rsidRPr="00CE2ADC">
        <w:rPr>
          <w:rFonts w:eastAsia="Fira Sans Light" w:cs="Arial"/>
          <w:b/>
          <w:szCs w:val="19"/>
        </w:rPr>
        <w:t xml:space="preserve">pogłowie bydła </w:t>
      </w:r>
      <w:r w:rsidRPr="00CE2ADC">
        <w:rPr>
          <w:rFonts w:eastAsia="Fira Sans Light" w:cs="Arial"/>
          <w:szCs w:val="19"/>
        </w:rPr>
        <w:t>ogółem liczyło 172,4 tys. szt. i było o 3,6% mniejsze niż w roku poprzednim. Zmniejszył się stan pogłowia bydła 2-letniego i starszego (o 8,3%), w tym krów (o 9,0%) oraz młodego bydła w wieku od 1 roku do 2 lat (o 6,0%). Jednocześnie wzrosła liczebność cieląt poniżej 1 roku (o 8,2%). Pogłowie bydła w województwie</w:t>
      </w:r>
      <w:r>
        <w:rPr>
          <w:rFonts w:eastAsia="Fira Sans Light" w:cs="Arial"/>
          <w:szCs w:val="19"/>
        </w:rPr>
        <w:t xml:space="preserve"> </w:t>
      </w:r>
      <w:r w:rsidRPr="00CE2ADC">
        <w:rPr>
          <w:rFonts w:eastAsia="Fira Sans Light" w:cs="Arial"/>
          <w:szCs w:val="19"/>
        </w:rPr>
        <w:t>małopolskim stanowiło 2,7% stanu krajowego.</w:t>
      </w:r>
    </w:p>
    <w:p w:rsidR="00761B59" w:rsidRDefault="00761B59" w:rsidP="00796F7A">
      <w:pPr>
        <w:jc w:val="center"/>
        <w:rPr>
          <w:rFonts w:eastAsia="Fira Sans Light" w:cs="Arial"/>
          <w:b/>
          <w:szCs w:val="19"/>
        </w:rPr>
      </w:pPr>
    </w:p>
    <w:p w:rsidR="00761B59" w:rsidRDefault="00761B59" w:rsidP="00796F7A">
      <w:pPr>
        <w:jc w:val="center"/>
        <w:rPr>
          <w:rFonts w:eastAsia="Fira Sans Light" w:cs="Arial"/>
          <w:b/>
          <w:szCs w:val="19"/>
        </w:rPr>
      </w:pPr>
    </w:p>
    <w:p w:rsidR="00761B59" w:rsidRDefault="00761B59" w:rsidP="00796F7A">
      <w:pPr>
        <w:jc w:val="center"/>
        <w:rPr>
          <w:rFonts w:eastAsia="Fira Sans Light" w:cs="Arial"/>
          <w:b/>
          <w:szCs w:val="19"/>
        </w:rPr>
      </w:pPr>
    </w:p>
    <w:p w:rsidR="00761B59" w:rsidRDefault="00761B59" w:rsidP="00796F7A">
      <w:pPr>
        <w:jc w:val="center"/>
        <w:rPr>
          <w:rFonts w:eastAsia="Fira Sans Light" w:cs="Arial"/>
          <w:b/>
          <w:szCs w:val="19"/>
        </w:rPr>
      </w:pPr>
    </w:p>
    <w:p w:rsidR="00796F7A" w:rsidRPr="00764D9B" w:rsidRDefault="00796F7A" w:rsidP="00796F7A">
      <w:pPr>
        <w:jc w:val="center"/>
        <w:rPr>
          <w:rFonts w:eastAsia="Fira Sans Light" w:cs="Arial"/>
          <w:szCs w:val="19"/>
        </w:rPr>
      </w:pPr>
      <w:r w:rsidRPr="00764D9B">
        <w:rPr>
          <w:noProof/>
          <w:lang w:eastAsia="pl-PL"/>
        </w:rPr>
        <w:lastRenderedPageBreak/>
        <w:drawing>
          <wp:anchor distT="0" distB="0" distL="114300" distR="114300" simplePos="0" relativeHeight="251940352" behindDoc="1" locked="0" layoutInCell="1" allowOverlap="1" wp14:anchorId="3CD70B5D" wp14:editId="20DBB7B1">
            <wp:simplePos x="0" y="0"/>
            <wp:positionH relativeFrom="page">
              <wp:align>center</wp:align>
            </wp:positionH>
            <wp:positionV relativeFrom="paragraph">
              <wp:posOffset>109673</wp:posOffset>
            </wp:positionV>
            <wp:extent cx="5047200" cy="2174400"/>
            <wp:effectExtent l="0" t="0" r="0" b="0"/>
            <wp:wrapNone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4D9B">
        <w:rPr>
          <w:rFonts w:eastAsia="Fira Sans Light" w:cs="Arial"/>
          <w:b/>
          <w:szCs w:val="19"/>
        </w:rPr>
        <w:t>Wykres 11. Pogłowie bydła</w:t>
      </w:r>
    </w:p>
    <w:p w:rsidR="00796F7A" w:rsidRPr="00764D9B" w:rsidRDefault="00796F7A" w:rsidP="00796F7A">
      <w:pPr>
        <w:ind w:firstLine="284"/>
        <w:jc w:val="center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ind w:firstLine="284"/>
        <w:jc w:val="both"/>
        <w:rPr>
          <w:rFonts w:eastAsia="Fira Sans Light" w:cs="Arial"/>
          <w:szCs w:val="19"/>
        </w:rPr>
      </w:pPr>
    </w:p>
    <w:p w:rsidR="00796F7A" w:rsidRPr="00764D9B" w:rsidRDefault="00796F7A" w:rsidP="00796F7A">
      <w:pPr>
        <w:spacing w:before="0" w:after="0" w:line="120" w:lineRule="auto"/>
        <w:ind w:firstLine="284"/>
        <w:jc w:val="both"/>
        <w:rPr>
          <w:rFonts w:eastAsia="Fira Sans Light" w:cs="Arial"/>
          <w:szCs w:val="19"/>
        </w:rPr>
      </w:pPr>
    </w:p>
    <w:p w:rsidR="00200FCF" w:rsidRPr="00C50696" w:rsidRDefault="00796F7A" w:rsidP="00796F7A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764D9B">
        <w:rPr>
          <w:rFonts w:ascii="Fira Sans" w:eastAsia="Fira Sans Light" w:hAnsi="Fira Sans" w:cs="Arial"/>
          <w:sz w:val="19"/>
          <w:szCs w:val="19"/>
        </w:rPr>
        <w:t>***</w:t>
      </w:r>
    </w:p>
    <w:p w:rsidR="00200FCF" w:rsidRDefault="00200FCF" w:rsidP="007543E2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1B59" w:rsidRPr="00B07589" w:rsidRDefault="00761B59" w:rsidP="00761B59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761B59" w:rsidRPr="00765B83" w:rsidRDefault="00761B59" w:rsidP="00761B59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D93AC6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D93AC6">
        <w:rPr>
          <w:rFonts w:eastAsia="Times New Roman" w:cs="Arial"/>
          <w:bCs/>
          <w:szCs w:val="19"/>
          <w:lang w:eastAsia="pl-PL"/>
        </w:rPr>
        <w:t xml:space="preserve"> w sierpniu 2021 r. osiągnęła wartość (w cenach bieżących) 11375,3 mln zł i była (w cenach stałych) większa w skali roku (16,8%) oraz mniejsza w odniesieniu do poprzedniego miesiąca (o 1,3%).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D93AC6">
        <w:rPr>
          <w:rFonts w:eastAsia="Times New Roman" w:cs="Arial"/>
          <w:b/>
          <w:szCs w:val="19"/>
          <w:lang w:eastAsia="pl-PL"/>
        </w:rPr>
        <w:t>Produkcja budowlano-montażowa</w:t>
      </w:r>
      <w:r w:rsidRPr="00D93AC6">
        <w:rPr>
          <w:rFonts w:eastAsia="Times New Roman" w:cs="Arial"/>
          <w:szCs w:val="19"/>
          <w:lang w:eastAsia="pl-PL"/>
        </w:rPr>
        <w:t xml:space="preserve"> (w cenach bieżących) wzrosła na przestrzeni roku (o 37,1%).</w:t>
      </w:r>
      <w:r w:rsidRPr="00D93AC6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230211">
        <w:rPr>
          <w:rFonts w:eastAsia="Times New Roman" w:cs="Arial"/>
          <w:bCs/>
          <w:szCs w:val="19"/>
          <w:lang w:eastAsia="pl-PL"/>
        </w:rPr>
        <w:t>Dynamika</w:t>
      </w:r>
      <w:r w:rsidRPr="00230211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61B59" w:rsidRPr="00230211" w:rsidTr="00A22C08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VIII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I–VIII 2021</w:t>
            </w:r>
          </w:p>
        </w:tc>
      </w:tr>
      <w:tr w:rsidR="00761B59" w:rsidRPr="00230211" w:rsidTr="00A22C08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61B59" w:rsidRPr="00230211" w:rsidRDefault="00761B59" w:rsidP="00A22C08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61B59" w:rsidRPr="00230211" w:rsidTr="00A22C08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spacing w:before="30" w:after="3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230211">
              <w:rPr>
                <w:rFonts w:cs="Arial"/>
                <w:b/>
                <w:sz w:val="16"/>
                <w:szCs w:val="16"/>
              </w:rPr>
              <w:t>O g ó ł e m</w:t>
            </w:r>
            <w:r w:rsidRPr="0023021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30211">
              <w:rPr>
                <w:rFonts w:cs="Arial"/>
                <w:b/>
                <w:sz w:val="16"/>
                <w:szCs w:val="16"/>
              </w:rPr>
              <w:t>116,8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F3E6F">
              <w:rPr>
                <w:rFonts w:cs="Arial"/>
                <w:b/>
                <w:sz w:val="16"/>
                <w:szCs w:val="16"/>
              </w:rPr>
              <w:t>116,5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81,0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30211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13,4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30211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1,0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30211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2,2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8,0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5,6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3,5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4,8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right" w:pos="9072"/>
              </w:tabs>
              <w:spacing w:before="30" w:after="3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wyrobów z metali</w:t>
            </w:r>
            <w:r w:rsidRPr="0023021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11,1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right" w:pos="9072"/>
              </w:tabs>
              <w:spacing w:before="30" w:after="3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1,6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9286F"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5,3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maszyn i urządzeń</w:t>
            </w:r>
            <w:r w:rsidRPr="0023021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2,0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1B59" w:rsidRPr="00230211" w:rsidRDefault="00761B59" w:rsidP="00761B59">
            <w:pPr>
              <w:tabs>
                <w:tab w:val="left" w:leader="dot" w:pos="4179"/>
              </w:tabs>
              <w:spacing w:before="30" w:after="3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3021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3E6F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761B59">
            <w:pPr>
              <w:spacing w:before="30" w:after="3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84EB4">
              <w:rPr>
                <w:rFonts w:cs="Arial"/>
                <w:sz w:val="16"/>
                <w:szCs w:val="16"/>
              </w:rPr>
              <w:t>3,7</w:t>
            </w:r>
          </w:p>
        </w:tc>
      </w:tr>
    </w:tbl>
    <w:p w:rsidR="00761B59" w:rsidRPr="00230211" w:rsidRDefault="00761B59" w:rsidP="00761B59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C462A6">
        <w:rPr>
          <w:rFonts w:eastAsia="Times New Roman" w:cs="Arial"/>
          <w:bCs/>
          <w:szCs w:val="19"/>
          <w:lang w:eastAsia="pl-PL"/>
        </w:rPr>
        <w:t>W ujęciu rocznym wzrost produkcji sprzedanej miał miejsce we wszystkich sekcjach należących do przemysłu, przy czym największy odnotowano w przetwórstwie przemysłowym (o 18,3%). Wyższy niż w sierpniu 2020 r. poziom produkcji sprzedanej odnotowano w 22 działach przemysłu (spośród 31 występujących w województwie), w tym w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C462A6">
        <w:rPr>
          <w:rFonts w:eastAsia="Times New Roman" w:cs="Arial"/>
          <w:bCs/>
          <w:szCs w:val="19"/>
          <w:lang w:eastAsia="pl-PL"/>
        </w:rPr>
        <w:t>16 działach sprzedaż produkcji zwiększyła się o więcej niż 10%. Wzrost sprzedaży w omawianym okresie zanotowano m.in. w działach: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450F5">
        <w:rPr>
          <w:rFonts w:eastAsia="Times New Roman" w:cs="Arial"/>
          <w:bCs/>
          <w:szCs w:val="19"/>
          <w:lang w:eastAsia="pl-PL"/>
        </w:rPr>
        <w:t>produkcja wyrobów z drewna, korka, słomy i wikliny (o 77,2%),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450F5">
        <w:rPr>
          <w:rFonts w:eastAsia="Times New Roman" w:cs="Arial"/>
          <w:bCs/>
          <w:szCs w:val="19"/>
          <w:lang w:eastAsia="pl-PL"/>
        </w:rPr>
        <w:t>pozostała produkcja wyrobów (o 34,7%),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450F5">
        <w:rPr>
          <w:rFonts w:eastAsia="Times New Roman" w:cs="Arial"/>
          <w:bCs/>
          <w:szCs w:val="19"/>
          <w:lang w:eastAsia="pl-PL"/>
        </w:rPr>
        <w:t>produkcja pojazdów samochodowych, przyczep i naczep (o 33,8%),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450F5">
        <w:rPr>
          <w:rFonts w:eastAsia="Times New Roman" w:cs="Arial"/>
          <w:bCs/>
          <w:szCs w:val="19"/>
          <w:lang w:eastAsia="pl-PL"/>
        </w:rPr>
        <w:t>produkcja metali (o 33,4%) oraz produkcja chemikaliów i wyrobów chemicznych (o 33,0%). Spadek sprzedaży wystąpił m.in. w działach: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450F5">
        <w:rPr>
          <w:rFonts w:eastAsia="Times New Roman" w:cs="Arial"/>
          <w:bCs/>
          <w:szCs w:val="19"/>
          <w:lang w:eastAsia="pl-PL"/>
        </w:rPr>
        <w:t xml:space="preserve">produkcja pozostałego sprzętu transportowego </w:t>
      </w:r>
      <w:r>
        <w:rPr>
          <w:rFonts w:eastAsia="Times New Roman" w:cs="Arial"/>
          <w:bCs/>
          <w:szCs w:val="19"/>
          <w:lang w:eastAsia="pl-PL"/>
        </w:rPr>
        <w:t xml:space="preserve">              </w:t>
      </w:r>
      <w:r w:rsidRPr="003450F5">
        <w:rPr>
          <w:rFonts w:eastAsia="Times New Roman" w:cs="Arial"/>
          <w:bCs/>
          <w:szCs w:val="19"/>
          <w:lang w:eastAsia="pl-PL"/>
        </w:rPr>
        <w:t>(o 69,0%), produkcja odzieży (o 16,7%), a także produkcja napojów (o 9,5%).</w:t>
      </w: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075616">
        <w:rPr>
          <w:rFonts w:eastAsia="Times New Roman" w:cs="Arial"/>
          <w:bCs/>
          <w:szCs w:val="19"/>
          <w:lang w:eastAsia="pl-PL"/>
        </w:rPr>
        <w:t>W porównaniu z lipcem br. produkcja sprzedana zmniejszyła się (o 1,3%).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075616">
        <w:rPr>
          <w:rFonts w:eastAsia="Times New Roman" w:cs="Arial"/>
          <w:bCs/>
          <w:szCs w:val="19"/>
          <w:lang w:eastAsia="pl-PL"/>
        </w:rPr>
        <w:t>Spadek produkcji w omawianym okresie zanotowano we wszystkich sekcjach, w tym najgłębszy w górnictwie i wydobywaniu (o 4,9%).</w:t>
      </w:r>
      <w:r w:rsidRPr="00230211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</w:p>
    <w:p w:rsidR="00761B59" w:rsidRPr="00230211" w:rsidRDefault="00761B59" w:rsidP="00761B59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8812CE">
        <w:rPr>
          <w:rFonts w:eastAsia="Times New Roman" w:cs="Arial"/>
          <w:bCs/>
          <w:spacing w:val="-2"/>
          <w:szCs w:val="19"/>
          <w:lang w:eastAsia="pl-PL"/>
        </w:rPr>
        <w:t>Wydajność pracy w przemyśle, mierzona wartością produkcji sprzedanej na 1 zatrudnionego, w sierpniu 2021 r. była            (w cenach stałych) większa niż rok wcześniej (o 15,1%), przy wzroście przeciętnego zatrudnienia (o 1,5%) i przeciętnego miesięcznego wynagrodzenia brutto (o 19,3%).</w:t>
      </w:r>
    </w:p>
    <w:p w:rsidR="00761B59" w:rsidRPr="00230211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761B59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761B59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761B59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761B59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761B59" w:rsidRPr="00B62653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B62653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>Wykres 1</w:t>
      </w:r>
      <w:r w:rsidR="004F1AF4">
        <w:rPr>
          <w:rFonts w:eastAsia="Times New Roman" w:cs="Times New Roman"/>
          <w:b/>
          <w:color w:val="000000" w:themeColor="text1"/>
          <w:szCs w:val="19"/>
          <w:lang w:eastAsia="pl-PL"/>
        </w:rPr>
        <w:t>2</w:t>
      </w:r>
      <w:r w:rsidRPr="00B62653">
        <w:rPr>
          <w:rFonts w:eastAsia="Times New Roman" w:cs="Times New Roman"/>
          <w:b/>
          <w:color w:val="000000" w:themeColor="text1"/>
          <w:szCs w:val="19"/>
          <w:lang w:eastAsia="pl-PL"/>
        </w:rPr>
        <w:t>. Dynamika produkcji sprzedanej przemysłu</w:t>
      </w:r>
    </w:p>
    <w:p w:rsidR="00761B59" w:rsidRPr="00B62653" w:rsidRDefault="00761B59" w:rsidP="00761B59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B62653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761B59" w:rsidRPr="00B62653" w:rsidRDefault="00761B59" w:rsidP="00761B59">
      <w:pPr>
        <w:spacing w:before="0" w:after="0" w:line="360" w:lineRule="auto"/>
        <w:jc w:val="center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B62653">
        <w:rPr>
          <w:noProof/>
          <w:color w:val="000000" w:themeColor="text1"/>
          <w:lang w:eastAsia="pl-PL"/>
        </w:rPr>
        <w:drawing>
          <wp:anchor distT="0" distB="0" distL="114300" distR="114300" simplePos="0" relativeHeight="251943424" behindDoc="1" locked="0" layoutInCell="1" allowOverlap="1" wp14:anchorId="4AB631B8" wp14:editId="4A9E3A95">
            <wp:simplePos x="0" y="0"/>
            <wp:positionH relativeFrom="page">
              <wp:align>center</wp:align>
            </wp:positionH>
            <wp:positionV relativeFrom="page">
              <wp:posOffset>744855</wp:posOffset>
            </wp:positionV>
            <wp:extent cx="5104800" cy="2372400"/>
            <wp:effectExtent l="0" t="0" r="0" b="0"/>
            <wp:wrapNone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943C2A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943C2A">
        <w:rPr>
          <w:rFonts w:eastAsia="Times New Roman" w:cs="Arial"/>
          <w:b/>
          <w:bCs/>
          <w:spacing w:val="-2"/>
          <w:szCs w:val="19"/>
          <w:lang w:eastAsia="pl-PL"/>
        </w:rPr>
        <w:t>styczeń–sierpień</w:t>
      </w:r>
      <w:r w:rsidRPr="00943C2A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943C2A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943C2A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88583,9 mln zł, co oznacza wzrost (w cenach stałych) o 16,5% w ujęciu rocznym. W przetwórstwie przemysłowym, którego udział w produkcji sprzedanej przemysłu wyniósł 81,0%, produkcja zwiększyła się o 17,9%.</w:t>
      </w: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F56F64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F56F64">
        <w:rPr>
          <w:rFonts w:eastAsia="Times New Roman" w:cs="Arial"/>
          <w:bCs/>
          <w:szCs w:val="19"/>
          <w:lang w:eastAsia="pl-PL"/>
        </w:rPr>
        <w:t xml:space="preserve"> (w cenach bieżących) w sierpniu 2021 r. wyniosła 2422,0 mln zł i była o 24,3% większa niż w analogicznym miesiącu 2020 r. Wydajność pracy w budownictwie, mierzona wartością produkcji sprzedanej na </w:t>
      </w:r>
      <w:r w:rsidRPr="00F56F64">
        <w:rPr>
          <w:rFonts w:eastAsia="Times New Roman" w:cs="Arial"/>
          <w:bCs/>
          <w:szCs w:val="19"/>
          <w:lang w:eastAsia="pl-PL"/>
        </w:rPr>
        <w:br/>
        <w:t>1 zatrudnionego, zwiększyła się (o 26,0%) przy jednoczesnym spadku przeciętnego zatrudnienia (o 1,4%) oraz wzroście przeciętnego miesięcznego wynagrodzenia brutto (o 8,3%).</w:t>
      </w: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A95E8E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A95E8E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A95E8E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43,5% produkcji sprzedanej </w:t>
      </w:r>
      <w:r w:rsidRPr="00A95E8E">
        <w:rPr>
          <w:rFonts w:eastAsia="Times New Roman" w:cs="Arial"/>
          <w:bCs/>
          <w:szCs w:val="19"/>
          <w:lang w:eastAsia="pl-PL"/>
        </w:rPr>
        <w:t>budownictwa, w sierpniu 2021 r. wyniosła 1052,4 mln</w:t>
      </w:r>
      <w:r w:rsidRPr="00A95E8E">
        <w:rPr>
          <w:rFonts w:eastAsia="Times New Roman" w:cs="Arial"/>
          <w:bCs/>
          <w:spacing w:val="-2"/>
          <w:szCs w:val="19"/>
          <w:lang w:eastAsia="pl-PL"/>
        </w:rPr>
        <w:t xml:space="preserve"> zł i była o 37,1% większa od uzyskanej rok wcześniej. Największy wzrost sprzedaży odnotowano w jednostkach </w:t>
      </w:r>
      <w:r w:rsidR="00812650">
        <w:rPr>
          <w:rFonts w:eastAsia="Times New Roman" w:cs="Arial"/>
          <w:bCs/>
          <w:spacing w:val="-2"/>
          <w:szCs w:val="19"/>
          <w:lang w:eastAsia="pl-PL"/>
        </w:rPr>
        <w:t xml:space="preserve">zajmujących się </w:t>
      </w:r>
      <w:r w:rsidRPr="00A95E8E">
        <w:rPr>
          <w:rFonts w:eastAsia="Times New Roman" w:cs="Arial"/>
          <w:bCs/>
          <w:spacing w:val="-2"/>
          <w:szCs w:val="19"/>
          <w:lang w:eastAsia="pl-PL"/>
        </w:rPr>
        <w:t>budową obiektów inżynierii lądowej i wodnej (o 66,8%).</w:t>
      </w:r>
    </w:p>
    <w:p w:rsidR="00761B59" w:rsidRPr="00230211" w:rsidRDefault="00761B59" w:rsidP="00761B59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230211">
        <w:rPr>
          <w:rFonts w:eastAsia="Times New Roman" w:cs="Arial"/>
          <w:bCs/>
          <w:szCs w:val="19"/>
          <w:lang w:eastAsia="pl-PL"/>
        </w:rPr>
        <w:t>Dynamika</w:t>
      </w:r>
      <w:r w:rsidRPr="00230211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61B59" w:rsidRPr="00230211" w:rsidTr="00A22C08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VIII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I–VIII 2021</w:t>
            </w:r>
          </w:p>
        </w:tc>
      </w:tr>
      <w:tr w:rsidR="00761B59" w:rsidRPr="00230211" w:rsidTr="00A22C08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61B59" w:rsidRPr="00230211" w:rsidRDefault="00761B59" w:rsidP="00A22C08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61B59" w:rsidRPr="00230211" w:rsidTr="00A22C08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230211" w:rsidRDefault="00761B59" w:rsidP="00A22C08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230211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5E8E">
              <w:rPr>
                <w:rFonts w:cs="Arial"/>
                <w:b/>
                <w:sz w:val="16"/>
                <w:szCs w:val="16"/>
              </w:rPr>
              <w:t>137,1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5E8E">
              <w:rPr>
                <w:rFonts w:cs="Arial"/>
                <w:b/>
                <w:sz w:val="16"/>
                <w:szCs w:val="16"/>
              </w:rPr>
              <w:t>103,4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230211" w:rsidRDefault="00761B59" w:rsidP="00A22C08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30211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23021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36,9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230211" w:rsidRDefault="00761B59" w:rsidP="00A22C08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30211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23021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166,8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33,8</w:t>
            </w:r>
          </w:p>
        </w:tc>
      </w:tr>
      <w:tr w:rsidR="00761B59" w:rsidRPr="00230211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230211" w:rsidRDefault="00761B59" w:rsidP="00A22C08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30211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23021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5E8E">
              <w:rPr>
                <w:rFonts w:cs="Arial"/>
                <w:sz w:val="16"/>
                <w:szCs w:val="16"/>
              </w:rPr>
              <w:t>29,3</w:t>
            </w:r>
          </w:p>
        </w:tc>
      </w:tr>
    </w:tbl>
    <w:p w:rsidR="00761B59" w:rsidRPr="00230211" w:rsidRDefault="00761B59" w:rsidP="00761B59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761B59" w:rsidRPr="00A95E8E" w:rsidRDefault="00761B59" w:rsidP="00761B59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A95E8E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A95E8E">
        <w:rPr>
          <w:rFonts w:eastAsia="Times New Roman" w:cs="Arial"/>
          <w:b/>
          <w:bCs/>
          <w:spacing w:val="-2"/>
          <w:szCs w:val="19"/>
          <w:lang w:eastAsia="pl-PL"/>
        </w:rPr>
        <w:t>styczeń–</w:t>
      </w:r>
      <w:r>
        <w:rPr>
          <w:rFonts w:eastAsia="Times New Roman" w:cs="Arial"/>
          <w:b/>
          <w:bCs/>
          <w:spacing w:val="-2"/>
          <w:szCs w:val="19"/>
          <w:lang w:eastAsia="pl-PL"/>
        </w:rPr>
        <w:t>sierpień</w:t>
      </w:r>
      <w:r w:rsidRPr="00A95E8E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A95E8E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A95E8E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6932,3 mln zł, co stanowiło 40,5% wartości ogółem produkcji sprzedanej budownictwa. W ujęciu rocznym jej wartość zwiększyła się o 3,4%, a w jej strukturze największy udział miały podmioty zajmujące się budową budynków (36,9%).</w:t>
      </w:r>
    </w:p>
    <w:p w:rsidR="00761B59" w:rsidRPr="00A95E8E" w:rsidRDefault="00761B59" w:rsidP="00761B59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C50696" w:rsidRDefault="00761B59" w:rsidP="00761B59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A95E8E">
        <w:rPr>
          <w:rFonts w:eastAsia="Fira Sans Light" w:cs="Arial"/>
          <w:szCs w:val="19"/>
        </w:rPr>
        <w:t>***</w:t>
      </w:r>
    </w:p>
    <w:p w:rsidR="009C0AE4" w:rsidRDefault="009C0AE4" w:rsidP="009C0AE4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1B59" w:rsidRPr="00B07589" w:rsidRDefault="00761B59" w:rsidP="00761B5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761B59" w:rsidRPr="00A851D2" w:rsidRDefault="00761B59" w:rsidP="00761B5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761B59" w:rsidRPr="00C9494A" w:rsidRDefault="00761B59" w:rsidP="00761B59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9494A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C9494A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C9494A">
        <w:rPr>
          <w:rFonts w:eastAsia="Times New Roman" w:cs="Times New Roman"/>
          <w:color w:val="000000" w:themeColor="text1"/>
          <w:szCs w:val="19"/>
          <w:lang w:eastAsia="pl-PL"/>
        </w:rPr>
        <w:t xml:space="preserve">, w sierpniu 2021 r. </w:t>
      </w:r>
      <w:r w:rsidRPr="00C9494A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C9494A">
        <w:rPr>
          <w:rFonts w:eastAsia="Times New Roman" w:cs="Times New Roman"/>
          <w:color w:val="000000" w:themeColor="text1"/>
          <w:szCs w:val="19"/>
          <w:lang w:eastAsia="pl-PL"/>
        </w:rPr>
        <w:t xml:space="preserve"> 1924 mieszkania, tj. o 44,4% więcej niż w analogicznym miesiącu 2020 r. W budownictwie przeznaczonym na sprzedaż lub wynajem liczba oddanych mieszkań zwiększyła się o 55,8% do 1200, a w indywidualnym o 28,8% do 724. </w:t>
      </w:r>
    </w:p>
    <w:p w:rsidR="00761B59" w:rsidRPr="00C9494A" w:rsidRDefault="00761B59" w:rsidP="00761B59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9494A">
        <w:rPr>
          <w:rFonts w:eastAsia="Times New Roman" w:cs="Times New Roman"/>
          <w:color w:val="000000" w:themeColor="text1"/>
          <w:szCs w:val="19"/>
          <w:lang w:eastAsia="pl-PL"/>
        </w:rPr>
        <w:t>Mieszkania oddane w województwie małopolskim w lipcu 2021 r. stanowiły 10,2% ogólnej liczby mieszkań oddanych do użytkowania w kraju.</w:t>
      </w:r>
    </w:p>
    <w:p w:rsidR="00761B59" w:rsidRPr="00C9494A" w:rsidRDefault="00761B59" w:rsidP="00761B59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C9494A">
        <w:rPr>
          <w:rFonts w:cs="Arial"/>
          <w:color w:val="000000" w:themeColor="text1"/>
          <w:spacing w:val="-2"/>
          <w:szCs w:val="19"/>
        </w:rPr>
        <w:t xml:space="preserve">Liczba mieszkań oddanych do użytkowania w okresie </w:t>
      </w:r>
      <w:r w:rsidRPr="00C9494A">
        <w:rPr>
          <w:rFonts w:cs="Arial"/>
          <w:b/>
          <w:color w:val="000000" w:themeColor="text1"/>
          <w:spacing w:val="-2"/>
          <w:szCs w:val="19"/>
        </w:rPr>
        <w:t>styczeń–</w:t>
      </w:r>
      <w:r>
        <w:rPr>
          <w:rFonts w:cs="Arial"/>
          <w:b/>
          <w:color w:val="000000" w:themeColor="text1"/>
          <w:spacing w:val="-2"/>
          <w:szCs w:val="19"/>
        </w:rPr>
        <w:t>sierpień</w:t>
      </w:r>
      <w:r w:rsidRPr="00C9494A">
        <w:rPr>
          <w:rFonts w:cs="Arial"/>
          <w:b/>
          <w:color w:val="000000" w:themeColor="text1"/>
          <w:spacing w:val="-2"/>
          <w:szCs w:val="19"/>
        </w:rPr>
        <w:t xml:space="preserve"> 2021 r.</w:t>
      </w:r>
      <w:r w:rsidRPr="00C9494A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761B59" w:rsidRPr="00345631" w:rsidTr="00A22C08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1B59" w:rsidRPr="00345631" w:rsidRDefault="00761B59" w:rsidP="00A22C08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1B59" w:rsidRPr="00345631" w:rsidRDefault="00761B59" w:rsidP="00A22C08">
            <w:pPr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61B59" w:rsidRPr="00345631" w:rsidRDefault="00761B59" w:rsidP="00A22C08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34563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61B59" w:rsidRPr="00345631" w:rsidTr="00A22C08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345631" w:rsidRDefault="00761B59" w:rsidP="00A22C08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345631" w:rsidRDefault="00761B59" w:rsidP="00A22C08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345631" w:rsidRDefault="00761B59" w:rsidP="00A22C08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345631" w:rsidRDefault="00761B59" w:rsidP="00A22C08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I–V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II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761B59" w:rsidRPr="00345631" w:rsidRDefault="00761B59" w:rsidP="00A22C08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61B59" w:rsidRPr="00345631" w:rsidTr="00A22C08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345631" w:rsidRDefault="00761B59" w:rsidP="00A22C08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13077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761B59" w:rsidRPr="00345631" w:rsidTr="00A22C08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345631" w:rsidRDefault="00761B59" w:rsidP="00A22C08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153,2</w:t>
            </w:r>
          </w:p>
        </w:tc>
      </w:tr>
      <w:tr w:rsidR="00761B59" w:rsidRPr="00345631" w:rsidTr="00A22C08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345631" w:rsidRDefault="00761B59" w:rsidP="00A22C08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7193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</w:tr>
      <w:tr w:rsidR="00761B59" w:rsidRPr="00345631" w:rsidTr="00A22C08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  <w:tr w:rsidR="00761B59" w:rsidRPr="00345631" w:rsidTr="00A22C08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345631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345631" w:rsidRDefault="00761B59" w:rsidP="00A22C08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65,5</w:t>
            </w:r>
          </w:p>
        </w:tc>
      </w:tr>
    </w:tbl>
    <w:p w:rsidR="00761B59" w:rsidRPr="002320E9" w:rsidRDefault="00761B59" w:rsidP="00761B59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9F09C6" w:rsidRDefault="00761B59" w:rsidP="00761B59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9F09C6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W okresie </w:t>
      </w:r>
      <w:r w:rsidRPr="009F09C6">
        <w:rPr>
          <w:rFonts w:eastAsia="Times New Roman" w:cs="Times New Roman"/>
          <w:b/>
          <w:color w:val="000000" w:themeColor="text1"/>
          <w:szCs w:val="19"/>
          <w:lang w:eastAsia="pl-PL"/>
        </w:rPr>
        <w:t>styczeń–sierpień 2021 r.</w:t>
      </w:r>
      <w:r w:rsidRPr="009F09C6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13077 mieszkań, tj. o 0,4% mniej niż rok wcześniej. W budownictwie przeznaczonym na sprzedaż lub wynajem liczba nowo oddanych mieszkań zmniejszyła się o 12,2%, natomiast               w indywidualnym wzrosła o 27,4%.</w:t>
      </w:r>
    </w:p>
    <w:p w:rsidR="00761B59" w:rsidRPr="002320E9" w:rsidRDefault="00761B59" w:rsidP="00761B59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2320E9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761B59" w:rsidRPr="00CE0EA0" w:rsidRDefault="00761B59" w:rsidP="00761B5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CE0EA0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4F1AF4">
        <w:rPr>
          <w:rFonts w:eastAsia="Times New Roman" w:cs="Times New Roman"/>
          <w:b/>
          <w:color w:val="000000" w:themeColor="text1"/>
          <w:szCs w:val="19"/>
          <w:lang w:eastAsia="pl-PL"/>
        </w:rPr>
        <w:t>13</w:t>
      </w:r>
      <w:r w:rsidRPr="00CE0EA0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761B59" w:rsidRPr="00CE0EA0" w:rsidRDefault="00761B59" w:rsidP="00761B59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45472" behindDoc="1" locked="0" layoutInCell="1" allowOverlap="1" wp14:anchorId="642BD221" wp14:editId="00292903">
            <wp:simplePos x="0" y="0"/>
            <wp:positionH relativeFrom="page">
              <wp:align>center</wp:align>
            </wp:positionH>
            <wp:positionV relativeFrom="paragraph">
              <wp:posOffset>50165</wp:posOffset>
            </wp:positionV>
            <wp:extent cx="5112000" cy="2260800"/>
            <wp:effectExtent l="0" t="0" r="0" b="0"/>
            <wp:wrapNone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EA0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761B59" w:rsidRPr="002320E9" w:rsidRDefault="00761B59" w:rsidP="00761B59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2320E9" w:rsidRDefault="00761B59" w:rsidP="00761B59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61B59" w:rsidRDefault="00761B59" w:rsidP="00761B59">
      <w:pPr>
        <w:tabs>
          <w:tab w:val="left" w:pos="2552"/>
        </w:tabs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61B59" w:rsidRPr="00CE0EA0" w:rsidRDefault="00761B59" w:rsidP="00761B59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E0EA0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(5962) oraz powiecie krakowskim (996), a najmniej w powiecie miechowskim (40). </w:t>
      </w:r>
    </w:p>
    <w:p w:rsidR="00761B59" w:rsidRPr="002320E9" w:rsidRDefault="00761B59" w:rsidP="00761B59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761B59" w:rsidRPr="009A2551" w:rsidRDefault="00761B59" w:rsidP="00761B59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7D42D8">
        <w:rPr>
          <w:noProof/>
          <w:lang w:eastAsia="pl-PL"/>
        </w:rPr>
        <w:drawing>
          <wp:anchor distT="0" distB="0" distL="114300" distR="114300" simplePos="0" relativeHeight="251946496" behindDoc="1" locked="0" layoutInCell="1" allowOverlap="1" wp14:anchorId="46171694" wp14:editId="7ECA1856">
            <wp:simplePos x="0" y="0"/>
            <wp:positionH relativeFrom="page">
              <wp:align>center</wp:align>
            </wp:positionH>
            <wp:positionV relativeFrom="paragraph">
              <wp:posOffset>198195</wp:posOffset>
            </wp:positionV>
            <wp:extent cx="6188400" cy="4280400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400" cy="42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551">
        <w:rPr>
          <w:rFonts w:eastAsia="Times New Roman" w:cs="Arial"/>
          <w:b/>
          <w:color w:val="000000" w:themeColor="text1"/>
          <w:szCs w:val="19"/>
          <w:lang w:eastAsia="pl-PL"/>
        </w:rPr>
        <w:t>Mapa 2. Mieszkania oddane do użytkowania według powiatów w okresie styczeń–</w:t>
      </w:r>
      <w:r>
        <w:rPr>
          <w:rFonts w:eastAsia="Times New Roman" w:cs="Arial"/>
          <w:b/>
          <w:color w:val="000000" w:themeColor="text1"/>
          <w:szCs w:val="19"/>
          <w:lang w:eastAsia="pl-PL"/>
        </w:rPr>
        <w:t>sierpień</w:t>
      </w:r>
      <w:r w:rsidRPr="009A2551">
        <w:rPr>
          <w:rFonts w:eastAsia="Times New Roman" w:cs="Arial"/>
          <w:b/>
          <w:color w:val="000000" w:themeColor="text1"/>
          <w:szCs w:val="19"/>
          <w:lang w:eastAsia="pl-PL"/>
        </w:rPr>
        <w:t xml:space="preserve"> 2021 r.</w:t>
      </w:r>
      <w:r w:rsidRPr="009A2551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2320E9" w:rsidRDefault="00761B59" w:rsidP="00761B59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1B59" w:rsidRPr="00890833" w:rsidRDefault="00761B59" w:rsidP="00761B59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6E6920">
        <w:rPr>
          <w:rFonts w:eastAsia="Times New Roman" w:cs="Times New Roman"/>
          <w:b/>
          <w:color w:val="000000" w:themeColor="text1"/>
          <w:szCs w:val="19"/>
          <w:lang w:eastAsia="pl-PL"/>
        </w:rPr>
        <w:t>Przeciętna powierzchnia użytkowa</w:t>
      </w:r>
      <w:r w:rsidRPr="006E6920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okresie styczeń</w:t>
      </w:r>
      <w:r w:rsidRPr="006E6920">
        <w:rPr>
          <w:rFonts w:eastAsia="Times New Roman" w:cs="Times New Roman"/>
          <w:color w:val="000000" w:themeColor="text1"/>
          <w:szCs w:val="19"/>
          <w:lang w:eastAsia="pl-PL"/>
        </w:rPr>
        <w:softHyphen/>
        <w:t>–sierpień 2021 r. wynio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>sła 100,7 m</w:t>
      </w:r>
      <w:r w:rsidRPr="00890833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10,0 m</w:t>
      </w:r>
      <w:r w:rsidRPr="00890833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761B59" w:rsidRPr="00890833" w:rsidRDefault="00761B59" w:rsidP="00761B59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limanowskim                   (176,5 m</w:t>
      </w:r>
      <w:r w:rsidRPr="00890833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 xml:space="preserve">), a w dalszej kolejności w powiatach </w:t>
      </w:r>
      <w:r w:rsidRPr="00890833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myślenickim (166,1 m</w:t>
      </w:r>
      <w:r w:rsidRPr="00890833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nowotarskim (166,0 m</w:t>
      </w:r>
      <w:r w:rsidRPr="00890833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suskim (160,9 m</w:t>
      </w:r>
      <w:r w:rsidRPr="00890833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                          i nowosądeckim (155,2 m</w:t>
      </w:r>
      <w:r w:rsidRPr="00890833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). Najmniejsze (poniżej 100 m</w:t>
      </w:r>
      <w:r w:rsidRPr="00890833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(59,7 m</w:t>
      </w:r>
      <w:r w:rsidRPr="00890833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>), Tarnowie (89,4 m</w:t>
      </w:r>
      <w:r w:rsidRPr="00890833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>) i Nowym          Sączu (89,6 m</w:t>
      </w:r>
      <w:r w:rsidRPr="00890833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890833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761B59" w:rsidRPr="00963074" w:rsidRDefault="00761B59" w:rsidP="00761B59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>W sierpniu 2021 r. liczba mieszkań,</w:t>
      </w:r>
      <w:r w:rsidRPr="00963074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 xml:space="preserve">na realizację których </w:t>
      </w:r>
      <w:r w:rsidRPr="00963074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wyniosła </w:t>
      </w:r>
      <w:r w:rsidRPr="007827D3">
        <w:rPr>
          <w:rFonts w:eastAsia="Times New Roman" w:cs="Times New Roman"/>
          <w:color w:val="000000" w:themeColor="text1"/>
          <w:szCs w:val="19"/>
          <w:lang w:eastAsia="pl-PL"/>
        </w:rPr>
        <w:t>2404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 tym samym wzrosła</w:t>
      </w: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 xml:space="preserve"> o 2,2%</w:t>
      </w:r>
      <w:r w:rsidRPr="007827D3">
        <w:rPr>
          <w:rFonts w:eastAsia="Times New Roman" w:cs="Times New Roman"/>
          <w:color w:val="000000" w:themeColor="text1"/>
          <w:szCs w:val="19"/>
          <w:lang w:eastAsia="pl-PL"/>
        </w:rPr>
        <w:t xml:space="preserve"> w ujęciu rocznym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7827D3">
        <w:rPr>
          <w:rFonts w:eastAsia="Times New Roman" w:cs="Times New Roman"/>
          <w:color w:val="000000" w:themeColor="text1"/>
          <w:szCs w:val="19"/>
          <w:lang w:eastAsia="pl-PL"/>
        </w:rPr>
        <w:t xml:space="preserve"> a liczba mieszkań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Pr="00963074">
        <w:rPr>
          <w:rFonts w:eastAsia="Times New Roman" w:cs="Times New Roman"/>
          <w:b/>
          <w:color w:val="000000" w:themeColor="text1"/>
          <w:szCs w:val="19"/>
          <w:lang w:eastAsia="pl-PL"/>
        </w:rPr>
        <w:t>których budowę rozpoczęto</w:t>
      </w: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zwiększyła się</w:t>
      </w: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7827D3">
        <w:rPr>
          <w:rFonts w:eastAsia="Times New Roman" w:cs="Times New Roman"/>
          <w:color w:val="000000" w:themeColor="text1"/>
          <w:szCs w:val="19"/>
          <w:lang w:eastAsia="pl-PL"/>
        </w:rPr>
        <w:t>o 50,0%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do 2443</w:t>
      </w:r>
      <w:r w:rsidRPr="00963074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</w:p>
    <w:p w:rsidR="00761B59" w:rsidRPr="00807256" w:rsidRDefault="00761B59" w:rsidP="00761B59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807256">
        <w:rPr>
          <w:rFonts w:cs="Arial"/>
          <w:color w:val="000000" w:themeColor="text1"/>
          <w:szCs w:val="19"/>
        </w:rPr>
        <w:lastRenderedPageBreak/>
        <w:t xml:space="preserve">Liczba mieszkań, na budowę których wydano pozwolenia lub dokonano zgłoszenia z projektem budowlanym i mieszkań, których budowę rozpoczęto w okresie </w:t>
      </w:r>
      <w:r w:rsidRPr="00807256">
        <w:rPr>
          <w:rFonts w:cs="Arial"/>
          <w:b/>
          <w:color w:val="000000" w:themeColor="text1"/>
          <w:szCs w:val="19"/>
        </w:rPr>
        <w:t>styczeń–sierpień 2021 r.</w:t>
      </w:r>
      <w:r w:rsidRPr="00807256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761B59" w:rsidRPr="00807256" w:rsidTr="00A22C08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61B59" w:rsidRPr="00807256" w:rsidTr="00A22C08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I–VIII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761B59" w:rsidRPr="00807256" w:rsidRDefault="00761B59" w:rsidP="00A22C08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I–VIII 2020 = 100</w:t>
            </w:r>
          </w:p>
        </w:tc>
      </w:tr>
      <w:tr w:rsidR="00761B59" w:rsidRPr="00807256" w:rsidTr="00A22C08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807256" w:rsidRDefault="00761B59" w:rsidP="00A22C08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20064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139,4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17615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b/>
                <w:color w:val="000000" w:themeColor="text1"/>
                <w:sz w:val="16"/>
                <w:szCs w:val="16"/>
              </w:rPr>
              <w:t>132,3</w:t>
            </w: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807256" w:rsidRDefault="00761B59" w:rsidP="00A22C08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8114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40,5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8088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807256" w:rsidRDefault="00761B59" w:rsidP="00A22C08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1B59" w:rsidRPr="00807256" w:rsidRDefault="00761B59" w:rsidP="00A22C08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11902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164,0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8983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51,0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761B59" w:rsidRPr="00807256" w:rsidTr="00A22C0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1B59" w:rsidRPr="00807256" w:rsidRDefault="00761B59" w:rsidP="00A22C08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725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761B59" w:rsidRPr="002320E9" w:rsidRDefault="00761B59" w:rsidP="00761B59">
      <w:pPr>
        <w:tabs>
          <w:tab w:val="left" w:pos="9072"/>
        </w:tabs>
        <w:spacing w:before="0" w:after="0" w:line="120" w:lineRule="auto"/>
        <w:ind w:firstLine="284"/>
        <w:jc w:val="both"/>
        <w:rPr>
          <w:rFonts w:cs="Arial"/>
          <w:color w:val="FF0000"/>
          <w:spacing w:val="-2"/>
          <w:sz w:val="16"/>
          <w:szCs w:val="16"/>
        </w:rPr>
      </w:pPr>
    </w:p>
    <w:p w:rsidR="00761B59" w:rsidRPr="002320E9" w:rsidRDefault="00761B59" w:rsidP="00761B59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C50696" w:rsidRDefault="00761B59" w:rsidP="00761B59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07256">
        <w:rPr>
          <w:rFonts w:cs="Arial"/>
          <w:color w:val="000000" w:themeColor="text1"/>
          <w:szCs w:val="19"/>
        </w:rPr>
        <w:t>***</w:t>
      </w:r>
    </w:p>
    <w:p w:rsidR="009C0AE4" w:rsidRDefault="009C0AE4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1B59" w:rsidRPr="003E2BEF" w:rsidRDefault="00761B59" w:rsidP="00761B59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761B59" w:rsidRPr="003D19B9" w:rsidRDefault="00761B59" w:rsidP="00761B59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761B59" w:rsidRPr="00827BD3" w:rsidRDefault="00761B59" w:rsidP="00761B59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DA5350">
        <w:rPr>
          <w:rFonts w:eastAsia="Times New Roman" w:cs="Arial"/>
          <w:szCs w:val="19"/>
          <w:lang w:eastAsia="pl-PL"/>
        </w:rPr>
        <w:t xml:space="preserve">W sierpniu 2021 r. odnotowano w skali roku wzrost (w cenach bieżących) zarówno sprzedaży detalicznej (o 5,4%), jak                   i sprzedaży hurtowej (o 26,0%). </w:t>
      </w:r>
    </w:p>
    <w:p w:rsidR="00761B59" w:rsidRPr="00827BD3" w:rsidRDefault="00761B59" w:rsidP="00761B59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FF0000"/>
          <w:spacing w:val="-2"/>
          <w:szCs w:val="19"/>
        </w:rPr>
      </w:pPr>
      <w:r w:rsidRPr="00286BAC">
        <w:rPr>
          <w:rFonts w:eastAsia="Fira Sans Light" w:cs="Arial"/>
          <w:bCs/>
          <w:szCs w:val="19"/>
        </w:rPr>
        <w:t xml:space="preserve">W ujęciu rocznym </w:t>
      </w:r>
      <w:r w:rsidRPr="00286BAC">
        <w:rPr>
          <w:rFonts w:eastAsia="Fira Sans Light" w:cs="Arial"/>
          <w:b/>
          <w:bCs/>
          <w:szCs w:val="19"/>
        </w:rPr>
        <w:t>sprzedaż detaliczna</w:t>
      </w:r>
      <w:r w:rsidRPr="00286BAC">
        <w:rPr>
          <w:rFonts w:eastAsia="Fira Sans Light" w:cs="Arial"/>
          <w:bCs/>
          <w:szCs w:val="19"/>
        </w:rPr>
        <w:t xml:space="preserve"> (zrealizowana przez przedsiębiorstwa handlowe i niehandlowe) zwiększyła się w 6 grupach, w tym najbardziej w grupie „paliwa stałe, ciekłe i gazowe”</w:t>
      </w:r>
      <w:r w:rsidRPr="00827BD3">
        <w:rPr>
          <w:rFonts w:eastAsia="Fira Sans Light" w:cs="Arial"/>
          <w:bCs/>
          <w:color w:val="FF0000"/>
          <w:szCs w:val="19"/>
        </w:rPr>
        <w:t xml:space="preserve"> </w:t>
      </w:r>
      <w:r w:rsidRPr="00286BAC">
        <w:rPr>
          <w:rFonts w:eastAsia="Fira Sans Light" w:cs="Arial"/>
          <w:bCs/>
          <w:szCs w:val="19"/>
        </w:rPr>
        <w:t xml:space="preserve">(o 26,0%), a ponadto w grupach „pozostałe” </w:t>
      </w:r>
      <w:r>
        <w:rPr>
          <w:rFonts w:eastAsia="Fira Sans Light" w:cs="Arial"/>
          <w:bCs/>
          <w:szCs w:val="19"/>
        </w:rPr>
        <w:t xml:space="preserve">               </w:t>
      </w:r>
      <w:r w:rsidRPr="00286BAC">
        <w:rPr>
          <w:rFonts w:eastAsia="Fira Sans Light" w:cs="Arial"/>
          <w:bCs/>
          <w:szCs w:val="19"/>
        </w:rPr>
        <w:t>(o 23,4%),</w:t>
      </w:r>
      <w:r w:rsidRPr="00827BD3">
        <w:rPr>
          <w:rFonts w:eastAsia="Fira Sans Light" w:cs="Arial"/>
          <w:bCs/>
          <w:color w:val="FF0000"/>
          <w:szCs w:val="19"/>
        </w:rPr>
        <w:t xml:space="preserve"> </w:t>
      </w:r>
      <w:r w:rsidRPr="00286BAC">
        <w:rPr>
          <w:rFonts w:eastAsia="Fira Sans Light" w:cs="Arial"/>
          <w:szCs w:val="19"/>
        </w:rPr>
        <w:t>„tekstylia, odzież, obuwie” (o 20,0%),</w:t>
      </w:r>
      <w:r w:rsidRPr="00286BAC">
        <w:rPr>
          <w:rFonts w:eastAsia="Fira Sans Light" w:cs="Arial"/>
          <w:bCs/>
          <w:szCs w:val="19"/>
        </w:rPr>
        <w:t xml:space="preserve"> „meble, RTV, AGD” (o 15,8%), „farmaceutyki, kosmetyki, sprzęt ortopedyczny” (o 10,4</w:t>
      </w:r>
      <w:r>
        <w:rPr>
          <w:rFonts w:eastAsia="Fira Sans Light" w:cs="Arial"/>
          <w:bCs/>
          <w:szCs w:val="19"/>
        </w:rPr>
        <w:t>%)</w:t>
      </w:r>
      <w:r w:rsidRPr="00286BAC">
        <w:rPr>
          <w:rFonts w:eastAsia="Fira Sans Light" w:cs="Arial"/>
          <w:bCs/>
          <w:szCs w:val="19"/>
        </w:rPr>
        <w:t xml:space="preserve"> oraz „p</w:t>
      </w:r>
      <w:r w:rsidRPr="00286BAC">
        <w:rPr>
          <w:rFonts w:eastAsia="Fira Sans Light" w:cs="Arial"/>
          <w:szCs w:val="19"/>
        </w:rPr>
        <w:t>rasa, książki, pozostała sprzedaż w wyspecjalizowanych sklepach” (o 4,0%).</w:t>
      </w:r>
      <w:r w:rsidRPr="00827BD3">
        <w:rPr>
          <w:rFonts w:eastAsia="Fira Sans Light" w:cs="Arial"/>
          <w:color w:val="FF0000"/>
          <w:szCs w:val="19"/>
        </w:rPr>
        <w:t xml:space="preserve">  </w:t>
      </w:r>
      <w:r w:rsidRPr="00286BAC">
        <w:rPr>
          <w:rFonts w:eastAsia="Fira Sans Light" w:cs="Arial"/>
          <w:bCs/>
          <w:szCs w:val="19"/>
        </w:rPr>
        <w:t>Spadek sprzedaży detalicznej wystąpił w jednostkach zajmujących się handlem żywnością, napojami i wyrobami tytoniowymi (o 16,0</w:t>
      </w:r>
      <w:r>
        <w:rPr>
          <w:rFonts w:eastAsia="Fira Sans Light" w:cs="Arial"/>
          <w:bCs/>
          <w:szCs w:val="19"/>
        </w:rPr>
        <w:t xml:space="preserve">%) oraz </w:t>
      </w:r>
      <w:r w:rsidRPr="00286BAC">
        <w:rPr>
          <w:rFonts w:eastAsia="Fira Sans Light" w:cs="Arial"/>
          <w:bCs/>
          <w:szCs w:val="19"/>
        </w:rPr>
        <w:t xml:space="preserve">pojazdami samochodowymi, motocyklami, częściami (o 10,1%), jak również pozostałą sprzedażą detaliczną w niewyspecjalizowanych sklepach (o 3,5%). </w:t>
      </w:r>
    </w:p>
    <w:p w:rsidR="00761B59" w:rsidRPr="00827BD3" w:rsidRDefault="00761B59" w:rsidP="00761B59">
      <w:pPr>
        <w:spacing w:before="100" w:after="0"/>
        <w:ind w:firstLine="284"/>
        <w:rPr>
          <w:rFonts w:eastAsia="Fira Sans Light" w:cs="Arial"/>
          <w:spacing w:val="-2"/>
          <w:szCs w:val="19"/>
        </w:rPr>
      </w:pPr>
      <w:r w:rsidRPr="00827BD3">
        <w:rPr>
          <w:rFonts w:eastAsia="Fira Sans Light" w:cs="Arial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61B59" w:rsidRPr="00827BD3" w:rsidTr="00A22C08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VIII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I–VIII 2021</w:t>
            </w:r>
          </w:p>
        </w:tc>
      </w:tr>
      <w:tr w:rsidR="00761B59" w:rsidRPr="00827BD3" w:rsidTr="00A22C08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61B59" w:rsidRPr="00827BD3" w:rsidRDefault="00761B59" w:rsidP="00A22C08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61B59" w:rsidRPr="00827BD3" w:rsidTr="00A22C08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827BD3">
              <w:rPr>
                <w:rFonts w:eastAsia="Fira Sans Light" w:cs="Times New Roman"/>
                <w:b/>
                <w:sz w:val="16"/>
                <w:szCs w:val="16"/>
                <w:vertAlign w:val="superscript"/>
              </w:rPr>
              <w:t>a</w:t>
            </w:r>
            <w:r w:rsidRPr="00827BD3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DA5350">
              <w:rPr>
                <w:rFonts w:eastAsia="Fira Sans Light" w:cs="Arial"/>
                <w:b/>
                <w:sz w:val="16"/>
                <w:szCs w:val="16"/>
              </w:rPr>
              <w:t>105,4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DA5350">
              <w:rPr>
                <w:rFonts w:eastAsia="Fira Sans Light" w:cs="Arial"/>
                <w:b/>
                <w:sz w:val="16"/>
                <w:szCs w:val="16"/>
              </w:rPr>
              <w:t>103,3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89,9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10,6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126,0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123,0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18,9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28,1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96,5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94,3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111,0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9,3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120,0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105,9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7,9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115,8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117,0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3,5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104,0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105,4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7,3</w:t>
            </w:r>
          </w:p>
        </w:tc>
      </w:tr>
      <w:tr w:rsidR="00761B59" w:rsidRPr="00827BD3" w:rsidTr="00A22C08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1B59" w:rsidRPr="00827BD3" w:rsidRDefault="00761B59" w:rsidP="00A22C08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827BD3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123,4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123,4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761B59" w:rsidRPr="00827BD3" w:rsidRDefault="00761B59" w:rsidP="00A22C08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A5350">
              <w:rPr>
                <w:rFonts w:eastAsia="Fira Sans Light" w:cs="Arial"/>
                <w:sz w:val="16"/>
                <w:szCs w:val="16"/>
              </w:rPr>
              <w:t>9,9</w:t>
            </w:r>
          </w:p>
        </w:tc>
      </w:tr>
    </w:tbl>
    <w:p w:rsidR="00761B59" w:rsidRPr="00827BD3" w:rsidRDefault="00761B59" w:rsidP="00761B59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761B59" w:rsidRPr="00827BD3" w:rsidRDefault="00761B59" w:rsidP="00761B59">
      <w:pPr>
        <w:spacing w:before="0" w:after="0" w:line="240" w:lineRule="auto"/>
        <w:ind w:firstLine="284"/>
        <w:rPr>
          <w:rFonts w:eastAsia="Times New Roman" w:cs="Arial"/>
          <w:bCs/>
          <w:color w:val="FF0000"/>
          <w:sz w:val="16"/>
          <w:szCs w:val="16"/>
          <w:lang w:eastAsia="pl-PL"/>
        </w:rPr>
      </w:pPr>
      <w:r w:rsidRPr="00827BD3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827BD3">
        <w:rPr>
          <w:rFonts w:eastAsia="Times New Roman" w:cs="Arial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</w:t>
      </w:r>
      <w:r>
        <w:rPr>
          <w:rFonts w:eastAsia="Times New Roman" w:cs="Arial"/>
          <w:sz w:val="16"/>
          <w:szCs w:val="16"/>
          <w:lang w:eastAsia="pl-PL"/>
        </w:rPr>
        <w:t xml:space="preserve">anem organizacyjnym. Odnotowane </w:t>
      </w:r>
      <w:r w:rsidRPr="00827BD3">
        <w:rPr>
          <w:rFonts w:eastAsia="Times New Roman" w:cs="Arial"/>
          <w:sz w:val="16"/>
          <w:szCs w:val="16"/>
          <w:lang w:eastAsia="pl-PL"/>
        </w:rPr>
        <w:t>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761B59" w:rsidRPr="00827BD3" w:rsidRDefault="00761B59" w:rsidP="00761B59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1B59" w:rsidRPr="00827BD3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8E6899">
        <w:rPr>
          <w:rFonts w:eastAsia="Times New Roman" w:cs="Arial"/>
          <w:bCs/>
          <w:szCs w:val="19"/>
          <w:lang w:eastAsia="pl-PL"/>
        </w:rPr>
        <w:t>W relacji do poprzedniego miesiąca sprzedaż detaliczna zmniejszyła się (o 0,5%). Najgłębszy spadek wystąpił w grupie</w:t>
      </w:r>
      <w:r w:rsidRPr="008E6899">
        <w:rPr>
          <w:rFonts w:eastAsia="Fira Sans Light" w:cs="Arial"/>
          <w:sz w:val="16"/>
          <w:szCs w:val="16"/>
        </w:rPr>
        <w:t xml:space="preserve"> „</w:t>
      </w:r>
      <w:r w:rsidRPr="008E6899">
        <w:rPr>
          <w:rFonts w:eastAsia="Times New Roman" w:cs="Arial"/>
          <w:bCs/>
          <w:szCs w:val="19"/>
          <w:lang w:eastAsia="pl-PL"/>
        </w:rPr>
        <w:t>pozostała sprzedaż detaliczna w niewyspecjalizowanych sklepach” (o 8,6%),</w:t>
      </w:r>
      <w:r w:rsidRPr="00827BD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8E6899">
        <w:rPr>
          <w:rFonts w:eastAsia="Times New Roman" w:cs="Arial"/>
          <w:bCs/>
          <w:szCs w:val="19"/>
          <w:lang w:eastAsia="pl-PL"/>
        </w:rPr>
        <w:t>a największy wzrost odnotowano w jednostkach zajmujących się handlem tekstyliami, odzieżą, obuwiem (o 13,9%).</w:t>
      </w:r>
    </w:p>
    <w:p w:rsidR="00761B59" w:rsidRPr="00827BD3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183D28">
        <w:rPr>
          <w:rFonts w:eastAsia="Times New Roman" w:cs="Arial"/>
          <w:bCs/>
          <w:szCs w:val="19"/>
          <w:lang w:eastAsia="pl-PL"/>
        </w:rPr>
        <w:t xml:space="preserve">Sprzedaż detaliczna w okresie </w:t>
      </w:r>
      <w:r w:rsidRPr="00183D28">
        <w:rPr>
          <w:rFonts w:eastAsia="Times New Roman" w:cs="Arial"/>
          <w:b/>
          <w:bCs/>
          <w:szCs w:val="19"/>
          <w:lang w:eastAsia="pl-PL"/>
        </w:rPr>
        <w:t>styczeń–sierpień</w:t>
      </w:r>
      <w:r w:rsidRPr="00183D28">
        <w:rPr>
          <w:rFonts w:eastAsia="Times New Roman" w:cs="Arial"/>
          <w:bCs/>
          <w:szCs w:val="19"/>
          <w:lang w:eastAsia="pl-PL"/>
        </w:rPr>
        <w:t xml:space="preserve"> </w:t>
      </w:r>
      <w:r w:rsidRPr="00183D28">
        <w:rPr>
          <w:rFonts w:eastAsia="Times New Roman" w:cs="Arial"/>
          <w:b/>
          <w:bCs/>
          <w:szCs w:val="19"/>
          <w:lang w:eastAsia="pl-PL"/>
        </w:rPr>
        <w:t>2021 r.</w:t>
      </w:r>
      <w:r w:rsidRPr="00183D28">
        <w:rPr>
          <w:rFonts w:eastAsia="Times New Roman" w:cs="Arial"/>
          <w:bCs/>
          <w:szCs w:val="19"/>
          <w:lang w:eastAsia="pl-PL"/>
        </w:rPr>
        <w:t xml:space="preserve"> zwiększyła się w ujęciu rocznym (o 3,3%). Wzrost sprzedaży odnotowano zwłaszcza w grupach „pozostałe” (o 23,4%) oraz „paliwa stałe, ciekłe i gazowe” (o 23,0%), a ponadto m.in. </w:t>
      </w:r>
      <w:r>
        <w:rPr>
          <w:rFonts w:eastAsia="Times New Roman" w:cs="Arial"/>
          <w:bCs/>
          <w:szCs w:val="19"/>
          <w:lang w:eastAsia="pl-PL"/>
        </w:rPr>
        <w:t xml:space="preserve">           </w:t>
      </w:r>
      <w:r w:rsidRPr="00183D28">
        <w:rPr>
          <w:rFonts w:eastAsia="Times New Roman" w:cs="Arial"/>
          <w:bCs/>
          <w:szCs w:val="19"/>
          <w:lang w:eastAsia="pl-PL"/>
        </w:rPr>
        <w:t>w grupie „meble, RTV, AGD” (o 17,0%).</w:t>
      </w:r>
      <w:r w:rsidRPr="00827BD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2E4C5A">
        <w:rPr>
          <w:rFonts w:eastAsia="Times New Roman" w:cs="Arial"/>
          <w:bCs/>
          <w:szCs w:val="19"/>
          <w:lang w:eastAsia="pl-PL"/>
        </w:rPr>
        <w:t>Spadek sprzedaży w omawianym okresie wystąpił przede wszystkim w jednostkach zajmujących się handlem żywnością, napojami i wyrobami tytoniowymi (o 14,4%).</w:t>
      </w:r>
    </w:p>
    <w:p w:rsidR="00761B59" w:rsidRPr="00A219FA" w:rsidRDefault="00761B59" w:rsidP="00761B59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A219FA">
        <w:rPr>
          <w:rFonts w:eastAsia="Times New Roman" w:cs="Arial"/>
          <w:b/>
          <w:bCs/>
          <w:szCs w:val="19"/>
          <w:lang w:eastAsia="pl-PL"/>
        </w:rPr>
        <w:t xml:space="preserve">Sprzedaż hurtowa </w:t>
      </w:r>
      <w:r w:rsidRPr="00A219FA">
        <w:rPr>
          <w:rFonts w:eastAsia="Times New Roman" w:cs="Arial"/>
          <w:bCs/>
          <w:szCs w:val="19"/>
          <w:lang w:eastAsia="pl-PL"/>
        </w:rPr>
        <w:t xml:space="preserve">(w cenach bieżących) w przedsiębiorstwach handlowych w sierpniu 2021 r. zwiększyła się w ujęciu rocznym (o 26,0%), natomiast spadła w relacji do poprzedniego miesiąca (o 2,8%). </w:t>
      </w:r>
      <w:r w:rsidRPr="00A219FA">
        <w:rPr>
          <w:rFonts w:eastAsia="Times New Roman" w:cs="Arial"/>
          <w:bCs/>
          <w:spacing w:val="-2"/>
          <w:szCs w:val="19"/>
          <w:lang w:eastAsia="pl-PL"/>
        </w:rPr>
        <w:t xml:space="preserve">W przedsiębiorstwach hurtowych omawiana sprzedaż wzrosła w skali roku (o 22,1%) oraz uległa obniżeniu w porównaniu z lipcem br. (o 2,9%). </w:t>
      </w:r>
    </w:p>
    <w:p w:rsidR="00761B59" w:rsidRPr="00827BD3" w:rsidRDefault="00761B59" w:rsidP="00761B59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A219FA">
        <w:rPr>
          <w:rFonts w:eastAsia="Times New Roman" w:cs="Arial"/>
          <w:bCs/>
          <w:szCs w:val="19"/>
          <w:lang w:eastAsia="pl-PL"/>
        </w:rPr>
        <w:t xml:space="preserve">Sprzedaż hurtowa w okresie </w:t>
      </w:r>
      <w:r w:rsidRPr="00A219FA">
        <w:rPr>
          <w:rFonts w:eastAsia="Times New Roman" w:cs="Arial"/>
          <w:b/>
          <w:bCs/>
          <w:szCs w:val="19"/>
          <w:lang w:eastAsia="pl-PL"/>
        </w:rPr>
        <w:t>styczeń–sierpień</w:t>
      </w:r>
      <w:r w:rsidRPr="00A219FA">
        <w:rPr>
          <w:rFonts w:eastAsia="Times New Roman" w:cs="Arial"/>
          <w:bCs/>
          <w:szCs w:val="19"/>
          <w:lang w:eastAsia="pl-PL"/>
        </w:rPr>
        <w:t xml:space="preserve"> </w:t>
      </w:r>
      <w:r w:rsidRPr="00A219FA">
        <w:rPr>
          <w:rFonts w:eastAsia="Times New Roman" w:cs="Arial"/>
          <w:b/>
          <w:bCs/>
          <w:szCs w:val="19"/>
          <w:lang w:eastAsia="pl-PL"/>
        </w:rPr>
        <w:t xml:space="preserve">2021 r. </w:t>
      </w:r>
      <w:r w:rsidRPr="00A219FA">
        <w:rPr>
          <w:rFonts w:eastAsia="Times New Roman" w:cs="Arial"/>
          <w:bCs/>
          <w:szCs w:val="19"/>
          <w:lang w:eastAsia="pl-PL"/>
        </w:rPr>
        <w:t xml:space="preserve">w przedsiębiorstwach handlowych i w przedsiębiorstwach hurtowych zwiększyła się w porównaniu z rokiem poprzednim (odpowiednio o 23,7% i 20,1%). </w:t>
      </w:r>
    </w:p>
    <w:p w:rsidR="00761B59" w:rsidRPr="00827BD3" w:rsidRDefault="00761B59" w:rsidP="00761B59">
      <w:pPr>
        <w:spacing w:before="0" w:after="0" w:line="240" w:lineRule="auto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00FCF" w:rsidRPr="003F3751" w:rsidRDefault="00761B59" w:rsidP="00761B59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A219FA">
        <w:rPr>
          <w:rFonts w:cs="Arial"/>
          <w:szCs w:val="19"/>
        </w:rPr>
        <w:t>***</w:t>
      </w:r>
    </w:p>
    <w:p w:rsidR="007662E1" w:rsidRDefault="007662E1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3C6501" w:rsidRDefault="003C6501" w:rsidP="003C6501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3C6501" w:rsidRPr="00F5323A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3C6501" w:rsidRPr="00037AF8" w:rsidRDefault="003C6501" w:rsidP="003C6501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037AF8">
        <w:rPr>
          <w:rFonts w:eastAsia="Calibri" w:cs="Times New Roman"/>
          <w:color w:val="000000" w:themeColor="text1"/>
          <w:szCs w:val="19"/>
        </w:rPr>
        <w:t>W sierpniu 2021 r. w województwie małopolskim 0,8% podmiotów gospodarczych, które złożyły meldunek DG1</w:t>
      </w:r>
      <w:r w:rsidRPr="00037AF8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037AF8">
        <w:rPr>
          <w:rFonts w:eastAsia="Calibri" w:cs="Times New Roman"/>
          <w:color w:val="000000" w:themeColor="text1"/>
          <w:szCs w:val="19"/>
        </w:rPr>
        <w:t xml:space="preserve">, wskazało pandemię COVID-19 jako czynnik wywołujący istotne zmiany w prowadzeniu działalności gospodarczej, a ich odsetek pozostał </w:t>
      </w:r>
      <w:r w:rsidRPr="00CC0DF2">
        <w:rPr>
          <w:rFonts w:eastAsia="Calibri" w:cs="Times New Roman"/>
          <w:color w:val="000000" w:themeColor="text1"/>
          <w:szCs w:val="19"/>
        </w:rPr>
        <w:t xml:space="preserve">na niezmienionym poziomie w porównaniu z miesiącem poprzednim. W kraju udział podmiotów doświadczających skutków COVID-19 wyniósł 0,6% (spadek o 0,1 p. proc.). Najwyższy odsetek jednostek, które raportowały zmiany spowodowane pandemią odnotowano w województwie pomorskim (0,9%), a najniższy w opolskim i podlaskim (po 0,1%). </w:t>
      </w:r>
      <w:r>
        <w:rPr>
          <w:rFonts w:eastAsia="Calibri" w:cs="Times New Roman"/>
          <w:color w:val="000000" w:themeColor="text1"/>
          <w:szCs w:val="19"/>
        </w:rPr>
        <w:t xml:space="preserve">           </w:t>
      </w:r>
      <w:r w:rsidRPr="00CC0DF2">
        <w:rPr>
          <w:rFonts w:eastAsia="Calibri" w:cs="Times New Roman"/>
          <w:color w:val="000000" w:themeColor="text1"/>
          <w:szCs w:val="19"/>
        </w:rPr>
        <w:t xml:space="preserve">W województwie lubuskim żaden podmiot nie wskazał </w:t>
      </w:r>
      <w:r>
        <w:rPr>
          <w:rFonts w:eastAsia="Calibri" w:cs="Times New Roman"/>
          <w:color w:val="000000" w:themeColor="text1"/>
          <w:szCs w:val="19"/>
        </w:rPr>
        <w:t xml:space="preserve">na </w:t>
      </w:r>
      <w:r w:rsidRPr="00CC0DF2">
        <w:rPr>
          <w:rFonts w:eastAsia="Calibri" w:cs="Times New Roman"/>
          <w:color w:val="000000" w:themeColor="text1"/>
          <w:szCs w:val="19"/>
        </w:rPr>
        <w:t>pandemię COVID-19 jako czynnik wywołujący istotne zmiany.</w:t>
      </w:r>
    </w:p>
    <w:p w:rsidR="003C6501" w:rsidRPr="00037AF8" w:rsidRDefault="003C6501" w:rsidP="003C6501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D9695D" w:rsidRDefault="003C6501" w:rsidP="003C6501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D9695D">
        <w:rPr>
          <w:rFonts w:eastAsia="Calibri" w:cs="Times New Roman"/>
          <w:b/>
          <w:color w:val="000000" w:themeColor="text1"/>
          <w:szCs w:val="19"/>
        </w:rPr>
        <w:t>Wykres 1</w:t>
      </w:r>
      <w:r w:rsidR="004F1AF4">
        <w:rPr>
          <w:rFonts w:eastAsia="Calibri" w:cs="Times New Roman"/>
          <w:b/>
          <w:color w:val="000000" w:themeColor="text1"/>
          <w:szCs w:val="19"/>
        </w:rPr>
        <w:t>4</w:t>
      </w:r>
      <w:r w:rsidRPr="00D9695D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3C6501" w:rsidRPr="00037AF8" w:rsidRDefault="003C6501" w:rsidP="003C6501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 w:rsidRPr="00D9695D">
        <w:rPr>
          <w:noProof/>
          <w:lang w:eastAsia="pl-PL"/>
        </w:rPr>
        <w:drawing>
          <wp:anchor distT="0" distB="0" distL="114300" distR="114300" simplePos="0" relativeHeight="251948544" behindDoc="1" locked="0" layoutInCell="1" allowOverlap="1" wp14:anchorId="5EF46786" wp14:editId="61346E46">
            <wp:simplePos x="0" y="0"/>
            <wp:positionH relativeFrom="page">
              <wp:align>center</wp:align>
            </wp:positionH>
            <wp:positionV relativeFrom="page">
              <wp:posOffset>1898650</wp:posOffset>
            </wp:positionV>
            <wp:extent cx="4575325" cy="2408400"/>
            <wp:effectExtent l="0" t="0" r="0" b="0"/>
            <wp:wrapNone/>
            <wp:docPr id="96" name="Obraz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325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3C6501" w:rsidRPr="00970EDA" w:rsidRDefault="003C6501" w:rsidP="003C6501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970EDA">
        <w:rPr>
          <w:rFonts w:eastAsia="Calibri" w:cs="Times New Roman"/>
          <w:color w:val="000000" w:themeColor="text1"/>
          <w:szCs w:val="19"/>
        </w:rPr>
        <w:t xml:space="preserve">W sierpniu 2021 r. w województwie, podobnie jak w kraju, przedsiębiorstwa najczęściej sygnalizujące zmiany związane                    z pandemią COVID-19 prowadziły działalność w zakresie zakwaterowania i gastronomii (7,8%, w kraju 3,6%). </w:t>
      </w:r>
    </w:p>
    <w:p w:rsidR="003C6501" w:rsidRPr="00037AF8" w:rsidRDefault="003C6501" w:rsidP="003C6501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915226" w:rsidRDefault="003C6501" w:rsidP="003C6501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915226">
        <w:rPr>
          <w:rFonts w:eastAsia="Calibri" w:cs="Times New Roman"/>
          <w:b/>
          <w:color w:val="000000" w:themeColor="text1"/>
          <w:szCs w:val="19"/>
        </w:rPr>
        <w:t>Wykres 1</w:t>
      </w:r>
      <w:r w:rsidR="004F1AF4">
        <w:rPr>
          <w:rFonts w:eastAsia="Calibri" w:cs="Times New Roman"/>
          <w:b/>
          <w:color w:val="000000" w:themeColor="text1"/>
          <w:szCs w:val="19"/>
        </w:rPr>
        <w:t>5</w:t>
      </w:r>
      <w:r w:rsidRPr="00915226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3C6501" w:rsidRPr="00037AF8" w:rsidRDefault="003C6501" w:rsidP="003C6501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>
        <w:rPr>
          <w:rFonts w:ascii="Fira Sans SemiBold" w:eastAsia="Times New Roman" w:hAnsi="Fira Sans SemiBold" w:cs="Times New Roman"/>
          <w:bCs/>
          <w:noProof/>
          <w:color w:val="522398"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949568" behindDoc="0" locked="0" layoutInCell="1" allowOverlap="1" wp14:anchorId="3377512B" wp14:editId="03719B04">
                <wp:simplePos x="0" y="0"/>
                <wp:positionH relativeFrom="page">
                  <wp:align>center</wp:align>
                </wp:positionH>
                <wp:positionV relativeFrom="paragraph">
                  <wp:posOffset>24130</wp:posOffset>
                </wp:positionV>
                <wp:extent cx="6652800" cy="3063600"/>
                <wp:effectExtent l="0" t="0" r="0" b="3810"/>
                <wp:wrapNone/>
                <wp:docPr id="97" name="Kanwa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2" name="Freeform 8"/>
                        <wps:cNvSpPr>
                          <a:spLocks noEditPoints="1"/>
                        </wps:cNvSpPr>
                        <wps:spPr bwMode="auto">
                          <a:xfrm>
                            <a:off x="288290" y="201930"/>
                            <a:ext cx="5882005" cy="1548130"/>
                          </a:xfrm>
                          <a:custGeom>
                            <a:avLst/>
                            <a:gdLst>
                              <a:gd name="T0" fmla="*/ 0 w 9263"/>
                              <a:gd name="T1" fmla="*/ 2424 h 2438"/>
                              <a:gd name="T2" fmla="*/ 9263 w 9263"/>
                              <a:gd name="T3" fmla="*/ 2424 h 2438"/>
                              <a:gd name="T4" fmla="*/ 9263 w 9263"/>
                              <a:gd name="T5" fmla="*/ 2438 h 2438"/>
                              <a:gd name="T6" fmla="*/ 0 w 9263"/>
                              <a:gd name="T7" fmla="*/ 2438 h 2438"/>
                              <a:gd name="T8" fmla="*/ 0 w 9263"/>
                              <a:gd name="T9" fmla="*/ 2424 h 2438"/>
                              <a:gd name="T10" fmla="*/ 0 w 9263"/>
                              <a:gd name="T11" fmla="*/ 2078 h 2438"/>
                              <a:gd name="T12" fmla="*/ 9263 w 9263"/>
                              <a:gd name="T13" fmla="*/ 2078 h 2438"/>
                              <a:gd name="T14" fmla="*/ 9263 w 9263"/>
                              <a:gd name="T15" fmla="*/ 2091 h 2438"/>
                              <a:gd name="T16" fmla="*/ 0 w 9263"/>
                              <a:gd name="T17" fmla="*/ 2091 h 2438"/>
                              <a:gd name="T18" fmla="*/ 0 w 9263"/>
                              <a:gd name="T19" fmla="*/ 2078 h 2438"/>
                              <a:gd name="T20" fmla="*/ 0 w 9263"/>
                              <a:gd name="T21" fmla="*/ 1732 h 2438"/>
                              <a:gd name="T22" fmla="*/ 9263 w 9263"/>
                              <a:gd name="T23" fmla="*/ 1732 h 2438"/>
                              <a:gd name="T24" fmla="*/ 9263 w 9263"/>
                              <a:gd name="T25" fmla="*/ 1745 h 2438"/>
                              <a:gd name="T26" fmla="*/ 0 w 9263"/>
                              <a:gd name="T27" fmla="*/ 1745 h 2438"/>
                              <a:gd name="T28" fmla="*/ 0 w 9263"/>
                              <a:gd name="T29" fmla="*/ 1732 h 2438"/>
                              <a:gd name="T30" fmla="*/ 0 w 9263"/>
                              <a:gd name="T31" fmla="*/ 1385 h 2438"/>
                              <a:gd name="T32" fmla="*/ 9263 w 9263"/>
                              <a:gd name="T33" fmla="*/ 1385 h 2438"/>
                              <a:gd name="T34" fmla="*/ 9263 w 9263"/>
                              <a:gd name="T35" fmla="*/ 1399 h 2438"/>
                              <a:gd name="T36" fmla="*/ 0 w 9263"/>
                              <a:gd name="T37" fmla="*/ 1399 h 2438"/>
                              <a:gd name="T38" fmla="*/ 0 w 9263"/>
                              <a:gd name="T39" fmla="*/ 1385 h 2438"/>
                              <a:gd name="T40" fmla="*/ 0 w 9263"/>
                              <a:gd name="T41" fmla="*/ 1039 h 2438"/>
                              <a:gd name="T42" fmla="*/ 9263 w 9263"/>
                              <a:gd name="T43" fmla="*/ 1039 h 2438"/>
                              <a:gd name="T44" fmla="*/ 9263 w 9263"/>
                              <a:gd name="T45" fmla="*/ 1053 h 2438"/>
                              <a:gd name="T46" fmla="*/ 0 w 9263"/>
                              <a:gd name="T47" fmla="*/ 1053 h 2438"/>
                              <a:gd name="T48" fmla="*/ 0 w 9263"/>
                              <a:gd name="T49" fmla="*/ 1039 h 2438"/>
                              <a:gd name="T50" fmla="*/ 0 w 9263"/>
                              <a:gd name="T51" fmla="*/ 693 h 2438"/>
                              <a:gd name="T52" fmla="*/ 9263 w 9263"/>
                              <a:gd name="T53" fmla="*/ 693 h 2438"/>
                              <a:gd name="T54" fmla="*/ 9263 w 9263"/>
                              <a:gd name="T55" fmla="*/ 706 h 2438"/>
                              <a:gd name="T56" fmla="*/ 0 w 9263"/>
                              <a:gd name="T57" fmla="*/ 706 h 2438"/>
                              <a:gd name="T58" fmla="*/ 0 w 9263"/>
                              <a:gd name="T59" fmla="*/ 693 h 2438"/>
                              <a:gd name="T60" fmla="*/ 0 w 9263"/>
                              <a:gd name="T61" fmla="*/ 346 h 2438"/>
                              <a:gd name="T62" fmla="*/ 9263 w 9263"/>
                              <a:gd name="T63" fmla="*/ 346 h 2438"/>
                              <a:gd name="T64" fmla="*/ 9263 w 9263"/>
                              <a:gd name="T65" fmla="*/ 360 h 2438"/>
                              <a:gd name="T66" fmla="*/ 0 w 9263"/>
                              <a:gd name="T67" fmla="*/ 360 h 2438"/>
                              <a:gd name="T68" fmla="*/ 0 w 9263"/>
                              <a:gd name="T69" fmla="*/ 346 h 2438"/>
                              <a:gd name="T70" fmla="*/ 0 w 9263"/>
                              <a:gd name="T71" fmla="*/ 0 h 2438"/>
                              <a:gd name="T72" fmla="*/ 9263 w 9263"/>
                              <a:gd name="T73" fmla="*/ 0 h 2438"/>
                              <a:gd name="T74" fmla="*/ 9263 w 9263"/>
                              <a:gd name="T75" fmla="*/ 14 h 2438"/>
                              <a:gd name="T76" fmla="*/ 0 w 9263"/>
                              <a:gd name="T77" fmla="*/ 14 h 2438"/>
                              <a:gd name="T78" fmla="*/ 0 w 9263"/>
                              <a:gd name="T79" fmla="*/ 0 h 2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263" h="2438">
                                <a:moveTo>
                                  <a:pt x="0" y="2424"/>
                                </a:moveTo>
                                <a:lnTo>
                                  <a:pt x="9263" y="2424"/>
                                </a:lnTo>
                                <a:lnTo>
                                  <a:pt x="9263" y="2438"/>
                                </a:lnTo>
                                <a:lnTo>
                                  <a:pt x="0" y="2438"/>
                                </a:lnTo>
                                <a:lnTo>
                                  <a:pt x="0" y="2424"/>
                                </a:lnTo>
                                <a:close/>
                                <a:moveTo>
                                  <a:pt x="0" y="2078"/>
                                </a:moveTo>
                                <a:lnTo>
                                  <a:pt x="9263" y="2078"/>
                                </a:lnTo>
                                <a:lnTo>
                                  <a:pt x="9263" y="2091"/>
                                </a:lnTo>
                                <a:lnTo>
                                  <a:pt x="0" y="2091"/>
                                </a:lnTo>
                                <a:lnTo>
                                  <a:pt x="0" y="2078"/>
                                </a:lnTo>
                                <a:close/>
                                <a:moveTo>
                                  <a:pt x="0" y="1732"/>
                                </a:moveTo>
                                <a:lnTo>
                                  <a:pt x="9263" y="1732"/>
                                </a:lnTo>
                                <a:lnTo>
                                  <a:pt x="9263" y="1745"/>
                                </a:lnTo>
                                <a:lnTo>
                                  <a:pt x="0" y="1745"/>
                                </a:lnTo>
                                <a:lnTo>
                                  <a:pt x="0" y="1732"/>
                                </a:lnTo>
                                <a:close/>
                                <a:moveTo>
                                  <a:pt x="0" y="1385"/>
                                </a:moveTo>
                                <a:lnTo>
                                  <a:pt x="9263" y="1385"/>
                                </a:lnTo>
                                <a:lnTo>
                                  <a:pt x="9263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385"/>
                                </a:lnTo>
                                <a:close/>
                                <a:moveTo>
                                  <a:pt x="0" y="1039"/>
                                </a:moveTo>
                                <a:lnTo>
                                  <a:pt x="9263" y="1039"/>
                                </a:lnTo>
                                <a:lnTo>
                                  <a:pt x="9263" y="1053"/>
                                </a:lnTo>
                                <a:lnTo>
                                  <a:pt x="0" y="1053"/>
                                </a:lnTo>
                                <a:lnTo>
                                  <a:pt x="0" y="1039"/>
                                </a:lnTo>
                                <a:close/>
                                <a:moveTo>
                                  <a:pt x="0" y="693"/>
                                </a:moveTo>
                                <a:lnTo>
                                  <a:pt x="9263" y="693"/>
                                </a:lnTo>
                                <a:lnTo>
                                  <a:pt x="9263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693"/>
                                </a:lnTo>
                                <a:close/>
                                <a:moveTo>
                                  <a:pt x="0" y="346"/>
                                </a:moveTo>
                                <a:lnTo>
                                  <a:pt x="9263" y="346"/>
                                </a:lnTo>
                                <a:lnTo>
                                  <a:pt x="9263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34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263" y="0"/>
                                </a:lnTo>
                                <a:lnTo>
                                  <a:pt x="9263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9"/>
                        <wps:cNvSpPr>
                          <a:spLocks noEditPoints="1"/>
                        </wps:cNvSpPr>
                        <wps:spPr bwMode="auto">
                          <a:xfrm>
                            <a:off x="328295" y="1196340"/>
                            <a:ext cx="5590540" cy="768985"/>
                          </a:xfrm>
                          <a:custGeom>
                            <a:avLst/>
                            <a:gdLst>
                              <a:gd name="T0" fmla="*/ 84 w 8804"/>
                              <a:gd name="T1" fmla="*/ 0 h 1211"/>
                              <a:gd name="T2" fmla="*/ 0 w 8804"/>
                              <a:gd name="T3" fmla="*/ 1211 h 1211"/>
                              <a:gd name="T4" fmla="*/ 546 w 8804"/>
                              <a:gd name="T5" fmla="*/ 75 h 1211"/>
                              <a:gd name="T6" fmla="*/ 630 w 8804"/>
                              <a:gd name="T7" fmla="*/ 1211 h 1211"/>
                              <a:gd name="T8" fmla="*/ 546 w 8804"/>
                              <a:gd name="T9" fmla="*/ 75 h 1211"/>
                              <a:gd name="T10" fmla="*/ 1175 w 8804"/>
                              <a:gd name="T11" fmla="*/ 460 h 1211"/>
                              <a:gd name="T12" fmla="*/ 1091 w 8804"/>
                              <a:gd name="T13" fmla="*/ 1211 h 1211"/>
                              <a:gd name="T14" fmla="*/ 1635 w 8804"/>
                              <a:gd name="T15" fmla="*/ 679 h 1211"/>
                              <a:gd name="T16" fmla="*/ 1718 w 8804"/>
                              <a:gd name="T17" fmla="*/ 1211 h 1211"/>
                              <a:gd name="T18" fmla="*/ 1635 w 8804"/>
                              <a:gd name="T19" fmla="*/ 679 h 1211"/>
                              <a:gd name="T20" fmla="*/ 2264 w 8804"/>
                              <a:gd name="T21" fmla="*/ 774 h 1211"/>
                              <a:gd name="T22" fmla="*/ 2180 w 8804"/>
                              <a:gd name="T23" fmla="*/ 1211 h 1211"/>
                              <a:gd name="T24" fmla="*/ 2726 w 8804"/>
                              <a:gd name="T25" fmla="*/ 917 h 1211"/>
                              <a:gd name="T26" fmla="*/ 2810 w 8804"/>
                              <a:gd name="T27" fmla="*/ 1211 h 1211"/>
                              <a:gd name="T28" fmla="*/ 2726 w 8804"/>
                              <a:gd name="T29" fmla="*/ 917 h 1211"/>
                              <a:gd name="T30" fmla="*/ 3355 w 8804"/>
                              <a:gd name="T31" fmla="*/ 974 h 1211"/>
                              <a:gd name="T32" fmla="*/ 3269 w 8804"/>
                              <a:gd name="T33" fmla="*/ 1211 h 1211"/>
                              <a:gd name="T34" fmla="*/ 3815 w 8804"/>
                              <a:gd name="T35" fmla="*/ 992 h 1211"/>
                              <a:gd name="T36" fmla="*/ 3898 w 8804"/>
                              <a:gd name="T37" fmla="*/ 1211 h 1211"/>
                              <a:gd name="T38" fmla="*/ 3815 w 8804"/>
                              <a:gd name="T39" fmla="*/ 992 h 1211"/>
                              <a:gd name="T40" fmla="*/ 4444 w 8804"/>
                              <a:gd name="T41" fmla="*/ 992 h 1211"/>
                              <a:gd name="T42" fmla="*/ 4360 w 8804"/>
                              <a:gd name="T43" fmla="*/ 1211 h 1211"/>
                              <a:gd name="T44" fmla="*/ 4906 w 8804"/>
                              <a:gd name="T45" fmla="*/ 1152 h 1211"/>
                              <a:gd name="T46" fmla="*/ 4990 w 8804"/>
                              <a:gd name="T47" fmla="*/ 1211 h 1211"/>
                              <a:gd name="T48" fmla="*/ 4906 w 8804"/>
                              <a:gd name="T49" fmla="*/ 1152 h 1211"/>
                              <a:gd name="T50" fmla="*/ 5533 w 8804"/>
                              <a:gd name="T51" fmla="*/ 1073 h 1211"/>
                              <a:gd name="T52" fmla="*/ 5449 w 8804"/>
                              <a:gd name="T53" fmla="*/ 1211 h 1211"/>
                              <a:gd name="T54" fmla="*/ 5995 w 8804"/>
                              <a:gd name="T55" fmla="*/ 1107 h 1211"/>
                              <a:gd name="T56" fmla="*/ 6078 w 8804"/>
                              <a:gd name="T57" fmla="*/ 1211 h 1211"/>
                              <a:gd name="T58" fmla="*/ 5995 w 8804"/>
                              <a:gd name="T59" fmla="*/ 1107 h 1211"/>
                              <a:gd name="T60" fmla="*/ 6624 w 8804"/>
                              <a:gd name="T61" fmla="*/ 1003 h 1211"/>
                              <a:gd name="T62" fmla="*/ 6540 w 8804"/>
                              <a:gd name="T63" fmla="*/ 1211 h 1211"/>
                              <a:gd name="T64" fmla="*/ 7084 w 8804"/>
                              <a:gd name="T65" fmla="*/ 1062 h 1211"/>
                              <a:gd name="T66" fmla="*/ 7167 w 8804"/>
                              <a:gd name="T67" fmla="*/ 1211 h 1211"/>
                              <a:gd name="T68" fmla="*/ 7084 w 8804"/>
                              <a:gd name="T69" fmla="*/ 1062 h 1211"/>
                              <a:gd name="T70" fmla="*/ 7713 w 8804"/>
                              <a:gd name="T71" fmla="*/ 1107 h 1211"/>
                              <a:gd name="T72" fmla="*/ 7629 w 8804"/>
                              <a:gd name="T73" fmla="*/ 1211 h 1211"/>
                              <a:gd name="T74" fmla="*/ 8175 w 8804"/>
                              <a:gd name="T75" fmla="*/ 1152 h 1211"/>
                              <a:gd name="T76" fmla="*/ 8258 w 8804"/>
                              <a:gd name="T77" fmla="*/ 1211 h 1211"/>
                              <a:gd name="T78" fmla="*/ 8175 w 8804"/>
                              <a:gd name="T79" fmla="*/ 1152 h 1211"/>
                              <a:gd name="T80" fmla="*/ 8804 w 8804"/>
                              <a:gd name="T81" fmla="*/ 1164 h 1211"/>
                              <a:gd name="T82" fmla="*/ 8720 w 8804"/>
                              <a:gd name="T83" fmla="*/ 1211 h 1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8804" h="1211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1211"/>
                                </a:lnTo>
                                <a:lnTo>
                                  <a:pt x="0" y="121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6" y="75"/>
                                </a:moveTo>
                                <a:lnTo>
                                  <a:pt x="630" y="75"/>
                                </a:lnTo>
                                <a:lnTo>
                                  <a:pt x="630" y="1211"/>
                                </a:lnTo>
                                <a:lnTo>
                                  <a:pt x="546" y="1211"/>
                                </a:lnTo>
                                <a:lnTo>
                                  <a:pt x="546" y="75"/>
                                </a:lnTo>
                                <a:close/>
                                <a:moveTo>
                                  <a:pt x="1091" y="460"/>
                                </a:moveTo>
                                <a:lnTo>
                                  <a:pt x="1175" y="460"/>
                                </a:lnTo>
                                <a:lnTo>
                                  <a:pt x="1175" y="1211"/>
                                </a:lnTo>
                                <a:lnTo>
                                  <a:pt x="1091" y="1211"/>
                                </a:lnTo>
                                <a:lnTo>
                                  <a:pt x="1091" y="460"/>
                                </a:lnTo>
                                <a:close/>
                                <a:moveTo>
                                  <a:pt x="1635" y="679"/>
                                </a:moveTo>
                                <a:lnTo>
                                  <a:pt x="1718" y="679"/>
                                </a:lnTo>
                                <a:lnTo>
                                  <a:pt x="1718" y="1211"/>
                                </a:lnTo>
                                <a:lnTo>
                                  <a:pt x="1635" y="1211"/>
                                </a:lnTo>
                                <a:lnTo>
                                  <a:pt x="1635" y="679"/>
                                </a:lnTo>
                                <a:close/>
                                <a:moveTo>
                                  <a:pt x="2180" y="774"/>
                                </a:moveTo>
                                <a:lnTo>
                                  <a:pt x="2264" y="774"/>
                                </a:lnTo>
                                <a:lnTo>
                                  <a:pt x="2264" y="1211"/>
                                </a:lnTo>
                                <a:lnTo>
                                  <a:pt x="2180" y="1211"/>
                                </a:lnTo>
                                <a:lnTo>
                                  <a:pt x="2180" y="774"/>
                                </a:lnTo>
                                <a:close/>
                                <a:moveTo>
                                  <a:pt x="2726" y="917"/>
                                </a:moveTo>
                                <a:lnTo>
                                  <a:pt x="2810" y="917"/>
                                </a:lnTo>
                                <a:lnTo>
                                  <a:pt x="2810" y="1211"/>
                                </a:lnTo>
                                <a:lnTo>
                                  <a:pt x="2726" y="1211"/>
                                </a:lnTo>
                                <a:lnTo>
                                  <a:pt x="2726" y="917"/>
                                </a:lnTo>
                                <a:close/>
                                <a:moveTo>
                                  <a:pt x="3269" y="974"/>
                                </a:moveTo>
                                <a:lnTo>
                                  <a:pt x="3355" y="974"/>
                                </a:lnTo>
                                <a:lnTo>
                                  <a:pt x="3355" y="1211"/>
                                </a:lnTo>
                                <a:lnTo>
                                  <a:pt x="3269" y="1211"/>
                                </a:lnTo>
                                <a:lnTo>
                                  <a:pt x="3269" y="974"/>
                                </a:lnTo>
                                <a:close/>
                                <a:moveTo>
                                  <a:pt x="3815" y="992"/>
                                </a:moveTo>
                                <a:lnTo>
                                  <a:pt x="3898" y="992"/>
                                </a:lnTo>
                                <a:lnTo>
                                  <a:pt x="3898" y="1211"/>
                                </a:lnTo>
                                <a:lnTo>
                                  <a:pt x="3815" y="1211"/>
                                </a:lnTo>
                                <a:lnTo>
                                  <a:pt x="3815" y="992"/>
                                </a:lnTo>
                                <a:close/>
                                <a:moveTo>
                                  <a:pt x="4360" y="992"/>
                                </a:moveTo>
                                <a:lnTo>
                                  <a:pt x="4444" y="992"/>
                                </a:lnTo>
                                <a:lnTo>
                                  <a:pt x="4444" y="1211"/>
                                </a:lnTo>
                                <a:lnTo>
                                  <a:pt x="4360" y="1211"/>
                                </a:lnTo>
                                <a:lnTo>
                                  <a:pt x="4360" y="992"/>
                                </a:lnTo>
                                <a:close/>
                                <a:moveTo>
                                  <a:pt x="4906" y="1152"/>
                                </a:moveTo>
                                <a:lnTo>
                                  <a:pt x="4990" y="1152"/>
                                </a:lnTo>
                                <a:lnTo>
                                  <a:pt x="4990" y="1211"/>
                                </a:lnTo>
                                <a:lnTo>
                                  <a:pt x="4906" y="1211"/>
                                </a:lnTo>
                                <a:lnTo>
                                  <a:pt x="4906" y="1152"/>
                                </a:lnTo>
                                <a:close/>
                                <a:moveTo>
                                  <a:pt x="5449" y="1073"/>
                                </a:moveTo>
                                <a:lnTo>
                                  <a:pt x="5533" y="1073"/>
                                </a:lnTo>
                                <a:lnTo>
                                  <a:pt x="5533" y="1211"/>
                                </a:lnTo>
                                <a:lnTo>
                                  <a:pt x="5449" y="1211"/>
                                </a:lnTo>
                                <a:lnTo>
                                  <a:pt x="5449" y="1073"/>
                                </a:lnTo>
                                <a:close/>
                                <a:moveTo>
                                  <a:pt x="5995" y="1107"/>
                                </a:moveTo>
                                <a:lnTo>
                                  <a:pt x="6078" y="1107"/>
                                </a:lnTo>
                                <a:lnTo>
                                  <a:pt x="6078" y="1211"/>
                                </a:lnTo>
                                <a:lnTo>
                                  <a:pt x="5995" y="1211"/>
                                </a:lnTo>
                                <a:lnTo>
                                  <a:pt x="5995" y="1107"/>
                                </a:lnTo>
                                <a:close/>
                                <a:moveTo>
                                  <a:pt x="6540" y="1003"/>
                                </a:moveTo>
                                <a:lnTo>
                                  <a:pt x="6624" y="1003"/>
                                </a:lnTo>
                                <a:lnTo>
                                  <a:pt x="6624" y="1211"/>
                                </a:lnTo>
                                <a:lnTo>
                                  <a:pt x="6540" y="1211"/>
                                </a:lnTo>
                                <a:lnTo>
                                  <a:pt x="6540" y="1003"/>
                                </a:lnTo>
                                <a:close/>
                                <a:moveTo>
                                  <a:pt x="7084" y="1062"/>
                                </a:moveTo>
                                <a:lnTo>
                                  <a:pt x="7167" y="1062"/>
                                </a:lnTo>
                                <a:lnTo>
                                  <a:pt x="7167" y="1211"/>
                                </a:lnTo>
                                <a:lnTo>
                                  <a:pt x="7084" y="1211"/>
                                </a:lnTo>
                                <a:lnTo>
                                  <a:pt x="7084" y="1062"/>
                                </a:lnTo>
                                <a:close/>
                                <a:moveTo>
                                  <a:pt x="7629" y="1107"/>
                                </a:moveTo>
                                <a:lnTo>
                                  <a:pt x="7713" y="1107"/>
                                </a:lnTo>
                                <a:lnTo>
                                  <a:pt x="7713" y="1211"/>
                                </a:lnTo>
                                <a:lnTo>
                                  <a:pt x="7629" y="1211"/>
                                </a:lnTo>
                                <a:lnTo>
                                  <a:pt x="7629" y="1107"/>
                                </a:lnTo>
                                <a:close/>
                                <a:moveTo>
                                  <a:pt x="8175" y="1152"/>
                                </a:moveTo>
                                <a:lnTo>
                                  <a:pt x="8258" y="1152"/>
                                </a:lnTo>
                                <a:lnTo>
                                  <a:pt x="8258" y="1211"/>
                                </a:lnTo>
                                <a:lnTo>
                                  <a:pt x="8175" y="1211"/>
                                </a:lnTo>
                                <a:lnTo>
                                  <a:pt x="8175" y="1152"/>
                                </a:lnTo>
                                <a:close/>
                                <a:moveTo>
                                  <a:pt x="8720" y="1164"/>
                                </a:moveTo>
                                <a:lnTo>
                                  <a:pt x="8804" y="1164"/>
                                </a:lnTo>
                                <a:lnTo>
                                  <a:pt x="8804" y="1211"/>
                                </a:lnTo>
                                <a:lnTo>
                                  <a:pt x="8720" y="1211"/>
                                </a:lnTo>
                                <a:lnTo>
                                  <a:pt x="8720" y="1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 noEditPoints="1"/>
                        </wps:cNvSpPr>
                        <wps:spPr bwMode="auto">
                          <a:xfrm>
                            <a:off x="381635" y="1596390"/>
                            <a:ext cx="5590540" cy="368935"/>
                          </a:xfrm>
                          <a:custGeom>
                            <a:avLst/>
                            <a:gdLst>
                              <a:gd name="T0" fmla="*/ 84 w 8804"/>
                              <a:gd name="T1" fmla="*/ 0 h 581"/>
                              <a:gd name="T2" fmla="*/ 0 w 8804"/>
                              <a:gd name="T3" fmla="*/ 581 h 581"/>
                              <a:gd name="T4" fmla="*/ 546 w 8804"/>
                              <a:gd name="T5" fmla="*/ 36 h 581"/>
                              <a:gd name="T6" fmla="*/ 629 w 8804"/>
                              <a:gd name="T7" fmla="*/ 581 h 581"/>
                              <a:gd name="T8" fmla="*/ 546 w 8804"/>
                              <a:gd name="T9" fmla="*/ 36 h 581"/>
                              <a:gd name="T10" fmla="*/ 1175 w 8804"/>
                              <a:gd name="T11" fmla="*/ 319 h 581"/>
                              <a:gd name="T12" fmla="*/ 1091 w 8804"/>
                              <a:gd name="T13" fmla="*/ 581 h 581"/>
                              <a:gd name="T14" fmla="*/ 1634 w 8804"/>
                              <a:gd name="T15" fmla="*/ 325 h 581"/>
                              <a:gd name="T16" fmla="*/ 1718 w 8804"/>
                              <a:gd name="T17" fmla="*/ 581 h 581"/>
                              <a:gd name="T18" fmla="*/ 1634 w 8804"/>
                              <a:gd name="T19" fmla="*/ 325 h 581"/>
                              <a:gd name="T20" fmla="*/ 2264 w 8804"/>
                              <a:gd name="T21" fmla="*/ 140 h 581"/>
                              <a:gd name="T22" fmla="*/ 2180 w 8804"/>
                              <a:gd name="T23" fmla="*/ 581 h 581"/>
                              <a:gd name="T24" fmla="*/ 2726 w 8804"/>
                              <a:gd name="T25" fmla="*/ 470 h 581"/>
                              <a:gd name="T26" fmla="*/ 2809 w 8804"/>
                              <a:gd name="T27" fmla="*/ 581 h 581"/>
                              <a:gd name="T28" fmla="*/ 2726 w 8804"/>
                              <a:gd name="T29" fmla="*/ 470 h 581"/>
                              <a:gd name="T30" fmla="*/ 3355 w 8804"/>
                              <a:gd name="T31" fmla="*/ 251 h 581"/>
                              <a:gd name="T32" fmla="*/ 3271 w 8804"/>
                              <a:gd name="T33" fmla="*/ 581 h 581"/>
                              <a:gd name="T34" fmla="*/ 3814 w 8804"/>
                              <a:gd name="T35" fmla="*/ 396 h 581"/>
                              <a:gd name="T36" fmla="*/ 3898 w 8804"/>
                              <a:gd name="T37" fmla="*/ 581 h 581"/>
                              <a:gd name="T38" fmla="*/ 3814 w 8804"/>
                              <a:gd name="T39" fmla="*/ 396 h 581"/>
                              <a:gd name="T40" fmla="*/ 4444 w 8804"/>
                              <a:gd name="T41" fmla="*/ 432 h 581"/>
                              <a:gd name="T42" fmla="*/ 4360 w 8804"/>
                              <a:gd name="T43" fmla="*/ 581 h 581"/>
                              <a:gd name="T44" fmla="*/ 5449 w 8804"/>
                              <a:gd name="T45" fmla="*/ 500 h 581"/>
                              <a:gd name="T46" fmla="*/ 5533 w 8804"/>
                              <a:gd name="T47" fmla="*/ 581 h 581"/>
                              <a:gd name="T48" fmla="*/ 5449 w 8804"/>
                              <a:gd name="T49" fmla="*/ 500 h 581"/>
                              <a:gd name="T50" fmla="*/ 6078 w 8804"/>
                              <a:gd name="T51" fmla="*/ 500 h 581"/>
                              <a:gd name="T52" fmla="*/ 5994 w 8804"/>
                              <a:gd name="T53" fmla="*/ 581 h 581"/>
                              <a:gd name="T54" fmla="*/ 6540 w 8804"/>
                              <a:gd name="T55" fmla="*/ 500 h 581"/>
                              <a:gd name="T56" fmla="*/ 6624 w 8804"/>
                              <a:gd name="T57" fmla="*/ 581 h 581"/>
                              <a:gd name="T58" fmla="*/ 6540 w 8804"/>
                              <a:gd name="T59" fmla="*/ 500 h 581"/>
                              <a:gd name="T60" fmla="*/ 7167 w 8804"/>
                              <a:gd name="T61" fmla="*/ 466 h 581"/>
                              <a:gd name="T62" fmla="*/ 7083 w 8804"/>
                              <a:gd name="T63" fmla="*/ 581 h 581"/>
                              <a:gd name="T64" fmla="*/ 8720 w 8804"/>
                              <a:gd name="T65" fmla="*/ 500 h 581"/>
                              <a:gd name="T66" fmla="*/ 8804 w 8804"/>
                              <a:gd name="T67" fmla="*/ 581 h 581"/>
                              <a:gd name="T68" fmla="*/ 8720 w 8804"/>
                              <a:gd name="T69" fmla="*/ 500 h 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804" h="581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581"/>
                                </a:lnTo>
                                <a:lnTo>
                                  <a:pt x="0" y="58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6" y="36"/>
                                </a:moveTo>
                                <a:lnTo>
                                  <a:pt x="629" y="36"/>
                                </a:lnTo>
                                <a:lnTo>
                                  <a:pt x="629" y="581"/>
                                </a:lnTo>
                                <a:lnTo>
                                  <a:pt x="546" y="581"/>
                                </a:lnTo>
                                <a:lnTo>
                                  <a:pt x="546" y="36"/>
                                </a:lnTo>
                                <a:close/>
                                <a:moveTo>
                                  <a:pt x="1091" y="319"/>
                                </a:moveTo>
                                <a:lnTo>
                                  <a:pt x="1175" y="319"/>
                                </a:lnTo>
                                <a:lnTo>
                                  <a:pt x="1175" y="581"/>
                                </a:lnTo>
                                <a:lnTo>
                                  <a:pt x="1091" y="581"/>
                                </a:lnTo>
                                <a:lnTo>
                                  <a:pt x="1091" y="319"/>
                                </a:lnTo>
                                <a:close/>
                                <a:moveTo>
                                  <a:pt x="1634" y="325"/>
                                </a:moveTo>
                                <a:lnTo>
                                  <a:pt x="1718" y="325"/>
                                </a:lnTo>
                                <a:lnTo>
                                  <a:pt x="1718" y="581"/>
                                </a:lnTo>
                                <a:lnTo>
                                  <a:pt x="1634" y="581"/>
                                </a:lnTo>
                                <a:lnTo>
                                  <a:pt x="1634" y="325"/>
                                </a:lnTo>
                                <a:close/>
                                <a:moveTo>
                                  <a:pt x="2180" y="140"/>
                                </a:moveTo>
                                <a:lnTo>
                                  <a:pt x="2264" y="140"/>
                                </a:lnTo>
                                <a:lnTo>
                                  <a:pt x="2264" y="581"/>
                                </a:lnTo>
                                <a:lnTo>
                                  <a:pt x="2180" y="581"/>
                                </a:lnTo>
                                <a:lnTo>
                                  <a:pt x="2180" y="140"/>
                                </a:lnTo>
                                <a:close/>
                                <a:moveTo>
                                  <a:pt x="2726" y="470"/>
                                </a:moveTo>
                                <a:lnTo>
                                  <a:pt x="2809" y="470"/>
                                </a:lnTo>
                                <a:lnTo>
                                  <a:pt x="2809" y="581"/>
                                </a:lnTo>
                                <a:lnTo>
                                  <a:pt x="2726" y="581"/>
                                </a:lnTo>
                                <a:lnTo>
                                  <a:pt x="2726" y="470"/>
                                </a:lnTo>
                                <a:close/>
                                <a:moveTo>
                                  <a:pt x="3271" y="251"/>
                                </a:moveTo>
                                <a:lnTo>
                                  <a:pt x="3355" y="251"/>
                                </a:lnTo>
                                <a:lnTo>
                                  <a:pt x="3355" y="581"/>
                                </a:lnTo>
                                <a:lnTo>
                                  <a:pt x="3271" y="581"/>
                                </a:lnTo>
                                <a:lnTo>
                                  <a:pt x="3271" y="251"/>
                                </a:lnTo>
                                <a:close/>
                                <a:moveTo>
                                  <a:pt x="3814" y="396"/>
                                </a:moveTo>
                                <a:lnTo>
                                  <a:pt x="3898" y="396"/>
                                </a:lnTo>
                                <a:lnTo>
                                  <a:pt x="3898" y="581"/>
                                </a:lnTo>
                                <a:lnTo>
                                  <a:pt x="3814" y="581"/>
                                </a:lnTo>
                                <a:lnTo>
                                  <a:pt x="3814" y="396"/>
                                </a:lnTo>
                                <a:close/>
                                <a:moveTo>
                                  <a:pt x="4360" y="432"/>
                                </a:moveTo>
                                <a:lnTo>
                                  <a:pt x="4444" y="432"/>
                                </a:lnTo>
                                <a:lnTo>
                                  <a:pt x="4444" y="581"/>
                                </a:lnTo>
                                <a:lnTo>
                                  <a:pt x="4360" y="581"/>
                                </a:lnTo>
                                <a:lnTo>
                                  <a:pt x="4360" y="432"/>
                                </a:lnTo>
                                <a:close/>
                                <a:moveTo>
                                  <a:pt x="5449" y="500"/>
                                </a:moveTo>
                                <a:lnTo>
                                  <a:pt x="5533" y="500"/>
                                </a:lnTo>
                                <a:lnTo>
                                  <a:pt x="5533" y="581"/>
                                </a:lnTo>
                                <a:lnTo>
                                  <a:pt x="5449" y="581"/>
                                </a:lnTo>
                                <a:lnTo>
                                  <a:pt x="5449" y="500"/>
                                </a:lnTo>
                                <a:close/>
                                <a:moveTo>
                                  <a:pt x="5994" y="500"/>
                                </a:moveTo>
                                <a:lnTo>
                                  <a:pt x="6078" y="500"/>
                                </a:lnTo>
                                <a:lnTo>
                                  <a:pt x="6078" y="581"/>
                                </a:lnTo>
                                <a:lnTo>
                                  <a:pt x="5994" y="581"/>
                                </a:lnTo>
                                <a:lnTo>
                                  <a:pt x="5994" y="500"/>
                                </a:lnTo>
                                <a:close/>
                                <a:moveTo>
                                  <a:pt x="6540" y="500"/>
                                </a:moveTo>
                                <a:lnTo>
                                  <a:pt x="6624" y="500"/>
                                </a:lnTo>
                                <a:lnTo>
                                  <a:pt x="6624" y="581"/>
                                </a:lnTo>
                                <a:lnTo>
                                  <a:pt x="6540" y="581"/>
                                </a:lnTo>
                                <a:lnTo>
                                  <a:pt x="6540" y="500"/>
                                </a:lnTo>
                                <a:close/>
                                <a:moveTo>
                                  <a:pt x="7083" y="466"/>
                                </a:moveTo>
                                <a:lnTo>
                                  <a:pt x="7167" y="466"/>
                                </a:lnTo>
                                <a:lnTo>
                                  <a:pt x="7167" y="581"/>
                                </a:lnTo>
                                <a:lnTo>
                                  <a:pt x="7083" y="581"/>
                                </a:lnTo>
                                <a:lnTo>
                                  <a:pt x="7083" y="466"/>
                                </a:lnTo>
                                <a:close/>
                                <a:moveTo>
                                  <a:pt x="8720" y="500"/>
                                </a:moveTo>
                                <a:lnTo>
                                  <a:pt x="8804" y="500"/>
                                </a:lnTo>
                                <a:lnTo>
                                  <a:pt x="8804" y="581"/>
                                </a:lnTo>
                                <a:lnTo>
                                  <a:pt x="8720" y="581"/>
                                </a:lnTo>
                                <a:lnTo>
                                  <a:pt x="8720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1"/>
                        <wps:cNvSpPr>
                          <a:spLocks noEditPoints="1"/>
                        </wps:cNvSpPr>
                        <wps:spPr bwMode="auto">
                          <a:xfrm>
                            <a:off x="434975" y="1321435"/>
                            <a:ext cx="5589905" cy="643890"/>
                          </a:xfrm>
                          <a:custGeom>
                            <a:avLst/>
                            <a:gdLst>
                              <a:gd name="T0" fmla="*/ 84 w 8803"/>
                              <a:gd name="T1" fmla="*/ 0 h 1014"/>
                              <a:gd name="T2" fmla="*/ 0 w 8803"/>
                              <a:gd name="T3" fmla="*/ 1014 h 1014"/>
                              <a:gd name="T4" fmla="*/ 545 w 8803"/>
                              <a:gd name="T5" fmla="*/ 254 h 1014"/>
                              <a:gd name="T6" fmla="*/ 629 w 8803"/>
                              <a:gd name="T7" fmla="*/ 1014 h 1014"/>
                              <a:gd name="T8" fmla="*/ 545 w 8803"/>
                              <a:gd name="T9" fmla="*/ 254 h 1014"/>
                              <a:gd name="T10" fmla="*/ 1175 w 8803"/>
                              <a:gd name="T11" fmla="*/ 616 h 1014"/>
                              <a:gd name="T12" fmla="*/ 1091 w 8803"/>
                              <a:gd name="T13" fmla="*/ 1014 h 1014"/>
                              <a:gd name="T14" fmla="*/ 1634 w 8803"/>
                              <a:gd name="T15" fmla="*/ 641 h 1014"/>
                              <a:gd name="T16" fmla="*/ 1718 w 8803"/>
                              <a:gd name="T17" fmla="*/ 1014 h 1014"/>
                              <a:gd name="T18" fmla="*/ 1634 w 8803"/>
                              <a:gd name="T19" fmla="*/ 641 h 1014"/>
                              <a:gd name="T20" fmla="*/ 2264 w 8803"/>
                              <a:gd name="T21" fmla="*/ 697 h 1014"/>
                              <a:gd name="T22" fmla="*/ 2180 w 8803"/>
                              <a:gd name="T23" fmla="*/ 1014 h 1014"/>
                              <a:gd name="T24" fmla="*/ 2725 w 8803"/>
                              <a:gd name="T25" fmla="*/ 824 h 1014"/>
                              <a:gd name="T26" fmla="*/ 2809 w 8803"/>
                              <a:gd name="T27" fmla="*/ 1014 h 1014"/>
                              <a:gd name="T28" fmla="*/ 2725 w 8803"/>
                              <a:gd name="T29" fmla="*/ 824 h 1014"/>
                              <a:gd name="T30" fmla="*/ 3355 w 8803"/>
                              <a:gd name="T31" fmla="*/ 842 h 1014"/>
                              <a:gd name="T32" fmla="*/ 3271 w 8803"/>
                              <a:gd name="T33" fmla="*/ 1014 h 1014"/>
                              <a:gd name="T34" fmla="*/ 3814 w 8803"/>
                              <a:gd name="T35" fmla="*/ 772 h 1014"/>
                              <a:gd name="T36" fmla="*/ 3898 w 8803"/>
                              <a:gd name="T37" fmla="*/ 1014 h 1014"/>
                              <a:gd name="T38" fmla="*/ 3814 w 8803"/>
                              <a:gd name="T39" fmla="*/ 772 h 1014"/>
                              <a:gd name="T40" fmla="*/ 4444 w 8803"/>
                              <a:gd name="T41" fmla="*/ 851 h 1014"/>
                              <a:gd name="T42" fmla="*/ 4360 w 8803"/>
                              <a:gd name="T43" fmla="*/ 1014 h 1014"/>
                              <a:gd name="T44" fmla="*/ 4905 w 8803"/>
                              <a:gd name="T45" fmla="*/ 955 h 1014"/>
                              <a:gd name="T46" fmla="*/ 4989 w 8803"/>
                              <a:gd name="T47" fmla="*/ 1014 h 1014"/>
                              <a:gd name="T48" fmla="*/ 4905 w 8803"/>
                              <a:gd name="T49" fmla="*/ 955 h 1014"/>
                              <a:gd name="T50" fmla="*/ 5532 w 8803"/>
                              <a:gd name="T51" fmla="*/ 955 h 1014"/>
                              <a:gd name="T52" fmla="*/ 5449 w 8803"/>
                              <a:gd name="T53" fmla="*/ 1014 h 1014"/>
                              <a:gd name="T54" fmla="*/ 5994 w 8803"/>
                              <a:gd name="T55" fmla="*/ 921 h 1014"/>
                              <a:gd name="T56" fmla="*/ 6078 w 8803"/>
                              <a:gd name="T57" fmla="*/ 1014 h 1014"/>
                              <a:gd name="T58" fmla="*/ 5994 w 8803"/>
                              <a:gd name="T59" fmla="*/ 921 h 1014"/>
                              <a:gd name="T60" fmla="*/ 6623 w 8803"/>
                              <a:gd name="T61" fmla="*/ 921 h 1014"/>
                              <a:gd name="T62" fmla="*/ 6540 w 8803"/>
                              <a:gd name="T63" fmla="*/ 1014 h 1014"/>
                              <a:gd name="T64" fmla="*/ 7083 w 8803"/>
                              <a:gd name="T65" fmla="*/ 899 h 1014"/>
                              <a:gd name="T66" fmla="*/ 7169 w 8803"/>
                              <a:gd name="T67" fmla="*/ 1014 h 1014"/>
                              <a:gd name="T68" fmla="*/ 7083 w 8803"/>
                              <a:gd name="T69" fmla="*/ 899 h 1014"/>
                              <a:gd name="T70" fmla="*/ 7712 w 8803"/>
                              <a:gd name="T71" fmla="*/ 865 h 1014"/>
                              <a:gd name="T72" fmla="*/ 7629 w 8803"/>
                              <a:gd name="T73" fmla="*/ 1014 h 1014"/>
                              <a:gd name="T74" fmla="*/ 8174 w 8803"/>
                              <a:gd name="T75" fmla="*/ 921 h 1014"/>
                              <a:gd name="T76" fmla="*/ 8258 w 8803"/>
                              <a:gd name="T77" fmla="*/ 1014 h 1014"/>
                              <a:gd name="T78" fmla="*/ 8174 w 8803"/>
                              <a:gd name="T79" fmla="*/ 921 h 1014"/>
                              <a:gd name="T80" fmla="*/ 8803 w 8803"/>
                              <a:gd name="T81" fmla="*/ 921 h 1014"/>
                              <a:gd name="T82" fmla="*/ 8720 w 8803"/>
                              <a:gd name="T83" fmla="*/ 101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8803" h="1014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1014"/>
                                </a:lnTo>
                                <a:lnTo>
                                  <a:pt x="0" y="101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5" y="254"/>
                                </a:moveTo>
                                <a:lnTo>
                                  <a:pt x="629" y="254"/>
                                </a:lnTo>
                                <a:lnTo>
                                  <a:pt x="629" y="1014"/>
                                </a:lnTo>
                                <a:lnTo>
                                  <a:pt x="545" y="1014"/>
                                </a:lnTo>
                                <a:lnTo>
                                  <a:pt x="545" y="254"/>
                                </a:lnTo>
                                <a:close/>
                                <a:moveTo>
                                  <a:pt x="1091" y="616"/>
                                </a:moveTo>
                                <a:lnTo>
                                  <a:pt x="1175" y="616"/>
                                </a:lnTo>
                                <a:lnTo>
                                  <a:pt x="1175" y="1014"/>
                                </a:lnTo>
                                <a:lnTo>
                                  <a:pt x="1091" y="1014"/>
                                </a:lnTo>
                                <a:lnTo>
                                  <a:pt x="1091" y="616"/>
                                </a:lnTo>
                                <a:close/>
                                <a:moveTo>
                                  <a:pt x="1634" y="641"/>
                                </a:moveTo>
                                <a:lnTo>
                                  <a:pt x="1718" y="641"/>
                                </a:lnTo>
                                <a:lnTo>
                                  <a:pt x="1718" y="1014"/>
                                </a:lnTo>
                                <a:lnTo>
                                  <a:pt x="1634" y="1014"/>
                                </a:lnTo>
                                <a:lnTo>
                                  <a:pt x="1634" y="641"/>
                                </a:lnTo>
                                <a:close/>
                                <a:moveTo>
                                  <a:pt x="2180" y="697"/>
                                </a:moveTo>
                                <a:lnTo>
                                  <a:pt x="2264" y="697"/>
                                </a:lnTo>
                                <a:lnTo>
                                  <a:pt x="2264" y="1014"/>
                                </a:lnTo>
                                <a:lnTo>
                                  <a:pt x="2180" y="1014"/>
                                </a:lnTo>
                                <a:lnTo>
                                  <a:pt x="2180" y="697"/>
                                </a:lnTo>
                                <a:close/>
                                <a:moveTo>
                                  <a:pt x="2725" y="824"/>
                                </a:moveTo>
                                <a:lnTo>
                                  <a:pt x="2809" y="824"/>
                                </a:lnTo>
                                <a:lnTo>
                                  <a:pt x="2809" y="1014"/>
                                </a:lnTo>
                                <a:lnTo>
                                  <a:pt x="2725" y="1014"/>
                                </a:lnTo>
                                <a:lnTo>
                                  <a:pt x="2725" y="824"/>
                                </a:lnTo>
                                <a:close/>
                                <a:moveTo>
                                  <a:pt x="3271" y="842"/>
                                </a:moveTo>
                                <a:lnTo>
                                  <a:pt x="3355" y="842"/>
                                </a:lnTo>
                                <a:lnTo>
                                  <a:pt x="3355" y="1014"/>
                                </a:lnTo>
                                <a:lnTo>
                                  <a:pt x="3271" y="1014"/>
                                </a:lnTo>
                                <a:lnTo>
                                  <a:pt x="3271" y="842"/>
                                </a:lnTo>
                                <a:close/>
                                <a:moveTo>
                                  <a:pt x="3814" y="772"/>
                                </a:moveTo>
                                <a:lnTo>
                                  <a:pt x="3898" y="772"/>
                                </a:lnTo>
                                <a:lnTo>
                                  <a:pt x="3898" y="1014"/>
                                </a:lnTo>
                                <a:lnTo>
                                  <a:pt x="3814" y="1014"/>
                                </a:lnTo>
                                <a:lnTo>
                                  <a:pt x="3814" y="772"/>
                                </a:lnTo>
                                <a:close/>
                                <a:moveTo>
                                  <a:pt x="4360" y="851"/>
                                </a:moveTo>
                                <a:lnTo>
                                  <a:pt x="4444" y="851"/>
                                </a:lnTo>
                                <a:lnTo>
                                  <a:pt x="4444" y="1014"/>
                                </a:lnTo>
                                <a:lnTo>
                                  <a:pt x="4360" y="1014"/>
                                </a:lnTo>
                                <a:lnTo>
                                  <a:pt x="4360" y="851"/>
                                </a:lnTo>
                                <a:close/>
                                <a:moveTo>
                                  <a:pt x="4905" y="955"/>
                                </a:moveTo>
                                <a:lnTo>
                                  <a:pt x="4989" y="955"/>
                                </a:lnTo>
                                <a:lnTo>
                                  <a:pt x="4989" y="1014"/>
                                </a:lnTo>
                                <a:lnTo>
                                  <a:pt x="4905" y="1014"/>
                                </a:lnTo>
                                <a:lnTo>
                                  <a:pt x="4905" y="955"/>
                                </a:lnTo>
                                <a:close/>
                                <a:moveTo>
                                  <a:pt x="5449" y="955"/>
                                </a:moveTo>
                                <a:lnTo>
                                  <a:pt x="5532" y="955"/>
                                </a:lnTo>
                                <a:lnTo>
                                  <a:pt x="5532" y="1014"/>
                                </a:lnTo>
                                <a:lnTo>
                                  <a:pt x="5449" y="1014"/>
                                </a:lnTo>
                                <a:lnTo>
                                  <a:pt x="5449" y="955"/>
                                </a:lnTo>
                                <a:close/>
                                <a:moveTo>
                                  <a:pt x="5994" y="921"/>
                                </a:moveTo>
                                <a:lnTo>
                                  <a:pt x="6078" y="921"/>
                                </a:lnTo>
                                <a:lnTo>
                                  <a:pt x="6078" y="1014"/>
                                </a:lnTo>
                                <a:lnTo>
                                  <a:pt x="5994" y="1014"/>
                                </a:lnTo>
                                <a:lnTo>
                                  <a:pt x="5994" y="921"/>
                                </a:lnTo>
                                <a:close/>
                                <a:moveTo>
                                  <a:pt x="6540" y="921"/>
                                </a:moveTo>
                                <a:lnTo>
                                  <a:pt x="6623" y="921"/>
                                </a:lnTo>
                                <a:lnTo>
                                  <a:pt x="6623" y="1014"/>
                                </a:lnTo>
                                <a:lnTo>
                                  <a:pt x="6540" y="1014"/>
                                </a:lnTo>
                                <a:lnTo>
                                  <a:pt x="6540" y="921"/>
                                </a:lnTo>
                                <a:close/>
                                <a:moveTo>
                                  <a:pt x="7083" y="899"/>
                                </a:moveTo>
                                <a:lnTo>
                                  <a:pt x="7169" y="899"/>
                                </a:lnTo>
                                <a:lnTo>
                                  <a:pt x="7169" y="1014"/>
                                </a:lnTo>
                                <a:lnTo>
                                  <a:pt x="7083" y="1014"/>
                                </a:lnTo>
                                <a:lnTo>
                                  <a:pt x="7083" y="899"/>
                                </a:lnTo>
                                <a:close/>
                                <a:moveTo>
                                  <a:pt x="7629" y="865"/>
                                </a:moveTo>
                                <a:lnTo>
                                  <a:pt x="7712" y="865"/>
                                </a:lnTo>
                                <a:lnTo>
                                  <a:pt x="7712" y="1014"/>
                                </a:lnTo>
                                <a:lnTo>
                                  <a:pt x="7629" y="1014"/>
                                </a:lnTo>
                                <a:lnTo>
                                  <a:pt x="7629" y="865"/>
                                </a:lnTo>
                                <a:close/>
                                <a:moveTo>
                                  <a:pt x="8174" y="921"/>
                                </a:moveTo>
                                <a:lnTo>
                                  <a:pt x="8258" y="921"/>
                                </a:lnTo>
                                <a:lnTo>
                                  <a:pt x="8258" y="1014"/>
                                </a:lnTo>
                                <a:lnTo>
                                  <a:pt x="8174" y="1014"/>
                                </a:lnTo>
                                <a:lnTo>
                                  <a:pt x="8174" y="921"/>
                                </a:lnTo>
                                <a:close/>
                                <a:moveTo>
                                  <a:pt x="8720" y="921"/>
                                </a:moveTo>
                                <a:lnTo>
                                  <a:pt x="8803" y="921"/>
                                </a:lnTo>
                                <a:lnTo>
                                  <a:pt x="8803" y="1014"/>
                                </a:lnTo>
                                <a:lnTo>
                                  <a:pt x="8720" y="1014"/>
                                </a:lnTo>
                                <a:lnTo>
                                  <a:pt x="872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2"/>
                        <wps:cNvSpPr>
                          <a:spLocks noEditPoints="1"/>
                        </wps:cNvSpPr>
                        <wps:spPr bwMode="auto">
                          <a:xfrm>
                            <a:off x="488315" y="1531620"/>
                            <a:ext cx="5589905" cy="433705"/>
                          </a:xfrm>
                          <a:custGeom>
                            <a:avLst/>
                            <a:gdLst>
                              <a:gd name="T0" fmla="*/ 83 w 8803"/>
                              <a:gd name="T1" fmla="*/ 0 h 683"/>
                              <a:gd name="T2" fmla="*/ 0 w 8803"/>
                              <a:gd name="T3" fmla="*/ 683 h 683"/>
                              <a:gd name="T4" fmla="*/ 545 w 8803"/>
                              <a:gd name="T5" fmla="*/ 138 h 683"/>
                              <a:gd name="T6" fmla="*/ 629 w 8803"/>
                              <a:gd name="T7" fmla="*/ 683 h 683"/>
                              <a:gd name="T8" fmla="*/ 545 w 8803"/>
                              <a:gd name="T9" fmla="*/ 138 h 683"/>
                              <a:gd name="T10" fmla="*/ 1174 w 8803"/>
                              <a:gd name="T11" fmla="*/ 443 h 683"/>
                              <a:gd name="T12" fmla="*/ 1091 w 8803"/>
                              <a:gd name="T13" fmla="*/ 683 h 683"/>
                              <a:gd name="T14" fmla="*/ 1634 w 8803"/>
                              <a:gd name="T15" fmla="*/ 362 h 683"/>
                              <a:gd name="T16" fmla="*/ 1718 w 8803"/>
                              <a:gd name="T17" fmla="*/ 683 h 683"/>
                              <a:gd name="T18" fmla="*/ 1634 w 8803"/>
                              <a:gd name="T19" fmla="*/ 362 h 683"/>
                              <a:gd name="T20" fmla="*/ 2263 w 8803"/>
                              <a:gd name="T21" fmla="*/ 516 h 683"/>
                              <a:gd name="T22" fmla="*/ 2180 w 8803"/>
                              <a:gd name="T23" fmla="*/ 683 h 683"/>
                              <a:gd name="T24" fmla="*/ 2725 w 8803"/>
                              <a:gd name="T25" fmla="*/ 602 h 683"/>
                              <a:gd name="T26" fmla="*/ 2809 w 8803"/>
                              <a:gd name="T27" fmla="*/ 683 h 683"/>
                              <a:gd name="T28" fmla="*/ 2725 w 8803"/>
                              <a:gd name="T29" fmla="*/ 602 h 683"/>
                              <a:gd name="T30" fmla="*/ 3898 w 8803"/>
                              <a:gd name="T31" fmla="*/ 602 h 683"/>
                              <a:gd name="T32" fmla="*/ 3814 w 8803"/>
                              <a:gd name="T33" fmla="*/ 683 h 683"/>
                              <a:gd name="T34" fmla="*/ 4360 w 8803"/>
                              <a:gd name="T35" fmla="*/ 602 h 683"/>
                              <a:gd name="T36" fmla="*/ 4443 w 8803"/>
                              <a:gd name="T37" fmla="*/ 683 h 683"/>
                              <a:gd name="T38" fmla="*/ 4360 w 8803"/>
                              <a:gd name="T39" fmla="*/ 602 h 683"/>
                              <a:gd name="T40" fmla="*/ 5532 w 8803"/>
                              <a:gd name="T41" fmla="*/ 602 h 683"/>
                              <a:gd name="T42" fmla="*/ 5448 w 8803"/>
                              <a:gd name="T43" fmla="*/ 683 h 683"/>
                              <a:gd name="T44" fmla="*/ 6539 w 8803"/>
                              <a:gd name="T45" fmla="*/ 520 h 683"/>
                              <a:gd name="T46" fmla="*/ 6623 w 8803"/>
                              <a:gd name="T47" fmla="*/ 683 h 683"/>
                              <a:gd name="T48" fmla="*/ 6539 w 8803"/>
                              <a:gd name="T49" fmla="*/ 520 h 683"/>
                              <a:gd name="T50" fmla="*/ 7169 w 8803"/>
                              <a:gd name="T51" fmla="*/ 602 h 683"/>
                              <a:gd name="T52" fmla="*/ 7085 w 8803"/>
                              <a:gd name="T53" fmla="*/ 683 h 683"/>
                              <a:gd name="T54" fmla="*/ 7628 w 8803"/>
                              <a:gd name="T55" fmla="*/ 602 h 683"/>
                              <a:gd name="T56" fmla="*/ 7712 w 8803"/>
                              <a:gd name="T57" fmla="*/ 683 h 683"/>
                              <a:gd name="T58" fmla="*/ 7628 w 8803"/>
                              <a:gd name="T59" fmla="*/ 602 h 683"/>
                              <a:gd name="T60" fmla="*/ 8258 w 8803"/>
                              <a:gd name="T61" fmla="*/ 590 h 683"/>
                              <a:gd name="T62" fmla="*/ 8174 w 8803"/>
                              <a:gd name="T63" fmla="*/ 683 h 683"/>
                              <a:gd name="T64" fmla="*/ 8719 w 8803"/>
                              <a:gd name="T65" fmla="*/ 590 h 683"/>
                              <a:gd name="T66" fmla="*/ 8803 w 8803"/>
                              <a:gd name="T67" fmla="*/ 683 h 683"/>
                              <a:gd name="T68" fmla="*/ 8719 w 8803"/>
                              <a:gd name="T69" fmla="*/ 590 h 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803" h="683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683"/>
                                </a:lnTo>
                                <a:lnTo>
                                  <a:pt x="0" y="68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5" y="138"/>
                                </a:moveTo>
                                <a:lnTo>
                                  <a:pt x="629" y="138"/>
                                </a:lnTo>
                                <a:lnTo>
                                  <a:pt x="629" y="683"/>
                                </a:lnTo>
                                <a:lnTo>
                                  <a:pt x="545" y="683"/>
                                </a:lnTo>
                                <a:lnTo>
                                  <a:pt x="545" y="138"/>
                                </a:lnTo>
                                <a:close/>
                                <a:moveTo>
                                  <a:pt x="1091" y="443"/>
                                </a:moveTo>
                                <a:lnTo>
                                  <a:pt x="1174" y="443"/>
                                </a:lnTo>
                                <a:lnTo>
                                  <a:pt x="1174" y="683"/>
                                </a:lnTo>
                                <a:lnTo>
                                  <a:pt x="1091" y="683"/>
                                </a:lnTo>
                                <a:lnTo>
                                  <a:pt x="1091" y="443"/>
                                </a:lnTo>
                                <a:close/>
                                <a:moveTo>
                                  <a:pt x="1634" y="362"/>
                                </a:moveTo>
                                <a:lnTo>
                                  <a:pt x="1718" y="362"/>
                                </a:lnTo>
                                <a:lnTo>
                                  <a:pt x="1718" y="683"/>
                                </a:lnTo>
                                <a:lnTo>
                                  <a:pt x="1634" y="683"/>
                                </a:lnTo>
                                <a:lnTo>
                                  <a:pt x="1634" y="362"/>
                                </a:lnTo>
                                <a:close/>
                                <a:moveTo>
                                  <a:pt x="2180" y="516"/>
                                </a:moveTo>
                                <a:lnTo>
                                  <a:pt x="2263" y="516"/>
                                </a:lnTo>
                                <a:lnTo>
                                  <a:pt x="2263" y="683"/>
                                </a:lnTo>
                                <a:lnTo>
                                  <a:pt x="2180" y="683"/>
                                </a:lnTo>
                                <a:lnTo>
                                  <a:pt x="2180" y="516"/>
                                </a:lnTo>
                                <a:close/>
                                <a:moveTo>
                                  <a:pt x="2725" y="602"/>
                                </a:moveTo>
                                <a:lnTo>
                                  <a:pt x="2809" y="602"/>
                                </a:lnTo>
                                <a:lnTo>
                                  <a:pt x="2809" y="683"/>
                                </a:lnTo>
                                <a:lnTo>
                                  <a:pt x="2725" y="683"/>
                                </a:lnTo>
                                <a:lnTo>
                                  <a:pt x="2725" y="602"/>
                                </a:lnTo>
                                <a:close/>
                                <a:moveTo>
                                  <a:pt x="3814" y="602"/>
                                </a:moveTo>
                                <a:lnTo>
                                  <a:pt x="3898" y="602"/>
                                </a:lnTo>
                                <a:lnTo>
                                  <a:pt x="3898" y="683"/>
                                </a:lnTo>
                                <a:lnTo>
                                  <a:pt x="3814" y="683"/>
                                </a:lnTo>
                                <a:lnTo>
                                  <a:pt x="3814" y="602"/>
                                </a:lnTo>
                                <a:close/>
                                <a:moveTo>
                                  <a:pt x="4360" y="602"/>
                                </a:moveTo>
                                <a:lnTo>
                                  <a:pt x="4443" y="602"/>
                                </a:lnTo>
                                <a:lnTo>
                                  <a:pt x="4443" y="683"/>
                                </a:lnTo>
                                <a:lnTo>
                                  <a:pt x="4360" y="683"/>
                                </a:lnTo>
                                <a:lnTo>
                                  <a:pt x="4360" y="602"/>
                                </a:lnTo>
                                <a:close/>
                                <a:moveTo>
                                  <a:pt x="5448" y="602"/>
                                </a:moveTo>
                                <a:lnTo>
                                  <a:pt x="5532" y="602"/>
                                </a:lnTo>
                                <a:lnTo>
                                  <a:pt x="5532" y="683"/>
                                </a:lnTo>
                                <a:lnTo>
                                  <a:pt x="5448" y="683"/>
                                </a:lnTo>
                                <a:lnTo>
                                  <a:pt x="5448" y="602"/>
                                </a:lnTo>
                                <a:close/>
                                <a:moveTo>
                                  <a:pt x="6539" y="520"/>
                                </a:moveTo>
                                <a:lnTo>
                                  <a:pt x="6623" y="520"/>
                                </a:lnTo>
                                <a:lnTo>
                                  <a:pt x="6623" y="683"/>
                                </a:lnTo>
                                <a:lnTo>
                                  <a:pt x="6539" y="683"/>
                                </a:lnTo>
                                <a:lnTo>
                                  <a:pt x="6539" y="520"/>
                                </a:lnTo>
                                <a:close/>
                                <a:moveTo>
                                  <a:pt x="7085" y="602"/>
                                </a:moveTo>
                                <a:lnTo>
                                  <a:pt x="7169" y="602"/>
                                </a:lnTo>
                                <a:lnTo>
                                  <a:pt x="7169" y="683"/>
                                </a:lnTo>
                                <a:lnTo>
                                  <a:pt x="7085" y="683"/>
                                </a:lnTo>
                                <a:lnTo>
                                  <a:pt x="7085" y="602"/>
                                </a:lnTo>
                                <a:close/>
                                <a:moveTo>
                                  <a:pt x="7628" y="602"/>
                                </a:moveTo>
                                <a:lnTo>
                                  <a:pt x="7712" y="602"/>
                                </a:lnTo>
                                <a:lnTo>
                                  <a:pt x="7712" y="683"/>
                                </a:lnTo>
                                <a:lnTo>
                                  <a:pt x="7628" y="683"/>
                                </a:lnTo>
                                <a:lnTo>
                                  <a:pt x="7628" y="602"/>
                                </a:lnTo>
                                <a:close/>
                                <a:moveTo>
                                  <a:pt x="8174" y="590"/>
                                </a:moveTo>
                                <a:lnTo>
                                  <a:pt x="8258" y="590"/>
                                </a:lnTo>
                                <a:lnTo>
                                  <a:pt x="8258" y="683"/>
                                </a:lnTo>
                                <a:lnTo>
                                  <a:pt x="8174" y="683"/>
                                </a:lnTo>
                                <a:lnTo>
                                  <a:pt x="8174" y="590"/>
                                </a:lnTo>
                                <a:close/>
                                <a:moveTo>
                                  <a:pt x="8719" y="590"/>
                                </a:moveTo>
                                <a:lnTo>
                                  <a:pt x="8803" y="590"/>
                                </a:lnTo>
                                <a:lnTo>
                                  <a:pt x="8803" y="683"/>
                                </a:lnTo>
                                <a:lnTo>
                                  <a:pt x="8719" y="683"/>
                                </a:lnTo>
                                <a:lnTo>
                                  <a:pt x="8719" y="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3"/>
                        <wps:cNvSpPr>
                          <a:spLocks noEditPoints="1"/>
                        </wps:cNvSpPr>
                        <wps:spPr bwMode="auto">
                          <a:xfrm>
                            <a:off x="541020" y="337185"/>
                            <a:ext cx="5590540" cy="1628140"/>
                          </a:xfrm>
                          <a:custGeom>
                            <a:avLst/>
                            <a:gdLst>
                              <a:gd name="T0" fmla="*/ 84 w 8804"/>
                              <a:gd name="T1" fmla="*/ 0 h 2564"/>
                              <a:gd name="T2" fmla="*/ 0 w 8804"/>
                              <a:gd name="T3" fmla="*/ 2564 h 2564"/>
                              <a:gd name="T4" fmla="*/ 546 w 8804"/>
                              <a:gd name="T5" fmla="*/ 1308 h 2564"/>
                              <a:gd name="T6" fmla="*/ 630 w 8804"/>
                              <a:gd name="T7" fmla="*/ 2564 h 2564"/>
                              <a:gd name="T8" fmla="*/ 546 w 8804"/>
                              <a:gd name="T9" fmla="*/ 1308 h 2564"/>
                              <a:gd name="T10" fmla="*/ 1175 w 8804"/>
                              <a:gd name="T11" fmla="*/ 799 h 2564"/>
                              <a:gd name="T12" fmla="*/ 1091 w 8804"/>
                              <a:gd name="T13" fmla="*/ 2564 h 2564"/>
                              <a:gd name="T14" fmla="*/ 1635 w 8804"/>
                              <a:gd name="T15" fmla="*/ 1281 h 2564"/>
                              <a:gd name="T16" fmla="*/ 1721 w 8804"/>
                              <a:gd name="T17" fmla="*/ 2564 h 2564"/>
                              <a:gd name="T18" fmla="*/ 1635 w 8804"/>
                              <a:gd name="T19" fmla="*/ 1281 h 2564"/>
                              <a:gd name="T20" fmla="*/ 2264 w 8804"/>
                              <a:gd name="T21" fmla="*/ 1747 h 2564"/>
                              <a:gd name="T22" fmla="*/ 2180 w 8804"/>
                              <a:gd name="T23" fmla="*/ 2564 h 2564"/>
                              <a:gd name="T24" fmla="*/ 2726 w 8804"/>
                              <a:gd name="T25" fmla="*/ 1976 h 2564"/>
                              <a:gd name="T26" fmla="*/ 2810 w 8804"/>
                              <a:gd name="T27" fmla="*/ 2564 h 2564"/>
                              <a:gd name="T28" fmla="*/ 2726 w 8804"/>
                              <a:gd name="T29" fmla="*/ 1976 h 2564"/>
                              <a:gd name="T30" fmla="*/ 3355 w 8804"/>
                              <a:gd name="T31" fmla="*/ 790 h 2564"/>
                              <a:gd name="T32" fmla="*/ 3271 w 8804"/>
                              <a:gd name="T33" fmla="*/ 2564 h 2564"/>
                              <a:gd name="T34" fmla="*/ 3815 w 8804"/>
                              <a:gd name="T35" fmla="*/ 751 h 2564"/>
                              <a:gd name="T36" fmla="*/ 3898 w 8804"/>
                              <a:gd name="T37" fmla="*/ 2564 h 2564"/>
                              <a:gd name="T38" fmla="*/ 3815 w 8804"/>
                              <a:gd name="T39" fmla="*/ 751 h 2564"/>
                              <a:gd name="T40" fmla="*/ 4444 w 8804"/>
                              <a:gd name="T41" fmla="*/ 1455 h 2564"/>
                              <a:gd name="T42" fmla="*/ 4360 w 8804"/>
                              <a:gd name="T43" fmla="*/ 2564 h 2564"/>
                              <a:gd name="T44" fmla="*/ 4906 w 8804"/>
                              <a:gd name="T45" fmla="*/ 1571 h 2564"/>
                              <a:gd name="T46" fmla="*/ 4990 w 8804"/>
                              <a:gd name="T47" fmla="*/ 2564 h 2564"/>
                              <a:gd name="T48" fmla="*/ 4906 w 8804"/>
                              <a:gd name="T49" fmla="*/ 1571 h 2564"/>
                              <a:gd name="T50" fmla="*/ 5533 w 8804"/>
                              <a:gd name="T51" fmla="*/ 1525 h 2564"/>
                              <a:gd name="T52" fmla="*/ 5449 w 8804"/>
                              <a:gd name="T53" fmla="*/ 2564 h 2564"/>
                              <a:gd name="T54" fmla="*/ 5995 w 8804"/>
                              <a:gd name="T55" fmla="*/ 1838 h 2564"/>
                              <a:gd name="T56" fmla="*/ 6078 w 8804"/>
                              <a:gd name="T57" fmla="*/ 2564 h 2564"/>
                              <a:gd name="T58" fmla="*/ 5995 w 8804"/>
                              <a:gd name="T59" fmla="*/ 1838 h 2564"/>
                              <a:gd name="T60" fmla="*/ 6624 w 8804"/>
                              <a:gd name="T61" fmla="*/ 1872 h 2564"/>
                              <a:gd name="T62" fmla="*/ 6540 w 8804"/>
                              <a:gd name="T63" fmla="*/ 2564 h 2564"/>
                              <a:gd name="T64" fmla="*/ 7086 w 8804"/>
                              <a:gd name="T65" fmla="*/ 1998 h 2564"/>
                              <a:gd name="T66" fmla="*/ 7170 w 8804"/>
                              <a:gd name="T67" fmla="*/ 2564 h 2564"/>
                              <a:gd name="T68" fmla="*/ 7086 w 8804"/>
                              <a:gd name="T69" fmla="*/ 1998 h 2564"/>
                              <a:gd name="T70" fmla="*/ 7713 w 8804"/>
                              <a:gd name="T71" fmla="*/ 1156 h 2564"/>
                              <a:gd name="T72" fmla="*/ 7629 w 8804"/>
                              <a:gd name="T73" fmla="*/ 2564 h 2564"/>
                              <a:gd name="T74" fmla="*/ 8175 w 8804"/>
                              <a:gd name="T75" fmla="*/ 1283 h 2564"/>
                              <a:gd name="T76" fmla="*/ 8258 w 8804"/>
                              <a:gd name="T77" fmla="*/ 2564 h 2564"/>
                              <a:gd name="T78" fmla="*/ 8175 w 8804"/>
                              <a:gd name="T79" fmla="*/ 1283 h 2564"/>
                              <a:gd name="T80" fmla="*/ 8804 w 8804"/>
                              <a:gd name="T81" fmla="*/ 1663 h 2564"/>
                              <a:gd name="T82" fmla="*/ 8720 w 8804"/>
                              <a:gd name="T83" fmla="*/ 2564 h 2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8804" h="2564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2564"/>
                                </a:lnTo>
                                <a:lnTo>
                                  <a:pt x="0" y="256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6" y="1308"/>
                                </a:moveTo>
                                <a:lnTo>
                                  <a:pt x="630" y="1308"/>
                                </a:lnTo>
                                <a:lnTo>
                                  <a:pt x="630" y="2564"/>
                                </a:lnTo>
                                <a:lnTo>
                                  <a:pt x="546" y="2564"/>
                                </a:lnTo>
                                <a:lnTo>
                                  <a:pt x="546" y="1308"/>
                                </a:lnTo>
                                <a:close/>
                                <a:moveTo>
                                  <a:pt x="1091" y="799"/>
                                </a:moveTo>
                                <a:lnTo>
                                  <a:pt x="1175" y="799"/>
                                </a:lnTo>
                                <a:lnTo>
                                  <a:pt x="1175" y="2564"/>
                                </a:lnTo>
                                <a:lnTo>
                                  <a:pt x="1091" y="2564"/>
                                </a:lnTo>
                                <a:lnTo>
                                  <a:pt x="1091" y="799"/>
                                </a:lnTo>
                                <a:close/>
                                <a:moveTo>
                                  <a:pt x="1635" y="1281"/>
                                </a:moveTo>
                                <a:lnTo>
                                  <a:pt x="1721" y="1281"/>
                                </a:lnTo>
                                <a:lnTo>
                                  <a:pt x="1721" y="2564"/>
                                </a:lnTo>
                                <a:lnTo>
                                  <a:pt x="1635" y="2564"/>
                                </a:lnTo>
                                <a:lnTo>
                                  <a:pt x="1635" y="1281"/>
                                </a:lnTo>
                                <a:close/>
                                <a:moveTo>
                                  <a:pt x="2180" y="1747"/>
                                </a:moveTo>
                                <a:lnTo>
                                  <a:pt x="2264" y="1747"/>
                                </a:lnTo>
                                <a:lnTo>
                                  <a:pt x="2264" y="2564"/>
                                </a:lnTo>
                                <a:lnTo>
                                  <a:pt x="2180" y="2564"/>
                                </a:lnTo>
                                <a:lnTo>
                                  <a:pt x="2180" y="1747"/>
                                </a:lnTo>
                                <a:close/>
                                <a:moveTo>
                                  <a:pt x="2726" y="1976"/>
                                </a:moveTo>
                                <a:lnTo>
                                  <a:pt x="2810" y="1976"/>
                                </a:lnTo>
                                <a:lnTo>
                                  <a:pt x="2810" y="2564"/>
                                </a:lnTo>
                                <a:lnTo>
                                  <a:pt x="2726" y="2564"/>
                                </a:lnTo>
                                <a:lnTo>
                                  <a:pt x="2726" y="1976"/>
                                </a:lnTo>
                                <a:close/>
                                <a:moveTo>
                                  <a:pt x="3271" y="790"/>
                                </a:moveTo>
                                <a:lnTo>
                                  <a:pt x="3355" y="790"/>
                                </a:lnTo>
                                <a:lnTo>
                                  <a:pt x="3355" y="2564"/>
                                </a:lnTo>
                                <a:lnTo>
                                  <a:pt x="3271" y="2564"/>
                                </a:lnTo>
                                <a:lnTo>
                                  <a:pt x="3271" y="790"/>
                                </a:lnTo>
                                <a:close/>
                                <a:moveTo>
                                  <a:pt x="3815" y="751"/>
                                </a:moveTo>
                                <a:lnTo>
                                  <a:pt x="3898" y="751"/>
                                </a:lnTo>
                                <a:lnTo>
                                  <a:pt x="3898" y="2564"/>
                                </a:lnTo>
                                <a:lnTo>
                                  <a:pt x="3815" y="2564"/>
                                </a:lnTo>
                                <a:lnTo>
                                  <a:pt x="3815" y="751"/>
                                </a:lnTo>
                                <a:close/>
                                <a:moveTo>
                                  <a:pt x="4360" y="1455"/>
                                </a:moveTo>
                                <a:lnTo>
                                  <a:pt x="4444" y="1455"/>
                                </a:lnTo>
                                <a:lnTo>
                                  <a:pt x="4444" y="2564"/>
                                </a:lnTo>
                                <a:lnTo>
                                  <a:pt x="4360" y="2564"/>
                                </a:lnTo>
                                <a:lnTo>
                                  <a:pt x="4360" y="1455"/>
                                </a:lnTo>
                                <a:close/>
                                <a:moveTo>
                                  <a:pt x="4906" y="1571"/>
                                </a:moveTo>
                                <a:lnTo>
                                  <a:pt x="4990" y="1571"/>
                                </a:lnTo>
                                <a:lnTo>
                                  <a:pt x="4990" y="2564"/>
                                </a:lnTo>
                                <a:lnTo>
                                  <a:pt x="4906" y="2564"/>
                                </a:lnTo>
                                <a:lnTo>
                                  <a:pt x="4906" y="1571"/>
                                </a:lnTo>
                                <a:close/>
                                <a:moveTo>
                                  <a:pt x="5449" y="1525"/>
                                </a:moveTo>
                                <a:lnTo>
                                  <a:pt x="5533" y="1525"/>
                                </a:lnTo>
                                <a:lnTo>
                                  <a:pt x="5533" y="2564"/>
                                </a:lnTo>
                                <a:lnTo>
                                  <a:pt x="5449" y="2564"/>
                                </a:lnTo>
                                <a:lnTo>
                                  <a:pt x="5449" y="1525"/>
                                </a:lnTo>
                                <a:close/>
                                <a:moveTo>
                                  <a:pt x="5995" y="1838"/>
                                </a:moveTo>
                                <a:lnTo>
                                  <a:pt x="6078" y="1838"/>
                                </a:lnTo>
                                <a:lnTo>
                                  <a:pt x="6078" y="2564"/>
                                </a:lnTo>
                                <a:lnTo>
                                  <a:pt x="5995" y="2564"/>
                                </a:lnTo>
                                <a:lnTo>
                                  <a:pt x="5995" y="1838"/>
                                </a:lnTo>
                                <a:close/>
                                <a:moveTo>
                                  <a:pt x="6540" y="1872"/>
                                </a:moveTo>
                                <a:lnTo>
                                  <a:pt x="6624" y="1872"/>
                                </a:lnTo>
                                <a:lnTo>
                                  <a:pt x="6624" y="2564"/>
                                </a:lnTo>
                                <a:lnTo>
                                  <a:pt x="6540" y="2564"/>
                                </a:lnTo>
                                <a:lnTo>
                                  <a:pt x="6540" y="1872"/>
                                </a:lnTo>
                                <a:close/>
                                <a:moveTo>
                                  <a:pt x="7086" y="1998"/>
                                </a:moveTo>
                                <a:lnTo>
                                  <a:pt x="7170" y="1998"/>
                                </a:lnTo>
                                <a:lnTo>
                                  <a:pt x="7170" y="2564"/>
                                </a:lnTo>
                                <a:lnTo>
                                  <a:pt x="7086" y="2564"/>
                                </a:lnTo>
                                <a:lnTo>
                                  <a:pt x="7086" y="1998"/>
                                </a:lnTo>
                                <a:close/>
                                <a:moveTo>
                                  <a:pt x="7629" y="1156"/>
                                </a:moveTo>
                                <a:lnTo>
                                  <a:pt x="7713" y="1156"/>
                                </a:lnTo>
                                <a:lnTo>
                                  <a:pt x="7713" y="2564"/>
                                </a:lnTo>
                                <a:lnTo>
                                  <a:pt x="7629" y="2564"/>
                                </a:lnTo>
                                <a:lnTo>
                                  <a:pt x="7629" y="1156"/>
                                </a:lnTo>
                                <a:close/>
                                <a:moveTo>
                                  <a:pt x="8175" y="1283"/>
                                </a:moveTo>
                                <a:lnTo>
                                  <a:pt x="8258" y="1283"/>
                                </a:lnTo>
                                <a:lnTo>
                                  <a:pt x="8258" y="2564"/>
                                </a:lnTo>
                                <a:lnTo>
                                  <a:pt x="8175" y="2564"/>
                                </a:lnTo>
                                <a:lnTo>
                                  <a:pt x="8175" y="1283"/>
                                </a:lnTo>
                                <a:close/>
                                <a:moveTo>
                                  <a:pt x="8720" y="1663"/>
                                </a:moveTo>
                                <a:lnTo>
                                  <a:pt x="8804" y="1663"/>
                                </a:lnTo>
                                <a:lnTo>
                                  <a:pt x="8804" y="2564"/>
                                </a:lnTo>
                                <a:lnTo>
                                  <a:pt x="8720" y="2564"/>
                                </a:lnTo>
                                <a:lnTo>
                                  <a:pt x="8720" y="1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88290" y="1960880"/>
                            <a:ext cx="5882005" cy="889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5"/>
                        <wps:cNvSpPr>
                          <a:spLocks noEditPoints="1"/>
                        </wps:cNvSpPr>
                        <wps:spPr bwMode="auto">
                          <a:xfrm>
                            <a:off x="283845" y="1965325"/>
                            <a:ext cx="5890895" cy="205740"/>
                          </a:xfrm>
                          <a:custGeom>
                            <a:avLst/>
                            <a:gdLst>
                              <a:gd name="T0" fmla="*/ 14 w 9277"/>
                              <a:gd name="T1" fmla="*/ 0 h 324"/>
                              <a:gd name="T2" fmla="*/ 14 w 9277"/>
                              <a:gd name="T3" fmla="*/ 324 h 324"/>
                              <a:gd name="T4" fmla="*/ 0 w 9277"/>
                              <a:gd name="T5" fmla="*/ 324 h 324"/>
                              <a:gd name="T6" fmla="*/ 0 w 9277"/>
                              <a:gd name="T7" fmla="*/ 0 h 324"/>
                              <a:gd name="T8" fmla="*/ 14 w 9277"/>
                              <a:gd name="T9" fmla="*/ 0 h 324"/>
                              <a:gd name="T10" fmla="*/ 4919 w 9277"/>
                              <a:gd name="T11" fmla="*/ 0 h 324"/>
                              <a:gd name="T12" fmla="*/ 4919 w 9277"/>
                              <a:gd name="T13" fmla="*/ 324 h 324"/>
                              <a:gd name="T14" fmla="*/ 4906 w 9277"/>
                              <a:gd name="T15" fmla="*/ 324 h 324"/>
                              <a:gd name="T16" fmla="*/ 4906 w 9277"/>
                              <a:gd name="T17" fmla="*/ 0 h 324"/>
                              <a:gd name="T18" fmla="*/ 4919 w 9277"/>
                              <a:gd name="T19" fmla="*/ 0 h 324"/>
                              <a:gd name="T20" fmla="*/ 9277 w 9277"/>
                              <a:gd name="T21" fmla="*/ 0 h 324"/>
                              <a:gd name="T22" fmla="*/ 9277 w 9277"/>
                              <a:gd name="T23" fmla="*/ 324 h 324"/>
                              <a:gd name="T24" fmla="*/ 9263 w 9277"/>
                              <a:gd name="T25" fmla="*/ 324 h 324"/>
                              <a:gd name="T26" fmla="*/ 9263 w 9277"/>
                              <a:gd name="T27" fmla="*/ 0 h 324"/>
                              <a:gd name="T28" fmla="*/ 9277 w 9277"/>
                              <a:gd name="T2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277" h="324">
                                <a:moveTo>
                                  <a:pt x="14" y="0"/>
                                </a:moveTo>
                                <a:lnTo>
                                  <a:pt x="14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4919" y="0"/>
                                </a:moveTo>
                                <a:lnTo>
                                  <a:pt x="4919" y="324"/>
                                </a:lnTo>
                                <a:lnTo>
                                  <a:pt x="4906" y="324"/>
                                </a:lnTo>
                                <a:lnTo>
                                  <a:pt x="4906" y="0"/>
                                </a:lnTo>
                                <a:lnTo>
                                  <a:pt x="4919" y="0"/>
                                </a:lnTo>
                                <a:close/>
                                <a:moveTo>
                                  <a:pt x="9277" y="0"/>
                                </a:moveTo>
                                <a:lnTo>
                                  <a:pt x="9277" y="324"/>
                                </a:lnTo>
                                <a:lnTo>
                                  <a:pt x="9263" y="324"/>
                                </a:lnTo>
                                <a:lnTo>
                                  <a:pt x="9263" y="0"/>
                                </a:lnTo>
                                <a:lnTo>
                                  <a:pt x="9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"/>
                        <wps:cNvSpPr>
                          <a:spLocks noEditPoints="1"/>
                        </wps:cNvSpPr>
                        <wps:spPr bwMode="auto">
                          <a:xfrm>
                            <a:off x="283845" y="2171065"/>
                            <a:ext cx="5890895" cy="205740"/>
                          </a:xfrm>
                          <a:custGeom>
                            <a:avLst/>
                            <a:gdLst>
                              <a:gd name="T0" fmla="*/ 14 w 9277"/>
                              <a:gd name="T1" fmla="*/ 0 h 324"/>
                              <a:gd name="T2" fmla="*/ 14 w 9277"/>
                              <a:gd name="T3" fmla="*/ 324 h 324"/>
                              <a:gd name="T4" fmla="*/ 0 w 9277"/>
                              <a:gd name="T5" fmla="*/ 324 h 324"/>
                              <a:gd name="T6" fmla="*/ 0 w 9277"/>
                              <a:gd name="T7" fmla="*/ 0 h 324"/>
                              <a:gd name="T8" fmla="*/ 14 w 9277"/>
                              <a:gd name="T9" fmla="*/ 0 h 324"/>
                              <a:gd name="T10" fmla="*/ 4919 w 9277"/>
                              <a:gd name="T11" fmla="*/ 0 h 324"/>
                              <a:gd name="T12" fmla="*/ 4919 w 9277"/>
                              <a:gd name="T13" fmla="*/ 324 h 324"/>
                              <a:gd name="T14" fmla="*/ 4906 w 9277"/>
                              <a:gd name="T15" fmla="*/ 324 h 324"/>
                              <a:gd name="T16" fmla="*/ 4906 w 9277"/>
                              <a:gd name="T17" fmla="*/ 0 h 324"/>
                              <a:gd name="T18" fmla="*/ 4919 w 9277"/>
                              <a:gd name="T19" fmla="*/ 0 h 324"/>
                              <a:gd name="T20" fmla="*/ 9277 w 9277"/>
                              <a:gd name="T21" fmla="*/ 0 h 324"/>
                              <a:gd name="T22" fmla="*/ 9277 w 9277"/>
                              <a:gd name="T23" fmla="*/ 324 h 324"/>
                              <a:gd name="T24" fmla="*/ 9263 w 9277"/>
                              <a:gd name="T25" fmla="*/ 324 h 324"/>
                              <a:gd name="T26" fmla="*/ 9263 w 9277"/>
                              <a:gd name="T27" fmla="*/ 0 h 324"/>
                              <a:gd name="T28" fmla="*/ 9277 w 9277"/>
                              <a:gd name="T2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277" h="324">
                                <a:moveTo>
                                  <a:pt x="14" y="0"/>
                                </a:moveTo>
                                <a:lnTo>
                                  <a:pt x="14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4919" y="0"/>
                                </a:moveTo>
                                <a:lnTo>
                                  <a:pt x="4919" y="324"/>
                                </a:lnTo>
                                <a:lnTo>
                                  <a:pt x="4906" y="324"/>
                                </a:lnTo>
                                <a:lnTo>
                                  <a:pt x="4906" y="0"/>
                                </a:lnTo>
                                <a:lnTo>
                                  <a:pt x="4919" y="0"/>
                                </a:lnTo>
                                <a:close/>
                                <a:moveTo>
                                  <a:pt x="9277" y="0"/>
                                </a:moveTo>
                                <a:lnTo>
                                  <a:pt x="9277" y="324"/>
                                </a:lnTo>
                                <a:lnTo>
                                  <a:pt x="9263" y="324"/>
                                </a:lnTo>
                                <a:lnTo>
                                  <a:pt x="9263" y="0"/>
                                </a:lnTo>
                                <a:lnTo>
                                  <a:pt x="9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1445" y="189547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7795" y="1676400"/>
                            <a:ext cx="57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3985" y="1456690"/>
                            <a:ext cx="609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4620" y="1236980"/>
                            <a:ext cx="539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1440" y="1016000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0805" y="796290"/>
                            <a:ext cx="1073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090" y="576580"/>
                            <a:ext cx="1130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440" y="357505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0645" y="137795"/>
                            <a:ext cx="117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16560" y="203263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78510" y="203263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08710" y="203263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38910" y="2032635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769110" y="2032635"/>
                            <a:ext cx="165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147570" y="2032635"/>
                            <a:ext cx="958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509520" y="2032635"/>
                            <a:ext cx="62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39720" y="2032635"/>
                            <a:ext cx="958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169920" y="2032635"/>
                            <a:ext cx="1295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61080" y="2032635"/>
                            <a:ext cx="342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890645" y="2032635"/>
                            <a:ext cx="679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220845" y="2032635"/>
                            <a:ext cx="101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568825" y="203263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30775" y="203263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260975" y="203263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591175" y="2032635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21375" y="2032635"/>
                            <a:ext cx="165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732915" y="2239010"/>
                            <a:ext cx="241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681220" y="2239010"/>
                            <a:ext cx="2266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0810" y="11430"/>
                            <a:ext cx="844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75945" y="2568575"/>
                            <a:ext cx="57150" cy="5905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59130" y="2427605"/>
                            <a:ext cx="14109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Przetwórstwo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przemysłowe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712210" y="2568575"/>
                            <a:ext cx="59055" cy="5905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796030" y="2427605"/>
                            <a:ext cx="697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Budownictwo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75945" y="2733675"/>
                            <a:ext cx="57150" cy="5905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59130" y="2592070"/>
                            <a:ext cx="23437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Handel;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naprawa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pojazdów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samochodowych</w:t>
                              </w:r>
                              <w:proofErr w:type="spellEnd"/>
                              <w:r w:rsidRPr="00915226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712210" y="2733675"/>
                            <a:ext cx="59055" cy="59055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796030" y="2592070"/>
                            <a:ext cx="19043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Transport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gospodarka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magazynowa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75945" y="2899410"/>
                            <a:ext cx="57150" cy="5842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59130" y="2757170"/>
                            <a:ext cx="1638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20D2" w:rsidRDefault="008F20D2" w:rsidP="003C6501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Zakwaterowanie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gastronomia</w:t>
                              </w:r>
                              <w:proofErr w:type="spellEnd"/>
                              <w:r w:rsidRPr="00915226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7512B" id="Kanwa 97" o:spid="_x0000_s1026" editas="canvas" style="position:absolute;left:0;text-align:left;margin-left:0;margin-top:1.9pt;width:523.85pt;height:241.25pt;z-index:251949568;mso-position-horizontal:center;mso-position-horizontal-relative:page" coordsize="66522,30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">
                <v:shape id="_x0000_s1027" type="#_x0000_t75" style="position:absolute;width:66522;height:30632;visibility:visible;mso-wrap-style:square">
                  <v:fill o:detectmouseclick="t"/>
                  <v:path o:connecttype="none"/>
                </v:shape>
                <v:shape id="Freeform 8" o:spid="_x0000_s1028" style="position:absolute;left:2882;top:2019;width:58820;height:15481;visibility:visible;mso-wrap-style:square;v-text-anchor:top" coordsize="9263,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TTMUA&#10;AADbAAAADwAAAGRycy9kb3ducmV2LnhtbESPQWvCQBSE70L/w/IKvZlNrZSSuoaSIhqkgtpLbo/s&#10;M4nNvo3ZVeO/dwuFHoeZ+YaZpYNpxYV611hW8BzFIIhLqxuuFHzvF+M3EM4ja2wtk4IbOUjnD6MZ&#10;JtpeeUuXna9EgLBLUEHtfZdI6cqaDLrIdsTBO9jeoA+yr6Tu8RrgppWTOH6VBhsOCzV2lNVU/uzO&#10;RkG5zmVxWu63OX8tsqndHPOi+FTq6XH4eAfhafD/4b/2Sit4mcDvl/A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xNMxQAAANsAAAAPAAAAAAAAAAAAAAAAAJgCAABkcnMv&#10;ZG93bnJldi54bWxQSwUGAAAAAAQABAD1AAAAigMAAAAA&#10;" path="m,2424r9263,l9263,2438,,2438r,-14xm,2078r9263,l9263,2091,,2091r,-13xm,1732r9263,l9263,1745,,1745r,-13xm,1385r9263,l9263,1399,,1399r,-14xm,1039r9263,l9263,1053,,1053r,-14xm,693r9263,l9263,706,,706,,693xm,346r9263,l9263,360,,360,,346xm,l9263,r,14l,14,,xe" fillcolor="#d9d9d9" strokecolor="#d9d9d9" strokeweight=".1pt">
                  <v:stroke joinstyle="bevel"/>
                  <v:path arrowok="t" o:connecttype="custom" o:connectlocs="0,1539240;5882005,1539240;5882005,1548130;0,1548130;0,1539240;0,1319530;5882005,1319530;5882005,1327785;0,1327785;0,1319530;0,1099820;5882005,1099820;5882005,1108075;0,1108075;0,1099820;0,879475;5882005,879475;5882005,888365;0,888365;0,879475;0,659765;5882005,659765;5882005,668655;0,668655;0,659765;0,440055;5882005,440055;5882005,448310;0,448310;0,440055;0,219710;5882005,219710;5882005,228600;0,228600;0,219710;0,0;5882005,0;5882005,8890;0,8890;0,0" o:connectangles="0,0,0,0,0,0,0,0,0,0,0,0,0,0,0,0,0,0,0,0,0,0,0,0,0,0,0,0,0,0,0,0,0,0,0,0,0,0,0,0"/>
                  <o:lock v:ext="edit" verticies="t"/>
                </v:shape>
                <v:shape id="Freeform 9" o:spid="_x0000_s1029" style="position:absolute;left:3282;top:11963;width:55906;height:7690;visibility:visible;mso-wrap-style:square;v-text-anchor:top" coordsize="8804,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qOy8UA&#10;AADbAAAADwAAAGRycy9kb3ducmV2LnhtbESPT2sCMRTE7wW/Q3iCt5q1QpHVKCIWxIPQrYcen5vn&#10;7urmZU2yf9pP3xQKPQ4z8xtmtRlMLTpyvrKsYDZNQBDnVldcKDh/vD0vQPiArLG2TAq+yMNmPXpa&#10;Yaptz+/UZaEQEcI+RQVlCE0qpc9LMuintiGO3tU6gyFKV0jtsI9wU8uXJHmVBiuOCyU2tCspv2et&#10;UdD2rmi/r4t9n53Otvu8Hfd4eSg1GQ/bJYhAQ/gP/7UPWsF8D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o7LxQAAANsAAAAPAAAAAAAAAAAAAAAAAJgCAABkcnMv&#10;ZG93bnJldi54bWxQSwUGAAAAAAQABAD1AAAAigMAAAAA&#10;" path="m,l84,r,1211l,1211,,xm546,75r84,l630,1211r-84,l546,75xm1091,460r84,l1175,1211r-84,l1091,460xm1635,679r83,l1718,1211r-83,l1635,679xm2180,774r84,l2264,1211r-84,l2180,774xm2726,917r84,l2810,1211r-84,l2726,917xm3269,974r86,l3355,1211r-86,l3269,974xm3815,992r83,l3898,1211r-83,l3815,992xm4360,992r84,l4444,1211r-84,l4360,992xm4906,1152r84,l4990,1211r-84,l4906,1152xm5449,1073r84,l5533,1211r-84,l5449,1073xm5995,1107r83,l6078,1211r-83,l5995,1107xm6540,1003r84,l6624,1211r-84,l6540,1003xm7084,1062r83,l7167,1211r-83,l7084,1062xm7629,1107r84,l7713,1211r-84,l7629,1107xm8175,1152r83,l8258,1211r-83,l8175,1152xm8720,1164r84,l8804,1211r-84,l8720,1164xe" fillcolor="#522398" stroked="f">
                  <v:path arrowok="t" o:connecttype="custom" o:connectlocs="53340,0;0,768985;346710,47625;400050,768985;346710,47625;746125,292100;692785,768985;1038225,431165;1090930,768985;1038225,431165;1437640,491490;1384300,768985;1731010,582295;1784350,768985;1731010,582295;2130425,618490;2075815,768985;2422525,629920;2475230,768985;2422525,629920;2821940,629920;2768600,768985;3115310,731520;3168650,768985;3115310,731520;3513455,681355;3460115,768985;3806825,702945;3859530,768985;3806825,702945;4206240,636905;4152900,768985;4498340,674370;4551045,768985;4498340,674370;4897755,702945;4844415,768985;5191125,731520;5243830,768985;5191125,731520;5590540,739140;5537200,768985" o:connectangles="0,0,0,0,0,0,0,0,0,0,0,0,0,0,0,0,0,0,0,0,0,0,0,0,0,0,0,0,0,0,0,0,0,0,0,0,0,0,0,0,0,0"/>
                  <o:lock v:ext="edit" verticies="t"/>
                </v:shape>
                <v:shape id="Freeform 10" o:spid="_x0000_s1030" style="position:absolute;left:3816;top:15963;width:55905;height:3690;visibility:visible;mso-wrap-style:square;v-text-anchor:top" coordsize="8804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oVsMA&#10;AADbAAAADwAAAGRycy9kb3ducmV2LnhtbESPS4vCMBSF94L/IVzBnaaOolKNIqMD42rwhbi7NNe2&#10;2tyUJmM7/94MCC4P5/Fx5svGFOJBlcstKxj0IxDEidU5pwqOh6/eFITzyBoLy6TgjxwsF+3WHGNt&#10;a97RY+9TEUbYxagg876MpXRJRgZd35bEwbvayqAPskqlrrAO46aQH1E0lgZzDoQMS/rMKLnvf03g&#10;+tNtWP/UdBytN/J8um7NenJRqttpVjMQnhr/Dr/a31rBcAT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woVsMAAADbAAAADwAAAAAAAAAAAAAAAACYAgAAZHJzL2Rv&#10;d25yZXYueG1sUEsFBgAAAAAEAAQA9QAAAIgDAAAAAA==&#10;" path="m,l84,r,581l,581,,xm546,36r83,l629,581r-83,l546,36xm1091,319r84,l1175,581r-84,l1091,319xm1634,325r84,l1718,581r-84,l1634,325xm2180,140r84,l2264,581r-84,l2180,140xm2726,470r83,l2809,581r-83,l2726,470xm3271,251r84,l3355,581r-84,l3271,251xm3814,396r84,l3898,581r-84,l3814,396xm4360,432r84,l4444,581r-84,l4360,432xm5449,500r84,l5533,581r-84,l5449,500xm5994,500r84,l6078,581r-84,l5994,500xm6540,500r84,l6624,581r-84,l6540,500xm7083,466r84,l7167,581r-84,l7083,466xm8720,500r84,l8804,581r-84,l8720,500xe" fillcolor="#754fad" stroked="f">
                  <v:path arrowok="t" o:connecttype="custom" o:connectlocs="53340,0;0,368935;346710,22860;399415,368935;346710,22860;746125,202565;692785,368935;1037590,206375;1090930,368935;1037590,206375;1437640,88900;1384300,368935;1731010,298450;1783715,368935;1731010,298450;2130425,159385;2077085,368935;2421890,251460;2475230,368935;2421890,251460;2821940,274320;2768600,368935;3460115,317500;3513455,368935;3460115,317500;3859530,317500;3806190,368935;4152900,317500;4206240,368935;4152900,317500;4551045,295910;4497705,368935;5537200,317500;5590540,368935;5537200,317500" o:connectangles="0,0,0,0,0,0,0,0,0,0,0,0,0,0,0,0,0,0,0,0,0,0,0,0,0,0,0,0,0,0,0,0,0,0,0"/>
                  <o:lock v:ext="edit" verticies="t"/>
                </v:shape>
                <v:shape id="Freeform 11" o:spid="_x0000_s1031" style="position:absolute;left:4349;top:13214;width:55899;height:6439;visibility:visible;mso-wrap-style:square;v-text-anchor:top" coordsize="8803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rSUcQA&#10;AADbAAAADwAAAGRycy9kb3ducmV2LnhtbESPQWsCMRSE70L/Q3hCb5rVUpGtcbHCopQiuHpob4/N&#10;62Zx87IkqW7/fVMoeBxmvhlmVQy2E1fyoXWsYDbNQBDXTrfcKDifyskSRIjIGjvHpOCHAhTrh9EK&#10;c+1ufKRrFRuRSjjkqMDE2OdShtqQxTB1PXHyvpy3GJP0jdQeb6ncdnKeZQtpseW0YLCnraH6Un1b&#10;BU8f+PnW716r/WHn38ugs4ORZ6Uex8PmBUSkId7D//ReJ+4Z/r6k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0lHEAAAA2wAAAA8AAAAAAAAAAAAAAAAAmAIAAGRycy9k&#10;b3ducmV2LnhtbFBLBQYAAAAABAAEAPUAAACJAwAAAAA=&#10;" path="m,l84,r,1014l,1014,,xm545,254r84,l629,1014r-84,l545,254xm1091,616r84,l1175,1014r-84,l1091,616xm1634,641r84,l1718,1014r-84,l1634,641xm2180,697r84,l2264,1014r-84,l2180,697xm2725,824r84,l2809,1014r-84,l2725,824xm3271,842r84,l3355,1014r-84,l3271,842xm3814,772r84,l3898,1014r-84,l3814,772xm4360,851r84,l4444,1014r-84,l4360,851xm4905,955r84,l4989,1014r-84,l4905,955xm5449,955r83,l5532,1014r-83,l5449,955xm5994,921r84,l6078,1014r-84,l5994,921xm6540,921r83,l6623,1014r-83,l6540,921xm7083,899r86,l7169,1014r-86,l7083,899xm7629,865r83,l7712,1014r-83,l7629,865xm8174,921r84,l8258,1014r-84,l8174,921xm8720,921r83,l8803,1014r-83,l8720,921xe" fillcolor="#977bc1" stroked="f">
                  <v:path arrowok="t" o:connecttype="custom" o:connectlocs="53340,0;0,643890;346075,161290;399415,643890;346075,161290;746125,391160;692785,643890;1037590,407035;1090930,643890;1037590,407035;1437640,442595;1384300,643890;1730375,523240;1783715,643890;1730375,523240;2130425,534670;2077085,643890;2421890,490220;2475230,643890;2421890,490220;2821940,540385;2768600,643890;3114675,606425;3168015,643890;3114675,606425;3512820,606425;3460115,643890;3806190,584835;3859530,643890;3806190,584835;4205605,584835;4152900,643890;4497705,570865;4552315,643890;4497705,570865;4897120,549275;4844415,643890;5190490,584835;5243830,643890;5190490,584835;5589905,584835;5537200,643890" o:connectangles="0,0,0,0,0,0,0,0,0,0,0,0,0,0,0,0,0,0,0,0,0,0,0,0,0,0,0,0,0,0,0,0,0,0,0,0,0,0,0,0,0,0"/>
                  <o:lock v:ext="edit" verticies="t"/>
                </v:shape>
                <v:shape id="Freeform 12" o:spid="_x0000_s1032" style="position:absolute;left:4883;top:15316;width:55899;height:4337;visibility:visible;mso-wrap-style:square;v-text-anchor:top" coordsize="8803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20sUA&#10;AADbAAAADwAAAGRycy9kb3ducmV2LnhtbESPQWvCQBSE74L/YXmCN93EljRNs4oIgqeWaEqvj+wz&#10;Cc2+DdmtSfvru4WCx2FmvmHy3WQ6caPBtZYVxOsIBHFldcu1gvJyXKUgnEfW2FkmBd/kYLedz3LM&#10;tB25oNvZ1yJA2GWooPG+z6R0VUMG3dr2xMG72sGgD3KopR5wDHDTyU0UJdJgy2GhwZ4ODVWf5y+j&#10;IG3H62vpnjfvP0dZfRSPsX5665RaLqb9CwhPk7+H/9snreAhgb8v4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HbSxQAAANsAAAAPAAAAAAAAAAAAAAAAAJgCAABkcnMv&#10;ZG93bnJldi54bWxQSwUGAAAAAAQABAD1AAAAigMAAAAA&#10;" path="m,l83,r,683l,683,,xm545,138r84,l629,683r-84,l545,138xm1091,443r83,l1174,683r-83,l1091,443xm1634,362r84,l1718,683r-84,l1634,362xm2180,516r83,l2263,683r-83,l2180,516xm2725,602r84,l2809,683r-84,l2725,602xm3814,602r84,l3898,683r-84,l3814,602xm4360,602r83,l4443,683r-83,l4360,602xm5448,602r84,l5532,683r-84,l5448,602xm6539,520r84,l6623,683r-84,l6539,520xm7085,602r84,l7169,683r-84,l7085,602xm7628,602r84,l7712,683r-84,l7628,602xm8174,590r84,l8258,683r-84,l8174,590xm8719,590r84,l8803,683r-84,l8719,590xe" fillcolor="#baa7d6" stroked="f">
                  <v:path arrowok="t" o:connecttype="custom" o:connectlocs="52705,0;0,433705;346075,87630;399415,433705;346075,87630;745490,281305;692785,433705;1037590,229870;1090930,433705;1037590,229870;1437005,327660;1384300,433705;1730375,382270;1783715,433705;1730375,382270;2475230,382270;2421890,433705;2768600,382270;2821305,433705;2768600,382270;3512820,382270;3459480,433705;4152265,330200;4205605,433705;4152265,330200;4552315,382270;4498975,433705;4843780,382270;4897120,433705;4843780,382270;5243830,374650;5190490,433705;5536565,374650;5589905,433705;5536565,374650" o:connectangles="0,0,0,0,0,0,0,0,0,0,0,0,0,0,0,0,0,0,0,0,0,0,0,0,0,0,0,0,0,0,0,0,0,0,0"/>
                  <o:lock v:ext="edit" verticies="t"/>
                </v:shape>
                <v:shape id="Freeform 13" o:spid="_x0000_s1033" style="position:absolute;left:5410;top:3371;width:55905;height:16282;visibility:visible;mso-wrap-style:square;v-text-anchor:top" coordsize="8804,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KYhcUA&#10;AADbAAAADwAAAGRycy9kb3ducmV2LnhtbESPQWvCQBSE70L/w/IK3pqNVdqSZiOlIooUIWml10f2&#10;NQnJvg3ZVeO/d4WCx2FmvmHS5Wg6caLBNZYVzKIYBHFpdcOVgp/v9dMbCOeRNXaWScGFHCyzh0mK&#10;ibZnzulU+EoECLsEFdTe94mUrqzJoItsTxy8PzsY9EEOldQDngPcdPI5jl+kwYbDQo09fdZUtsXR&#10;KGDb5quv/eawWxTN4neez46b9qDU9HH8eAfhafT38H97qxXMX+H2Jfw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piFxQAAANsAAAAPAAAAAAAAAAAAAAAAAJgCAABkcnMv&#10;ZG93bnJldi54bWxQSwUGAAAAAAQABAD1AAAAigMAAAAA&#10;" path="m,l84,r,2564l,2564,,xm546,1308r84,l630,2564r-84,l546,1308xm1091,799r84,l1175,2564r-84,l1091,799xm1635,1281r86,l1721,2564r-86,l1635,1281xm2180,1747r84,l2264,2564r-84,l2180,1747xm2726,1976r84,l2810,2564r-84,l2726,1976xm3271,790r84,l3355,2564r-84,l3271,790xm3815,751r83,l3898,2564r-83,l3815,751xm4360,1455r84,l4444,2564r-84,l4360,1455xm4906,1571r84,l4990,2564r-84,l4906,1571xm5449,1525r84,l5533,2564r-84,l5449,1525xm5995,1838r83,l6078,2564r-83,l5995,1838xm6540,1872r84,l6624,2564r-84,l6540,1872xm7086,1998r84,l7170,2564r-84,l7086,1998xm7629,1156r84,l7713,2564r-84,l7629,1156xm8175,1283r83,l8258,2564r-83,l8175,1283xm8720,1663r84,l8804,2564r-84,l8720,1663xe" fillcolor="#dcd3ea" stroked="f">
                  <v:path arrowok="t" o:connecttype="custom" o:connectlocs="53340,0;0,1628140;346710,830580;400050,1628140;346710,830580;746125,507365;692785,1628140;1038225,813435;1092835,1628140;1038225,813435;1437640,1109345;1384300,1628140;1731010,1254760;1784350,1628140;1731010,1254760;2130425,501650;2077085,1628140;2422525,476885;2475230,1628140;2422525,476885;2821940,923925;2768600,1628140;3115310,997585;3168650,1628140;3115310,997585;3513455,968375;3460115,1628140;3806825,1167130;3859530,1628140;3806825,1167130;4206240,1188720;4152900,1628140;4499610,1268730;4552950,1628140;4499610,1268730;4897755,734060;4844415,1628140;5191125,814705;5243830,1628140;5191125,814705;5590540,1056005;5537200,1628140" o:connectangles="0,0,0,0,0,0,0,0,0,0,0,0,0,0,0,0,0,0,0,0,0,0,0,0,0,0,0,0,0,0,0,0,0,0,0,0,0,0,0,0,0,0"/>
                  <o:lock v:ext="edit" verticies="t"/>
                </v:shape>
                <v:rect id="Rectangle 14" o:spid="_x0000_s1034" style="position:absolute;left:2882;top:19608;width:58820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9/q8EA&#10;AADbAAAADwAAAGRycy9kb3ducmV2LnhtbERPy2oCMRTdF/oP4QruakYtVkajlGpLBbvwtb9OrpOh&#10;yc0wic7492ZR6PJw3vNl56y4URMqzwqGgwwEceF1xaWC4+HzZQoiRGSN1jMpuFOA5eL5aY659i3v&#10;6LaPpUghHHJUYGKscylDYchhGPiaOHEX3ziMCTal1A22KdxZOcqyiXRYcWowWNOHoeJ3f3UKrtn4&#10;7ee+Ob9OzGn71dq4WtvdQal+r3ufgYjUxX/xn/tbKxinsel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ff6vBAAAA2wAAAA8AAAAAAAAAAAAAAAAAmAIAAGRycy9kb3du&#10;cmV2LnhtbFBLBQYAAAAABAAEAPUAAACGAwAAAAA=&#10;" fillcolor="#d9d9d9" strokecolor="#d9d9d9" strokeweight=".1pt">
                  <v:stroke joinstyle="bevel"/>
                </v:rect>
                <v:shape id="Freeform 15" o:spid="_x0000_s1035" style="position:absolute;left:2838;top:19653;width:58909;height:2057;visibility:visible;mso-wrap-style:square;v-text-anchor:top" coordsize="927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0PMQA&#10;AADbAAAADwAAAGRycy9kb3ducmV2LnhtbESPUWvCMBSF3wf+h3CFvc20Ck6rUepgcw9jUOcPuDTX&#10;tNrclCTT7t8vg4GPh3POdzjr7WA7cSUfWscK8kkGgrh2umWj4Pj1+rQAESKyxs4xKfihANvN6GGN&#10;hXY3ruh6iEYkCIcCFTQx9oWUoW7IYpi4njh5J+ctxiS9kdrjLcFtJ6dZNpcWW04LDfb00lB9OXxb&#10;BfvnN7s7+1luTPmZHyvzUbbThVKP46FcgYg0xHv4v/2uFcyW8Pcl/Q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dDzEAAAA2wAAAA8AAAAAAAAAAAAAAAAAmAIAAGRycy9k&#10;b3ducmV2LnhtbFBLBQYAAAAABAAEAPUAAACJAwAAAAA=&#10;" path="m14,r,324l,324,,,14,xm4919,r,324l4906,324,4906,r13,xm9277,r,324l9263,324,9263,r14,xe" fillcolor="#d9d9d9" strokecolor="#d9d9d9" strokeweight=".1pt">
                  <v:stroke joinstyle="bevel"/>
                  <v:path arrowok="t" o:connecttype="custom" o:connectlocs="8890,0;8890,205740;0,205740;0,0;8890,0;3123565,0;3123565,205740;3115310,205740;3115310,0;3123565,0;5890895,0;5890895,205740;5882005,205740;5882005,0;5890895,0" o:connectangles="0,0,0,0,0,0,0,0,0,0,0,0,0,0,0"/>
                  <o:lock v:ext="edit" verticies="t"/>
                </v:shape>
                <v:shape id="Freeform 16" o:spid="_x0000_s1036" style="position:absolute;left:2838;top:21710;width:58909;height:2058;visibility:visible;mso-wrap-style:square;v-text-anchor:top" coordsize="927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u3MEA&#10;AADbAAAADwAAAGRycy9kb3ducmV2LnhtbERP3WrCMBS+H/gO4Qi7m2ndmFKNUgU3L4bgzwMcmmNa&#10;bU5KErV7e3Mx2OXH9z9f9rYVd/KhcawgH2UgiCunGzYKTsfN2xREiMgaW8ek4JcCLBeDlzkW2j14&#10;T/dDNCKFcChQQR1jV0gZqposhpHriBN3dt5iTNAbqT0+Urht5TjLPqXFhlNDjR2ta6quh5tV8D35&#10;squLf8+NKXf5aW9+ymY8Vep12JczEJH6+C/+c2+1go+0Pn1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zrtzBAAAA2wAAAA8AAAAAAAAAAAAAAAAAmAIAAGRycy9kb3du&#10;cmV2LnhtbFBLBQYAAAAABAAEAPUAAACGAwAAAAA=&#10;" path="m14,r,324l,324,,,14,xm4919,r,324l4906,324,4906,r13,xm9277,r,324l9263,324,9263,r14,xe" fillcolor="#d9d9d9" strokecolor="#d9d9d9" strokeweight=".1pt">
                  <v:stroke joinstyle="bevel"/>
                  <v:path arrowok="t" o:connecttype="custom" o:connectlocs="8890,0;8890,205740;0,205740;0,0;8890,0;3123565,0;3123565,205740;3115310,205740;3115310,0;3123565,0;5890895,0;5890895,205740;5882005,205740;5882005,0;5890895,0" o:connectangles="0,0,0,0,0,0,0,0,0,0,0,0,0,0,0"/>
                  <o:lock v:ext="edit" verticies="t"/>
                </v:shape>
                <v:rect id="Rectangle 17" o:spid="_x0000_s1037" style="position:absolute;left:1314;top:18954;width:64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8" o:spid="_x0000_s1038" style="position:absolute;left:1377;top:16764;width:5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9" o:spid="_x0000_s1039" style="position:absolute;left:1339;top:14566;width:6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0" o:spid="_x0000_s1040" style="position:absolute;left:1346;top:12369;width:53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21" o:spid="_x0000_s1041" style="position:absolute;left:914;top:10160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2" o:spid="_x0000_s1042" style="position:absolute;left:908;top:7962;width:10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23" o:spid="_x0000_s1043" style="position:absolute;left:850;top:5765;width:113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Rectangle 24" o:spid="_x0000_s1044" style="position:absolute;left:914;top:3575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Rectangle 25" o:spid="_x0000_s1045" style="position:absolute;left:806;top:1377;width:11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rect id="Rectangle 26" o:spid="_x0000_s1046" style="position:absolute;left:4165;top:20326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27" o:spid="_x0000_s1047" style="position:absolute;left:7785;top:20326;width:64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8" o:spid="_x0000_s1048" style="position:absolute;left:11087;top:20326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29" o:spid="_x0000_s1049" style="position:absolute;left:14389;top:20326;width:131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30" o:spid="_x0000_s1050" style="position:absolute;left:17691;top:20326;width:16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31" o:spid="_x0000_s1051" style="position:absolute;left:21475;top:20326;width:9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32" o:spid="_x0000_s1052" style="position:absolute;left:25095;top:20326;width:62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33" o:spid="_x0000_s1053" style="position:absolute;left:28397;top:20326;width:9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34" o:spid="_x0000_s1054" style="position:absolute;left:31699;top:20326;width:129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rect id="Rectangle 35" o:spid="_x0000_s1055" style="position:absolute;left:35610;top:20326;width:34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36" o:spid="_x0000_s1056" style="position:absolute;left:38906;top:20326;width:67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37" o:spid="_x0000_s1057" style="position:absolute;left:42208;top:20326;width:101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38" o:spid="_x0000_s1058" style="position:absolute;left:45688;top:20326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39" o:spid="_x0000_s1059" style="position:absolute;left:49307;top:20326;width:64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40" o:spid="_x0000_s1060" style="position:absolute;left:52609;top:20326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41" o:spid="_x0000_s1061" style="position:absolute;left:55911;top:20326;width:131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42" o:spid="_x0000_s1062" style="position:absolute;left:59213;top:20326;width:16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43" o:spid="_x0000_s1063" style="position:absolute;left:17329;top:22390;width:241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</w:t>
                        </w:r>
                      </w:p>
                    </w:txbxContent>
                  </v:textbox>
                </v:rect>
                <v:rect id="Rectangle 44" o:spid="_x0000_s1064" style="position:absolute;left:46812;top:22390;width:22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2021</w:t>
                        </w:r>
                      </w:p>
                    </w:txbxContent>
                  </v:textbox>
                </v:rect>
                <v:rect id="Rectangle 45" o:spid="_x0000_s1065" style="position:absolute;left:1308;top:114;width:84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46" o:spid="_x0000_s1066" style="position:absolute;left:5759;top:25685;width:571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sacUA&#10;AADbAAAADwAAAGRycy9kb3ducmV2LnhtbESPQWsCMRSE7wX/Q3iCt5pVWyurUUQQe7FalUJvz+S5&#10;u+zmZdlEXf99Uyj0OMzMN8xs0dpK3KjxhWMFg34Cglg7U3Cm4HRcP09A+IBssHJMCh7kYTHvPM0w&#10;Ne7On3Q7hExECPsUFeQh1KmUXudk0fddTRy9i2sshiibTJoG7xFuKzlMkrG0WHBcyLGmVU66PFyt&#10;An/+0tXLVter4/7jVbejcvO9K5XqddvlFESgNvyH/9rvRsHbCH6/xB8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GxpxQAAANsAAAAPAAAAAAAAAAAAAAAAAJgCAABkcnMv&#10;ZG93bnJldi54bWxQSwUGAAAAAAQABAD1AAAAigMAAAAA&#10;" fillcolor="#522398" stroked="f"/>
                <v:rect id="Rectangle 47" o:spid="_x0000_s1067" style="position:absolute;left:6591;top:24276;width:141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Przetwórstwo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przemysłowe</w:t>
                        </w:r>
                        <w:proofErr w:type="spellEnd"/>
                      </w:p>
                    </w:txbxContent>
                  </v:textbox>
                </v:rect>
                <v:rect id="Rectangle 48" o:spid="_x0000_s1068" style="position:absolute;left:37122;top:25685;width:590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I8MUA&#10;AADbAAAADwAAAGRycy9kb3ducmV2LnhtbESPT0vDQBTE70K/w/IEL2J3qxgldltK/0ARemjrweMj&#10;+0xCs2/T7LOJ394VhB6Hmd8MM50PvlEX6mId2MJkbEARF8HVXFr4OG4eXkFFQXbYBCYLPxRhPhvd&#10;TDF3oec9XQ5SqlTCMUcLlUibax2LijzGcWiJk/cVOo+SZFdq12Gfyn2jH43JtMea00KFLS0rKk6H&#10;b2/hJVudnzY7s+69kc/9+/Z0L9na2rvbYfEGSmiQa/if3rrEPcPfl/QD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IjwxQAAANsAAAAPAAAAAAAAAAAAAAAAAJgCAABkcnMv&#10;ZG93bnJldi54bWxQSwUGAAAAAAQABAD1AAAAigMAAAAA&#10;" fillcolor="#754fad" stroked="f"/>
                <v:rect id="Rectangle 49" o:spid="_x0000_s1069" style="position:absolute;left:37960;top:24276;width:69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:rsidR="008F20D2" w:rsidRDefault="008F20D2" w:rsidP="003C6501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Budownictwo</w:t>
                        </w:r>
                        <w:proofErr w:type="spellEnd"/>
                      </w:p>
                    </w:txbxContent>
                  </v:textbox>
                </v:rect>
                <v:rect id="Rectangle 50" o:spid="_x0000_s1070" style="position:absolute;left:5759;top:27336;width:571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5oMMQA&#10;AADbAAAADwAAAGRycy9kb3ducmV2LnhtbESPQWvCQBSE7wX/w/IEL0U3zaFKdBURgoFCIdGDx0f2&#10;mUSzb0N2m6T/vlso9DjMzDfM7jCZVgzUu8aygrdVBIK4tLrhSsH1ki43IJxH1thaJgXf5OCwn73s&#10;MNF25JyGwlciQNglqKD2vkukdGVNBt3KdsTBu9veoA+yr6TucQxw08o4it6lwYbDQo0dnWoqn8WX&#10;UZA948dr7oc0/9TXj+xibvp8zJRazKfjFoSnyf+H/9qZVrBew+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uaDDEAAAA2wAAAA8AAAAAAAAAAAAAAAAAmAIAAGRycy9k&#10;b3ducmV2LnhtbFBLBQYAAAAABAAEAPUAAACJAwAAAAA=&#10;" fillcolor="#977bc1" stroked="f"/>
                <v:rect id="Rectangle 51" o:spid="_x0000_s1071" style="position:absolute;left:6591;top:25920;width:2343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Handel;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naprawa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pojazdów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samochodowych</w:t>
                        </w:r>
                        <w:proofErr w:type="spellEnd"/>
                        <w:r w:rsidRPr="00915226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v:rect id="Rectangle 52" o:spid="_x0000_s1072" style="position:absolute;left:37122;top:27336;width:590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X8xMUA&#10;AADbAAAADwAAAGRycy9kb3ducmV2LnhtbESPQWvCQBSE7wX/w/IEb3WjWI2pq5RCS/GiTQWvz+xr&#10;Ept9G3ZXTf313YLgcZiZb5jFqjONOJPztWUFo2ECgriwuuZSwe7r7TEF4QOyxsYyKfglD6tl72GB&#10;mbYX/qRzHkoRIewzVFCF0GZS+qIig35oW+LofVtnMETpSqkdXiLcNHKcJFNpsOa4UGFLrxUVP/nJ&#10;KJgW2/d0Mxnn19mhe3LlJN0f16lSg3738gwiUBfu4Vv7QyuYzeH/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fzExQAAANsAAAAPAAAAAAAAAAAAAAAAAJgCAABkcnMv&#10;ZG93bnJldi54bWxQSwUGAAAAAAQABAD1AAAAigMAAAAA&#10;" fillcolor="#baa7d6" stroked="f"/>
                <v:rect id="Rectangle 53" o:spid="_x0000_s1073" style="position:absolute;left:37960;top:25920;width:1904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8F20D2" w:rsidRDefault="008F20D2" w:rsidP="003C6501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Transport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gospodarka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magazynowa</w:t>
                        </w:r>
                        <w:proofErr w:type="spellEnd"/>
                      </w:p>
                    </w:txbxContent>
                  </v:textbox>
                </v:rect>
                <v:rect id="Rectangle 54" o:spid="_x0000_s1074" style="position:absolute;left:5759;top:28994;width:571;height: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8x6cUA&#10;AADbAAAADwAAAGRycy9kb3ducmV2LnhtbESPT2sCMRTE70K/Q3iFXkSzSiu6GkWFFg8F/x48PjbP&#10;zeLmZdmk69ZP3xQEj8PM/IaZLVpbioZqXzhWMOgnIIgzpwvOFZyOn70xCB+QNZaOScEveVjMXzoz&#10;TLW78Z6aQ8hFhLBPUYEJoUql9Jkhi77vKuLoXVxtMURZ51LXeItwW8phkoykxYLjgsGK1oay6+HH&#10;Kih251W1vt8Hm+64+SiH3xfzRVul3l7b5RREoDY8w4/2RiuYvM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3zHpxQAAANsAAAAPAAAAAAAAAAAAAAAAAJgCAABkcnMv&#10;ZG93bnJldi54bWxQSwUGAAAAAAQABAD1AAAAigMAAAAA&#10;" fillcolor="#dcd3ea" stroked="f"/>
                <v:rect id="Rectangle 55" o:spid="_x0000_s1075" style="position:absolute;left:6591;top:27571;width:1638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:rsidR="008F20D2" w:rsidRDefault="008F20D2" w:rsidP="003C6501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Zakwaterowanie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gastronomia</w:t>
                        </w:r>
                        <w:proofErr w:type="spellEnd"/>
                        <w:r w:rsidRPr="00915226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3C6501" w:rsidRPr="00037AF8" w:rsidRDefault="003C6501" w:rsidP="003C6501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037AF8">
        <w:rPr>
          <w:rFonts w:eastAsia="Calibri" w:cs="Times New Roman"/>
          <w:color w:val="FF0000"/>
          <w:szCs w:val="19"/>
        </w:rPr>
        <w:tab/>
      </w: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037AF8">
        <w:rPr>
          <w:rFonts w:eastAsia="Calibri" w:cs="Times New Roman"/>
          <w:color w:val="FF0000"/>
          <w:szCs w:val="19"/>
        </w:rPr>
        <w:tab/>
      </w: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3C6501" w:rsidRPr="00037AF8" w:rsidRDefault="003C6501" w:rsidP="003C6501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3C6501" w:rsidRDefault="003C6501" w:rsidP="003C6501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3C6501" w:rsidRPr="00286F53" w:rsidRDefault="003C6501" w:rsidP="003C6501">
      <w:pPr>
        <w:spacing w:before="0" w:after="0"/>
        <w:ind w:firstLine="284"/>
        <w:rPr>
          <w:rFonts w:eastAsia="Calibri" w:cs="Times New Roman"/>
          <w:b/>
          <w:color w:val="000000" w:themeColor="text1"/>
          <w:szCs w:val="19"/>
        </w:rPr>
      </w:pPr>
      <w:r w:rsidRPr="00286F53">
        <w:rPr>
          <w:rFonts w:eastAsia="Calibri" w:cs="Times New Roman"/>
          <w:color w:val="000000" w:themeColor="text1"/>
          <w:szCs w:val="19"/>
        </w:rPr>
        <w:t>Najczęściej jako przyczynę zmian w działalności gospodarczej związaną z COVID-19 w sierpniu 2021 r. wskazywano zmianę liczby zamówień. W omawianym okresie zmiany w tym zakresie wskazywało 0,</w:t>
      </w:r>
      <w:r>
        <w:rPr>
          <w:rFonts w:eastAsia="Calibri" w:cs="Times New Roman"/>
          <w:color w:val="000000" w:themeColor="text1"/>
          <w:szCs w:val="19"/>
        </w:rPr>
        <w:t>6</w:t>
      </w:r>
      <w:r w:rsidRPr="00286F53">
        <w:rPr>
          <w:rFonts w:eastAsia="Calibri" w:cs="Times New Roman"/>
          <w:color w:val="000000" w:themeColor="text1"/>
          <w:szCs w:val="19"/>
        </w:rPr>
        <w:t xml:space="preserve">% podmiotów, w kraju </w:t>
      </w:r>
      <w:r w:rsidRPr="00286F53">
        <w:rPr>
          <w:rFonts w:eastAsia="Calibri" w:cs="Times New Roman"/>
          <w:color w:val="000000" w:themeColor="text1"/>
          <w:szCs w:val="19"/>
        </w:rPr>
        <w:softHyphen/>
        <w:t>– 0,5% (wobec 2,0% i 1,9% w sierpniu 2020 r.). Najwyższy odsetek podmiotów wykazujących wzrost liczby zamówień zarówno w województwie, jak i w kraju, wystąpił w zakwaterowaniu i gastronomii – odpowiednio 6,5% i 2,</w:t>
      </w:r>
      <w:r>
        <w:rPr>
          <w:rFonts w:eastAsia="Calibri" w:cs="Times New Roman"/>
          <w:color w:val="000000" w:themeColor="text1"/>
          <w:szCs w:val="19"/>
        </w:rPr>
        <w:t>3</w:t>
      </w:r>
      <w:r w:rsidRPr="00286F53">
        <w:rPr>
          <w:rFonts w:eastAsia="Calibri" w:cs="Times New Roman"/>
          <w:color w:val="000000" w:themeColor="text1"/>
          <w:szCs w:val="19"/>
        </w:rPr>
        <w:t>%.</w:t>
      </w:r>
    </w:p>
    <w:p w:rsidR="003C6501" w:rsidRPr="00037AF8" w:rsidRDefault="003C6501" w:rsidP="003C6501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037AF8" w:rsidRDefault="003C6501" w:rsidP="003C6501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037AF8" w:rsidRDefault="003C6501" w:rsidP="003C6501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037AF8" w:rsidRDefault="003C6501" w:rsidP="003C6501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037AF8" w:rsidRDefault="003C6501" w:rsidP="003C6501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3C6501" w:rsidRPr="00037AF8" w:rsidRDefault="003C6501" w:rsidP="003C6501">
      <w:pPr>
        <w:spacing w:before="0" w:after="0"/>
        <w:jc w:val="center"/>
        <w:rPr>
          <w:rFonts w:eastAsia="Calibri" w:cs="Times New Roman"/>
          <w:color w:val="FF0000"/>
          <w:sz w:val="16"/>
          <w:szCs w:val="16"/>
        </w:rPr>
      </w:pPr>
      <w:r w:rsidRPr="00AB799B">
        <w:rPr>
          <w:rFonts w:eastAsia="Calibri" w:cs="Times New Roman"/>
          <w:b/>
          <w:color w:val="000000" w:themeColor="text1"/>
          <w:szCs w:val="19"/>
        </w:rPr>
        <w:lastRenderedPageBreak/>
        <w:t>Wykres 1</w:t>
      </w:r>
      <w:r w:rsidR="004F1AF4">
        <w:rPr>
          <w:rFonts w:eastAsia="Calibri" w:cs="Times New Roman"/>
          <w:b/>
          <w:color w:val="000000" w:themeColor="text1"/>
          <w:szCs w:val="19"/>
        </w:rPr>
        <w:t>6</w:t>
      </w:r>
      <w:r w:rsidRPr="00AB799B">
        <w:rPr>
          <w:rFonts w:eastAsia="Calibri" w:cs="Times New Roman"/>
          <w:b/>
          <w:color w:val="000000" w:themeColor="text1"/>
          <w:szCs w:val="19"/>
        </w:rPr>
        <w:t xml:space="preserve">. </w:t>
      </w:r>
      <w:proofErr w:type="spellStart"/>
      <w:r w:rsidRPr="00AB799B">
        <w:rPr>
          <w:rFonts w:eastAsia="Calibri" w:cs="Times New Roman"/>
          <w:b/>
          <w:color w:val="000000" w:themeColor="text1"/>
          <w:szCs w:val="19"/>
        </w:rPr>
        <w:t>Przyczyny</w:t>
      </w:r>
      <w:r w:rsidRPr="00AB799B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proofErr w:type="spellEnd"/>
      <w:r w:rsidRPr="00AB799B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3C6501" w:rsidRPr="00037AF8" w:rsidRDefault="003C6501" w:rsidP="003C6501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50592" behindDoc="1" locked="0" layoutInCell="1" allowOverlap="1" wp14:anchorId="3854AB5D" wp14:editId="233EF07E">
            <wp:simplePos x="0" y="0"/>
            <wp:positionH relativeFrom="page">
              <wp:align>center</wp:align>
            </wp:positionH>
            <wp:positionV relativeFrom="paragraph">
              <wp:posOffset>32839</wp:posOffset>
            </wp:positionV>
            <wp:extent cx="5144400" cy="29628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037AF8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3C6501" w:rsidRPr="00724BB4" w:rsidRDefault="003C6501" w:rsidP="003C6501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724BB4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3C6501" w:rsidRPr="00724BB4" w:rsidRDefault="003C6501" w:rsidP="003C6501">
      <w:pPr>
        <w:spacing w:before="0" w:after="0"/>
        <w:jc w:val="both"/>
        <w:rPr>
          <w:rFonts w:eastAsia="Calibri" w:cs="Times New Roman"/>
          <w:color w:val="000000" w:themeColor="text1"/>
          <w:szCs w:val="19"/>
        </w:rPr>
      </w:pPr>
    </w:p>
    <w:p w:rsidR="003C6501" w:rsidRPr="00037AF8" w:rsidRDefault="003C6501" w:rsidP="003C6501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3C6501" w:rsidRPr="00B8202A" w:rsidRDefault="003C6501" w:rsidP="003C6501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724BB4">
        <w:rPr>
          <w:rFonts w:eastAsia="Calibri" w:cs="Times New Roman"/>
          <w:color w:val="000000" w:themeColor="text1"/>
          <w:szCs w:val="19"/>
        </w:rPr>
        <w:t>W sierpniu 2021 r. zmiany wymiaru etatów wskazało 0,1% podmiotów, natomiast zatory płatnicze oraz zwolnienia pracown</w:t>
      </w:r>
      <w:r w:rsidRPr="00B8202A">
        <w:rPr>
          <w:rFonts w:eastAsia="Calibri" w:cs="Times New Roman"/>
          <w:color w:val="000000" w:themeColor="text1"/>
          <w:szCs w:val="19"/>
        </w:rPr>
        <w:t xml:space="preserve">ików </w:t>
      </w:r>
      <w:r w:rsidRPr="00B8202A">
        <w:rPr>
          <w:rFonts w:eastAsia="Calibri" w:cs="Times New Roman"/>
          <w:color w:val="000000" w:themeColor="text1"/>
          <w:szCs w:val="19"/>
        </w:rPr>
        <w:softHyphen/>
        <w:t>– po 0,04%. Nie wystąpiły przypadki przejęcia lub wydzielenia przedsiębiorstwa (lub jego części), anulowania wcześniej wystawionych faktur, uwzględnienia faktur korygujących, problemów z zaopatrzeniem od dostawców, przebywania pracowników na tzw. postojowym, czy wstrzymania produkcji i/lub świadczenia usług. Ogólnie pandemię jako przyczynę wywołującą zmiany w prowadzeniu działalności gospodarczej, bez zaznaczania szczegółowego powodu</w:t>
      </w:r>
      <w:r w:rsidR="000700C6">
        <w:rPr>
          <w:rFonts w:eastAsia="Calibri" w:cs="Times New Roman"/>
          <w:color w:val="000000" w:themeColor="text1"/>
          <w:szCs w:val="19"/>
        </w:rPr>
        <w:t>,</w:t>
      </w:r>
      <w:r w:rsidRPr="00B8202A">
        <w:rPr>
          <w:rFonts w:eastAsia="Calibri" w:cs="Times New Roman"/>
          <w:color w:val="000000" w:themeColor="text1"/>
          <w:szCs w:val="19"/>
        </w:rPr>
        <w:t xml:space="preserve"> wskazało 6,6% przedsiębiorstw.  </w:t>
      </w:r>
    </w:p>
    <w:p w:rsidR="003C6501" w:rsidRPr="00B8202A" w:rsidRDefault="003C6501" w:rsidP="003C6501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00FCF" w:rsidRPr="00D04F11" w:rsidRDefault="003C6501" w:rsidP="003C6501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B8202A">
        <w:rPr>
          <w:rFonts w:cs="Arial"/>
          <w:color w:val="000000" w:themeColor="text1"/>
          <w:szCs w:val="19"/>
        </w:rPr>
        <w:t>***</w:t>
      </w:r>
    </w:p>
    <w:p w:rsidR="007543E2" w:rsidRDefault="007543E2" w:rsidP="00200FC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4E3EAF" w:rsidRPr="00DC7E10" w:rsidRDefault="004E3EAF" w:rsidP="004E3EA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4E3EAF" w:rsidRPr="00DC7E10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4E3EAF" w:rsidRPr="00266406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  <w:r w:rsidRPr="00984F52">
        <w:rPr>
          <w:rFonts w:eastAsia="Calibri" w:cs="FiraSans-Regular"/>
          <w:szCs w:val="19"/>
        </w:rPr>
        <w:t xml:space="preserve">Według stanu na koniec sierpnia 2021 r. w rejestrze REGON </w:t>
      </w:r>
      <w:r w:rsidRPr="00266406">
        <w:rPr>
          <w:rFonts w:eastAsia="Calibri" w:cs="FiraSans-Regular"/>
          <w:szCs w:val="19"/>
        </w:rPr>
        <w:t xml:space="preserve">wpisanych było 439,2 tys. </w:t>
      </w:r>
      <w:r w:rsidRPr="00266406">
        <w:rPr>
          <w:rFonts w:eastAsia="Calibri" w:cs="FiraSans-Regular"/>
          <w:b/>
          <w:szCs w:val="19"/>
        </w:rPr>
        <w:t>podmiotów gospodarki narodowej</w:t>
      </w:r>
      <w:r w:rsidRPr="00266406">
        <w:rPr>
          <w:rFonts w:eastAsia="Calibri" w:cs="FiraSans-Regular"/>
          <w:szCs w:val="19"/>
          <w:vertAlign w:val="superscript"/>
        </w:rPr>
        <w:footnoteReference w:id="6"/>
      </w:r>
      <w:r w:rsidRPr="00266406">
        <w:rPr>
          <w:rFonts w:eastAsia="Calibri" w:cs="FiraSans-Regular"/>
          <w:szCs w:val="19"/>
        </w:rPr>
        <w:t>, tj. więcej o 4,3% niż w roku poprzednim i o 0,4% niż w końcu lipca br.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266406">
        <w:rPr>
          <w:rFonts w:eastAsia="Calibri" w:cs="FiraSans-Regular"/>
          <w:szCs w:val="19"/>
        </w:rPr>
        <w:t xml:space="preserve">Liczba zarejestrowanych </w:t>
      </w:r>
      <w:r w:rsidRPr="00266406">
        <w:rPr>
          <w:rFonts w:eastAsia="Calibri" w:cs="FiraSans-Regular"/>
          <w:b/>
          <w:szCs w:val="19"/>
        </w:rPr>
        <w:t>osób fizycznych</w:t>
      </w:r>
      <w:r w:rsidRPr="00266406">
        <w:rPr>
          <w:rFonts w:eastAsia="Calibri" w:cs="FiraSans-Regular"/>
          <w:szCs w:val="19"/>
        </w:rPr>
        <w:t xml:space="preserve"> prowadzących działalność gospodarczą wyniosła 323,0 tys. i w porównaniu                     z analogicznym okresem 2020 r. wzrosła o 4,5%. Do rejestru REGON wpisanych było 78,3 tys. </w:t>
      </w:r>
      <w:r w:rsidRPr="00266406">
        <w:rPr>
          <w:rFonts w:eastAsia="Calibri" w:cs="FiraSans-Regular"/>
          <w:b/>
          <w:szCs w:val="19"/>
        </w:rPr>
        <w:t>spółek</w:t>
      </w:r>
      <w:r w:rsidRPr="00266406">
        <w:rPr>
          <w:rFonts w:eastAsia="Calibri" w:cs="FiraSans-Regular"/>
          <w:szCs w:val="19"/>
        </w:rPr>
        <w:t>, w tym 49,6 tys. spółek handlowych, co oznacza wzrost na przestrzeni roku odpowiednio o 4,5% i 7,0%.</w:t>
      </w:r>
      <w:r w:rsidRPr="00984F52">
        <w:rPr>
          <w:rFonts w:eastAsia="Calibri" w:cs="FiraSans-Regular"/>
          <w:color w:val="FF0000"/>
          <w:szCs w:val="19"/>
        </w:rPr>
        <w:t xml:space="preserve"> </w:t>
      </w:r>
      <w:r w:rsidRPr="00266406">
        <w:rPr>
          <w:rFonts w:eastAsia="Calibri" w:cs="FiraSans-Regular"/>
          <w:szCs w:val="19"/>
        </w:rPr>
        <w:t>W końcu omawianego okresu zarejestrowanych było</w:t>
      </w:r>
      <w:r w:rsidRPr="00984F52">
        <w:rPr>
          <w:rFonts w:eastAsia="Calibri" w:cs="FiraSans-Regular"/>
          <w:color w:val="FF0000"/>
          <w:szCs w:val="19"/>
        </w:rPr>
        <w:t xml:space="preserve"> </w:t>
      </w:r>
      <w:r w:rsidRPr="00266406">
        <w:rPr>
          <w:rFonts w:eastAsia="Calibri" w:cs="FiraSans-Regular"/>
          <w:szCs w:val="19"/>
        </w:rPr>
        <w:t>28,4 tys. spółek cywilnych, czyli o 0,4% więcej niż rok wcześniej.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FF0000"/>
          <w:szCs w:val="19"/>
        </w:rPr>
      </w:pPr>
      <w:r w:rsidRPr="00224F94">
        <w:rPr>
          <w:rFonts w:eastAsia="Calibri" w:cs="FiraSans-Regular"/>
          <w:b/>
          <w:szCs w:val="19"/>
        </w:rPr>
        <w:t>Według przewidywanej liczby pracujących</w:t>
      </w:r>
      <w:r w:rsidRPr="00224F94">
        <w:rPr>
          <w:rFonts w:eastAsia="Calibri" w:cs="FiraSans-Regular"/>
          <w:szCs w:val="19"/>
        </w:rPr>
        <w:t>, przeważały podmioty o liczbie pracujących poniżej 10 osób – 96,7% ogólnej liczby zarejestrowanych podmiotów. Udział podmiotów o przewidywanej liczbie pracujących 10–49 osób wyniósł 2,7%, natomiast podmioty powyżej 49 pracujących stanowiły 0,6% wszystkich podmiotów wpisanych do rejestru REGON. W skali roku wzrost liczby podmiotów wystąpił w przedziale liczby pracujących 0–9 osób (o 4,5%).</w:t>
      </w:r>
      <w:r w:rsidRPr="00224F94">
        <w:rPr>
          <w:rFonts w:ascii="Calibri" w:eastAsia="Calibri" w:hAnsi="Calibri" w:cs="FiraSans-Regular"/>
          <w:szCs w:val="19"/>
        </w:rPr>
        <w:t xml:space="preserve"> </w:t>
      </w:r>
      <w:r w:rsidRPr="00224F94">
        <w:rPr>
          <w:rFonts w:eastAsia="Calibri" w:cs="FiraSans-Regular"/>
          <w:szCs w:val="19"/>
        </w:rPr>
        <w:t>W analizowanym okresie największy wzrost liczby podmiotów odnotowano w sekcji</w:t>
      </w:r>
      <w:r w:rsidRPr="00984F52">
        <w:rPr>
          <w:rFonts w:eastAsia="Calibri" w:cs="FiraSans-Regular"/>
          <w:color w:val="FF0000"/>
          <w:szCs w:val="19"/>
        </w:rPr>
        <w:t xml:space="preserve"> </w:t>
      </w:r>
      <w:r w:rsidRPr="00224F94">
        <w:rPr>
          <w:rFonts w:eastAsia="Calibri" w:cs="FiraSans-Regular"/>
          <w:szCs w:val="19"/>
        </w:rPr>
        <w:t xml:space="preserve">wytwarzanie i zaopatrywanie w energię elektryczną, gaz, parę </w:t>
      </w:r>
      <w:r w:rsidRPr="0077235F">
        <w:rPr>
          <w:rFonts w:eastAsia="Calibri" w:cs="FiraSans-Regular"/>
          <w:szCs w:val="19"/>
        </w:rPr>
        <w:t xml:space="preserve">wodną i gorącą wodę (o 26,4%), a w dalszej kolejności w informacji i komunikacji </w:t>
      </w:r>
      <w:r w:rsidRPr="0077235F">
        <w:rPr>
          <w:rFonts w:eastAsia="Calibri" w:cs="FiraSans-Regular"/>
          <w:spacing w:val="-6"/>
          <w:szCs w:val="19"/>
        </w:rPr>
        <w:t>(o 14,3%)</w:t>
      </w:r>
      <w:r w:rsidRPr="0077235F">
        <w:rPr>
          <w:rFonts w:eastAsia="Calibri" w:cs="FiraSans-Regular"/>
          <w:szCs w:val="19"/>
        </w:rPr>
        <w:t xml:space="preserve">, zakwaterowaniu i gastronomii (o 9,7%) oraz </w:t>
      </w:r>
      <w:r w:rsidRPr="0077235F">
        <w:rPr>
          <w:rFonts w:eastAsia="Calibri" w:cs="FiraSans-Regular"/>
          <w:bCs/>
          <w:szCs w:val="19"/>
        </w:rPr>
        <w:t>budownictwie (o 6,6%)</w:t>
      </w:r>
      <w:r w:rsidRPr="0077235F">
        <w:rPr>
          <w:rFonts w:eastAsia="Calibri" w:cs="FiraSans-Regular"/>
          <w:szCs w:val="19"/>
        </w:rPr>
        <w:t>.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77235F">
        <w:rPr>
          <w:rFonts w:eastAsia="Calibri" w:cs="FiraSans-Regular"/>
          <w:szCs w:val="19"/>
        </w:rPr>
        <w:t xml:space="preserve">W sierpniu br. do rejestru REGON wpisano 2739 </w:t>
      </w:r>
      <w:r w:rsidRPr="0077235F">
        <w:rPr>
          <w:rFonts w:eastAsia="Calibri" w:cs="FiraSans-Regular"/>
          <w:b/>
          <w:szCs w:val="19"/>
        </w:rPr>
        <w:t>nowych podmiotów</w:t>
      </w:r>
      <w:r w:rsidRPr="0077235F">
        <w:rPr>
          <w:rFonts w:eastAsia="Calibri" w:cs="FiraSans-Regular"/>
          <w:szCs w:val="19"/>
        </w:rPr>
        <w:t>, tj. o 10,4% mniej niż w poprzednim miesiącu.</w:t>
      </w:r>
      <w:r w:rsidRPr="00984F52">
        <w:rPr>
          <w:rFonts w:eastAsia="Calibri" w:cs="FiraSans-Regular"/>
          <w:color w:val="FF0000"/>
          <w:szCs w:val="19"/>
        </w:rPr>
        <w:t xml:space="preserve"> </w:t>
      </w:r>
      <w:r w:rsidRPr="0077235F">
        <w:rPr>
          <w:rFonts w:eastAsia="Calibri" w:cs="FiraSans-Regular"/>
          <w:szCs w:val="19"/>
        </w:rPr>
        <w:t>Wśród nowo zarejestrowanych jednostek przeważały osoby fizyczne prowadzące działalność gospodarczą, których wpisano 2240, tj. o 9,7% mniej niż w lipcu br. Liczba nowo zarejestrowanych spółek handlowych była mniejsza o 14,8%.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FF0000"/>
          <w:szCs w:val="19"/>
        </w:rPr>
      </w:pPr>
      <w:r w:rsidRPr="00700A11">
        <w:rPr>
          <w:rFonts w:eastAsia="Calibri" w:cs="FiraSans-Regular"/>
          <w:szCs w:val="19"/>
        </w:rPr>
        <w:t xml:space="preserve">W sierpniu 2021 r. </w:t>
      </w:r>
      <w:r w:rsidRPr="00700A11">
        <w:rPr>
          <w:rFonts w:eastAsia="Calibri" w:cs="FiraSans-Regular"/>
          <w:b/>
          <w:szCs w:val="19"/>
        </w:rPr>
        <w:t>wykreślono</w:t>
      </w:r>
      <w:r w:rsidRPr="00700A11">
        <w:rPr>
          <w:rFonts w:eastAsia="Calibri" w:cs="FiraSans-Regular"/>
          <w:szCs w:val="19"/>
        </w:rPr>
        <w:t xml:space="preserve"> z rejestru REGON 1210 podmiotów (o 3,8% więcej niż przed miesiącem), w tym 1120 osób fizycznych prowadzących działalność gospodarczą (wzrost o 7,5%).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4E3EAF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4E3EAF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4E3EAF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4E3EAF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4E3EAF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2640" behindDoc="1" locked="0" layoutInCell="1" allowOverlap="1" wp14:anchorId="16B1F18E" wp14:editId="438C9EEA">
            <wp:simplePos x="0" y="0"/>
            <wp:positionH relativeFrom="page">
              <wp:align>center</wp:align>
            </wp:positionH>
            <wp:positionV relativeFrom="paragraph">
              <wp:posOffset>54429</wp:posOffset>
            </wp:positionV>
            <wp:extent cx="4824000" cy="5115600"/>
            <wp:effectExtent l="0" t="0" r="0" b="0"/>
            <wp:wrapNone/>
            <wp:docPr id="100" name="Wykres 1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C5">
        <w:rPr>
          <w:rFonts w:eastAsia="Calibri" w:cs="Times New Roman"/>
          <w:b/>
          <w:bCs/>
          <w:szCs w:val="19"/>
        </w:rPr>
        <w:t xml:space="preserve">Wykres </w:t>
      </w:r>
      <w:r w:rsidR="004F1AF4">
        <w:rPr>
          <w:rFonts w:eastAsia="Calibri" w:cs="Times New Roman"/>
          <w:b/>
          <w:bCs/>
          <w:szCs w:val="19"/>
        </w:rPr>
        <w:t>17</w:t>
      </w:r>
      <w:r w:rsidRPr="005E0BC5">
        <w:rPr>
          <w:rFonts w:eastAsia="Calibri" w:cs="Times New Roman"/>
          <w:b/>
          <w:bCs/>
          <w:szCs w:val="19"/>
        </w:rPr>
        <w:t>. Podmioty gospodarki narodowej nowo zarejestrowane i wyrejestrowane w sierpniu 2021 r.</w:t>
      </w:r>
      <w:r w:rsidRPr="00984F52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12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984F52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 w:line="120" w:lineRule="auto"/>
        <w:ind w:firstLine="284"/>
        <w:rPr>
          <w:rFonts w:eastAsia="Calibri" w:cs="FiraSans-Regular"/>
          <w:color w:val="FF0000"/>
          <w:szCs w:val="19"/>
        </w:rPr>
      </w:pPr>
    </w:p>
    <w:p w:rsidR="004E3EAF" w:rsidRPr="00984F52" w:rsidRDefault="004E3EAF" w:rsidP="004E3EAF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0A346B">
        <w:rPr>
          <w:rFonts w:eastAsia="Calibri" w:cs="FiraSans-Regular"/>
          <w:szCs w:val="19"/>
        </w:rPr>
        <w:t xml:space="preserve">Według stanu na koniec sierpnia 2021 r. w rejestrze REGON 47,9 tys. podmiotów miało </w:t>
      </w:r>
      <w:r w:rsidRPr="000A346B">
        <w:rPr>
          <w:rFonts w:eastAsia="Calibri" w:cs="FiraSans-Regular"/>
          <w:b/>
          <w:szCs w:val="19"/>
        </w:rPr>
        <w:t>zawieszoną działalność</w:t>
      </w:r>
      <w:r w:rsidRPr="000A346B">
        <w:rPr>
          <w:rFonts w:eastAsia="Calibri" w:cs="FiraSans-Regular"/>
          <w:szCs w:val="19"/>
        </w:rPr>
        <w:t xml:space="preserve"> (o 0,7% więcej niż przed miesiącem). Zdecydowaną większość, podobnie jak przed miesiącem, stanowiły osoby fizyczne prowadzące działalność gospodarczą (93,2%).</w:t>
      </w:r>
    </w:p>
    <w:p w:rsidR="004E3EAF" w:rsidRPr="00984F52" w:rsidRDefault="004E3EAF" w:rsidP="004E3EAF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FF0000"/>
          <w:szCs w:val="19"/>
        </w:rPr>
      </w:pPr>
    </w:p>
    <w:p w:rsidR="004E3EAF" w:rsidRPr="00F61829" w:rsidRDefault="004E3EAF" w:rsidP="004E3EAF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F61829">
        <w:rPr>
          <w:rFonts w:eastAsia="Calibri" w:cs="Arial"/>
          <w:b/>
          <w:szCs w:val="19"/>
        </w:rPr>
        <w:t>Mapa 3. Podmioty gospodarki narodowej z zawieszoną działalnością według powiatów w 2021 r.</w:t>
      </w:r>
    </w:p>
    <w:p w:rsidR="004E3EAF" w:rsidRPr="00984F52" w:rsidRDefault="004E3EAF" w:rsidP="004E3EAF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F61829">
        <w:rPr>
          <w:rFonts w:eastAsia="Calibri" w:cs="Arial"/>
          <w:szCs w:val="19"/>
        </w:rPr>
        <w:t>Stan w końcu sierpnia</w:t>
      </w:r>
    </w:p>
    <w:p w:rsidR="009C0AE4" w:rsidRPr="007C4DD3" w:rsidRDefault="00DB0D78" w:rsidP="004E3EAF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bookmarkStart w:id="2" w:name="_GoBack"/>
      <w:r w:rsidRPr="00F61829">
        <w:rPr>
          <w:noProof/>
          <w:lang w:eastAsia="pl-PL"/>
        </w:rPr>
        <w:drawing>
          <wp:anchor distT="0" distB="0" distL="114300" distR="114300" simplePos="0" relativeHeight="251953664" behindDoc="1" locked="0" layoutInCell="1" allowOverlap="1" wp14:anchorId="04B9580B" wp14:editId="55735A16">
            <wp:simplePos x="0" y="0"/>
            <wp:positionH relativeFrom="page">
              <wp:align>center</wp:align>
            </wp:positionH>
            <wp:positionV relativeFrom="paragraph">
              <wp:posOffset>4808</wp:posOffset>
            </wp:positionV>
            <wp:extent cx="6145200" cy="3438000"/>
            <wp:effectExtent l="0" t="0" r="8255" b="0"/>
            <wp:wrapNone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200" cy="34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9C0AE4" w:rsidRPr="007C4DD3" w:rsidRDefault="009C0AE4" w:rsidP="009C0AE4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DB0D78" w:rsidRDefault="00DB0D78" w:rsidP="00DB0D78">
      <w:pPr>
        <w:spacing w:before="0" w:after="0" w:line="36" w:lineRule="auto"/>
        <w:jc w:val="center"/>
        <w:rPr>
          <w:rFonts w:cs="Arial"/>
          <w:szCs w:val="19"/>
        </w:rPr>
      </w:pPr>
    </w:p>
    <w:p w:rsidR="009C0AE4" w:rsidRDefault="001C3B6A" w:rsidP="009C0AE4">
      <w:pPr>
        <w:spacing w:before="0" w:after="0" w:line="240" w:lineRule="auto"/>
        <w:jc w:val="center"/>
        <w:rPr>
          <w:rFonts w:cs="Arial"/>
          <w:szCs w:val="19"/>
        </w:rPr>
      </w:pPr>
      <w:r w:rsidRPr="001C3B6A">
        <w:rPr>
          <w:rFonts w:cs="Arial"/>
          <w:szCs w:val="19"/>
        </w:rPr>
        <w:t>***</w:t>
      </w: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077512" w:rsidRDefault="00077512" w:rsidP="00E95DF6">
      <w:pPr>
        <w:spacing w:before="0" w:after="0"/>
        <w:ind w:firstLine="284"/>
        <w:rPr>
          <w:rFonts w:eastAsia="Times New Roman" w:cs="Calibri"/>
          <w:bCs/>
          <w:color w:val="000000" w:themeColor="text1"/>
          <w:szCs w:val="19"/>
          <w:lang w:eastAsia="pl-PL"/>
        </w:rPr>
      </w:pPr>
    </w:p>
    <w:p w:rsidR="00177F87" w:rsidRPr="00E95DF6" w:rsidRDefault="00E95DF6" w:rsidP="00E95DF6">
      <w:pPr>
        <w:spacing w:before="0" w:after="0"/>
        <w:ind w:firstLine="284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E95DF6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we wrześniu br. oceniają koniunkturę negatywnie. Najbardziej pesymistyczne oceny formułowane są przez prowadzących działalność w zakresie zakwaterowania i gastronomii, natomiast najbardziej pozytywne – przez firmy z sekcji informacja i komunikacja.</w:t>
      </w:r>
    </w:p>
    <w:p w:rsidR="00BD2ED2" w:rsidRPr="008511C6" w:rsidRDefault="00701C04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8511C6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4F1AF4" w:rsidRPr="008511C6">
        <w:rPr>
          <w:rFonts w:ascii="Fira Sans SemiBold" w:eastAsia="Calibri" w:hAnsi="Fira Sans SemiBold" w:cs="Times New Roman"/>
          <w:color w:val="000000" w:themeColor="text1"/>
          <w:spacing w:val="-2"/>
        </w:rPr>
        <w:t>8</w:t>
      </w:r>
      <w:r w:rsidR="00BD2ED2" w:rsidRPr="008511C6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B14003" w:rsidRDefault="008511C6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19546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80694</wp:posOffset>
            </wp:positionV>
            <wp:extent cx="6634800" cy="4183200"/>
            <wp:effectExtent l="0" t="0" r="0" b="8255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418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CBB" w:rsidRPr="00B14003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14003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5829D4" w:rsidRPr="00B14003" w:rsidRDefault="005829D4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21772" w:rsidRPr="00B14003" w:rsidRDefault="00421772" w:rsidP="00B207E8">
      <w:pPr>
        <w:spacing w:line="100" w:lineRule="exac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C90D37" w:rsidRDefault="00C90D37" w:rsidP="00BD2ED2">
      <w:pPr>
        <w:rPr>
          <w:rFonts w:ascii="Fira Sans SemiBold" w:eastAsia="Calibri" w:hAnsi="Fira Sans SemiBold" w:cs="FiraSans-Bold"/>
          <w:bCs/>
          <w:color w:val="000000" w:themeColor="text1"/>
          <w:szCs w:val="19"/>
        </w:rPr>
      </w:pPr>
    </w:p>
    <w:p w:rsidR="00C90D37" w:rsidRDefault="00C90D37" w:rsidP="00BD2ED2">
      <w:pPr>
        <w:rPr>
          <w:rFonts w:ascii="Fira Sans SemiBold" w:eastAsia="Calibri" w:hAnsi="Fira Sans SemiBold" w:cs="FiraSans-Bold"/>
          <w:bCs/>
          <w:color w:val="000000" w:themeColor="text1"/>
          <w:szCs w:val="19"/>
        </w:rPr>
      </w:pPr>
    </w:p>
    <w:p w:rsidR="00BD2ED2" w:rsidRPr="00BD66D8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BD66D8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Wyniki badania dot. wpływu pandemii </w:t>
      </w:r>
      <w:proofErr w:type="spellStart"/>
      <w:r w:rsidRPr="00BD66D8">
        <w:rPr>
          <w:rFonts w:ascii="Fira Sans SemiBold" w:eastAsia="Calibri" w:hAnsi="Fira Sans SemiBold" w:cs="FiraSans-Bold"/>
          <w:bCs/>
          <w:color w:val="000000" w:themeColor="text1"/>
          <w:szCs w:val="19"/>
        </w:rPr>
        <w:t>koronawirusa</w:t>
      </w:r>
      <w:proofErr w:type="spellEnd"/>
      <w:r w:rsidRPr="00BD66D8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 SARS-CoV-2 na koniunkturę gospodarczą</w:t>
      </w:r>
      <w:r w:rsidRPr="00BD66D8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BD66D8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A000D8" w:rsidRPr="008E2E2C" w:rsidRDefault="00BD2ED2" w:rsidP="008E2E2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i/>
          <w:color w:val="000000" w:themeColor="text1"/>
          <w:szCs w:val="19"/>
        </w:rPr>
      </w:pPr>
      <w:r w:rsidRPr="00BD66D8">
        <w:rPr>
          <w:rFonts w:eastAsia="Times New Roman" w:cs="Times New Roman"/>
          <w:color w:val="000000" w:themeColor="text1"/>
          <w:szCs w:val="19"/>
          <w:lang w:eastAsia="pl-PL"/>
        </w:rPr>
        <w:t>Przedsiębiorcy prowadzący działalność przede wszystkim w zakresie</w:t>
      </w:r>
      <w:r w:rsidR="00FA343A"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DC0B5D"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handlu </w:t>
      </w:r>
      <w:r w:rsidR="00FA343A" w:rsidRPr="00BD66D8">
        <w:rPr>
          <w:rFonts w:eastAsia="Times New Roman" w:cs="Times New Roman"/>
          <w:color w:val="000000" w:themeColor="text1"/>
          <w:szCs w:val="19"/>
          <w:lang w:eastAsia="pl-PL"/>
        </w:rPr>
        <w:t>hurtowego</w:t>
      </w:r>
      <w:r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w</w:t>
      </w:r>
      <w:r w:rsidR="00BD66D8" w:rsidRPr="00BD66D8">
        <w:rPr>
          <w:rFonts w:eastAsia="Times New Roman" w:cs="Times New Roman"/>
          <w:color w:val="000000" w:themeColor="text1"/>
          <w:szCs w:val="19"/>
          <w:lang w:eastAsia="pl-PL"/>
        </w:rPr>
        <w:t>e</w:t>
      </w:r>
      <w:r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D66D8" w:rsidRPr="00BD66D8">
        <w:rPr>
          <w:rFonts w:eastAsia="Times New Roman" w:cs="Times New Roman"/>
          <w:color w:val="000000" w:themeColor="text1"/>
          <w:szCs w:val="19"/>
          <w:lang w:eastAsia="pl-PL"/>
        </w:rPr>
        <w:t>wrześniu</w:t>
      </w:r>
      <w:r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BD66D8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</w:t>
      </w:r>
      <w:r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zagrożenie. </w:t>
      </w:r>
      <w:r w:rsidR="00E24CBB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BD66D8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budownictwa, </w:t>
      </w:r>
      <w:r w:rsidR="00C87D33" w:rsidRPr="008E2E2C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93DFA" w:rsidRPr="008E2E2C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="00DC0B5D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i </w:t>
      </w:r>
      <w:r w:rsidR="00193DFA" w:rsidRPr="008E2E2C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E24CBB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8E2E2C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8E2E2C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8E2E2C">
        <w:rPr>
          <w:rFonts w:eastAsia="Times New Roman" w:cs="Times New Roman"/>
          <w:color w:val="000000" w:themeColor="text1"/>
          <w:szCs w:val="19"/>
          <w:lang w:eastAsia="pl-PL"/>
        </w:rPr>
        <w:t>wskazywa</w:t>
      </w:r>
      <w:r w:rsidR="0070017D">
        <w:rPr>
          <w:rFonts w:eastAsia="Times New Roman" w:cs="Times New Roman"/>
          <w:color w:val="000000" w:themeColor="text1"/>
          <w:szCs w:val="19"/>
          <w:lang w:eastAsia="pl-PL"/>
        </w:rPr>
        <w:t>li</w:t>
      </w:r>
      <w:r w:rsidR="00A000D8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E2E2C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przedstawiciele branży budowlanej. </w:t>
      </w:r>
      <w:r w:rsidR="009A7FCC" w:rsidRPr="008E2E2C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8E2E2C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8E2E2C" w:rsidRPr="008E2E2C">
        <w:rPr>
          <w:rFonts w:eastAsia="Times New Roman" w:cs="Times New Roman"/>
          <w:color w:val="000000" w:themeColor="text1"/>
          <w:szCs w:val="19"/>
          <w:lang w:eastAsia="pl-PL"/>
        </w:rPr>
        <w:t>jednostek działających w ramach handlu hurtowego.</w:t>
      </w:r>
    </w:p>
    <w:p w:rsidR="00C90D37" w:rsidRDefault="00C90D37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C90D37" w:rsidRDefault="00C90D37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C90D37" w:rsidRDefault="00C90D37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C90D37" w:rsidRDefault="00C90D37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BD2ED2" w:rsidRPr="00C90D37" w:rsidRDefault="00BD2ED2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C90D37">
        <w:rPr>
          <w:rFonts w:eastAsia="Calibri" w:cs="Fira Sans"/>
          <w:i/>
          <w:color w:val="000000" w:themeColor="text1"/>
          <w:szCs w:val="19"/>
        </w:rPr>
        <w:lastRenderedPageBreak/>
        <w:t xml:space="preserve">Pyt. 1. </w:t>
      </w:r>
      <w:r w:rsidR="00AF73C6" w:rsidRPr="00C90D37">
        <w:rPr>
          <w:rFonts w:eastAsia="Calibri" w:cs="Fira Sans"/>
          <w:i/>
          <w:color w:val="000000" w:themeColor="text1"/>
          <w:szCs w:val="19"/>
        </w:rPr>
        <w:t xml:space="preserve">Negatywne skutki pandemii </w:t>
      </w:r>
      <w:proofErr w:type="spellStart"/>
      <w:r w:rsidR="00AF73C6" w:rsidRPr="00C90D37">
        <w:rPr>
          <w:rFonts w:eastAsia="Calibri" w:cs="Fira Sans"/>
          <w:i/>
          <w:color w:val="000000" w:themeColor="text1"/>
          <w:szCs w:val="19"/>
        </w:rPr>
        <w:t>koronawirusa</w:t>
      </w:r>
      <w:proofErr w:type="spellEnd"/>
      <w:r w:rsidR="00AF73C6" w:rsidRPr="00C90D37">
        <w:rPr>
          <w:rFonts w:eastAsia="Calibri" w:cs="Fira Sans"/>
          <w:i/>
          <w:color w:val="000000" w:themeColor="text1"/>
          <w:szCs w:val="19"/>
        </w:rPr>
        <w:t xml:space="preserve"> i jej konsekwencje dla prowadzonej przez Państwa firmę działalności gospodarczej będą w bieżącym miesiącu:</w:t>
      </w:r>
    </w:p>
    <w:p w:rsidR="008068FF" w:rsidRPr="00B14003" w:rsidRDefault="001A0077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  <w:r w:rsidRPr="001A0077">
        <w:rPr>
          <w:noProof/>
          <w:lang w:eastAsia="pl-PL"/>
        </w:rPr>
        <w:drawing>
          <wp:anchor distT="0" distB="0" distL="114300" distR="114300" simplePos="0" relativeHeight="25196288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4741200" cy="1821600"/>
            <wp:effectExtent l="0" t="0" r="0" b="762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8FF" w:rsidRPr="00B14003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B14003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B14003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B14003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B14003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B14003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Pr="00B14003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B14003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B14003" w:rsidRDefault="00A000D8" w:rsidP="00526B5A">
      <w:pPr>
        <w:autoSpaceDE w:val="0"/>
        <w:autoSpaceDN w:val="0"/>
        <w:adjustRightInd w:val="0"/>
        <w:spacing w:before="0" w:after="0" w:line="120" w:lineRule="auto"/>
        <w:ind w:firstLine="284"/>
        <w:rPr>
          <w:rFonts w:eastAsia="Calibri" w:cs="Fira Sans"/>
          <w:color w:val="FF0000"/>
          <w:szCs w:val="19"/>
        </w:rPr>
      </w:pPr>
    </w:p>
    <w:p w:rsidR="00BD2ED2" w:rsidRPr="00B14003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  <w:r w:rsidRPr="009A4633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9A4633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9A4633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9A4633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9A4633">
        <w:rPr>
          <w:rFonts w:eastAsia="Calibri" w:cs="Fira Sans"/>
          <w:color w:val="000000" w:themeColor="text1"/>
          <w:szCs w:val="19"/>
        </w:rPr>
        <w:t>oraz</w:t>
      </w:r>
      <w:r w:rsidR="000D6DE8" w:rsidRPr="009A4633">
        <w:rPr>
          <w:rFonts w:eastAsia="Calibri" w:cs="Fira Sans"/>
          <w:color w:val="000000" w:themeColor="text1"/>
          <w:szCs w:val="19"/>
        </w:rPr>
        <w:t xml:space="preserve"> handlu </w:t>
      </w:r>
      <w:r w:rsidR="0084419A" w:rsidRPr="009A4633">
        <w:rPr>
          <w:rFonts w:eastAsia="Calibri" w:cs="Fira Sans"/>
          <w:color w:val="000000" w:themeColor="text1"/>
          <w:szCs w:val="19"/>
        </w:rPr>
        <w:t>detalicznym</w:t>
      </w:r>
      <w:r w:rsidR="00A771EC" w:rsidRPr="009A4633">
        <w:rPr>
          <w:rFonts w:eastAsia="Calibri" w:cs="Fira Sans"/>
          <w:color w:val="000000" w:themeColor="text1"/>
          <w:szCs w:val="19"/>
        </w:rPr>
        <w:t xml:space="preserve"> i </w:t>
      </w:r>
      <w:r w:rsidR="0084419A" w:rsidRPr="009A4633">
        <w:rPr>
          <w:rFonts w:eastAsia="Calibri" w:cs="Fira Sans"/>
          <w:color w:val="000000" w:themeColor="text1"/>
          <w:szCs w:val="19"/>
        </w:rPr>
        <w:t>hurtowym</w:t>
      </w:r>
      <w:r w:rsidRPr="009A4633">
        <w:rPr>
          <w:rFonts w:eastAsia="Calibri" w:cs="Fira Sans"/>
          <w:color w:val="000000" w:themeColor="text1"/>
          <w:szCs w:val="19"/>
        </w:rPr>
        <w:t>.</w:t>
      </w:r>
      <w:r w:rsidRPr="009A4633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9A4633">
        <w:rPr>
          <w:rFonts w:eastAsia="Calibri" w:cs="Fira Sans"/>
          <w:color w:val="000000" w:themeColor="text1"/>
          <w:szCs w:val="19"/>
        </w:rPr>
        <w:t>Przedsiębiorcy</w:t>
      </w:r>
      <w:r w:rsidR="000A608D" w:rsidRPr="009A4633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9A4633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84EEB" w:rsidRPr="009A4633">
        <w:rPr>
          <w:rFonts w:eastAsia="Calibri" w:cs="Fira Sans"/>
          <w:color w:val="000000" w:themeColor="text1"/>
          <w:szCs w:val="19"/>
        </w:rPr>
        <w:t>budownictwa</w:t>
      </w:r>
      <w:r w:rsidRPr="009A4633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9A4633">
        <w:rPr>
          <w:rFonts w:eastAsia="Calibri" w:cs="Fira Sans"/>
          <w:color w:val="000000" w:themeColor="text1"/>
          <w:szCs w:val="19"/>
        </w:rPr>
        <w:t>brak</w:t>
      </w:r>
      <w:r w:rsidRPr="009A4633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9A4633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9A4633">
        <w:rPr>
          <w:rFonts w:eastAsia="Calibri" w:cs="Fira Sans"/>
          <w:color w:val="000000" w:themeColor="text1"/>
          <w:szCs w:val="19"/>
        </w:rPr>
        <w:t>.</w:t>
      </w:r>
    </w:p>
    <w:p w:rsidR="006C4CD4" w:rsidRPr="009A4633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9A4633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9A4633">
        <w:rPr>
          <w:rFonts w:eastAsia="Calibri" w:cs="FiraSans-Bold"/>
          <w:bCs/>
          <w:i/>
          <w:color w:val="000000" w:themeColor="text1"/>
          <w:szCs w:val="19"/>
        </w:rPr>
        <w:t>2</w:t>
      </w:r>
      <w:r w:rsidRPr="009A4633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9A4633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B14003" w:rsidRDefault="001A0077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1A0077">
        <w:rPr>
          <w:noProof/>
          <w:lang w:eastAsia="pl-PL"/>
        </w:rPr>
        <w:drawing>
          <wp:anchor distT="0" distB="0" distL="114300" distR="114300" simplePos="0" relativeHeight="2519618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71029</wp:posOffset>
            </wp:positionV>
            <wp:extent cx="5763600" cy="1868400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18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B14003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B14003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B14003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B14003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C30BA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EC30BA" w:rsidRPr="00EC30BA">
        <w:rPr>
          <w:rFonts w:eastAsia="Times New Roman" w:cs="Times New Roman"/>
          <w:color w:val="000000" w:themeColor="text1"/>
          <w:szCs w:val="19"/>
          <w:lang w:eastAsia="pl-PL"/>
        </w:rPr>
        <w:t>e wrześniu b</w:t>
      </w:r>
      <w:r w:rsidR="00B0472B"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r. </w:t>
      </w: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EC30BA"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usług i budownictwa </w:t>
      </w:r>
      <w:r w:rsidR="00A3536A" w:rsidRPr="00EC30BA">
        <w:rPr>
          <w:rFonts w:eastAsia="Times New Roman" w:cs="Times New Roman"/>
          <w:color w:val="000000" w:themeColor="text1"/>
          <w:szCs w:val="19"/>
          <w:lang w:eastAsia="pl-PL"/>
        </w:rPr>
        <w:t>przewidywali</w:t>
      </w: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EC30BA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BD2ED2" w:rsidRPr="00EC30BA" w:rsidRDefault="00BD2ED2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EC30BA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77145" w:rsidRPr="00EC30BA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EC30BA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EC30BA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</w:t>
      </w:r>
      <w:r w:rsidR="00526B5A">
        <w:rPr>
          <w:rFonts w:eastAsia="Calibri" w:cs="FiraSans-Bold"/>
          <w:bCs/>
          <w:i/>
          <w:color w:val="000000" w:themeColor="text1"/>
          <w:szCs w:val="19"/>
        </w:rPr>
        <w:t xml:space="preserve"> Państwa firmie przez klientów? </w:t>
      </w:r>
      <w:r w:rsidR="00875203" w:rsidRPr="00EC30BA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B14003" w:rsidRDefault="00526B5A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8F20D2">
        <w:rPr>
          <w:noProof/>
          <w:lang w:eastAsia="pl-PL"/>
        </w:rPr>
        <w:drawing>
          <wp:anchor distT="0" distB="0" distL="114300" distR="114300" simplePos="0" relativeHeight="25196390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139428</wp:posOffset>
            </wp:positionV>
            <wp:extent cx="4496400" cy="185760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18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B14003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26B5A" w:rsidRDefault="00526B5A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426DA9" w:rsidRPr="00EC30BA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EC30BA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</w:t>
      </w:r>
      <w:proofErr w:type="spellStart"/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>koronawirusa</w:t>
      </w:r>
      <w:proofErr w:type="spellEnd"/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 xml:space="preserve"> przez władze państwowe w Polsce (ale także wynikające z działań innych krajów, np.  </w:t>
      </w:r>
      <w:r w:rsidR="001B11B7" w:rsidRPr="00EC30BA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EC30BA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297726" w:rsidRPr="00B14003" w:rsidRDefault="00297726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116E52" w:rsidRPr="00B14003" w:rsidRDefault="00116E5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EC30BA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EC30BA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C374F5" w:rsidRPr="00EC30BA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EC30BA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EC30BA">
        <w:rPr>
          <w:rFonts w:eastAsia="Calibri" w:cs="FiraSans-Bold"/>
          <w:bCs/>
          <w:i/>
          <w:color w:val="000000" w:themeColor="text1"/>
          <w:szCs w:val="19"/>
        </w:rPr>
        <w:t xml:space="preserve">Jeżeli bieżące działania i ograniczenia powzięte w celu zwalczania </w:t>
      </w:r>
      <w:proofErr w:type="spellStart"/>
      <w:r w:rsidR="00E43C38" w:rsidRPr="00EC30BA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E43C38" w:rsidRPr="00EC30BA">
        <w:rPr>
          <w:rFonts w:eastAsia="Calibri" w:cs="FiraSans-Bold"/>
          <w:bCs/>
          <w:i/>
          <w:color w:val="000000" w:themeColor="text1"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B14003" w:rsidRDefault="00227E9D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 w:rsidRPr="00857BE5">
        <w:rPr>
          <w:noProof/>
          <w:lang w:eastAsia="pl-PL"/>
        </w:rPr>
        <w:drawing>
          <wp:anchor distT="0" distB="0" distL="114300" distR="114300" simplePos="0" relativeHeight="2519649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142058</wp:posOffset>
            </wp:positionV>
            <wp:extent cx="4827600" cy="2059200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20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14003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B14003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27E9D" w:rsidRDefault="00227E9D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054ABB" w:rsidRPr="003319BA" w:rsidRDefault="00297726" w:rsidP="00B16F0C">
      <w:pPr>
        <w:autoSpaceDE w:val="0"/>
        <w:autoSpaceDN w:val="0"/>
        <w:adjustRightInd w:val="0"/>
        <w:ind w:firstLine="284"/>
        <w:rPr>
          <w:rFonts w:eastAsia="Calibri" w:cs="FiraSans-Bold"/>
          <w:bCs/>
          <w:i/>
          <w:color w:val="000000" w:themeColor="text1"/>
          <w:szCs w:val="19"/>
        </w:rPr>
      </w:pPr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>Z zaobserwowanych w ostatnich trzech miesiącach (</w:t>
      </w:r>
      <w:r w:rsidR="003319BA" w:rsidRPr="003319BA">
        <w:rPr>
          <w:rFonts w:eastAsia="Times New Roman" w:cs="Times New Roman"/>
          <w:color w:val="000000" w:themeColor="text1"/>
          <w:szCs w:val="19"/>
          <w:lang w:eastAsia="pl-PL"/>
        </w:rPr>
        <w:t>czerwiec</w:t>
      </w:r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3319BA" w:rsidRPr="003319BA">
        <w:rPr>
          <w:rFonts w:eastAsia="Times New Roman" w:cs="Times New Roman"/>
          <w:color w:val="000000" w:themeColor="text1"/>
          <w:szCs w:val="19"/>
          <w:lang w:eastAsia="pl-PL"/>
        </w:rPr>
        <w:t>lipiec</w:t>
      </w:r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3319BA" w:rsidRPr="003319BA">
        <w:rPr>
          <w:rFonts w:eastAsia="Times New Roman" w:cs="Times New Roman"/>
          <w:color w:val="000000" w:themeColor="text1"/>
          <w:szCs w:val="19"/>
          <w:lang w:eastAsia="pl-PL"/>
        </w:rPr>
        <w:t>sierpień</w:t>
      </w:r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 xml:space="preserve">) negatywnych skutków pandemii </w:t>
      </w:r>
      <w:proofErr w:type="spellStart"/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>koronawirusa</w:t>
      </w:r>
      <w:proofErr w:type="spellEnd"/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3319BA" w:rsidRPr="003319BA">
        <w:rPr>
          <w:rFonts w:eastAsia="Times New Roman" w:cs="Times New Roman"/>
          <w:color w:val="000000" w:themeColor="text1"/>
          <w:szCs w:val="19"/>
          <w:lang w:eastAsia="pl-PL"/>
        </w:rPr>
        <w:t xml:space="preserve">przedstawiciele wszystkich badanych branż sygnalizowali najczęściej wzrost kosztów </w:t>
      </w:r>
      <w:r w:rsidRPr="003319BA">
        <w:rPr>
          <w:rFonts w:eastAsia="Times New Roman" w:cs="Times New Roman"/>
          <w:color w:val="000000" w:themeColor="text1"/>
          <w:szCs w:val="19"/>
          <w:lang w:eastAsia="pl-PL"/>
        </w:rPr>
        <w:t>j</w:t>
      </w:r>
      <w:r w:rsidR="003319BA" w:rsidRPr="003319BA">
        <w:rPr>
          <w:rFonts w:eastAsia="Times New Roman" w:cs="Times New Roman"/>
          <w:color w:val="000000" w:themeColor="text1"/>
          <w:szCs w:val="19"/>
          <w:lang w:eastAsia="pl-PL"/>
        </w:rPr>
        <w:t>ako skutek zaistniałej sytuacji.</w:t>
      </w:r>
    </w:p>
    <w:p w:rsidR="00C56257" w:rsidRPr="003319BA" w:rsidRDefault="00BD005D" w:rsidP="00297726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3319BA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3319BA" w:rsidRPr="003319BA">
        <w:rPr>
          <w:rFonts w:eastAsia="Calibri" w:cs="FiraSans-Bold"/>
          <w:bCs/>
          <w:i/>
          <w:color w:val="000000" w:themeColor="text1"/>
          <w:szCs w:val="19"/>
        </w:rPr>
        <w:t xml:space="preserve">Z zaobserwowanych w ostatnich trzech miesiącach (czerwiec, lipiec, sierpień) negatywnych skutków pandemii </w:t>
      </w:r>
      <w:proofErr w:type="spellStart"/>
      <w:r w:rsidR="003319BA" w:rsidRPr="003319BA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3319BA" w:rsidRPr="003319BA">
        <w:rPr>
          <w:rFonts w:eastAsia="Calibri" w:cs="FiraSans-Bold"/>
          <w:bCs/>
          <w:i/>
          <w:color w:val="000000" w:themeColor="text1"/>
          <w:szCs w:val="19"/>
        </w:rPr>
        <w:t xml:space="preserve"> najbardziej do Państwa firmy odnoszą się:</w:t>
      </w:r>
    </w:p>
    <w:p w:rsidR="00BD005D" w:rsidRPr="00B14003" w:rsidRDefault="009B382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9B3822">
        <w:rPr>
          <w:noProof/>
          <w:lang w:eastAsia="pl-PL"/>
        </w:rPr>
        <w:drawing>
          <wp:anchor distT="0" distB="0" distL="114300" distR="114300" simplePos="0" relativeHeight="251965952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4251325</wp:posOffset>
            </wp:positionV>
            <wp:extent cx="4712400" cy="3240000"/>
            <wp:effectExtent l="0" t="0" r="0" b="0"/>
            <wp:wrapNone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14003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14003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14003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14003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14003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14003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B14003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B14003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B14003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44CE0" w:rsidRPr="00B14003" w:rsidRDefault="00344CE0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9B3822" w:rsidRDefault="009B38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9B3822" w:rsidRDefault="009B38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227E9D" w:rsidRDefault="00227E9D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227E9D" w:rsidRDefault="00227E9D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227E9D" w:rsidRDefault="00227E9D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227E9D" w:rsidRDefault="00227E9D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C65BD9" w:rsidRPr="0077015C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77015C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77015C" w:rsidRPr="0077015C">
        <w:rPr>
          <w:rFonts w:eastAsia="Times New Roman" w:cs="Arial"/>
          <w:color w:val="000000" w:themeColor="text1"/>
          <w:szCs w:val="19"/>
          <w:lang w:eastAsia="pl-PL"/>
        </w:rPr>
        <w:t>usługach</w:t>
      </w:r>
      <w:r w:rsidR="00D748B4" w:rsidRPr="0077015C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="0077015C" w:rsidRPr="0077015C">
        <w:rPr>
          <w:rFonts w:eastAsia="Times New Roman" w:cs="Arial"/>
          <w:color w:val="000000" w:themeColor="text1"/>
          <w:szCs w:val="19"/>
          <w:lang w:eastAsia="pl-PL"/>
        </w:rPr>
        <w:t>budownictwie</w:t>
      </w:r>
      <w:r w:rsidR="00FA19BE" w:rsidRPr="0077015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77015C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227E9D" w:rsidRDefault="00227E9D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BD005D" w:rsidRPr="0077015C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77015C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77015C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B14003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14003" w:rsidRDefault="00227E9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227E9D">
        <w:rPr>
          <w:noProof/>
          <w:lang w:eastAsia="pl-PL"/>
        </w:rPr>
        <w:drawing>
          <wp:anchor distT="0" distB="0" distL="114300" distR="114300" simplePos="0" relativeHeight="2519669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453200" cy="1699200"/>
            <wp:effectExtent l="0" t="0" r="0" b="0"/>
            <wp:wrapNone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00" cy="16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BD9" w:rsidRPr="00B14003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77015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227E9D" w:rsidRDefault="00227E9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2ED2" w:rsidRPr="0077015C" w:rsidRDefault="00BD2ED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77015C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BD2ED2" w:rsidRPr="00EB2FCA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45BB5" w:rsidRPr="00EB2FCA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EB2FCA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EB2FCA" w:rsidSect="00AC6D9B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796F7A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13A62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796F7A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D94D2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D94D2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B44">
              <w:rPr>
                <w:rFonts w:eastAsia="Times New Roman" w:cs="Arial"/>
                <w:sz w:val="16"/>
                <w:szCs w:val="16"/>
                <w:lang w:eastAsia="pl-PL"/>
              </w:rPr>
              <w:t>76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318F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63CC8">
              <w:rPr>
                <w:rFonts w:eastAsia="Times New Roman" w:cs="Arial"/>
                <w:sz w:val="16"/>
                <w:szCs w:val="16"/>
                <w:lang w:eastAsia="pl-PL"/>
              </w:rPr>
              <w:t>7832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5978,91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towarów i usług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  c W kwartale.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796F7A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6" w:color="000000" w:shadow="1"/>
            <w:left w:val="none" w:sz="0" w:space="6" w:color="000005" w:shadow="1"/>
            <w:bottom w:val="none" w:sz="0" w:space="27" w:color="0000D0" w:shadow="1" w:frame="1"/>
            <w:right w:val="none" w:sz="0" w:space="4" w:color="000030" w:shadow="1"/>
          </w:pgBorders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796F7A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796F7A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Produkcja sprzedana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772804" w:rsidRPr="00843083" w:rsidTr="00796F7A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C5142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117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7C5142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C514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Pr="00843083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796F7A">
          <w:headerReference w:type="default" r:id="rId44"/>
          <w:footerReference w:type="default" r:id="rId45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6" w:color="000000" w:shadow="1"/>
            <w:left w:val="none" w:sz="0" w:space="6" w:color="000005" w:shadow="1"/>
            <w:bottom w:val="none" w:sz="0" w:space="27" w:color="0000D0" w:shadow="1" w:frame="1"/>
            <w:right w:val="none" w:sz="0" w:space="4" w:color="000030" w:shadow="1"/>
          </w:pgBorders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796F7A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796F7A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19843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6689*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8408*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9452*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11153*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954A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954A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Sprzedaż detaliczna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Wskaźnik rentowności obrotu w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Nakłady inwestycyjne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53EB3">
              <w:rPr>
                <w:rFonts w:eastAsia="Times New Roman" w:cs="Arial"/>
                <w:sz w:val="16"/>
                <w:szCs w:val="16"/>
                <w:lang w:eastAsia="pl-PL"/>
              </w:rPr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Podmioty gospodarki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1580">
              <w:rPr>
                <w:rFonts w:eastAsia="Times New Roman" w:cs="Arial"/>
                <w:sz w:val="16"/>
                <w:szCs w:val="16"/>
                <w:lang w:eastAsia="pl-PL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437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B82C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82CF8">
              <w:rPr>
                <w:rFonts w:eastAsia="Times New Roman" w:cs="Arial"/>
                <w:sz w:val="16"/>
                <w:szCs w:val="16"/>
                <w:lang w:eastAsia="pl-PL"/>
              </w:rPr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796F7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796F7A">
          <w:headerReference w:type="default" r:id="rId46"/>
          <w:footerReference w:type="default" r:id="rId47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6" w:color="000000" w:shadow="1"/>
            <w:left w:val="none" w:sz="0" w:space="6" w:color="000005" w:shadow="1"/>
            <w:bottom w:val="none" w:sz="0" w:space="27" w:color="0000D0" w:shadow="1" w:frame="1"/>
            <w:right w:val="none" w:sz="0" w:space="4" w:color="000030" w:shadow="1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r w:rsidR="00E63313" w:rsidRPr="000A0AB9">
              <w:rPr>
                <w:sz w:val="20"/>
              </w:rPr>
              <w:t>GUS_STAT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proofErr w:type="spellStart"/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>e-mail</w:t>
            </w:r>
            <w:proofErr w:type="spellEnd"/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: </w:t>
            </w:r>
            <w:hyperlink r:id="rId50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</w:t>
            </w:r>
            <w:proofErr w:type="spellStart"/>
            <w:r w:rsidRPr="000A0AB9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0D2" w:rsidRDefault="008F20D2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8F20D2" w:rsidRPr="00C01824" w:rsidRDefault="008F20D2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F20D2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8F20D2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8F20D2" w:rsidRPr="002D39F7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8F20D2" w:rsidRPr="00C01824" w:rsidRDefault="008F20D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F20D2" w:rsidRPr="002423C2" w:rsidRDefault="008F20D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F20D2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8F20D2" w:rsidRPr="002423C2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8F20D2" w:rsidRPr="00C01824" w:rsidRDefault="008F20D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F20D2" w:rsidRDefault="008F20D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F20D2" w:rsidRPr="00C01824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8F20D2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F20D2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F20D2" w:rsidRPr="00673C26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F20D2" w:rsidRPr="004A26CC" w:rsidRDefault="008F20D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F20D2" w:rsidRPr="004A26CC" w:rsidRDefault="008F20D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76" type="#_x0000_t202" style="position:absolute;margin-left:0;margin-top:140.95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" fillcolor="#f2f2f2 [3052]" strokecolor="white [3212]">
                <v:textbox>
                  <w:txbxContent>
                    <w:p w:rsidR="008F20D2" w:rsidRDefault="008F20D2" w:rsidP="004D2624">
                      <w:pPr>
                        <w:rPr>
                          <w:b/>
                        </w:rPr>
                      </w:pPr>
                    </w:p>
                    <w:p w:rsidR="008F20D2" w:rsidRPr="00C01824" w:rsidRDefault="008F20D2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8F20D2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8F20D2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8F20D2" w:rsidRPr="002D39F7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8F20D2" w:rsidRPr="00C01824" w:rsidRDefault="008F20D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F20D2" w:rsidRPr="002423C2" w:rsidRDefault="008F20D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F20D2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8F20D2" w:rsidRPr="002423C2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8F20D2" w:rsidRPr="00C01824" w:rsidRDefault="008F20D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F20D2" w:rsidRDefault="008F20D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F20D2" w:rsidRPr="00C01824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8F20D2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F20D2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F20D2" w:rsidRPr="00673C26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F20D2" w:rsidRPr="004A26CC" w:rsidRDefault="008F20D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F20D2" w:rsidRPr="004A26CC" w:rsidRDefault="008F20D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52"/>
      <w:footerReference w:type="default" r:id="rId53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0C" w:rsidRDefault="00685D0C" w:rsidP="000662E2">
      <w:pPr>
        <w:spacing w:after="0" w:line="240" w:lineRule="auto"/>
      </w:pPr>
      <w:r>
        <w:separator/>
      </w:r>
    </w:p>
  </w:endnote>
  <w:endnote w:type="continuationSeparator" w:id="0">
    <w:p w:rsidR="00685D0C" w:rsidRDefault="00685D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E1822B-5201-4A14-9F89-43A5526C96B1}"/>
    <w:embedBold r:id="rId2" w:fontKey="{B7F5DE15-8B32-4BF5-A528-FE4C7949659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D130B91-6C6B-406E-9D55-71C581A07752}"/>
    <w:embedBold r:id="rId4" w:fontKey="{0D4E1E29-DDBB-45D8-9529-8BCBA18B4AD4}"/>
    <w:embedItalic r:id="rId5" w:fontKey="{2667058E-6586-47E5-940A-7060A64974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FEBC6FF-D389-4164-A0C0-A6AE4A1716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AD9645-B757-44EA-8117-20BDF215A1A9}"/>
    <w:embedItalic r:id="rId8" w:fontKey="{F126F21E-1318-4992-925E-B76A714D2D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F595914-E1D6-40C5-A47B-A2272435DC8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4026696-C63E-40DC-827E-0479AD567E3E}"/>
    <w:embedBold r:id="rId11" w:fontKey="{02F94E27-6C31-4208-9673-04ED1671844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D6D30411-2003-445F-9560-022A53F4845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C5A91F75-3B40-43D6-AD84-253234E7D7F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FFE3F5F3-E8B3-484A-8ADE-7DF1540B76C9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B00A5E28-9FA1-461B-9DB5-E542A9D8CBDC}"/>
    <w:embedBold r:id="rId16" w:fontKey="{B2B817AA-E797-4A23-A418-1D80C1BC59C4}"/>
    <w:embedItalic r:id="rId17" w:fontKey="{CDC480B0-907D-4FDD-89CB-113A9B6C3592}"/>
    <w:embedBoldItalic r:id="rId18" w:fontKey="{F91D1B32-A390-4126-BC8A-AAA21F906BA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F20D2" w:rsidRDefault="008F20D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78">
          <w:rPr>
            <w:noProof/>
          </w:rPr>
          <w:t>1</w:t>
        </w:r>
        <w:r>
          <w:fldChar w:fldCharType="end"/>
        </w:r>
      </w:p>
    </w:sdtContent>
  </w:sdt>
  <w:p w:rsidR="008F20D2" w:rsidRDefault="008F20D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78">
          <w:rPr>
            <w:noProof/>
          </w:rPr>
          <w:t>23</w:t>
        </w:r>
        <w:r>
          <w:fldChar w:fldCharType="end"/>
        </w:r>
      </w:p>
    </w:sdtContent>
  </w:sdt>
  <w:p w:rsidR="008F20D2" w:rsidRDefault="008F20D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299884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78">
          <w:rPr>
            <w:noProof/>
          </w:rPr>
          <w:t>24</w:t>
        </w:r>
        <w:r>
          <w:fldChar w:fldCharType="end"/>
        </w:r>
      </w:p>
    </w:sdtContent>
  </w:sdt>
  <w:p w:rsidR="008F20D2" w:rsidRDefault="008F20D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96341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78">
          <w:rPr>
            <w:noProof/>
          </w:rPr>
          <w:t>25</w:t>
        </w:r>
        <w:r>
          <w:fldChar w:fldCharType="end"/>
        </w:r>
      </w:p>
    </w:sdtContent>
  </w:sdt>
  <w:p w:rsidR="008F20D2" w:rsidRDefault="008F20D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978686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78">
          <w:rPr>
            <w:noProof/>
          </w:rPr>
          <w:t>26</w:t>
        </w:r>
        <w:r>
          <w:fldChar w:fldCharType="end"/>
        </w:r>
      </w:p>
    </w:sdtContent>
  </w:sdt>
  <w:p w:rsidR="008F20D2" w:rsidRDefault="008F20D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8F20D2" w:rsidRDefault="008F2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78">
          <w:rPr>
            <w:noProof/>
          </w:rPr>
          <w:t>27</w:t>
        </w:r>
        <w:r>
          <w:fldChar w:fldCharType="end"/>
        </w:r>
      </w:p>
    </w:sdtContent>
  </w:sdt>
  <w:p w:rsidR="008F20D2" w:rsidRDefault="008F20D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0C" w:rsidRDefault="00685D0C" w:rsidP="000662E2">
      <w:pPr>
        <w:spacing w:after="0" w:line="240" w:lineRule="auto"/>
      </w:pPr>
      <w:r>
        <w:separator/>
      </w:r>
    </w:p>
  </w:footnote>
  <w:footnote w:type="continuationSeparator" w:id="0">
    <w:p w:rsidR="00685D0C" w:rsidRDefault="00685D0C" w:rsidP="000662E2">
      <w:pPr>
        <w:spacing w:after="0" w:line="240" w:lineRule="auto"/>
      </w:pPr>
      <w:r>
        <w:continuationSeparator/>
      </w:r>
    </w:p>
  </w:footnote>
  <w:footnote w:id="1">
    <w:p w:rsidR="008F20D2" w:rsidRPr="00B84FBB" w:rsidRDefault="008F20D2" w:rsidP="00796F7A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8F20D2" w:rsidRPr="006D09C8" w:rsidRDefault="008F20D2" w:rsidP="00796F7A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8F20D2" w:rsidRPr="00C4218C" w:rsidRDefault="008F20D2" w:rsidP="00796F7A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8F20D2" w:rsidRPr="00B84FBB" w:rsidRDefault="008F20D2" w:rsidP="00761B59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8F20D2" w:rsidRPr="001C09E9" w:rsidRDefault="008F20D2" w:rsidP="003C6501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8F20D2" w:rsidRPr="00B84FBB" w:rsidRDefault="008F20D2" w:rsidP="004E3EAF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8F20D2" w:rsidRPr="00DF1987" w:rsidRDefault="008F20D2" w:rsidP="003068B2">
      <w:pPr>
        <w:spacing w:before="60" w:after="0" w:line="240" w:lineRule="auto"/>
        <w:rPr>
          <w:rFonts w:asciiTheme="minorHAnsi" w:hAnsiTheme="minorHAnsi"/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DF1987">
        <w:rPr>
          <w:sz w:val="16"/>
          <w:szCs w:val="16"/>
        </w:rPr>
        <w:t>Badanie zostało przeprowadzone w dniach od 1 do 10 września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8F20D2" w:rsidRPr="00B721A4" w:rsidRDefault="008F20D2" w:rsidP="00B721A4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</w:p>
    <w:p w:rsidR="008F20D2" w:rsidRPr="00541B5D" w:rsidRDefault="008F20D2" w:rsidP="00570C0A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</w:p>
    <w:p w:rsidR="008F20D2" w:rsidRPr="00501B89" w:rsidRDefault="008F20D2" w:rsidP="00864BE8">
      <w:pPr>
        <w:spacing w:before="60" w:after="0" w:line="240" w:lineRule="auto"/>
      </w:pPr>
    </w:p>
    <w:p w:rsidR="008F20D2" w:rsidRPr="000564F3" w:rsidRDefault="008F20D2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0D2" w:rsidRPr="00CB5DE0" w:rsidRDefault="008F20D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8F20D2" w:rsidRDefault="008F20D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20D2" w:rsidRPr="003C6C8D" w:rsidRDefault="008F20D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77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F20D2" w:rsidRPr="003C6C8D" w:rsidRDefault="008F20D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8F20D2" w:rsidRDefault="008F20D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8F20D2" w:rsidRPr="006B2A42" w:rsidRDefault="008F20D2">
    <w:pPr>
      <w:pStyle w:val="Nagwek"/>
      <w:rPr>
        <w:noProof/>
        <w:sz w:val="12"/>
        <w:lang w:eastAsia="pl-PL"/>
      </w:rPr>
    </w:pPr>
  </w:p>
  <w:p w:rsidR="008F20D2" w:rsidRDefault="008F20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20D2" w:rsidRPr="00FE252C" w:rsidRDefault="008F20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8F20D2" w:rsidRPr="00FE252C" w:rsidRDefault="008F20D2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8F20D2" w:rsidRPr="003439F1" w:rsidRDefault="008F20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8F20D2" w:rsidRPr="00FE252C" w:rsidRDefault="008F20D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8F20D2" w:rsidRPr="00FE252C" w:rsidRDefault="008F20D2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8F20D2" w:rsidRPr="003439F1" w:rsidRDefault="008F20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0D2" w:rsidRDefault="008F20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0D2" w:rsidRDefault="008F20D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0D2" w:rsidRDefault="008F20D2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0D2" w:rsidRDefault="008F20D2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0D2" w:rsidRDefault="008F20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51" type="#_x0000_t75" style="width:123.85pt;height:124.7pt;visibility:visible;mso-wrap-style:square" o:bullet="t">
        <v:imagedata r:id="rId2" o:title=""/>
      </v:shape>
    </w:pict>
  </w:numPicBullet>
  <w:numPicBullet w:numPicBulletId="2">
    <w:pict>
      <v:shape id="_x0000_i1052" type="#_x0000_t75" style="width:6pt;height:6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1E920EE6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4289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81D"/>
    <w:rsid w:val="00071DA1"/>
    <w:rsid w:val="00071E50"/>
    <w:rsid w:val="000735D7"/>
    <w:rsid w:val="00074DD8"/>
    <w:rsid w:val="0007543F"/>
    <w:rsid w:val="00075677"/>
    <w:rsid w:val="00075C85"/>
    <w:rsid w:val="0007664D"/>
    <w:rsid w:val="00076E1C"/>
    <w:rsid w:val="00076ED9"/>
    <w:rsid w:val="00077512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28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0D2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3458"/>
    <w:rsid w:val="00153DD1"/>
    <w:rsid w:val="00154682"/>
    <w:rsid w:val="00156546"/>
    <w:rsid w:val="00156978"/>
    <w:rsid w:val="00160B23"/>
    <w:rsid w:val="0016203A"/>
    <w:rsid w:val="001622BF"/>
    <w:rsid w:val="00162325"/>
    <w:rsid w:val="0016235F"/>
    <w:rsid w:val="001632D0"/>
    <w:rsid w:val="00164BEE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CAF"/>
    <w:rsid w:val="00193DFA"/>
    <w:rsid w:val="00194E72"/>
    <w:rsid w:val="001951DA"/>
    <w:rsid w:val="001954A0"/>
    <w:rsid w:val="00195A22"/>
    <w:rsid w:val="00195E25"/>
    <w:rsid w:val="001A0077"/>
    <w:rsid w:val="001A0AA4"/>
    <w:rsid w:val="001A2411"/>
    <w:rsid w:val="001A47C2"/>
    <w:rsid w:val="001A52AB"/>
    <w:rsid w:val="001A5308"/>
    <w:rsid w:val="001A5FFA"/>
    <w:rsid w:val="001A6391"/>
    <w:rsid w:val="001A6A71"/>
    <w:rsid w:val="001A7204"/>
    <w:rsid w:val="001A7329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3B6A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5F2C"/>
    <w:rsid w:val="001D6DEB"/>
    <w:rsid w:val="001D6EBD"/>
    <w:rsid w:val="001D7749"/>
    <w:rsid w:val="001E00B8"/>
    <w:rsid w:val="001E0297"/>
    <w:rsid w:val="001E2957"/>
    <w:rsid w:val="001E2BCC"/>
    <w:rsid w:val="001E3A60"/>
    <w:rsid w:val="001E4540"/>
    <w:rsid w:val="001E5BBA"/>
    <w:rsid w:val="001E733F"/>
    <w:rsid w:val="001E797B"/>
    <w:rsid w:val="001F0136"/>
    <w:rsid w:val="001F1C28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5874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453B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90165"/>
    <w:rsid w:val="002907F3"/>
    <w:rsid w:val="002919B9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3334"/>
    <w:rsid w:val="002A34CA"/>
    <w:rsid w:val="002A4F11"/>
    <w:rsid w:val="002A58D9"/>
    <w:rsid w:val="002A5ABF"/>
    <w:rsid w:val="002A626E"/>
    <w:rsid w:val="002A750D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B4B"/>
    <w:rsid w:val="0031152D"/>
    <w:rsid w:val="003120D0"/>
    <w:rsid w:val="003126FC"/>
    <w:rsid w:val="00312899"/>
    <w:rsid w:val="003129C2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19BA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664"/>
    <w:rsid w:val="003C0D05"/>
    <w:rsid w:val="003C31AE"/>
    <w:rsid w:val="003C342F"/>
    <w:rsid w:val="003C3BD7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37E3"/>
    <w:rsid w:val="003D43B1"/>
    <w:rsid w:val="003D46D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AE8"/>
    <w:rsid w:val="003E4F44"/>
    <w:rsid w:val="003E5BB2"/>
    <w:rsid w:val="003E6189"/>
    <w:rsid w:val="003E6767"/>
    <w:rsid w:val="003E77D6"/>
    <w:rsid w:val="003F0146"/>
    <w:rsid w:val="003F0478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0AA"/>
    <w:rsid w:val="00412BA4"/>
    <w:rsid w:val="00412F12"/>
    <w:rsid w:val="00413B8D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7BB"/>
    <w:rsid w:val="004717CF"/>
    <w:rsid w:val="004733F6"/>
    <w:rsid w:val="00474C5E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030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2B6"/>
    <w:rsid w:val="004B578A"/>
    <w:rsid w:val="004B5A85"/>
    <w:rsid w:val="004B642F"/>
    <w:rsid w:val="004B742E"/>
    <w:rsid w:val="004B7571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3EAF"/>
    <w:rsid w:val="004E4030"/>
    <w:rsid w:val="004E5696"/>
    <w:rsid w:val="004E5A2E"/>
    <w:rsid w:val="004F0C3C"/>
    <w:rsid w:val="004F1098"/>
    <w:rsid w:val="004F1AF4"/>
    <w:rsid w:val="004F274D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39BC"/>
    <w:rsid w:val="005246C2"/>
    <w:rsid w:val="00524FDD"/>
    <w:rsid w:val="005257FC"/>
    <w:rsid w:val="0052580B"/>
    <w:rsid w:val="00526338"/>
    <w:rsid w:val="00526B5A"/>
    <w:rsid w:val="00526F30"/>
    <w:rsid w:val="00527C18"/>
    <w:rsid w:val="00530AC8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0C0A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42B5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124C"/>
    <w:rsid w:val="005D19D9"/>
    <w:rsid w:val="005D20F8"/>
    <w:rsid w:val="005D351C"/>
    <w:rsid w:val="005D3E8B"/>
    <w:rsid w:val="005D4183"/>
    <w:rsid w:val="005D5047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437B"/>
    <w:rsid w:val="00634A6B"/>
    <w:rsid w:val="00634E40"/>
    <w:rsid w:val="00635C72"/>
    <w:rsid w:val="006366D4"/>
    <w:rsid w:val="00636851"/>
    <w:rsid w:val="00636CDB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5396"/>
    <w:rsid w:val="006557AD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D0C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72EB"/>
    <w:rsid w:val="006E7372"/>
    <w:rsid w:val="006E7517"/>
    <w:rsid w:val="006E7F3E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1B59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78A"/>
    <w:rsid w:val="00786124"/>
    <w:rsid w:val="00786BDD"/>
    <w:rsid w:val="00786FDC"/>
    <w:rsid w:val="0078779E"/>
    <w:rsid w:val="00790153"/>
    <w:rsid w:val="007916A1"/>
    <w:rsid w:val="00791A49"/>
    <w:rsid w:val="00793CDC"/>
    <w:rsid w:val="007943A5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EAE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5142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7F63C0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102C0"/>
    <w:rsid w:val="00810CF8"/>
    <w:rsid w:val="00810D34"/>
    <w:rsid w:val="00811452"/>
    <w:rsid w:val="00811BF6"/>
    <w:rsid w:val="00812516"/>
    <w:rsid w:val="00812650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FFC"/>
    <w:rsid w:val="00851180"/>
    <w:rsid w:val="008511C6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B2D"/>
    <w:rsid w:val="00884EEB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383C"/>
    <w:rsid w:val="008E41A3"/>
    <w:rsid w:val="008E601F"/>
    <w:rsid w:val="008E66DB"/>
    <w:rsid w:val="008E6C52"/>
    <w:rsid w:val="008E6E02"/>
    <w:rsid w:val="008F00CB"/>
    <w:rsid w:val="008F0688"/>
    <w:rsid w:val="008F20D2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748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180"/>
    <w:rsid w:val="00972861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B9A"/>
    <w:rsid w:val="00997D53"/>
    <w:rsid w:val="009A0CB7"/>
    <w:rsid w:val="009A13D8"/>
    <w:rsid w:val="009A2E59"/>
    <w:rsid w:val="009A3BBC"/>
    <w:rsid w:val="009A42CB"/>
    <w:rsid w:val="009A43BE"/>
    <w:rsid w:val="009A4633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3822"/>
    <w:rsid w:val="009B42D3"/>
    <w:rsid w:val="009B4609"/>
    <w:rsid w:val="009B60FF"/>
    <w:rsid w:val="009B673C"/>
    <w:rsid w:val="009B761E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41F"/>
    <w:rsid w:val="009F6680"/>
    <w:rsid w:val="009F6A8F"/>
    <w:rsid w:val="009F7320"/>
    <w:rsid w:val="009F77C8"/>
    <w:rsid w:val="009F7F35"/>
    <w:rsid w:val="00A000D8"/>
    <w:rsid w:val="00A0046C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2C08"/>
    <w:rsid w:val="00A232CA"/>
    <w:rsid w:val="00A23DD2"/>
    <w:rsid w:val="00A2414F"/>
    <w:rsid w:val="00A244EB"/>
    <w:rsid w:val="00A249D7"/>
    <w:rsid w:val="00A2599B"/>
    <w:rsid w:val="00A25C67"/>
    <w:rsid w:val="00A26596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4597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3E9D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D125E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003"/>
    <w:rsid w:val="00B14952"/>
    <w:rsid w:val="00B16DAC"/>
    <w:rsid w:val="00B16F0C"/>
    <w:rsid w:val="00B1792F"/>
    <w:rsid w:val="00B17A1A"/>
    <w:rsid w:val="00B207E8"/>
    <w:rsid w:val="00B20C99"/>
    <w:rsid w:val="00B2130F"/>
    <w:rsid w:val="00B21502"/>
    <w:rsid w:val="00B218B5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0C6A"/>
    <w:rsid w:val="00B82CF8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365A"/>
    <w:rsid w:val="00B9452C"/>
    <w:rsid w:val="00B956EE"/>
    <w:rsid w:val="00B95C4B"/>
    <w:rsid w:val="00B96699"/>
    <w:rsid w:val="00B9752D"/>
    <w:rsid w:val="00B97AAD"/>
    <w:rsid w:val="00B97F90"/>
    <w:rsid w:val="00BA07B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4E33"/>
    <w:rsid w:val="00BD615C"/>
    <w:rsid w:val="00BD66D8"/>
    <w:rsid w:val="00BD7496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DDD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696"/>
    <w:rsid w:val="00C50B69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3AE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5B"/>
    <w:rsid w:val="00CB559C"/>
    <w:rsid w:val="00CB5DE0"/>
    <w:rsid w:val="00CB6E99"/>
    <w:rsid w:val="00CC04ED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48B7"/>
    <w:rsid w:val="00CD57F7"/>
    <w:rsid w:val="00CD58B7"/>
    <w:rsid w:val="00CD62A7"/>
    <w:rsid w:val="00CD76A4"/>
    <w:rsid w:val="00CE2534"/>
    <w:rsid w:val="00CE2DC1"/>
    <w:rsid w:val="00CE4130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37E34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D28"/>
    <w:rsid w:val="00D94EED"/>
    <w:rsid w:val="00D950F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D42"/>
    <w:rsid w:val="00DA7C1C"/>
    <w:rsid w:val="00DB05A6"/>
    <w:rsid w:val="00DB0D78"/>
    <w:rsid w:val="00DB147A"/>
    <w:rsid w:val="00DB1A73"/>
    <w:rsid w:val="00DB1B7A"/>
    <w:rsid w:val="00DB1CDB"/>
    <w:rsid w:val="00DB2FA6"/>
    <w:rsid w:val="00DB3E72"/>
    <w:rsid w:val="00DB451E"/>
    <w:rsid w:val="00DB4918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B64"/>
    <w:rsid w:val="00E06F59"/>
    <w:rsid w:val="00E07227"/>
    <w:rsid w:val="00E10BCD"/>
    <w:rsid w:val="00E11650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1C4C"/>
    <w:rsid w:val="00E522A7"/>
    <w:rsid w:val="00E53DF2"/>
    <w:rsid w:val="00E54452"/>
    <w:rsid w:val="00E5448D"/>
    <w:rsid w:val="00E5474E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2FCA"/>
    <w:rsid w:val="00EB34FB"/>
    <w:rsid w:val="00EB383F"/>
    <w:rsid w:val="00EB4340"/>
    <w:rsid w:val="00EB4406"/>
    <w:rsid w:val="00EB556D"/>
    <w:rsid w:val="00EB55E1"/>
    <w:rsid w:val="00EB5A7D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567A"/>
    <w:rsid w:val="00EC578B"/>
    <w:rsid w:val="00EC57A7"/>
    <w:rsid w:val="00EC66A8"/>
    <w:rsid w:val="00EC66D6"/>
    <w:rsid w:val="00EC7D33"/>
    <w:rsid w:val="00ED03D3"/>
    <w:rsid w:val="00ED136B"/>
    <w:rsid w:val="00ED23E4"/>
    <w:rsid w:val="00ED3BDD"/>
    <w:rsid w:val="00ED46DF"/>
    <w:rsid w:val="00ED55C0"/>
    <w:rsid w:val="00ED58D7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96E"/>
    <w:rsid w:val="00EF5063"/>
    <w:rsid w:val="00EF5E75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6DB4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91283"/>
    <w:rsid w:val="00F91F31"/>
    <w:rsid w:val="00F9204A"/>
    <w:rsid w:val="00F93B8B"/>
    <w:rsid w:val="00F93BAA"/>
    <w:rsid w:val="00F93D4A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43A"/>
    <w:rsid w:val="00FA372A"/>
    <w:rsid w:val="00FA4E0A"/>
    <w:rsid w:val="00FA5128"/>
    <w:rsid w:val="00FA58C3"/>
    <w:rsid w:val="00FA63F7"/>
    <w:rsid w:val="00FA732A"/>
    <w:rsid w:val="00FA7FC9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60DC"/>
    <w:rsid w:val="00FC6C99"/>
    <w:rsid w:val="00FC7613"/>
    <w:rsid w:val="00FC76C2"/>
    <w:rsid w:val="00FD105A"/>
    <w:rsid w:val="00FD1522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image" Target="media/image16.emf"/><Relationship Id="rId21" Type="http://schemas.openxmlformats.org/officeDocument/2006/relationships/chart" Target="charts/chart6.xml"/><Relationship Id="rId34" Type="http://schemas.openxmlformats.org/officeDocument/2006/relationships/image" Target="media/image11.emf"/><Relationship Id="rId42" Type="http://schemas.openxmlformats.org/officeDocument/2006/relationships/header" Target="header3.xml"/><Relationship Id="rId47" Type="http://schemas.openxmlformats.org/officeDocument/2006/relationships/footer" Target="footer6.xml"/><Relationship Id="rId50" Type="http://schemas.openxmlformats.org/officeDocument/2006/relationships/hyperlink" Target="mailto:obslugaprasowa@stat.gov.p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image" Target="media/image8.emf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image" Target="media/image9.emf"/><Relationship Id="rId37" Type="http://schemas.openxmlformats.org/officeDocument/2006/relationships/image" Target="media/image14.emf"/><Relationship Id="rId40" Type="http://schemas.openxmlformats.org/officeDocument/2006/relationships/header" Target="header2.xml"/><Relationship Id="rId45" Type="http://schemas.openxmlformats.org/officeDocument/2006/relationships/footer" Target="footer5.xml"/><Relationship Id="rId53" Type="http://schemas.openxmlformats.org/officeDocument/2006/relationships/footer" Target="footer7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chart" Target="charts/chart14.xml"/><Relationship Id="rId44" Type="http://schemas.openxmlformats.org/officeDocument/2006/relationships/header" Target="header4.xml"/><Relationship Id="rId52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2.xml"/><Relationship Id="rId30" Type="http://schemas.openxmlformats.org/officeDocument/2006/relationships/chart" Target="charts/chart13.xml"/><Relationship Id="rId35" Type="http://schemas.openxmlformats.org/officeDocument/2006/relationships/image" Target="media/image12.emf"/><Relationship Id="rId43" Type="http://schemas.openxmlformats.org/officeDocument/2006/relationships/footer" Target="footer4.xml"/><Relationship Id="rId48" Type="http://schemas.openxmlformats.org/officeDocument/2006/relationships/image" Target="media/image17.png"/><Relationship Id="rId8" Type="http://schemas.openxmlformats.org/officeDocument/2006/relationships/webSettings" Target="webSettings.xml"/><Relationship Id="rId51" Type="http://schemas.openxmlformats.org/officeDocument/2006/relationships/image" Target="media/image19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0.xml"/><Relationship Id="rId33" Type="http://schemas.openxmlformats.org/officeDocument/2006/relationships/image" Target="media/image10.jpeg"/><Relationship Id="rId38" Type="http://schemas.openxmlformats.org/officeDocument/2006/relationships/image" Target="media/image15.emf"/><Relationship Id="rId46" Type="http://schemas.openxmlformats.org/officeDocument/2006/relationships/header" Target="header5.xml"/><Relationship Id="rId20" Type="http://schemas.openxmlformats.org/officeDocument/2006/relationships/image" Target="media/image6.emf"/><Relationship Id="rId41" Type="http://schemas.openxmlformats.org/officeDocument/2006/relationships/footer" Target="footer3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image" Target="media/image7.emf"/><Relationship Id="rId36" Type="http://schemas.openxmlformats.org/officeDocument/2006/relationships/image" Target="media/image13.emf"/><Relationship Id="rId49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zatrudnienie!$C$38:$C$81</c:f>
              <c:numCache>
                <c:formatCode>General</c:formatCode>
                <c:ptCount val="44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>
                  <c:v>113.3</c:v>
                </c:pt>
                <c:pt idx="43" formatCode="0.0">
                  <c:v>113.1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zatrudnienie!$D$38:$D$81</c:f>
              <c:numCache>
                <c:formatCode>0.0</c:formatCode>
                <c:ptCount val="44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  <c:pt idx="41">
                  <c:v>119</c:v>
                </c:pt>
                <c:pt idx="42">
                  <c:v>119.21727803054618</c:v>
                </c:pt>
                <c:pt idx="43">
                  <c:v>119.1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6997760"/>
        <c:axId val="1806996672"/>
      </c:lineChart>
      <c:catAx>
        <c:axId val="180699776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6672"/>
        <c:crosses val="autoZero"/>
        <c:auto val="1"/>
        <c:lblAlgn val="ctr"/>
        <c:lblOffset val="100"/>
        <c:noMultiLvlLbl val="0"/>
      </c:catAx>
      <c:valAx>
        <c:axId val="1806996672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776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tys. szt.</a:t>
            </a:r>
          </a:p>
        </c:rich>
      </c:tx>
      <c:layout>
        <c:manualLayout>
          <c:xMode val="edge"/>
          <c:yMode val="edge"/>
          <c:x val="7.5207480508235447E-2"/>
          <c:y val="1.201149425287356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944086864660585E-2"/>
          <c:y val="9.1261497718190615E-2"/>
          <c:w val="0.89562714411735878"/>
          <c:h val="0.623788832416014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'pogłowie bydła'!$F$66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'pogłowie bydła'!$D$75:$E$81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'pogłowie bydła'!$F$75:$F$81</c:f>
              <c:numCache>
                <c:formatCode>General</c:formatCode>
                <c:ptCount val="7"/>
                <c:pt idx="0">
                  <c:v>170.9</c:v>
                </c:pt>
                <c:pt idx="1">
                  <c:v>172.5</c:v>
                </c:pt>
                <c:pt idx="2">
                  <c:v>171.4</c:v>
                </c:pt>
                <c:pt idx="3">
                  <c:v>169.1</c:v>
                </c:pt>
                <c:pt idx="4">
                  <c:v>178.8</c:v>
                </c:pt>
                <c:pt idx="5">
                  <c:v>176.8</c:v>
                </c:pt>
                <c:pt idx="6">
                  <c:v>172.4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5885968"/>
        <c:axId val="1695875632"/>
      </c:barChart>
      <c:lineChart>
        <c:grouping val="standard"/>
        <c:varyColors val="0"/>
        <c:ser>
          <c:idx val="0"/>
          <c:order val="1"/>
          <c:tx>
            <c:strRef>
              <c:f>'pogłowie bydła'!$G$66</c:f>
              <c:strCache>
                <c:ptCount val="1"/>
                <c:pt idx="0">
                  <c:v>krowy</c:v>
                </c:pt>
              </c:strCache>
            </c:strRef>
          </c:tx>
          <c:spPr>
            <a:ln w="28575">
              <a:solidFill>
                <a:srgbClr val="BFBFBF"/>
              </a:solidFill>
              <a:prstDash val="solid"/>
            </a:ln>
          </c:spPr>
          <c:marker>
            <c:symbol val="star"/>
            <c:size val="5"/>
            <c:spPr>
              <a:solidFill>
                <a:srgbClr val="BFBFBF"/>
              </a:solidFill>
              <a:ln>
                <a:noFill/>
                <a:prstDash val="solid"/>
              </a:ln>
            </c:spPr>
          </c:marker>
          <c:cat>
            <c:multiLvlStrRef>
              <c:f>'pogłowie bydła'!$D$75:$E$81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'pogłowie bydła'!$G$75:$G$81</c:f>
              <c:numCache>
                <c:formatCode>General</c:formatCode>
                <c:ptCount val="7"/>
                <c:pt idx="0">
                  <c:v>84.2</c:v>
                </c:pt>
                <c:pt idx="1">
                  <c:v>83.2</c:v>
                </c:pt>
                <c:pt idx="2">
                  <c:v>80.900000000000006</c:v>
                </c:pt>
                <c:pt idx="3">
                  <c:v>77.900000000000006</c:v>
                </c:pt>
                <c:pt idx="4">
                  <c:v>85.9</c:v>
                </c:pt>
                <c:pt idx="5">
                  <c:v>82.6</c:v>
                </c:pt>
                <c:pt idx="6">
                  <c:v>78.2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5877264"/>
        <c:axId val="1695877808"/>
      </c:lineChart>
      <c:catAx>
        <c:axId val="169588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756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695875632"/>
        <c:scaling>
          <c:orientation val="minMax"/>
        </c:scaling>
        <c:delete val="0"/>
        <c:axPos val="l"/>
        <c:majorGridlines>
          <c:spPr>
            <a:ln w="3175">
              <a:solidFill>
                <a:srgbClr val="7F7F7F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85968"/>
        <c:crosses val="autoZero"/>
        <c:crossBetween val="between"/>
        <c:majorUnit val="40"/>
      </c:valAx>
      <c:catAx>
        <c:axId val="16958772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95877808"/>
        <c:crosses val="autoZero"/>
        <c:auto val="0"/>
        <c:lblAlgn val="ctr"/>
        <c:lblOffset val="100"/>
        <c:noMultiLvlLbl val="0"/>
      </c:catAx>
      <c:valAx>
        <c:axId val="16958778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95877264"/>
        <c:crosses val="autoZero"/>
        <c:crossBetween val="between"/>
      </c:valAx>
      <c:spPr>
        <a:noFill/>
        <a:ln w="31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30378327544213607"/>
          <c:y val="0.89735280725667987"/>
          <c:w val="0.38491793906953886"/>
          <c:h val="8.92888365429532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produk.sprzed.przem!$A$26:$B$69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produk.sprzed.przem!$C$26:$C$69</c:f>
              <c:numCache>
                <c:formatCode>General</c:formatCode>
                <c:ptCount val="44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137.5</c:v>
                </c:pt>
                <c:pt idx="42" formatCode="0.0">
                  <c:v>131.80000000000001</c:v>
                </c:pt>
                <c:pt idx="43" formatCode="0.0">
                  <c:v>128.5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produk.sprzed.przem!$A$26:$B$69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produk.sprzed.przem!$D$26:$D$69</c:f>
              <c:numCache>
                <c:formatCode>0.0</c:formatCode>
                <c:ptCount val="44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  <c:pt idx="41">
                  <c:v>143.03799449391957</c:v>
                </c:pt>
                <c:pt idx="42">
                  <c:v>142.84287012020212</c:v>
                </c:pt>
                <c:pt idx="43">
                  <c:v>141.04995476148787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95871824"/>
        <c:axId val="1695880528"/>
      </c:lineChart>
      <c:catAx>
        <c:axId val="169587182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80528"/>
        <c:crosses val="autoZero"/>
        <c:auto val="1"/>
        <c:lblAlgn val="ctr"/>
        <c:lblOffset val="100"/>
        <c:noMultiLvlLbl val="0"/>
      </c:catAx>
      <c:valAx>
        <c:axId val="1695880528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7182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463587573941317"/>
          <c:y val="0.89459762018565558"/>
          <c:w val="0.42986484898342936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mieszkania!$L$28:$M$71</c:f>
              <c:multiLvlStrCache>
                <c:ptCount val="42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mieszkania!$N$28:$N$71</c:f>
              <c:numCache>
                <c:formatCode>0.0</c:formatCode>
                <c:ptCount val="44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160.90147296101597</c:v>
                </c:pt>
                <c:pt idx="43">
                  <c:v>161.82792646507772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mieszkania!$L$28:$M$71</c:f>
              <c:multiLvlStrCache>
                <c:ptCount val="42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mieszkania!$O$28:$O$71</c:f>
              <c:numCache>
                <c:formatCode>0.0</c:formatCode>
                <c:ptCount val="44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140.16536448456344</c:v>
                </c:pt>
                <c:pt idx="35">
                  <c:v>135.9</c:v>
                </c:pt>
                <c:pt idx="36">
                  <c:v>102.12632895559726</c:v>
                </c:pt>
                <c:pt idx="37">
                  <c:v>97.589507266926617</c:v>
                </c:pt>
                <c:pt idx="38">
                  <c:v>127.01838529176659</c:v>
                </c:pt>
                <c:pt idx="39">
                  <c:v>129.23106646058733</c:v>
                </c:pt>
                <c:pt idx="40">
                  <c:v>132.11816467630422</c:v>
                </c:pt>
                <c:pt idx="41">
                  <c:v>133.12676056338029</c:v>
                </c:pt>
                <c:pt idx="42">
                  <c:v>138.23748140803173</c:v>
                </c:pt>
                <c:pt idx="43">
                  <c:v>142.8399781540142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95887056"/>
        <c:axId val="1695884336"/>
      </c:lineChart>
      <c:catAx>
        <c:axId val="169588705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84336"/>
        <c:crosses val="autoZero"/>
        <c:auto val="1"/>
        <c:lblAlgn val="ctr"/>
        <c:lblOffset val="100"/>
        <c:noMultiLvlLbl val="0"/>
      </c:catAx>
      <c:valAx>
        <c:axId val="1695884336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87056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65812768187881"/>
          <c:y val="0.8945899619690395"/>
          <c:w val="0.40537744816175181"/>
          <c:h val="8.843849875908371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4443281799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pandemia3!$B$2:$R$3</c:f>
              <c:multiLvlStrCache>
                <c:ptCount val="17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pandemia3!$B$4:$R$4</c:f>
              <c:numCache>
                <c:formatCode>0.0</c:formatCode>
                <c:ptCount val="17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  <c:pt idx="12">
                  <c:v>1.1000000000000001</c:v>
                </c:pt>
                <c:pt idx="13">
                  <c:v>1</c:v>
                </c:pt>
                <c:pt idx="14">
                  <c:v>1.1000000000000001</c:v>
                </c:pt>
                <c:pt idx="15">
                  <c:v>0.6</c:v>
                </c:pt>
                <c:pt idx="16">
                  <c:v>0.6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pandemia3!$B$2:$R$3</c:f>
              <c:multiLvlStrCache>
                <c:ptCount val="17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pandemia3!$B$5:$R$5</c:f>
              <c:numCache>
                <c:formatCode>0.0</c:formatCode>
                <c:ptCount val="17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  <c:pt idx="12">
                  <c:v>0.2</c:v>
                </c:pt>
                <c:pt idx="13">
                  <c:v>0.2</c:v>
                </c:pt>
                <c:pt idx="14">
                  <c:v>0.2</c:v>
                </c:pt>
                <c:pt idx="15">
                  <c:v>0.2</c:v>
                </c:pt>
                <c:pt idx="16">
                  <c:v>0.1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pandemia3!$B$2:$R$3</c:f>
              <c:multiLvlStrCache>
                <c:ptCount val="17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pandemia3!$B$6:$R$6</c:f>
              <c:numCache>
                <c:formatCode>0.0</c:formatCode>
                <c:ptCount val="17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0.1</c:v>
                </c:pt>
                <c:pt idx="14">
                  <c:v>0.1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pandemia3!$B$2:$R$3</c:f>
              <c:multiLvlStrCache>
                <c:ptCount val="17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pandemia3!$B$7:$R$7</c:f>
              <c:numCache>
                <c:formatCode>0.0</c:formatCode>
                <c:ptCount val="17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  <c:pt idx="12">
                  <c:v>8.6</c:v>
                </c:pt>
                <c:pt idx="13">
                  <c:v>6.3</c:v>
                </c:pt>
                <c:pt idx="14">
                  <c:v>7.3</c:v>
                </c:pt>
                <c:pt idx="15">
                  <c:v>8.6</c:v>
                </c:pt>
                <c:pt idx="16">
                  <c:v>6.6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5884880"/>
        <c:axId val="1695872912"/>
      </c:barChart>
      <c:catAx>
        <c:axId val="169588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72912"/>
        <c:crosses val="autoZero"/>
        <c:auto val="1"/>
        <c:lblAlgn val="ctr"/>
        <c:lblOffset val="100"/>
        <c:noMultiLvlLbl val="0"/>
      </c:catAx>
      <c:valAx>
        <c:axId val="1695872912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84880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01550392212E-2"/>
          <c:y val="0.82522096382821797"/>
          <c:w val="0.9733644169439547"/>
          <c:h val="0.161959254583108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5463355542095E-3"/>
          <c:y val="1.510569034693214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5.8041994750656155E-2"/>
          <c:w val="0.7377530482100142"/>
          <c:h val="0.843997187851518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REGON!$K$9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REGON!$K$10:$K$31</c:f>
              <c:numCache>
                <c:formatCode>General</c:formatCode>
                <c:ptCount val="22"/>
                <c:pt idx="0">
                  <c:v>34</c:v>
                </c:pt>
                <c:pt idx="1">
                  <c:v>49</c:v>
                </c:pt>
                <c:pt idx="2">
                  <c:v>347</c:v>
                </c:pt>
                <c:pt idx="3">
                  <c:v>45</c:v>
                </c:pt>
                <c:pt idx="4">
                  <c:v>65</c:v>
                </c:pt>
                <c:pt idx="5">
                  <c:v>33</c:v>
                </c:pt>
                <c:pt idx="6">
                  <c:v>47</c:v>
                </c:pt>
                <c:pt idx="7">
                  <c:v>20</c:v>
                </c:pt>
                <c:pt idx="8">
                  <c:v>4</c:v>
                </c:pt>
                <c:pt idx="9">
                  <c:v>41</c:v>
                </c:pt>
                <c:pt idx="10">
                  <c:v>38</c:v>
                </c:pt>
                <c:pt idx="11">
                  <c:v>58</c:v>
                </c:pt>
                <c:pt idx="12">
                  <c:v>82</c:v>
                </c:pt>
                <c:pt idx="13">
                  <c:v>51</c:v>
                </c:pt>
                <c:pt idx="14">
                  <c:v>13</c:v>
                </c:pt>
                <c:pt idx="15">
                  <c:v>54</c:v>
                </c:pt>
                <c:pt idx="16">
                  <c:v>105</c:v>
                </c:pt>
                <c:pt idx="17">
                  <c:v>27</c:v>
                </c:pt>
                <c:pt idx="18">
                  <c:v>14</c:v>
                </c:pt>
                <c:pt idx="19">
                  <c:v>31</c:v>
                </c:pt>
                <c:pt idx="20">
                  <c:v>26</c:v>
                </c:pt>
                <c:pt idx="21">
                  <c:v>26</c:v>
                </c:pt>
              </c:numCache>
            </c:numRef>
          </c:val>
        </c:ser>
        <c:ser>
          <c:idx val="1"/>
          <c:order val="1"/>
          <c:tx>
            <c:strRef>
              <c:f>REGON!$L$9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REGON!$L$10:$L$31</c:f>
              <c:numCache>
                <c:formatCode>General</c:formatCode>
                <c:ptCount val="22"/>
                <c:pt idx="0">
                  <c:v>75</c:v>
                </c:pt>
                <c:pt idx="1">
                  <c:v>46</c:v>
                </c:pt>
                <c:pt idx="2">
                  <c:v>962</c:v>
                </c:pt>
                <c:pt idx="3">
                  <c:v>98</c:v>
                </c:pt>
                <c:pt idx="4">
                  <c:v>142</c:v>
                </c:pt>
                <c:pt idx="5">
                  <c:v>84</c:v>
                </c:pt>
                <c:pt idx="6">
                  <c:v>125</c:v>
                </c:pt>
                <c:pt idx="7">
                  <c:v>61</c:v>
                </c:pt>
                <c:pt idx="8">
                  <c:v>28</c:v>
                </c:pt>
                <c:pt idx="9">
                  <c:v>67</c:v>
                </c:pt>
                <c:pt idx="10">
                  <c:v>55</c:v>
                </c:pt>
                <c:pt idx="11">
                  <c:v>123</c:v>
                </c:pt>
                <c:pt idx="12">
                  <c:v>173</c:v>
                </c:pt>
                <c:pt idx="13">
                  <c:v>78</c:v>
                </c:pt>
                <c:pt idx="14">
                  <c:v>30</c:v>
                </c:pt>
                <c:pt idx="15">
                  <c:v>87</c:v>
                </c:pt>
                <c:pt idx="16">
                  <c:v>226</c:v>
                </c:pt>
                <c:pt idx="17">
                  <c:v>41</c:v>
                </c:pt>
                <c:pt idx="18">
                  <c:v>40</c:v>
                </c:pt>
                <c:pt idx="19">
                  <c:v>75</c:v>
                </c:pt>
                <c:pt idx="20">
                  <c:v>66</c:v>
                </c:pt>
                <c:pt idx="21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95878896"/>
        <c:axId val="1695879440"/>
      </c:barChart>
      <c:catAx>
        <c:axId val="1695878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79440"/>
        <c:crosses val="autoZero"/>
        <c:auto val="1"/>
        <c:lblAlgn val="ctr"/>
        <c:lblOffset val="100"/>
        <c:noMultiLvlLbl val="0"/>
      </c:catAx>
      <c:valAx>
        <c:axId val="1695879440"/>
        <c:scaling>
          <c:orientation val="minMax"/>
          <c:max val="10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5878896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539206237877633"/>
          <c:y val="0.95288783592425141"/>
          <c:w val="0.66925194205730532"/>
          <c:h val="4.000128846458626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0974639316582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bezrobocie!$A$50:$B$93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bezrobocie!$C$50:$C$93</c:f>
              <c:numCache>
                <c:formatCode>0.0</c:formatCode>
                <c:ptCount val="44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 formatCode="General">
                  <c:v>5.9</c:v>
                </c:pt>
                <c:pt idx="42" formatCode="General">
                  <c:v>5.8</c:v>
                </c:pt>
                <c:pt idx="43" formatCode="General">
                  <c:v>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bezrobocie!$A$50:$B$93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bezrobocie!$D$50:$D$93</c:f>
              <c:numCache>
                <c:formatCode>0.0</c:formatCode>
                <c:ptCount val="44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  <c:pt idx="37" formatCode="General">
                  <c:v>5.6</c:v>
                </c:pt>
                <c:pt idx="38" formatCode="General">
                  <c:v>5.5</c:v>
                </c:pt>
                <c:pt idx="39" formatCode="General">
                  <c:v>5.4</c:v>
                </c:pt>
                <c:pt idx="40" formatCode="General">
                  <c:v>5.3</c:v>
                </c:pt>
                <c:pt idx="41" formatCode="General">
                  <c:v>5.0999999999999996</c:v>
                </c:pt>
                <c:pt idx="42">
                  <c:v>5</c:v>
                </c:pt>
                <c:pt idx="43" formatCode="General">
                  <c:v>4.9000000000000004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6993408"/>
        <c:axId val="1806986880"/>
      </c:lineChart>
      <c:catAx>
        <c:axId val="180699340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6880"/>
        <c:crosses val="autoZero"/>
        <c:auto val="1"/>
        <c:lblAlgn val="ctr"/>
        <c:lblOffset val="100"/>
        <c:noMultiLvlLbl val="0"/>
      </c:catAx>
      <c:valAx>
        <c:axId val="1806986880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3408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979905101952347"/>
          <c:y val="0.90130355918885929"/>
          <c:w val="0.43244602870587129"/>
          <c:h val="8.28050554190280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pracy'!$B$50:$C$93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pracy'!$D$50:$D$93</c:f>
              <c:numCache>
                <c:formatCode>0</c:formatCode>
                <c:ptCount val="44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  <c:pt idx="41">
                  <c:v>11</c:v>
                </c:pt>
                <c:pt idx="42">
                  <c:v>12</c:v>
                </c:pt>
                <c:pt idx="43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6985792"/>
        <c:axId val="1806998848"/>
      </c:barChart>
      <c:catAx>
        <c:axId val="180698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8848"/>
        <c:crosses val="autoZero"/>
        <c:auto val="1"/>
        <c:lblAlgn val="ctr"/>
        <c:lblOffset val="100"/>
        <c:noMultiLvlLbl val="0"/>
      </c:catAx>
      <c:valAx>
        <c:axId val="1806998848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579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-5400000" vert="horz"/>
          <a:lstStyle/>
          <a:p>
            <a:pPr algn="ctr"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Sektor własności</a:t>
            </a:r>
          </a:p>
        </c:rich>
      </c:tx>
      <c:layout>
        <c:manualLayout>
          <c:xMode val="edge"/>
          <c:yMode val="edge"/>
          <c:x val="8.1691343605972706E-3"/>
          <c:y val="0.31951913023067241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238945770756295"/>
          <c:y val="8.0234167157676714E-2"/>
          <c:w val="0.74885956747419347"/>
          <c:h val="0.813700965950684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strRef>
              <c:f>'covid na pracę'!$E$5:$E$6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'covid na pracę'!$F$5:$F$6</c:f>
              <c:numCache>
                <c:formatCode>General</c:formatCode>
                <c:ptCount val="2"/>
                <c:pt idx="0">
                  <c:v>4.8</c:v>
                </c:pt>
                <c:pt idx="1">
                  <c:v>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5"/>
        <c:axId val="1806990144"/>
        <c:axId val="1806999392"/>
      </c:barChart>
      <c:catAx>
        <c:axId val="1806990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9392"/>
        <c:crosses val="autoZero"/>
        <c:auto val="1"/>
        <c:lblAlgn val="ctr"/>
        <c:lblOffset val="100"/>
        <c:noMultiLvlLbl val="0"/>
      </c:catAx>
      <c:valAx>
        <c:axId val="1806999392"/>
        <c:scaling>
          <c:orientation val="minMax"/>
          <c:max val="15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362024722986184"/>
              <c:y val="0.88617886178861804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0144"/>
        <c:crosses val="autoZero"/>
        <c:crossBetween val="between"/>
        <c:majorUnit val="3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Jednostki z liczbą pracujących:</a:t>
            </a:r>
          </a:p>
        </c:rich>
      </c:tx>
      <c:layout>
        <c:manualLayout>
          <c:xMode val="edge"/>
          <c:yMode val="edge"/>
          <c:x val="3.3822823739830303E-2"/>
          <c:y val="0.772966950559751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9262183639787401"/>
          <c:y val="5.1342592592592606E-2"/>
          <c:w val="0.56277400920452814"/>
          <c:h val="0.6159608914865023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'covid według liczby pracujących'!$I$5</c:f>
              <c:strCache>
                <c:ptCount val="1"/>
                <c:pt idx="0">
                  <c:v>do 9 osób          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pracujących'!$J$5:$K$5</c:f>
              <c:numCache>
                <c:formatCode>0.0</c:formatCode>
                <c:ptCount val="2"/>
                <c:pt idx="0">
                  <c:v>7.5</c:v>
                </c:pt>
                <c:pt idx="1">
                  <c:v>19.7</c:v>
                </c:pt>
              </c:numCache>
            </c:numRef>
          </c:val>
        </c:ser>
        <c:ser>
          <c:idx val="1"/>
          <c:order val="1"/>
          <c:tx>
            <c:strRef>
              <c:f>'covid według liczby pracujących'!$I$6</c:f>
              <c:strCache>
                <c:ptCount val="1"/>
                <c:pt idx="0">
                  <c:v>od 10 do 49 osób 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pracujących'!$J$6:$K$6</c:f>
              <c:numCache>
                <c:formatCode>0.0</c:formatCode>
                <c:ptCount val="2"/>
                <c:pt idx="0">
                  <c:v>15.7</c:v>
                </c:pt>
                <c:pt idx="1">
                  <c:v>25.2</c:v>
                </c:pt>
              </c:numCache>
            </c:numRef>
          </c:val>
        </c:ser>
        <c:ser>
          <c:idx val="2"/>
          <c:order val="2"/>
          <c:tx>
            <c:strRef>
              <c:f>'covid według liczby pracujących'!$I$7</c:f>
              <c:strCache>
                <c:ptCount val="1"/>
                <c:pt idx="0">
                  <c:v>powyżej 49 osób 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pracujących'!$J$7:$K$7</c:f>
              <c:numCache>
                <c:formatCode>0.0</c:formatCode>
                <c:ptCount val="2"/>
                <c:pt idx="0">
                  <c:v>76.8</c:v>
                </c:pt>
                <c:pt idx="1">
                  <c:v>55.1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06984160"/>
        <c:axId val="1806990688"/>
      </c:barChart>
      <c:catAx>
        <c:axId val="1806984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0688"/>
        <c:crosses val="autoZero"/>
        <c:auto val="1"/>
        <c:lblAlgn val="ctr"/>
        <c:lblOffset val="100"/>
        <c:noMultiLvlLbl val="0"/>
      </c:catAx>
      <c:valAx>
        <c:axId val="180699068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782795675471311"/>
              <c:y val="0.70070437623868442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4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1196819556009781"/>
          <c:y val="0.86982272786662751"/>
          <c:w val="0.64993374075020383"/>
          <c:h val="9.3753347913768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wynagrodzenia!$C$38:$C$81</c:f>
              <c:numCache>
                <c:formatCode>0.0</c:formatCode>
                <c:ptCount val="44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  <c:pt idx="41">
                  <c:v>141.30000000000001</c:v>
                </c:pt>
                <c:pt idx="42">
                  <c:v>142.51635522316874</c:v>
                </c:pt>
                <c:pt idx="43">
                  <c:v>142.30000000000001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wynagrodzenia!$D$38:$D$81</c:f>
              <c:numCache>
                <c:formatCode>0.0</c:formatCode>
                <c:ptCount val="44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  <c:pt idx="41">
                  <c:v>153.30000000000001</c:v>
                </c:pt>
                <c:pt idx="42" formatCode="General">
                  <c:v>154.80000000000001</c:v>
                </c:pt>
                <c:pt idx="43">
                  <c:v>159.1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6991232"/>
        <c:axId val="1806991776"/>
      </c:lineChart>
      <c:catAx>
        <c:axId val="18069912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1776"/>
        <c:crosses val="autoZero"/>
        <c:auto val="1"/>
        <c:lblAlgn val="ctr"/>
        <c:lblOffset val="100"/>
        <c:noMultiLvlLbl val="0"/>
      </c:catAx>
      <c:valAx>
        <c:axId val="1806991776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1232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163520222622773"/>
          <c:y val="0.8997247684464974"/>
          <c:w val="0.43374837934414823"/>
          <c:h val="8.510917518288940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66771495897E-2"/>
          <c:y val="1.56180398585823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'zboża+ziemniaki'!$D$54:$D$97</c:f>
              <c:numCache>
                <c:formatCode>General</c:formatCode>
                <c:ptCount val="44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  <c:pt idx="41">
                  <c:v>95.73</c:v>
                </c:pt>
                <c:pt idx="42">
                  <c:v>86.27</c:v>
                </c:pt>
                <c:pt idx="43">
                  <c:v>85.45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'zboża+ziemniaki'!$E$54:$E$97</c:f>
              <c:numCache>
                <c:formatCode>0.00</c:formatCode>
                <c:ptCount val="44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'zboża+ziemniaki'!$F$54:$F$97</c:f>
              <c:numCache>
                <c:formatCode>General</c:formatCode>
                <c:ptCount val="44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  <c:pt idx="42">
                  <c:v>106.15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6984704"/>
        <c:axId val="1806997216"/>
      </c:lineChart>
      <c:catAx>
        <c:axId val="18069847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7216"/>
        <c:crosses val="autoZero"/>
        <c:auto val="1"/>
        <c:lblAlgn val="ctr"/>
        <c:lblOffset val="100"/>
        <c:noMultiLvlLbl val="0"/>
      </c:catAx>
      <c:valAx>
        <c:axId val="1806997216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4704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454874938271034"/>
          <c:y val="0.87758024334987372"/>
          <c:w val="0.46718183401627572"/>
          <c:h val="8.571714004812719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0872800118583842E-2"/>
          <c:y val="0.10445609627223258"/>
          <c:w val="0.88838809177951783"/>
          <c:h val="0.59258435957853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'pogłowie świń'!$I$11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</c:spPr>
          <c:invertIfNegative val="0"/>
          <c:cat>
            <c:multiLvlStrRef>
              <c:f>'pogłowie świń'!$G$34:$H$40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'pogłowie świń'!$I$34:$I$40</c:f>
              <c:numCache>
                <c:formatCode>General</c:formatCode>
                <c:ptCount val="7"/>
                <c:pt idx="0">
                  <c:v>169.1</c:v>
                </c:pt>
                <c:pt idx="1">
                  <c:v>143.5</c:v>
                </c:pt>
                <c:pt idx="2" formatCode="0.0">
                  <c:v>125</c:v>
                </c:pt>
                <c:pt idx="3">
                  <c:v>135.9</c:v>
                </c:pt>
                <c:pt idx="4">
                  <c:v>141.4</c:v>
                </c:pt>
                <c:pt idx="5">
                  <c:v>148.9</c:v>
                </c:pt>
                <c:pt idx="6">
                  <c:v>117.1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6992320"/>
        <c:axId val="1806985248"/>
      </c:barChart>
      <c:lineChart>
        <c:grouping val="standard"/>
        <c:varyColors val="0"/>
        <c:ser>
          <c:idx val="1"/>
          <c:order val="1"/>
          <c:tx>
            <c:strRef>
              <c:f>'pogłowie świń'!$J$11</c:f>
              <c:strCache>
                <c:ptCount val="1"/>
                <c:pt idx="0">
                  <c:v>lochy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square"/>
            <c:size val="5"/>
            <c:spPr>
              <a:solidFill>
                <a:srgbClr val="BFBFBF"/>
              </a:solidFill>
              <a:ln w="0">
                <a:solidFill>
                  <a:srgbClr val="BFBFBF"/>
                </a:solidFill>
              </a:ln>
            </c:spPr>
          </c:marker>
          <c:cat>
            <c:multiLvlStrRef>
              <c:f>'pogłowie świń'!$G$34:$H$40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'pogłowie świń'!$J$34:$J$40</c:f>
              <c:numCache>
                <c:formatCode>General</c:formatCode>
                <c:ptCount val="7"/>
                <c:pt idx="0">
                  <c:v>20.5</c:v>
                </c:pt>
                <c:pt idx="1">
                  <c:v>15.4</c:v>
                </c:pt>
                <c:pt idx="2">
                  <c:v>13.9</c:v>
                </c:pt>
                <c:pt idx="3">
                  <c:v>15.1</c:v>
                </c:pt>
                <c:pt idx="4" formatCode="0.0">
                  <c:v>17</c:v>
                </c:pt>
                <c:pt idx="5">
                  <c:v>16.7</c:v>
                </c:pt>
                <c:pt idx="6">
                  <c:v>13.5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6992864"/>
        <c:axId val="1806986336"/>
      </c:lineChart>
      <c:catAx>
        <c:axId val="180699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7F7F7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5248"/>
        <c:crosses val="autoZero"/>
        <c:auto val="1"/>
        <c:lblAlgn val="ctr"/>
        <c:lblOffset val="100"/>
        <c:noMultiLvlLbl val="0"/>
      </c:catAx>
      <c:valAx>
        <c:axId val="1806985248"/>
        <c:scaling>
          <c:orientation val="minMax"/>
          <c:max val="200"/>
          <c:min val="0"/>
        </c:scaling>
        <c:delete val="0"/>
        <c:axPos val="l"/>
        <c:majorGridlines>
          <c:spPr>
            <a:ln w="3175">
              <a:solidFill>
                <a:srgbClr val="7F7F7F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22225">
            <a:solidFill>
              <a:srgbClr val="522398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2320"/>
        <c:crosses val="autoZero"/>
        <c:crossBetween val="between"/>
        <c:majorUnit val="50"/>
      </c:valAx>
      <c:catAx>
        <c:axId val="180699286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ogółem w tys. szt.</a:t>
                </a:r>
              </a:p>
            </c:rich>
          </c:tx>
          <c:layout>
            <c:manualLayout>
              <c:xMode val="edge"/>
              <c:yMode val="edge"/>
              <c:x val="4.8596840193182132E-2"/>
              <c:y val="2.0669073342576366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1806986336"/>
        <c:crosses val="autoZero"/>
        <c:auto val="1"/>
        <c:lblAlgn val="ctr"/>
        <c:lblOffset val="100"/>
        <c:noMultiLvlLbl val="0"/>
      </c:catAx>
      <c:valAx>
        <c:axId val="1806986336"/>
        <c:scaling>
          <c:orientation val="minMax"/>
          <c:max val="4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lochy w tys. szt.</a:t>
                </a:r>
              </a:p>
            </c:rich>
          </c:tx>
          <c:layout>
            <c:manualLayout>
              <c:xMode val="edge"/>
              <c:yMode val="edge"/>
              <c:x val="0.80435738694098213"/>
              <c:y val="1.9741718331720164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2864"/>
        <c:crosses val="max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468283843044858"/>
          <c:y val="0.87985844249016598"/>
          <c:w val="0.38319007287265006"/>
          <c:h val="0.10300781765738527"/>
        </c:manualLayout>
      </c:layout>
      <c:overlay val="0"/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9021350174655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'Żywiec+mleko'!$E$54:$E$97</c:f>
              <c:numCache>
                <c:formatCode>0.00</c:formatCode>
                <c:ptCount val="44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  <c:pt idx="41">
                  <c:v>8.2799999999999994</c:v>
                </c:pt>
                <c:pt idx="42">
                  <c:v>8.0532000000000004</c:v>
                </c:pt>
                <c:pt idx="43">
                  <c:v>8.6283000000000012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'Żywiec+mleko'!$F$54:$F$97</c:f>
              <c:numCache>
                <c:formatCode>0.00</c:formatCode>
                <c:ptCount val="44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  <c:pt idx="41">
                  <c:v>5.49</c:v>
                </c:pt>
                <c:pt idx="42">
                  <c:v>5.1941999999999995</c:v>
                </c:pt>
                <c:pt idx="43">
                  <c:v>5.3239999999999998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'Żywiec+mleko'!$G$54:$G$97</c:f>
              <c:numCache>
                <c:formatCode>0.00</c:formatCode>
                <c:ptCount val="44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  <c:pt idx="41">
                  <c:v>4.33</c:v>
                </c:pt>
                <c:pt idx="42">
                  <c:v>4.2297000000000002</c:v>
                </c:pt>
                <c:pt idx="43">
                  <c:v>3.9575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6993952"/>
        <c:axId val="1806987424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'Żywiec+mleko'!$H$54:$H$97</c:f>
              <c:numCache>
                <c:formatCode>0.00</c:formatCode>
                <c:ptCount val="44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  <c:pt idx="41">
                  <c:v>1.38</c:v>
                </c:pt>
                <c:pt idx="42">
                  <c:v>1.3853599999999999</c:v>
                </c:pt>
                <c:pt idx="43">
                  <c:v>1.38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6987968"/>
        <c:axId val="1806989056"/>
      </c:lineChart>
      <c:catAx>
        <c:axId val="180699395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7424"/>
        <c:crosses val="autoZero"/>
        <c:auto val="1"/>
        <c:lblAlgn val="ctr"/>
        <c:lblOffset val="100"/>
        <c:noMultiLvlLbl val="0"/>
      </c:catAx>
      <c:valAx>
        <c:axId val="1806987424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93952"/>
        <c:crosses val="autoZero"/>
        <c:crossBetween val="between"/>
        <c:majorUnit val="2"/>
      </c:valAx>
      <c:catAx>
        <c:axId val="180698796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9724041139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1806989056"/>
        <c:crosses val="autoZero"/>
        <c:auto val="1"/>
        <c:lblAlgn val="ctr"/>
        <c:lblOffset val="100"/>
        <c:noMultiLvlLbl val="0"/>
      </c:catAx>
      <c:valAx>
        <c:axId val="1806989056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06987968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518225978736887"/>
          <c:y val="0.91466274044509421"/>
          <c:w val="0.62294073466975952"/>
          <c:h val="7.317301923560753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164762-705E-4097-BDEF-74FED257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27</Pages>
  <Words>8637</Words>
  <Characters>51822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Łacic Marcin</cp:lastModifiedBy>
  <cp:revision>101</cp:revision>
  <cp:lastPrinted>2021-09-27T05:37:00Z</cp:lastPrinted>
  <dcterms:created xsi:type="dcterms:W3CDTF">2021-06-16T10:17:00Z</dcterms:created>
  <dcterms:modified xsi:type="dcterms:W3CDTF">2021-09-27T05:54:00Z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