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3.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drawings/drawing4.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drawings/drawing5.xml" ContentType="application/vnd.openxmlformats-officedocument.drawingml.chartshapes+xml"/>
  <Override PartName="/word/charts/chart14.xml" ContentType="application/vnd.openxmlformats-officedocument.drawingml.chart+xml"/>
  <Override PartName="/word/drawings/drawing6.xml" ContentType="application/vnd.openxmlformats-officedocument.drawingml.chartshapes+xml"/>
  <Override PartName="/word/charts/chart15.xml" ContentType="application/vnd.openxmlformats-officedocument.drawingml.chart+xml"/>
  <Override PartName="/word/drawings/drawing7.xml" ContentType="application/vnd.openxmlformats-officedocument.drawingml.chartshapes+xml"/>
  <Override PartName="/word/charts/chart16.xml" ContentType="application/vnd.openxmlformats-officedocument.drawingml.chart+xml"/>
  <Override PartName="/word/drawings/drawing8.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56D3A" w:rsidRDefault="00EA058A" w:rsidP="00CB5DE0">
      <w:pPr>
        <w:pStyle w:val="tytuinformacji"/>
        <w:spacing w:after="720"/>
        <w:ind w:right="2540"/>
        <w:rPr>
          <w:shd w:val="clear" w:color="auto" w:fill="FFFFFF"/>
        </w:rPr>
      </w:pPr>
      <w:r w:rsidRPr="00EA058A">
        <w:rPr>
          <w:shd w:val="clear" w:color="auto" w:fill="FFFFFF"/>
        </w:rPr>
        <w:t>Komunikat o sytuacji społeczno-gospodarczej</w:t>
      </w:r>
      <w:r w:rsidR="00356D3A">
        <w:rPr>
          <w:shd w:val="clear" w:color="auto" w:fill="FFFFFF"/>
        </w:rPr>
        <w:t xml:space="preserve"> </w:t>
      </w:r>
      <w:r w:rsidR="00356D3A">
        <w:rPr>
          <w:shd w:val="clear" w:color="auto" w:fill="FFFFFF"/>
        </w:rPr>
        <w:br/>
        <w:t>województwa świętokrzyskiego w</w:t>
      </w:r>
      <w:r w:rsidR="0075634D">
        <w:rPr>
          <w:shd w:val="clear" w:color="auto" w:fill="FFFFFF"/>
        </w:rPr>
        <w:t xml:space="preserve"> </w:t>
      </w:r>
      <w:r w:rsidR="00CC7F49">
        <w:rPr>
          <w:shd w:val="clear" w:color="auto" w:fill="FFFFFF"/>
        </w:rPr>
        <w:t>lipcu</w:t>
      </w:r>
      <w:r w:rsidR="00DB60FF">
        <w:rPr>
          <w:shd w:val="clear" w:color="auto" w:fill="FFFFFF"/>
        </w:rPr>
        <w:t xml:space="preserve"> </w:t>
      </w:r>
      <w:r w:rsidR="00356D3A">
        <w:rPr>
          <w:shd w:val="clear" w:color="auto" w:fill="FFFFFF"/>
        </w:rPr>
        <w:t>20</w:t>
      </w:r>
      <w:r w:rsidR="00675A7F">
        <w:rPr>
          <w:shd w:val="clear" w:color="auto" w:fill="FFFFFF"/>
        </w:rPr>
        <w:t>20</w:t>
      </w:r>
      <w:r w:rsidR="00356D3A">
        <w:rPr>
          <w:shd w:val="clear" w:color="auto" w:fill="FFFFFF"/>
        </w:rPr>
        <w:t xml:space="preserve"> r.</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797507" w:rsidTr="006E4A35">
        <w:trPr>
          <w:trHeight w:val="1553"/>
          <w:jc w:val="center"/>
        </w:trPr>
        <w:tc>
          <w:tcPr>
            <w:tcW w:w="10467" w:type="dxa"/>
            <w:tcBorders>
              <w:left w:val="single" w:sz="4" w:space="0" w:color="522398"/>
            </w:tcBorders>
            <w:shd w:val="clear" w:color="auto" w:fill="F2F2F2" w:themeFill="background1" w:themeFillShade="F2"/>
          </w:tcPr>
          <w:p w:rsidR="001877CF" w:rsidRPr="006407FD" w:rsidRDefault="001877CF" w:rsidP="00BA25D5">
            <w:pPr>
              <w:pStyle w:val="tekstnapierwszejstronie"/>
              <w:numPr>
                <w:ilvl w:val="0"/>
                <w:numId w:val="27"/>
              </w:numPr>
              <w:rPr>
                <w:color w:val="auto"/>
                <w:szCs w:val="19"/>
              </w:rPr>
            </w:pPr>
            <w:r w:rsidRPr="00F7479E">
              <w:rPr>
                <w:color w:val="auto"/>
                <w:szCs w:val="19"/>
              </w:rPr>
              <w:t xml:space="preserve">W </w:t>
            </w:r>
            <w:r w:rsidR="00422BD0">
              <w:rPr>
                <w:color w:val="auto"/>
                <w:szCs w:val="19"/>
              </w:rPr>
              <w:t>lipcu</w:t>
            </w:r>
            <w:r w:rsidRPr="00F7479E">
              <w:rPr>
                <w:color w:val="auto"/>
                <w:szCs w:val="19"/>
              </w:rPr>
              <w:t xml:space="preserve"> 2020 r. nastąpił spadek przeciętnego zatrudnienia w skali roku (o 3,</w:t>
            </w:r>
            <w:r w:rsidR="00422BD0">
              <w:rPr>
                <w:color w:val="auto"/>
                <w:szCs w:val="19"/>
              </w:rPr>
              <w:t>0</w:t>
            </w:r>
            <w:r w:rsidRPr="00F7479E">
              <w:rPr>
                <w:color w:val="auto"/>
                <w:szCs w:val="19"/>
              </w:rPr>
              <w:t>%), podczas gdy rok wcześniej notowano wzrost (o 2,</w:t>
            </w:r>
            <w:r w:rsidR="00422BD0">
              <w:rPr>
                <w:color w:val="auto"/>
                <w:szCs w:val="19"/>
              </w:rPr>
              <w:t>7</w:t>
            </w:r>
            <w:r w:rsidRPr="006407FD">
              <w:rPr>
                <w:color w:val="auto"/>
                <w:szCs w:val="19"/>
              </w:rPr>
              <w:t>%). Stopa bezrobocia ukształtowała się na poziomie 8,6%, wobec 7,</w:t>
            </w:r>
            <w:r w:rsidR="00422BD0">
              <w:rPr>
                <w:color w:val="auto"/>
                <w:szCs w:val="19"/>
              </w:rPr>
              <w:t>7</w:t>
            </w:r>
            <w:r w:rsidRPr="006407FD">
              <w:rPr>
                <w:color w:val="auto"/>
                <w:szCs w:val="19"/>
              </w:rPr>
              <w:t>% przed rokiem i 8,</w:t>
            </w:r>
            <w:r w:rsidR="00422BD0">
              <w:rPr>
                <w:color w:val="auto"/>
                <w:szCs w:val="19"/>
              </w:rPr>
              <w:t>6</w:t>
            </w:r>
            <w:r w:rsidRPr="006407FD">
              <w:rPr>
                <w:color w:val="auto"/>
                <w:szCs w:val="19"/>
              </w:rPr>
              <w:t>% przed miesiącem.</w:t>
            </w:r>
          </w:p>
          <w:p w:rsidR="001F49DC" w:rsidRPr="000130AB" w:rsidRDefault="00BA25D5" w:rsidP="001F49DC">
            <w:pPr>
              <w:pStyle w:val="Tekstkomunikat1str"/>
              <w:numPr>
                <w:ilvl w:val="0"/>
                <w:numId w:val="27"/>
              </w:numPr>
              <w:jc w:val="both"/>
            </w:pPr>
            <w:r w:rsidRPr="000658AF">
              <w:t xml:space="preserve">W </w:t>
            </w:r>
            <w:r w:rsidR="001F49DC">
              <w:t>lipcu</w:t>
            </w:r>
            <w:r w:rsidRPr="000658AF">
              <w:t xml:space="preserve"> br. odnotowano poprawę warunków płacowych w sektorze przedsiębiorstw</w:t>
            </w:r>
            <w:r w:rsidR="001F49DC" w:rsidRPr="00BD4105">
              <w:rPr>
                <w:rFonts w:cs="Arial"/>
              </w:rPr>
              <w:t xml:space="preserve"> zarówno w odniesieniu do analogicznego okresu ub. roku</w:t>
            </w:r>
            <w:r w:rsidR="001F49DC">
              <w:rPr>
                <w:rFonts w:cs="Arial"/>
              </w:rPr>
              <w:t>,</w:t>
            </w:r>
            <w:r w:rsidR="001F49DC" w:rsidRPr="00BD4105">
              <w:rPr>
                <w:rFonts w:cs="Arial"/>
              </w:rPr>
              <w:t xml:space="preserve"> jak i poprzedniego miesiąca</w:t>
            </w:r>
            <w:r w:rsidR="001F49DC">
              <w:rPr>
                <w:rFonts w:cs="Arial"/>
              </w:rPr>
              <w:t xml:space="preserve"> br.</w:t>
            </w:r>
            <w:r w:rsidRPr="005F3134">
              <w:t xml:space="preserve"> </w:t>
            </w:r>
            <w:r w:rsidR="00F15AEB" w:rsidRPr="005F3134">
              <w:t>Przeciętne miesięczne wynagrodzenie brutto w sektorze przedsiębiorstw</w:t>
            </w:r>
            <w:r w:rsidR="00F15AEB">
              <w:t xml:space="preserve"> w </w:t>
            </w:r>
            <w:r w:rsidR="001F49DC">
              <w:t>lipcu</w:t>
            </w:r>
            <w:r w:rsidR="00F15AEB">
              <w:t xml:space="preserve"> było </w:t>
            </w:r>
            <w:r>
              <w:t xml:space="preserve">o </w:t>
            </w:r>
            <w:r w:rsidR="001F49DC">
              <w:t>3,7</w:t>
            </w:r>
            <w:r>
              <w:t>% wyższe niż przed rokiem</w:t>
            </w:r>
            <w:r w:rsidR="001F49DC">
              <w:t xml:space="preserve"> oraz o </w:t>
            </w:r>
            <w:r w:rsidR="001F49DC" w:rsidRPr="0000395A">
              <w:t>6,7</w:t>
            </w:r>
            <w:r w:rsidR="001F49DC">
              <w:t xml:space="preserve">%, </w:t>
            </w:r>
            <w:r>
              <w:t>w porównaniu z poprzednim miesiącem</w:t>
            </w:r>
            <w:r w:rsidR="001F49DC">
              <w:t>.</w:t>
            </w:r>
            <w:r>
              <w:t xml:space="preserve"> </w:t>
            </w:r>
          </w:p>
          <w:p w:rsidR="00095C99" w:rsidRPr="006E4A35" w:rsidRDefault="00846387" w:rsidP="00BA25D5">
            <w:pPr>
              <w:pStyle w:val="tekstnapierwszejstronie"/>
              <w:numPr>
                <w:ilvl w:val="0"/>
                <w:numId w:val="27"/>
              </w:numPr>
              <w:rPr>
                <w:color w:val="auto"/>
                <w:szCs w:val="19"/>
              </w:rPr>
            </w:pPr>
            <w:r>
              <w:rPr>
                <w:color w:val="auto"/>
                <w:szCs w:val="19"/>
              </w:rPr>
              <w:t xml:space="preserve">Na rynku rolnym w </w:t>
            </w:r>
            <w:r w:rsidR="00E65EFC">
              <w:rPr>
                <w:color w:val="auto"/>
                <w:szCs w:val="19"/>
              </w:rPr>
              <w:t>lipcu</w:t>
            </w:r>
            <w:r w:rsidR="00095C99" w:rsidRPr="006E4A35">
              <w:rPr>
                <w:color w:val="auto"/>
                <w:szCs w:val="19"/>
              </w:rPr>
              <w:t xml:space="preserve"> 20</w:t>
            </w:r>
            <w:r w:rsidR="00095C99">
              <w:rPr>
                <w:color w:val="auto"/>
                <w:szCs w:val="19"/>
              </w:rPr>
              <w:t>20</w:t>
            </w:r>
            <w:r w:rsidR="00095C99" w:rsidRPr="006E4A35">
              <w:rPr>
                <w:color w:val="auto"/>
                <w:szCs w:val="19"/>
              </w:rPr>
              <w:t xml:space="preserve"> r.</w:t>
            </w:r>
            <w:r w:rsidR="00095C99">
              <w:rPr>
                <w:color w:val="auto"/>
                <w:szCs w:val="19"/>
              </w:rPr>
              <w:t>,</w:t>
            </w:r>
            <w:r w:rsidR="00095C99" w:rsidRPr="006E4A35">
              <w:rPr>
                <w:color w:val="auto"/>
                <w:szCs w:val="19"/>
              </w:rPr>
              <w:t xml:space="preserve"> w porównaniu z analogicznym miesiącem poprzedniego roku</w:t>
            </w:r>
            <w:r w:rsidR="00095C99">
              <w:rPr>
                <w:color w:val="auto"/>
                <w:szCs w:val="19"/>
              </w:rPr>
              <w:t>,</w:t>
            </w:r>
            <w:r w:rsidR="00095C99" w:rsidRPr="006E4A35">
              <w:rPr>
                <w:color w:val="auto"/>
                <w:szCs w:val="19"/>
              </w:rPr>
              <w:t xml:space="preserve"> wyższe były ceny </w:t>
            </w:r>
            <w:r w:rsidR="004C15F8">
              <w:rPr>
                <w:color w:val="auto"/>
                <w:szCs w:val="19"/>
              </w:rPr>
              <w:t>pszenicy</w:t>
            </w:r>
            <w:r w:rsidR="00E65EFC">
              <w:rPr>
                <w:color w:val="auto"/>
                <w:szCs w:val="19"/>
              </w:rPr>
              <w:t>, żywca wołowego i mleka</w:t>
            </w:r>
            <w:r w:rsidR="00095C99" w:rsidRPr="006E4A35">
              <w:rPr>
                <w:color w:val="auto"/>
                <w:szCs w:val="19"/>
              </w:rPr>
              <w:t xml:space="preserve">. W tym samym okresie </w:t>
            </w:r>
            <w:r>
              <w:rPr>
                <w:color w:val="auto"/>
                <w:szCs w:val="19"/>
              </w:rPr>
              <w:t>spadły</w:t>
            </w:r>
            <w:r w:rsidR="00095C99" w:rsidRPr="006E4A35">
              <w:rPr>
                <w:color w:val="auto"/>
                <w:szCs w:val="19"/>
              </w:rPr>
              <w:t xml:space="preserve"> ceny </w:t>
            </w:r>
            <w:r w:rsidR="001E57D8">
              <w:rPr>
                <w:color w:val="auto"/>
                <w:szCs w:val="19"/>
              </w:rPr>
              <w:t xml:space="preserve">żyta, </w:t>
            </w:r>
            <w:r w:rsidR="004C15F8">
              <w:rPr>
                <w:color w:val="auto"/>
                <w:szCs w:val="19"/>
              </w:rPr>
              <w:t>ziemniaków</w:t>
            </w:r>
            <w:r w:rsidR="00095C99">
              <w:rPr>
                <w:color w:val="auto"/>
                <w:szCs w:val="19"/>
              </w:rPr>
              <w:t xml:space="preserve">, </w:t>
            </w:r>
            <w:r>
              <w:rPr>
                <w:color w:val="auto"/>
                <w:szCs w:val="19"/>
              </w:rPr>
              <w:t xml:space="preserve">żywca </w:t>
            </w:r>
            <w:r w:rsidR="00E65EFC">
              <w:rPr>
                <w:color w:val="auto"/>
                <w:szCs w:val="19"/>
              </w:rPr>
              <w:t>wieprzowego i drobiowego</w:t>
            </w:r>
            <w:r>
              <w:rPr>
                <w:color w:val="auto"/>
                <w:szCs w:val="19"/>
              </w:rPr>
              <w:t>.</w:t>
            </w:r>
            <w:r w:rsidR="00095C99">
              <w:t xml:space="preserve"> </w:t>
            </w:r>
          </w:p>
          <w:p w:rsidR="00B12506" w:rsidRDefault="00DE0092" w:rsidP="00BA25D5">
            <w:pPr>
              <w:pStyle w:val="tekstnapierwszejstronie"/>
              <w:numPr>
                <w:ilvl w:val="0"/>
                <w:numId w:val="27"/>
              </w:numPr>
              <w:jc w:val="both"/>
              <w:rPr>
                <w:color w:val="auto"/>
                <w:szCs w:val="19"/>
              </w:rPr>
            </w:pPr>
            <w:r>
              <w:rPr>
                <w:color w:val="auto"/>
                <w:szCs w:val="19"/>
              </w:rPr>
              <w:t xml:space="preserve">W </w:t>
            </w:r>
            <w:r w:rsidR="00A52F5C">
              <w:rPr>
                <w:color w:val="auto"/>
                <w:szCs w:val="19"/>
              </w:rPr>
              <w:t>lipcu</w:t>
            </w:r>
            <w:r w:rsidR="007761FC">
              <w:rPr>
                <w:color w:val="auto"/>
                <w:szCs w:val="19"/>
              </w:rPr>
              <w:t xml:space="preserve"> 2020 r.</w:t>
            </w:r>
            <w:r w:rsidR="00FE2A89">
              <w:rPr>
                <w:color w:val="auto"/>
                <w:szCs w:val="19"/>
              </w:rPr>
              <w:t xml:space="preserve">, </w:t>
            </w:r>
            <w:r w:rsidR="00A52F5C">
              <w:rPr>
                <w:color w:val="auto"/>
                <w:szCs w:val="19"/>
              </w:rPr>
              <w:t>po wzroście przed miesiącem</w:t>
            </w:r>
            <w:r w:rsidR="00FE2A89">
              <w:rPr>
                <w:color w:val="auto"/>
                <w:szCs w:val="19"/>
              </w:rPr>
              <w:t xml:space="preserve">, </w:t>
            </w:r>
            <w:r w:rsidR="00A52F5C">
              <w:rPr>
                <w:color w:val="auto"/>
                <w:szCs w:val="19"/>
              </w:rPr>
              <w:t xml:space="preserve">ponownie </w:t>
            </w:r>
            <w:r w:rsidR="00126502">
              <w:rPr>
                <w:color w:val="auto"/>
                <w:szCs w:val="19"/>
              </w:rPr>
              <w:t>wystąpił</w:t>
            </w:r>
            <w:r w:rsidR="00FE2A89">
              <w:rPr>
                <w:color w:val="auto"/>
                <w:szCs w:val="19"/>
              </w:rPr>
              <w:t xml:space="preserve"> </w:t>
            </w:r>
            <w:r w:rsidR="00A52F5C">
              <w:rPr>
                <w:color w:val="auto"/>
                <w:szCs w:val="19"/>
              </w:rPr>
              <w:t>spadek</w:t>
            </w:r>
            <w:r w:rsidR="007761FC">
              <w:rPr>
                <w:color w:val="auto"/>
                <w:szCs w:val="19"/>
              </w:rPr>
              <w:t xml:space="preserve"> </w:t>
            </w:r>
            <w:r w:rsidR="00AA5B3F" w:rsidRPr="00D96D70">
              <w:rPr>
                <w:color w:val="auto"/>
                <w:szCs w:val="19"/>
              </w:rPr>
              <w:t>produkcji</w:t>
            </w:r>
            <w:r w:rsidR="00B12506" w:rsidRPr="00D96D70">
              <w:rPr>
                <w:color w:val="auto"/>
                <w:szCs w:val="19"/>
              </w:rPr>
              <w:t xml:space="preserve"> sprzedanej przemysłu w skali roku</w:t>
            </w:r>
            <w:r w:rsidR="00320D7F">
              <w:rPr>
                <w:color w:val="auto"/>
                <w:szCs w:val="19"/>
              </w:rPr>
              <w:t xml:space="preserve"> (o</w:t>
            </w:r>
            <w:r w:rsidR="00C21ABB">
              <w:rPr>
                <w:color w:val="auto"/>
                <w:szCs w:val="19"/>
              </w:rPr>
              <w:t> </w:t>
            </w:r>
            <w:r w:rsidR="00A52F5C">
              <w:rPr>
                <w:color w:val="auto"/>
                <w:szCs w:val="19"/>
              </w:rPr>
              <w:t>5,2</w:t>
            </w:r>
            <w:r w:rsidR="00B12506">
              <w:rPr>
                <w:color w:val="auto"/>
                <w:szCs w:val="19"/>
              </w:rPr>
              <w:t>%</w:t>
            </w:r>
            <w:r w:rsidR="00320D7F">
              <w:rPr>
                <w:color w:val="auto"/>
                <w:szCs w:val="19"/>
              </w:rPr>
              <w:t>)</w:t>
            </w:r>
            <w:r w:rsidR="00AA5B3F">
              <w:rPr>
                <w:color w:val="auto"/>
                <w:szCs w:val="19"/>
              </w:rPr>
              <w:t xml:space="preserve">. </w:t>
            </w:r>
          </w:p>
          <w:p w:rsidR="00477BD9" w:rsidRPr="00477BD9" w:rsidRDefault="00DE0092" w:rsidP="00477BD9">
            <w:pPr>
              <w:pStyle w:val="tekstnapierwszejstronie"/>
              <w:numPr>
                <w:ilvl w:val="0"/>
                <w:numId w:val="27"/>
              </w:numPr>
              <w:rPr>
                <w:color w:val="auto"/>
                <w:szCs w:val="19"/>
              </w:rPr>
            </w:pPr>
            <w:r>
              <w:rPr>
                <w:szCs w:val="19"/>
              </w:rPr>
              <w:t>P</w:t>
            </w:r>
            <w:r w:rsidR="00B12506" w:rsidRPr="00AA5B3F">
              <w:rPr>
                <w:szCs w:val="19"/>
              </w:rPr>
              <w:t>rodukcj</w:t>
            </w:r>
            <w:r w:rsidR="007C2C2D" w:rsidRPr="00AA5B3F">
              <w:rPr>
                <w:szCs w:val="19"/>
              </w:rPr>
              <w:t>a</w:t>
            </w:r>
            <w:r w:rsidR="00B12506" w:rsidRPr="00AA5B3F">
              <w:rPr>
                <w:szCs w:val="19"/>
              </w:rPr>
              <w:t xml:space="preserve"> budowlano-montażow</w:t>
            </w:r>
            <w:r w:rsidR="007C2C2D" w:rsidRPr="00AA5B3F">
              <w:rPr>
                <w:szCs w:val="19"/>
              </w:rPr>
              <w:t>a</w:t>
            </w:r>
            <w:r w:rsidRPr="00AA5B3F">
              <w:rPr>
                <w:szCs w:val="19"/>
              </w:rPr>
              <w:t xml:space="preserve"> </w:t>
            </w:r>
            <w:r>
              <w:rPr>
                <w:szCs w:val="19"/>
              </w:rPr>
              <w:t>w</w:t>
            </w:r>
            <w:r w:rsidRPr="00AA5B3F">
              <w:rPr>
                <w:szCs w:val="19"/>
              </w:rPr>
              <w:t xml:space="preserve"> </w:t>
            </w:r>
            <w:r w:rsidR="00A52F5C">
              <w:rPr>
                <w:szCs w:val="19"/>
              </w:rPr>
              <w:t>lipcu</w:t>
            </w:r>
            <w:r w:rsidRPr="00AA5B3F">
              <w:rPr>
                <w:szCs w:val="19"/>
              </w:rPr>
              <w:t xml:space="preserve"> 2020 r.</w:t>
            </w:r>
            <w:r w:rsidR="00F2786E">
              <w:rPr>
                <w:szCs w:val="19"/>
              </w:rPr>
              <w:t>,</w:t>
            </w:r>
            <w:r w:rsidR="007C2C2D" w:rsidRPr="00AA5B3F">
              <w:rPr>
                <w:szCs w:val="19"/>
              </w:rPr>
              <w:t xml:space="preserve"> </w:t>
            </w:r>
            <w:r w:rsidR="00404776">
              <w:rPr>
                <w:szCs w:val="19"/>
              </w:rPr>
              <w:t>kolejny</w:t>
            </w:r>
            <w:r w:rsidR="00AA5B3F" w:rsidRPr="00AA5B3F">
              <w:rPr>
                <w:szCs w:val="19"/>
              </w:rPr>
              <w:t xml:space="preserve"> miesiąc z rzędu</w:t>
            </w:r>
            <w:r w:rsidR="00404776">
              <w:rPr>
                <w:szCs w:val="19"/>
              </w:rPr>
              <w:t>,</w:t>
            </w:r>
            <w:r w:rsidR="00404776" w:rsidRPr="00AA5B3F">
              <w:rPr>
                <w:szCs w:val="19"/>
              </w:rPr>
              <w:t xml:space="preserve"> zwiększyła się w ujęciu rocznym</w:t>
            </w:r>
            <w:r w:rsidR="00A52F5C">
              <w:rPr>
                <w:szCs w:val="19"/>
              </w:rPr>
              <w:t xml:space="preserve"> (o 7</w:t>
            </w:r>
            <w:r w:rsidR="00E4400C">
              <w:rPr>
                <w:szCs w:val="19"/>
              </w:rPr>
              <w:t>,3</w:t>
            </w:r>
            <w:r w:rsidR="00CF0450" w:rsidRPr="00AA5B3F">
              <w:rPr>
                <w:szCs w:val="19"/>
              </w:rPr>
              <w:t>%</w:t>
            </w:r>
            <w:r w:rsidR="00E4400C">
              <w:rPr>
                <w:szCs w:val="19"/>
              </w:rPr>
              <w:t>)</w:t>
            </w:r>
            <w:r w:rsidR="00B12506" w:rsidRPr="00AA5B3F">
              <w:rPr>
                <w:szCs w:val="19"/>
              </w:rPr>
              <w:t xml:space="preserve">. </w:t>
            </w:r>
          </w:p>
          <w:p w:rsidR="00477BD9" w:rsidRPr="00477BD9" w:rsidRDefault="00F5196C" w:rsidP="00477BD9">
            <w:pPr>
              <w:pStyle w:val="tekstnapierwszejstronie"/>
              <w:numPr>
                <w:ilvl w:val="0"/>
                <w:numId w:val="27"/>
              </w:numPr>
              <w:rPr>
                <w:color w:val="auto"/>
                <w:szCs w:val="19"/>
              </w:rPr>
            </w:pPr>
            <w:r w:rsidRPr="00477BD9">
              <w:rPr>
                <w:szCs w:val="19"/>
              </w:rPr>
              <w:t xml:space="preserve">Według wstępnych danych, w </w:t>
            </w:r>
            <w:r w:rsidR="00477BD9">
              <w:rPr>
                <w:szCs w:val="19"/>
              </w:rPr>
              <w:t>lipcu</w:t>
            </w:r>
            <w:r w:rsidR="000B500A" w:rsidRPr="00477BD9">
              <w:rPr>
                <w:szCs w:val="19"/>
              </w:rPr>
              <w:t xml:space="preserve"> br. </w:t>
            </w:r>
            <w:r w:rsidR="00477BD9" w:rsidRPr="00477BD9">
              <w:rPr>
                <w:rFonts w:eastAsia="Fira Sans Light" w:cs="Arial"/>
                <w:szCs w:val="19"/>
              </w:rPr>
              <w:t>przekazano do użytkowania o 39,6% więcej mieszkań niż w analogicznym miesiącu poprzedniego roku, zmniejszyła się natomiast liczba mieszkań, których budowę rozpoczęto (o 10,7%) oraz liczba mieszkań, na realizację których wydano poz</w:t>
            </w:r>
            <w:r w:rsidR="00477BD9">
              <w:rPr>
                <w:rFonts w:eastAsia="Fira Sans Light" w:cs="Arial"/>
                <w:szCs w:val="19"/>
              </w:rPr>
              <w:t>wolenia lub dokonano zgłoszenia</w:t>
            </w:r>
            <w:r w:rsidR="00477BD9">
              <w:rPr>
                <w:rFonts w:eastAsia="Fira Sans Light" w:cs="Arial"/>
                <w:szCs w:val="19"/>
              </w:rPr>
              <w:br/>
            </w:r>
            <w:r w:rsidR="00477BD9" w:rsidRPr="00477BD9">
              <w:rPr>
                <w:rFonts w:eastAsia="Fira Sans Light" w:cs="Arial"/>
                <w:szCs w:val="19"/>
              </w:rPr>
              <w:t>z projektem budowlanym (o 5,8%).</w:t>
            </w:r>
          </w:p>
          <w:p w:rsidR="000F291A" w:rsidRPr="0034224E" w:rsidRDefault="00193961" w:rsidP="00193961">
            <w:pPr>
              <w:pStyle w:val="tekstnapierwszejstronie"/>
              <w:numPr>
                <w:ilvl w:val="0"/>
                <w:numId w:val="27"/>
              </w:numPr>
              <w:rPr>
                <w:color w:val="auto"/>
                <w:szCs w:val="19"/>
              </w:rPr>
            </w:pPr>
            <w:r>
              <w:rPr>
                <w:szCs w:val="19"/>
              </w:rPr>
              <w:t>W lipcu</w:t>
            </w:r>
            <w:r w:rsidRPr="00BA377D">
              <w:rPr>
                <w:szCs w:val="19"/>
              </w:rPr>
              <w:t xml:space="preserve"> br.</w:t>
            </w:r>
            <w:r>
              <w:rPr>
                <w:szCs w:val="19"/>
              </w:rPr>
              <w:t xml:space="preserve"> sprzedaż detaliczna zwiększyła się w skali roku o 3,4</w:t>
            </w:r>
            <w:r w:rsidRPr="00BA377D">
              <w:rPr>
                <w:szCs w:val="19"/>
              </w:rPr>
              <w:t>%</w:t>
            </w:r>
            <w:r>
              <w:rPr>
                <w:szCs w:val="19"/>
              </w:rPr>
              <w:t xml:space="preserve"> (przed rokiem odnotowano wzrost o 5,8</w:t>
            </w:r>
            <w:r w:rsidRPr="00BA377D">
              <w:rPr>
                <w:szCs w:val="19"/>
              </w:rPr>
              <w:t xml:space="preserve">%). </w:t>
            </w:r>
            <w:r w:rsidRPr="003A3864">
              <w:rPr>
                <w:szCs w:val="19"/>
              </w:rPr>
              <w:t>Z ko</w:t>
            </w:r>
            <w:r>
              <w:rPr>
                <w:szCs w:val="19"/>
              </w:rPr>
              <w:t>lei sprzedaż hurtowa była o 4,3% niższa niż w lipcu</w:t>
            </w:r>
            <w:r w:rsidRPr="003A3864">
              <w:rPr>
                <w:szCs w:val="19"/>
              </w:rPr>
              <w:t xml:space="preserve"> 2019 r., wobec ubiegłorocznego wzrostu na pozio</w:t>
            </w:r>
            <w:r>
              <w:rPr>
                <w:szCs w:val="19"/>
              </w:rPr>
              <w:t>mie 17,9%.</w:t>
            </w:r>
          </w:p>
          <w:p w:rsidR="0034224E" w:rsidRDefault="0034224E" w:rsidP="0034224E">
            <w:pPr>
              <w:pStyle w:val="Akapitzlist"/>
              <w:numPr>
                <w:ilvl w:val="0"/>
                <w:numId w:val="27"/>
              </w:numPr>
              <w:spacing w:line="240" w:lineRule="auto"/>
              <w:ind w:left="1066" w:hanging="357"/>
              <w:contextualSpacing w:val="0"/>
              <w:rPr>
                <w:rFonts w:eastAsia="Times New Roman" w:cs="Times New Roman"/>
                <w:bCs/>
                <w:szCs w:val="19"/>
                <w:lang w:eastAsia="pl-PL"/>
              </w:rPr>
            </w:pPr>
            <w:r w:rsidRPr="0034224E">
              <w:rPr>
                <w:rFonts w:eastAsia="Times New Roman" w:cs="Times New Roman"/>
                <w:bCs/>
                <w:szCs w:val="19"/>
                <w:lang w:eastAsia="pl-PL"/>
              </w:rPr>
              <w:t>W okresie styczeń-</w:t>
            </w:r>
            <w:r w:rsidR="00910EC6">
              <w:rPr>
                <w:rFonts w:eastAsia="Times New Roman" w:cs="Times New Roman"/>
                <w:bCs/>
                <w:szCs w:val="19"/>
                <w:lang w:eastAsia="pl-PL"/>
              </w:rPr>
              <w:t>czerwiec</w:t>
            </w:r>
            <w:r w:rsidRPr="0034224E">
              <w:rPr>
                <w:rFonts w:eastAsia="Times New Roman" w:cs="Times New Roman"/>
                <w:bCs/>
                <w:szCs w:val="19"/>
                <w:lang w:eastAsia="pl-PL"/>
              </w:rPr>
              <w:t xml:space="preserve"> 20</w:t>
            </w:r>
            <w:r w:rsidR="00910EC6">
              <w:rPr>
                <w:rFonts w:eastAsia="Times New Roman" w:cs="Times New Roman"/>
                <w:bCs/>
                <w:szCs w:val="19"/>
                <w:lang w:eastAsia="pl-PL"/>
              </w:rPr>
              <w:t>20</w:t>
            </w:r>
            <w:r w:rsidRPr="0034224E">
              <w:rPr>
                <w:rFonts w:eastAsia="Times New Roman" w:cs="Times New Roman"/>
                <w:bCs/>
                <w:szCs w:val="19"/>
                <w:lang w:eastAsia="pl-PL"/>
              </w:rPr>
              <w:t xml:space="preserve"> r. odnotowano wzrost nakładów inwestycyjnych poniesionych przez przedsiębiorstwa mające siedzibę na terenie województwa świętokrzyskiego. Ich wartość była o </w:t>
            </w:r>
            <w:r w:rsidR="00910EC6">
              <w:rPr>
                <w:rFonts w:eastAsia="Times New Roman" w:cs="Times New Roman"/>
                <w:bCs/>
                <w:szCs w:val="19"/>
                <w:lang w:eastAsia="pl-PL"/>
              </w:rPr>
              <w:t>8,2</w:t>
            </w:r>
            <w:r w:rsidRPr="0034224E">
              <w:rPr>
                <w:rFonts w:eastAsia="Times New Roman" w:cs="Times New Roman"/>
                <w:bCs/>
                <w:szCs w:val="19"/>
                <w:lang w:eastAsia="pl-PL"/>
              </w:rPr>
              <w:t>% wyższa</w:t>
            </w:r>
            <w:r w:rsidR="00910EC6">
              <w:rPr>
                <w:rFonts w:eastAsia="Times New Roman" w:cs="Times New Roman"/>
                <w:bCs/>
                <w:szCs w:val="19"/>
                <w:lang w:eastAsia="pl-PL"/>
              </w:rPr>
              <w:t xml:space="preserve"> niż w analogicznym okresie 2019</w:t>
            </w:r>
            <w:r w:rsidRPr="0034224E">
              <w:rPr>
                <w:rFonts w:eastAsia="Times New Roman" w:cs="Times New Roman"/>
                <w:bCs/>
                <w:szCs w:val="19"/>
                <w:lang w:eastAsia="pl-PL"/>
              </w:rPr>
              <w:t xml:space="preserve"> r.</w:t>
            </w:r>
          </w:p>
          <w:p w:rsidR="00DD305C" w:rsidRPr="00DD305C" w:rsidRDefault="0034224E" w:rsidP="00DD305C">
            <w:pPr>
              <w:pStyle w:val="Akapitzlist"/>
              <w:numPr>
                <w:ilvl w:val="0"/>
                <w:numId w:val="27"/>
              </w:numPr>
              <w:spacing w:line="240" w:lineRule="auto"/>
              <w:ind w:left="1066" w:hanging="357"/>
              <w:contextualSpacing w:val="0"/>
              <w:rPr>
                <w:rFonts w:eastAsia="Times New Roman" w:cs="Times New Roman"/>
                <w:bCs/>
                <w:szCs w:val="19"/>
                <w:lang w:eastAsia="pl-PL"/>
              </w:rPr>
            </w:pPr>
            <w:r w:rsidRPr="0034224E">
              <w:rPr>
                <w:rFonts w:eastAsia="Times New Roman" w:cs="Times New Roman"/>
                <w:bCs/>
                <w:szCs w:val="19"/>
                <w:lang w:eastAsia="pl-PL"/>
              </w:rPr>
              <w:t>W I</w:t>
            </w:r>
            <w:r w:rsidR="00910EC6">
              <w:rPr>
                <w:rFonts w:eastAsia="Times New Roman" w:cs="Times New Roman"/>
                <w:bCs/>
                <w:szCs w:val="19"/>
                <w:lang w:eastAsia="pl-PL"/>
              </w:rPr>
              <w:t xml:space="preserve"> półroczu</w:t>
            </w:r>
            <w:r w:rsidRPr="0034224E">
              <w:rPr>
                <w:rFonts w:eastAsia="Times New Roman" w:cs="Times New Roman"/>
                <w:bCs/>
                <w:szCs w:val="19"/>
                <w:lang w:eastAsia="pl-PL"/>
              </w:rPr>
              <w:t xml:space="preserve"> 2020 r. wyniki finansowe przedsiębiorstw były </w:t>
            </w:r>
            <w:r w:rsidR="00910EC6">
              <w:rPr>
                <w:rFonts w:eastAsia="Times New Roman" w:cs="Times New Roman"/>
                <w:bCs/>
                <w:szCs w:val="19"/>
                <w:lang w:eastAsia="pl-PL"/>
              </w:rPr>
              <w:t>zbliżone do</w:t>
            </w:r>
            <w:r w:rsidRPr="0034224E">
              <w:rPr>
                <w:rFonts w:eastAsia="Times New Roman" w:cs="Times New Roman"/>
                <w:bCs/>
                <w:szCs w:val="19"/>
                <w:lang w:eastAsia="pl-PL"/>
              </w:rPr>
              <w:t xml:space="preserve"> uzyskanych rok wcześniej. Wzrost wyniku na pozostałej działalności operacyjnej zrekompensował spad</w:t>
            </w:r>
            <w:r w:rsidR="00910EC6">
              <w:rPr>
                <w:rFonts w:eastAsia="Times New Roman" w:cs="Times New Roman"/>
                <w:bCs/>
                <w:szCs w:val="19"/>
                <w:lang w:eastAsia="pl-PL"/>
              </w:rPr>
              <w:t>ek</w:t>
            </w:r>
            <w:r w:rsidRPr="0034224E">
              <w:rPr>
                <w:rFonts w:eastAsia="Times New Roman" w:cs="Times New Roman"/>
                <w:bCs/>
                <w:szCs w:val="19"/>
                <w:lang w:eastAsia="pl-PL"/>
              </w:rPr>
              <w:t xml:space="preserve"> wyniku na sprzedaży produktów, towar</w:t>
            </w:r>
            <w:r w:rsidR="00910EC6">
              <w:rPr>
                <w:rFonts w:eastAsia="Times New Roman" w:cs="Times New Roman"/>
                <w:bCs/>
                <w:szCs w:val="19"/>
                <w:lang w:eastAsia="pl-PL"/>
              </w:rPr>
              <w:t>ów i materiałów oraz pogłębienie</w:t>
            </w:r>
            <w:r w:rsidRPr="0034224E">
              <w:rPr>
                <w:rFonts w:eastAsia="Times New Roman" w:cs="Times New Roman"/>
                <w:bCs/>
                <w:szCs w:val="19"/>
                <w:lang w:eastAsia="pl-PL"/>
              </w:rPr>
              <w:t xml:space="preserve"> strat na operacjach finansowych. </w:t>
            </w:r>
            <w:r w:rsidR="00910EC6">
              <w:rPr>
                <w:rFonts w:eastAsia="Times New Roman" w:cs="Times New Roman"/>
                <w:bCs/>
                <w:szCs w:val="19"/>
                <w:lang w:eastAsia="pl-PL"/>
              </w:rPr>
              <w:t>Odnotowano niewielki spadek</w:t>
            </w:r>
            <w:r w:rsidRPr="0034224E">
              <w:rPr>
                <w:rFonts w:eastAsia="Times New Roman" w:cs="Times New Roman"/>
                <w:bCs/>
                <w:szCs w:val="19"/>
                <w:lang w:eastAsia="pl-PL"/>
              </w:rPr>
              <w:t xml:space="preserve"> wyniku finansowego netto. </w:t>
            </w:r>
            <w:r w:rsidR="00910EC6">
              <w:rPr>
                <w:rFonts w:eastAsia="Times New Roman" w:cs="Times New Roman"/>
                <w:bCs/>
                <w:szCs w:val="19"/>
                <w:lang w:eastAsia="pl-PL"/>
              </w:rPr>
              <w:t>Poprawie uległa większość</w:t>
            </w:r>
            <w:r w:rsidRPr="0034224E">
              <w:rPr>
                <w:rFonts w:eastAsia="Times New Roman" w:cs="Times New Roman"/>
                <w:bCs/>
                <w:szCs w:val="19"/>
                <w:lang w:eastAsia="pl-PL"/>
              </w:rPr>
              <w:t xml:space="preserve"> podstawow</w:t>
            </w:r>
            <w:r w:rsidR="00910EC6">
              <w:rPr>
                <w:rFonts w:eastAsia="Times New Roman" w:cs="Times New Roman"/>
                <w:bCs/>
                <w:szCs w:val="19"/>
                <w:lang w:eastAsia="pl-PL"/>
              </w:rPr>
              <w:t>ych wskaźników</w:t>
            </w:r>
            <w:r w:rsidRPr="0034224E">
              <w:rPr>
                <w:rFonts w:eastAsia="Times New Roman" w:cs="Times New Roman"/>
                <w:bCs/>
                <w:szCs w:val="19"/>
                <w:lang w:eastAsia="pl-PL"/>
              </w:rPr>
              <w:t xml:space="preserve"> ekonomiczno-finansow</w:t>
            </w:r>
            <w:r w:rsidR="00910EC6">
              <w:rPr>
                <w:rFonts w:eastAsia="Times New Roman" w:cs="Times New Roman"/>
                <w:bCs/>
                <w:szCs w:val="19"/>
                <w:lang w:eastAsia="pl-PL"/>
              </w:rPr>
              <w:t>ych</w:t>
            </w:r>
            <w:r w:rsidR="00F82404">
              <w:rPr>
                <w:rFonts w:eastAsia="Times New Roman" w:cs="Times New Roman"/>
                <w:bCs/>
                <w:szCs w:val="19"/>
                <w:lang w:eastAsia="pl-PL"/>
              </w:rPr>
              <w:t>. Zmalała rentowność</w:t>
            </w:r>
            <w:r w:rsidR="00F82404" w:rsidRPr="00910EC6">
              <w:rPr>
                <w:rFonts w:eastAsia="Times New Roman" w:cs="Times New Roman"/>
                <w:bCs/>
                <w:szCs w:val="19"/>
                <w:lang w:eastAsia="pl-PL"/>
              </w:rPr>
              <w:t xml:space="preserve"> sprzedaży produktów, towarów i materiałów</w:t>
            </w:r>
            <w:r w:rsidRPr="0034224E">
              <w:rPr>
                <w:rFonts w:eastAsia="Times New Roman" w:cs="Times New Roman"/>
                <w:bCs/>
                <w:szCs w:val="19"/>
                <w:lang w:eastAsia="pl-PL"/>
              </w:rPr>
              <w:t xml:space="preserve">, tj. odnotowano </w:t>
            </w:r>
            <w:r w:rsidR="00910EC6">
              <w:rPr>
                <w:rFonts w:eastAsia="Times New Roman" w:cs="Times New Roman"/>
                <w:bCs/>
                <w:szCs w:val="19"/>
                <w:lang w:eastAsia="pl-PL"/>
              </w:rPr>
              <w:t>wzrost</w:t>
            </w:r>
            <w:r w:rsidRPr="0034224E">
              <w:rPr>
                <w:rFonts w:eastAsia="Times New Roman" w:cs="Times New Roman"/>
                <w:bCs/>
                <w:szCs w:val="19"/>
                <w:lang w:eastAsia="pl-PL"/>
              </w:rPr>
              <w:t xml:space="preserve"> rentowności obrotu brutto i netto oraz </w:t>
            </w:r>
            <w:r w:rsidR="00910EC6">
              <w:rPr>
                <w:rFonts w:eastAsia="Times New Roman" w:cs="Times New Roman"/>
                <w:bCs/>
                <w:szCs w:val="19"/>
                <w:lang w:eastAsia="pl-PL"/>
              </w:rPr>
              <w:t>spadek wskaźnika</w:t>
            </w:r>
            <w:r w:rsidRPr="0034224E">
              <w:rPr>
                <w:rFonts w:eastAsia="Times New Roman" w:cs="Times New Roman"/>
                <w:bCs/>
                <w:szCs w:val="19"/>
                <w:lang w:eastAsia="pl-PL"/>
              </w:rPr>
              <w:t xml:space="preserve"> poziomu kosztów. Poprawiła się </w:t>
            </w:r>
            <w:r w:rsidR="00910EC6">
              <w:rPr>
                <w:rFonts w:eastAsia="Times New Roman" w:cs="Times New Roman"/>
                <w:bCs/>
                <w:szCs w:val="19"/>
                <w:lang w:eastAsia="pl-PL"/>
              </w:rPr>
              <w:t>także</w:t>
            </w:r>
            <w:r w:rsidRPr="0034224E">
              <w:rPr>
                <w:rFonts w:eastAsia="Times New Roman" w:cs="Times New Roman"/>
                <w:bCs/>
                <w:szCs w:val="19"/>
                <w:lang w:eastAsia="pl-PL"/>
              </w:rPr>
              <w:t xml:space="preserve"> płynność finansowa zarówno I, jak i II stopnia.</w:t>
            </w:r>
            <w:r w:rsidR="00910EC6">
              <w:rPr>
                <w:rFonts w:eastAsia="Times New Roman" w:cs="Times New Roman"/>
                <w:bCs/>
                <w:szCs w:val="19"/>
                <w:lang w:eastAsia="pl-PL"/>
              </w:rPr>
              <w:t xml:space="preserve"> </w:t>
            </w:r>
          </w:p>
          <w:p w:rsidR="00DD305C" w:rsidRPr="0034224E" w:rsidRDefault="00DD305C" w:rsidP="00DD305C">
            <w:pPr>
              <w:pStyle w:val="Akapitzlist"/>
              <w:numPr>
                <w:ilvl w:val="0"/>
                <w:numId w:val="27"/>
              </w:numPr>
              <w:spacing w:line="240" w:lineRule="auto"/>
              <w:ind w:left="1066" w:hanging="357"/>
              <w:contextualSpacing w:val="0"/>
              <w:rPr>
                <w:rFonts w:eastAsia="Times New Roman" w:cs="Times New Roman"/>
                <w:bCs/>
                <w:szCs w:val="19"/>
                <w:lang w:eastAsia="pl-PL"/>
              </w:rPr>
            </w:pPr>
            <w:r>
              <w:rPr>
                <w:rFonts w:eastAsia="Times New Roman" w:cs="Times New Roman"/>
                <w:bCs/>
                <w:szCs w:val="19"/>
                <w:lang w:eastAsia="pl-PL"/>
              </w:rPr>
              <w:t xml:space="preserve">Lipiec 2020 </w:t>
            </w:r>
            <w:r w:rsidRPr="00DD305C">
              <w:rPr>
                <w:rFonts w:eastAsia="Times New Roman" w:cs="Times New Roman"/>
                <w:bCs/>
                <w:szCs w:val="19"/>
                <w:lang w:eastAsia="pl-PL"/>
              </w:rPr>
              <w:t xml:space="preserve">r. w województwie świętokrzyskim </w:t>
            </w:r>
            <w:r w:rsidR="0029049D">
              <w:rPr>
                <w:rFonts w:eastAsia="Times New Roman" w:cs="Times New Roman"/>
                <w:bCs/>
                <w:szCs w:val="19"/>
                <w:lang w:eastAsia="pl-PL"/>
              </w:rPr>
              <w:t xml:space="preserve">to </w:t>
            </w:r>
            <w:r>
              <w:rPr>
                <w:rFonts w:eastAsia="Times New Roman" w:cs="Times New Roman"/>
                <w:bCs/>
                <w:szCs w:val="19"/>
                <w:lang w:eastAsia="pl-PL"/>
              </w:rPr>
              <w:t>kolejny miesiąc z rzędu</w:t>
            </w:r>
            <w:r w:rsidR="0029049D">
              <w:rPr>
                <w:rFonts w:eastAsia="Times New Roman" w:cs="Times New Roman"/>
                <w:bCs/>
                <w:szCs w:val="19"/>
                <w:lang w:eastAsia="pl-PL"/>
              </w:rPr>
              <w:t xml:space="preserve">, w którym </w:t>
            </w:r>
            <w:r>
              <w:rPr>
                <w:rFonts w:eastAsia="Times New Roman" w:cs="Times New Roman"/>
                <w:bCs/>
                <w:szCs w:val="19"/>
                <w:lang w:eastAsia="pl-PL"/>
              </w:rPr>
              <w:t xml:space="preserve">zmalał udział </w:t>
            </w:r>
            <w:r w:rsidRPr="00DD305C">
              <w:rPr>
                <w:rFonts w:eastAsia="Times New Roman" w:cs="Times New Roman"/>
                <w:bCs/>
                <w:szCs w:val="19"/>
                <w:lang w:eastAsia="pl-PL"/>
              </w:rPr>
              <w:t>podmiotów gospodarczych</w:t>
            </w:r>
            <w:r>
              <w:rPr>
                <w:rFonts w:eastAsia="Times New Roman" w:cs="Times New Roman"/>
                <w:bCs/>
                <w:szCs w:val="19"/>
                <w:lang w:eastAsia="pl-PL"/>
              </w:rPr>
              <w:t xml:space="preserve"> wskazujących</w:t>
            </w:r>
            <w:r w:rsidRPr="00DD305C">
              <w:rPr>
                <w:rFonts w:eastAsia="Times New Roman" w:cs="Times New Roman"/>
                <w:bCs/>
                <w:szCs w:val="19"/>
                <w:lang w:eastAsia="pl-PL"/>
              </w:rPr>
              <w:t xml:space="preserve"> pandemię COVID-19 jako czynnik wywołujący istotne zmiany w prowadzeniu działalności gospodarczej</w:t>
            </w:r>
            <w:r>
              <w:rPr>
                <w:rFonts w:eastAsia="Times New Roman" w:cs="Times New Roman"/>
                <w:bCs/>
                <w:szCs w:val="19"/>
                <w:lang w:eastAsia="pl-PL"/>
              </w:rPr>
              <w:t>.</w:t>
            </w:r>
            <w:r w:rsidRPr="00DD305C">
              <w:rPr>
                <w:rFonts w:eastAsia="Times New Roman" w:cs="Times New Roman"/>
                <w:bCs/>
                <w:szCs w:val="19"/>
                <w:lang w:eastAsia="pl-PL"/>
              </w:rPr>
              <w:t xml:space="preserve"> </w:t>
            </w:r>
            <w:r>
              <w:rPr>
                <w:rFonts w:eastAsia="Times New Roman" w:cs="Times New Roman"/>
                <w:bCs/>
                <w:szCs w:val="19"/>
                <w:lang w:eastAsia="pl-PL"/>
              </w:rPr>
              <w:t xml:space="preserve">Odsetek ten wyniósł 3,1% i należał do najniższych w Polsce. </w:t>
            </w:r>
          </w:p>
          <w:p w:rsidR="00A6285C" w:rsidRPr="00193961" w:rsidRDefault="00193961" w:rsidP="00193961">
            <w:pPr>
              <w:pStyle w:val="tekstnapierwszejstronie"/>
              <w:numPr>
                <w:ilvl w:val="0"/>
                <w:numId w:val="27"/>
              </w:numPr>
              <w:rPr>
                <w:color w:val="auto"/>
              </w:rPr>
            </w:pPr>
            <w:r>
              <w:rPr>
                <w:szCs w:val="19"/>
              </w:rPr>
              <w:t>Na koniec lipca</w:t>
            </w:r>
            <w:r w:rsidRPr="003A67D2">
              <w:rPr>
                <w:szCs w:val="19"/>
              </w:rPr>
              <w:t xml:space="preserve"> br. liczba podmiotów gospodarki narodowej wpisanych do rejestru REGON z</w:t>
            </w:r>
            <w:r>
              <w:rPr>
                <w:szCs w:val="19"/>
              </w:rPr>
              <w:t>większyła się w skali roku o 2,2</w:t>
            </w:r>
            <w:r w:rsidRPr="003A67D2">
              <w:rPr>
                <w:szCs w:val="19"/>
              </w:rPr>
              <w:t>%, a w porównani</w:t>
            </w:r>
            <w:r>
              <w:rPr>
                <w:szCs w:val="19"/>
              </w:rPr>
              <w:t>u do miesiąca poprzedniego o 0,5%. Zmniejszyła się natomiast, w relacji do czerwca b</w:t>
            </w:r>
            <w:r w:rsidRPr="003A67D2">
              <w:rPr>
                <w:szCs w:val="19"/>
              </w:rPr>
              <w:t xml:space="preserve">r., liczba </w:t>
            </w:r>
            <w:r>
              <w:rPr>
                <w:szCs w:val="19"/>
              </w:rPr>
              <w:t xml:space="preserve">podmiotów </w:t>
            </w:r>
            <w:r w:rsidRPr="003A67D2">
              <w:rPr>
                <w:szCs w:val="19"/>
              </w:rPr>
              <w:t>nowo zarejest</w:t>
            </w:r>
            <w:r>
              <w:rPr>
                <w:szCs w:val="19"/>
              </w:rPr>
              <w:t>rowanych (o 1,5</w:t>
            </w:r>
            <w:r w:rsidRPr="003A67D2">
              <w:rPr>
                <w:szCs w:val="19"/>
              </w:rPr>
              <w:t>%)</w:t>
            </w:r>
            <w:r>
              <w:rPr>
                <w:szCs w:val="19"/>
              </w:rPr>
              <w:t xml:space="preserve">, </w:t>
            </w:r>
            <w:r w:rsidRPr="003A67D2">
              <w:rPr>
                <w:szCs w:val="19"/>
              </w:rPr>
              <w:t>wykreślonych z rejestru RE</w:t>
            </w:r>
            <w:r>
              <w:rPr>
                <w:szCs w:val="19"/>
              </w:rPr>
              <w:t>GON (o 14,6%) oraz jednostek z zawieszoną działalnością (o 2,2%).</w:t>
            </w:r>
          </w:p>
          <w:p w:rsidR="000F291A" w:rsidRPr="00547609" w:rsidRDefault="00CE78B5" w:rsidP="0029049D">
            <w:pPr>
              <w:pStyle w:val="tekstnapierwszejstronie"/>
              <w:numPr>
                <w:ilvl w:val="0"/>
                <w:numId w:val="27"/>
              </w:numPr>
              <w:rPr>
                <w:color w:val="auto"/>
              </w:rPr>
            </w:pPr>
            <w:r w:rsidRPr="00CE78B5">
              <w:rPr>
                <w:color w:val="auto"/>
                <w:szCs w:val="19"/>
              </w:rPr>
              <w:t>W większości badanych obszarów</w:t>
            </w:r>
            <w:r w:rsidR="00F2786E">
              <w:rPr>
                <w:color w:val="auto"/>
                <w:szCs w:val="19"/>
              </w:rPr>
              <w:t>,</w:t>
            </w:r>
            <w:r w:rsidRPr="00CE78B5">
              <w:rPr>
                <w:color w:val="auto"/>
                <w:szCs w:val="19"/>
              </w:rPr>
              <w:t xml:space="preserve"> przedsiębiorcy w </w:t>
            </w:r>
            <w:r w:rsidR="0029049D">
              <w:rPr>
                <w:color w:val="auto"/>
                <w:szCs w:val="19"/>
              </w:rPr>
              <w:t>sierpniu</w:t>
            </w:r>
            <w:r w:rsidRPr="00CE78B5">
              <w:rPr>
                <w:color w:val="auto"/>
                <w:szCs w:val="19"/>
              </w:rPr>
              <w:t xml:space="preserve"> br. oceniają koniunkturę mniej pesymistycznie niż w</w:t>
            </w:r>
            <w:r w:rsidR="00C21ABB">
              <w:rPr>
                <w:color w:val="auto"/>
                <w:szCs w:val="19"/>
              </w:rPr>
              <w:t> </w:t>
            </w:r>
            <w:r w:rsidR="0029049D">
              <w:rPr>
                <w:color w:val="auto"/>
                <w:szCs w:val="19"/>
              </w:rPr>
              <w:t>lipcu</w:t>
            </w:r>
            <w:r w:rsidRPr="00CE78B5">
              <w:rPr>
                <w:color w:val="auto"/>
                <w:szCs w:val="19"/>
              </w:rPr>
              <w:t xml:space="preserve"> 2020 r.</w:t>
            </w:r>
            <w:r>
              <w:rPr>
                <w:color w:val="auto"/>
                <w:szCs w:val="19"/>
              </w:rPr>
              <w:t xml:space="preserve"> </w:t>
            </w:r>
            <w:r w:rsidR="008D24C7">
              <w:rPr>
                <w:color w:val="auto"/>
                <w:szCs w:val="19"/>
              </w:rPr>
              <w:t>Zmniejszył się</w:t>
            </w:r>
            <w:r w:rsidRPr="00CE78B5">
              <w:rPr>
                <w:color w:val="auto"/>
                <w:szCs w:val="19"/>
              </w:rPr>
              <w:t xml:space="preserve"> odsetek jednostek, które </w:t>
            </w:r>
            <w:r w:rsidR="004E3C46">
              <w:rPr>
                <w:color w:val="auto"/>
                <w:szCs w:val="19"/>
              </w:rPr>
              <w:t xml:space="preserve">w związku z </w:t>
            </w:r>
            <w:r w:rsidR="004E3C46" w:rsidRPr="004E3C46">
              <w:rPr>
                <w:color w:val="auto"/>
                <w:szCs w:val="19"/>
              </w:rPr>
              <w:t>pandemi</w:t>
            </w:r>
            <w:r w:rsidR="004E3C46">
              <w:rPr>
                <w:color w:val="auto"/>
                <w:szCs w:val="19"/>
              </w:rPr>
              <w:t>ą</w:t>
            </w:r>
            <w:r w:rsidR="004E3C46" w:rsidRPr="004E3C46">
              <w:rPr>
                <w:color w:val="auto"/>
                <w:szCs w:val="19"/>
              </w:rPr>
              <w:t xml:space="preserve"> </w:t>
            </w:r>
            <w:proofErr w:type="spellStart"/>
            <w:r w:rsidR="004E3C46" w:rsidRPr="004E3C46">
              <w:rPr>
                <w:color w:val="auto"/>
                <w:szCs w:val="19"/>
              </w:rPr>
              <w:t>koronawirusa</w:t>
            </w:r>
            <w:proofErr w:type="spellEnd"/>
            <w:r w:rsidR="004E3C46" w:rsidRPr="004E3C46">
              <w:rPr>
                <w:color w:val="auto"/>
                <w:szCs w:val="19"/>
              </w:rPr>
              <w:t xml:space="preserve"> SARS-CoV-2</w:t>
            </w:r>
            <w:r w:rsidR="004E3C46">
              <w:rPr>
                <w:color w:val="auto"/>
                <w:szCs w:val="19"/>
              </w:rPr>
              <w:t>,</w:t>
            </w:r>
            <w:r w:rsidR="004E3C46" w:rsidRPr="004E3C46">
              <w:rPr>
                <w:color w:val="auto"/>
                <w:szCs w:val="19"/>
              </w:rPr>
              <w:t xml:space="preserve"> </w:t>
            </w:r>
            <w:r w:rsidRPr="00CE78B5">
              <w:rPr>
                <w:color w:val="auto"/>
                <w:szCs w:val="19"/>
              </w:rPr>
              <w:t xml:space="preserve">zamierzały wdrożyć działania silnie wpływające na funkcjonowanie firmy i zmniejszające </w:t>
            </w:r>
            <w:r w:rsidR="002F2660">
              <w:rPr>
                <w:color w:val="auto"/>
                <w:szCs w:val="19"/>
              </w:rPr>
              <w:t>jej negatywne skutki dla firmy</w:t>
            </w:r>
            <w:r w:rsidR="008D24C7">
              <w:rPr>
                <w:color w:val="auto"/>
                <w:szCs w:val="19"/>
              </w:rPr>
              <w:t xml:space="preserve">, a wzrósł - planujących działania </w:t>
            </w:r>
            <w:r w:rsidR="008D24C7" w:rsidRPr="008D24C7">
              <w:rPr>
                <w:color w:val="auto"/>
                <w:szCs w:val="19"/>
              </w:rPr>
              <w:t>nieznacznie wpływają</w:t>
            </w:r>
            <w:r w:rsidR="008D24C7">
              <w:rPr>
                <w:color w:val="auto"/>
                <w:szCs w:val="19"/>
              </w:rPr>
              <w:t>ce</w:t>
            </w:r>
            <w:r w:rsidR="008D24C7" w:rsidRPr="008D24C7">
              <w:rPr>
                <w:color w:val="auto"/>
                <w:szCs w:val="19"/>
              </w:rPr>
              <w:t xml:space="preserve"> na działalność </w:t>
            </w:r>
            <w:r w:rsidR="008D24C7">
              <w:rPr>
                <w:color w:val="auto"/>
                <w:szCs w:val="19"/>
              </w:rPr>
              <w:t xml:space="preserve">lub </w:t>
            </w:r>
            <w:r w:rsidR="008D24C7" w:rsidRPr="008D24C7">
              <w:rPr>
                <w:color w:val="auto"/>
                <w:szCs w:val="19"/>
              </w:rPr>
              <w:t>nie planujących podejmować takich działań</w:t>
            </w:r>
            <w:r w:rsidR="002F2660">
              <w:rPr>
                <w:color w:val="auto"/>
                <w:szCs w:val="19"/>
              </w:rPr>
              <w:t>.</w:t>
            </w:r>
          </w:p>
        </w:tc>
      </w:tr>
    </w:tbl>
    <w:p w:rsidR="00591DA8" w:rsidRPr="00304AD1" w:rsidRDefault="00591DA8">
      <w:pPr>
        <w:spacing w:before="0" w:after="160" w:line="259" w:lineRule="auto"/>
        <w:rPr>
          <w:shd w:val="clear" w:color="auto" w:fill="FFFFFF"/>
        </w:rPr>
        <w:sectPr w:rsidR="00591DA8" w:rsidRPr="00304AD1" w:rsidSect="002C067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rsidR="00F469A3" w:rsidRPr="003439F1" w:rsidRDefault="00770B00" w:rsidP="00F469A3">
      <w:pPr>
        <w:pStyle w:val="Nagwek1"/>
        <w:rPr>
          <w:color w:val="522398"/>
          <w:szCs w:val="19"/>
        </w:rPr>
      </w:pPr>
      <w:r w:rsidRPr="003439F1">
        <w:rPr>
          <w:color w:val="522398"/>
        </w:rPr>
        <w:lastRenderedPageBreak/>
        <w:t>Spis treści</w:t>
      </w:r>
    </w:p>
    <w:p w:rsidR="00DE6771" w:rsidRDefault="00DE6771" w:rsidP="00FE75EA">
      <w:pPr>
        <w:pStyle w:val="Spistreci"/>
        <w:spacing w:before="80" w:after="80"/>
      </w:pPr>
      <w:r>
        <w:t xml:space="preserve">Rynek pracy </w:t>
      </w:r>
      <w:r>
        <w:tab/>
        <w:t>4</w:t>
      </w:r>
    </w:p>
    <w:p w:rsidR="00DE6771" w:rsidRDefault="00DE6771" w:rsidP="00FE75EA">
      <w:pPr>
        <w:pStyle w:val="Spistreci"/>
        <w:spacing w:before="80" w:after="80"/>
      </w:pPr>
      <w:r>
        <w:t>Wynagrodzenia</w:t>
      </w:r>
      <w:r>
        <w:tab/>
        <w:t>8</w:t>
      </w:r>
    </w:p>
    <w:p w:rsidR="00DE6771" w:rsidRDefault="00DE6771" w:rsidP="00FE75EA">
      <w:pPr>
        <w:pStyle w:val="Spistreci"/>
        <w:spacing w:before="80" w:after="80"/>
      </w:pPr>
      <w:r>
        <w:t xml:space="preserve">Rolnictwo </w:t>
      </w:r>
      <w:r>
        <w:tab/>
      </w:r>
      <w:r w:rsidR="00F75DD0">
        <w:t>9</w:t>
      </w:r>
    </w:p>
    <w:p w:rsidR="00DE6771" w:rsidRDefault="00DE6771" w:rsidP="00FE75EA">
      <w:pPr>
        <w:pStyle w:val="Spistreci"/>
        <w:spacing w:before="80" w:after="80"/>
      </w:pPr>
      <w:r>
        <w:t xml:space="preserve">Przemysł i budownictwo </w:t>
      </w:r>
      <w:r>
        <w:tab/>
        <w:t>1</w:t>
      </w:r>
      <w:r w:rsidR="00FE75EA">
        <w:t>3</w:t>
      </w:r>
    </w:p>
    <w:p w:rsidR="00DE6771" w:rsidRDefault="00DE6771" w:rsidP="00FE75EA">
      <w:pPr>
        <w:pStyle w:val="Spistreci"/>
        <w:spacing w:before="80" w:after="80"/>
      </w:pPr>
      <w:r>
        <w:t>Budownictwo mieszkaniowe</w:t>
      </w:r>
      <w:r>
        <w:tab/>
        <w:t>1</w:t>
      </w:r>
      <w:r w:rsidR="00D82CCE">
        <w:t>5</w:t>
      </w:r>
    </w:p>
    <w:p w:rsidR="00DE6771" w:rsidRDefault="00DE6771" w:rsidP="00FE75EA">
      <w:pPr>
        <w:pStyle w:val="Spistreci"/>
        <w:spacing w:before="80" w:after="80"/>
      </w:pPr>
      <w:r>
        <w:t>Rynek wewnętrzny</w:t>
      </w:r>
      <w:r>
        <w:tab/>
        <w:t>1</w:t>
      </w:r>
      <w:r w:rsidR="00622CDA">
        <w:t>7</w:t>
      </w:r>
    </w:p>
    <w:p w:rsidR="00FE75EA" w:rsidRDefault="00FE75EA" w:rsidP="00FE75EA">
      <w:pPr>
        <w:pStyle w:val="Spistreci"/>
        <w:spacing w:before="80" w:after="80"/>
      </w:pPr>
      <w:r w:rsidRPr="00FE75EA">
        <w:t>Nakłady inwestycyjne</w:t>
      </w:r>
      <w:r>
        <w:tab/>
        <w:t>1</w:t>
      </w:r>
      <w:r w:rsidR="00622CDA">
        <w:t>8</w:t>
      </w:r>
    </w:p>
    <w:p w:rsidR="00FE75EA" w:rsidRDefault="00FE75EA" w:rsidP="00FE75EA">
      <w:pPr>
        <w:pStyle w:val="Spistreci"/>
        <w:spacing w:before="80" w:after="80"/>
      </w:pPr>
      <w:r w:rsidRPr="00FE75EA">
        <w:t>Wyniki finansowe przedsiębiorstw</w:t>
      </w:r>
      <w:r>
        <w:tab/>
        <w:t>1</w:t>
      </w:r>
      <w:r w:rsidR="00622CDA">
        <w:t>8</w:t>
      </w:r>
    </w:p>
    <w:p w:rsidR="00A868D6" w:rsidRDefault="0085320E" w:rsidP="00FE75EA">
      <w:pPr>
        <w:pStyle w:val="Spistreci"/>
        <w:spacing w:before="80" w:after="80"/>
      </w:pPr>
      <w:r>
        <w:t>Wpływ pandemii COVID-19 na działalność sektora przedsiębiorstw</w:t>
      </w:r>
      <w:r w:rsidR="00A868D6">
        <w:tab/>
      </w:r>
      <w:r w:rsidR="00622CDA">
        <w:t>21</w:t>
      </w:r>
    </w:p>
    <w:p w:rsidR="00DE6771" w:rsidRDefault="00DE6771" w:rsidP="00FE75EA">
      <w:pPr>
        <w:pStyle w:val="Spistreci"/>
        <w:spacing w:before="80" w:after="80"/>
      </w:pPr>
      <w:r>
        <w:t>Podmioty gospodarki narodowej</w:t>
      </w:r>
      <w:r>
        <w:tab/>
      </w:r>
      <w:r w:rsidR="00622CDA">
        <w:t>22</w:t>
      </w:r>
    </w:p>
    <w:p w:rsidR="00DE6771" w:rsidRDefault="00DE6771" w:rsidP="00FE75EA">
      <w:pPr>
        <w:pStyle w:val="Spistreci"/>
        <w:spacing w:before="80" w:after="80"/>
      </w:pPr>
      <w:r>
        <w:t>Koniunktura gospodarcza</w:t>
      </w:r>
      <w:r>
        <w:tab/>
      </w:r>
      <w:r w:rsidR="00622CDA">
        <w:t>24</w:t>
      </w:r>
    </w:p>
    <w:p w:rsidR="00DE6771" w:rsidRPr="009400F1" w:rsidRDefault="00DE6771" w:rsidP="00FE75EA">
      <w:pPr>
        <w:pStyle w:val="Spistreci"/>
        <w:spacing w:before="80" w:after="80"/>
      </w:pPr>
      <w:r>
        <w:t>Wybrane dane o województwie świętokrzyskim</w:t>
      </w:r>
      <w:r>
        <w:tab/>
        <w:t>2</w:t>
      </w:r>
      <w:r w:rsidR="00622CDA">
        <w:t>9</w:t>
      </w:r>
    </w:p>
    <w:p w:rsidR="00A3455C" w:rsidRDefault="00A3455C" w:rsidP="00C21ABB">
      <w:pPr>
        <w:pStyle w:val="Nagwek1"/>
        <w:spacing w:before="120" w:after="120"/>
        <w:rPr>
          <w:color w:val="522398"/>
          <w:shd w:val="clear" w:color="auto" w:fill="FFFFFF"/>
        </w:rPr>
      </w:pPr>
    </w:p>
    <w:p w:rsidR="00FC015D" w:rsidRPr="00F65F8F" w:rsidRDefault="00770B00" w:rsidP="00FC015D">
      <w:pPr>
        <w:pStyle w:val="Nagwek1"/>
        <w:rPr>
          <w:color w:val="522398"/>
          <w:shd w:val="clear" w:color="auto" w:fill="FFFFFF"/>
        </w:rPr>
      </w:pPr>
      <w:r w:rsidRPr="00F65F8F">
        <w:rPr>
          <w:color w:val="522398"/>
          <w:shd w:val="clear" w:color="auto" w:fill="FFFFFF"/>
        </w:rPr>
        <w:t>Uwagi ogólne</w:t>
      </w:r>
    </w:p>
    <w:p w:rsidR="00FC015D" w:rsidRPr="00F65F8F" w:rsidRDefault="003E5264" w:rsidP="00FE75EA">
      <w:pPr>
        <w:spacing w:before="100" w:after="100"/>
        <w:rPr>
          <w:shd w:val="clear" w:color="auto" w:fill="FFFFFF"/>
        </w:rPr>
      </w:pPr>
      <w:r w:rsidRPr="00F65F8F">
        <w:rPr>
          <w:shd w:val="clear" w:color="auto" w:fill="FFFFFF"/>
        </w:rPr>
        <w:t>Prezentowane w Komunikacie dane:</w:t>
      </w:r>
    </w:p>
    <w:p w:rsidR="003E5264" w:rsidRPr="003E5264" w:rsidRDefault="003E5264" w:rsidP="00FE75EA">
      <w:pPr>
        <w:pStyle w:val="Tekstwypunktowany"/>
        <w:spacing w:before="100" w:after="100"/>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rsidR="003E5264" w:rsidRPr="003E5264" w:rsidRDefault="003E5264" w:rsidP="00FE75EA">
      <w:pPr>
        <w:pStyle w:val="Tekstwypunktowany"/>
        <w:spacing w:before="100" w:after="100"/>
      </w:pPr>
      <w:r w:rsidRPr="003E5264">
        <w:t>o sektorze przedsiębiorstw, dotyczą podmiotów prowadzących działalność gospodarczą w zakresie: leśnictwa i</w:t>
      </w:r>
      <w:r w:rsidR="00FD7EC1">
        <w:t>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C14F32">
        <w:t>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3E5264" w:rsidRPr="003E5264" w:rsidRDefault="003E5264" w:rsidP="00FE75EA">
      <w:pPr>
        <w:pStyle w:val="Tekstwypunktowany"/>
        <w:spacing w:before="100" w:after="100"/>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3E5264" w:rsidRPr="003E5264" w:rsidRDefault="003E5264" w:rsidP="00FE75EA">
      <w:pPr>
        <w:pStyle w:val="Tekstwypunktowany"/>
        <w:spacing w:before="100" w:after="100"/>
      </w:pPr>
      <w:r w:rsidRPr="003E5264">
        <w:t>o skupie produktów rolnych obejmują skup od producentów z terenu województwa; ceny podano bez podatku VAT,</w:t>
      </w:r>
    </w:p>
    <w:p w:rsidR="00FC015D" w:rsidRPr="003E5264" w:rsidRDefault="003E5264" w:rsidP="00FE75EA">
      <w:pPr>
        <w:pStyle w:val="Tekstwypunktowany"/>
        <w:spacing w:before="100" w:after="10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3E5264" w:rsidRPr="003E5264" w:rsidRDefault="003E5264" w:rsidP="00FE75EA">
      <w:pPr>
        <w:spacing w:before="100" w:after="100"/>
        <w:ind w:right="-11"/>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3E5264" w:rsidRPr="003E5264" w:rsidRDefault="003E5264" w:rsidP="00FE75EA">
      <w:pPr>
        <w:spacing w:before="100" w:after="100"/>
        <w:ind w:right="-11"/>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rsidR="00BF1AD1" w:rsidRDefault="003E5264" w:rsidP="00FE75EA">
      <w:pPr>
        <w:spacing w:before="100" w:after="100"/>
        <w:ind w:right="-11"/>
        <w:rPr>
          <w:shd w:val="clear" w:color="auto" w:fill="FFFFFF"/>
        </w:rPr>
      </w:pPr>
      <w:r w:rsidRPr="003E5264">
        <w:rPr>
          <w:shd w:val="clear" w:color="auto" w:fill="FFFFFF"/>
        </w:rPr>
        <w:t>Dane prezentuje się w układzie Polskiej Klasyfikacji Działalności — PKD 2007.</w:t>
      </w:r>
      <w:r w:rsidR="00FC76C2">
        <w:rPr>
          <w:shd w:val="clear" w:color="auto" w:fill="FFFFFF"/>
        </w:rPr>
        <w:t xml:space="preserve"> </w:t>
      </w:r>
    </w:p>
    <w:p w:rsidR="00FC015D" w:rsidRPr="003439F1" w:rsidRDefault="00770B00" w:rsidP="009A0CB7">
      <w:pPr>
        <w:pStyle w:val="Nagwek1"/>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2"/>
        <w:gridCol w:w="6365"/>
      </w:tblGrid>
      <w:tr w:rsidR="00770B00"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770B00" w:rsidRPr="008E6E02" w:rsidRDefault="00100C3D" w:rsidP="00FB0F41">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626" w:type="dxa"/>
            <w:tcBorders>
              <w:top w:val="single" w:sz="12" w:space="0" w:color="522398"/>
              <w:left w:val="single" w:sz="4" w:space="0" w:color="522398"/>
              <w:bottom w:val="single" w:sz="4" w:space="0" w:color="522398"/>
            </w:tcBorders>
          </w:tcPr>
          <w:p w:rsidR="00770B00" w:rsidRPr="00FA5128" w:rsidRDefault="00770B00" w:rsidP="00FB0F41">
            <w:pPr>
              <w:tabs>
                <w:tab w:val="left" w:pos="979"/>
                <w:tab w:val="right" w:pos="5996"/>
              </w:tabs>
              <w:rPr>
                <w:rFonts w:cs="Arial"/>
                <w:color w:val="000000" w:themeColor="text1"/>
                <w:sz w:val="16"/>
                <w:szCs w:val="16"/>
              </w:rPr>
            </w:pPr>
            <w:r>
              <w:rPr>
                <w:shd w:val="clear" w:color="auto" w:fill="FFFFFF"/>
              </w:rPr>
              <w:t>Sekcje</w:t>
            </w:r>
          </w:p>
        </w:tc>
      </w:tr>
      <w:tr w:rsidR="00770B00"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dostawa wody; gospodarowanie ściekami i odpadami; rekultywacja</w:t>
            </w:r>
          </w:p>
        </w:tc>
        <w:tc>
          <w:tcPr>
            <w:tcW w:w="6626" w:type="dxa"/>
            <w:tcBorders>
              <w:top w:val="single" w:sz="4" w:space="0" w:color="522398"/>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dostawa wody; gospodarowanie ściekami i odpadami oraz działalność związana z rekultywacją</w:t>
            </w:r>
          </w:p>
        </w:tc>
      </w:tr>
      <w:tr w:rsidR="00770B00" w:rsidRPr="00043CB4" w:rsidTr="00A853D2">
        <w:trPr>
          <w:trHeight w:val="57"/>
          <w:jc w:val="center"/>
        </w:trPr>
        <w:tc>
          <w:tcPr>
            <w:tcW w:w="4255" w:type="dxa"/>
            <w:tcBorders>
              <w:top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handel; naprawa pojazdów samochodowych</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handel hurtowy i detaliczny; naprawa pojazdów samochodowych, włączając motocykle</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zakwaterowanie i gastronomia</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zakw</w:t>
            </w:r>
            <w:r>
              <w:rPr>
                <w:rFonts w:cs="Arial"/>
                <w:color w:val="000000" w:themeColor="text1"/>
                <w:szCs w:val="19"/>
              </w:rPr>
              <w:t>aterowaniem i usługami gastrono</w:t>
            </w:r>
            <w:r w:rsidRPr="00043CB4">
              <w:rPr>
                <w:rFonts w:cs="Arial"/>
                <w:color w:val="000000" w:themeColor="text1"/>
                <w:szCs w:val="19"/>
              </w:rPr>
              <w:t>micznymi</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obsługa rynku nieruchomości</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obsługą rynku nieruchomości</w:t>
            </w:r>
          </w:p>
        </w:tc>
      </w:tr>
      <w:tr w:rsidR="00770B00" w:rsidRPr="00043CB4" w:rsidTr="00A853D2">
        <w:trPr>
          <w:trHeight w:val="57"/>
          <w:jc w:val="center"/>
        </w:trPr>
        <w:tc>
          <w:tcPr>
            <w:tcW w:w="4255" w:type="dxa"/>
            <w:tcBorders>
              <w:bottom w:val="single" w:sz="4" w:space="0" w:color="522398"/>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administrowanie i działalność wspierająca</w:t>
            </w:r>
          </w:p>
        </w:tc>
        <w:tc>
          <w:tcPr>
            <w:tcW w:w="6626" w:type="dxa"/>
            <w:tcBorders>
              <w:left w:val="single" w:sz="4" w:space="0" w:color="522398"/>
              <w:bottom w:val="single" w:sz="4" w:space="0" w:color="522398"/>
            </w:tcBorders>
          </w:tcPr>
          <w:p w:rsidR="00770B00" w:rsidRPr="00043CB4" w:rsidRDefault="00043CB4" w:rsidP="00840577">
            <w:pPr>
              <w:spacing w:before="40" w:after="40" w:line="240" w:lineRule="auto"/>
              <w:rPr>
                <w:rFonts w:cs="Arial"/>
                <w:color w:val="000000" w:themeColor="text1"/>
                <w:szCs w:val="19"/>
              </w:rPr>
            </w:pPr>
            <w:r w:rsidRPr="00043CB4">
              <w:rPr>
                <w:rFonts w:cs="Arial"/>
                <w:color w:val="000000" w:themeColor="text1"/>
                <w:szCs w:val="19"/>
              </w:rPr>
              <w:t>działalność w zakresie usług administrowania i działalność wspierająca</w:t>
            </w:r>
          </w:p>
        </w:tc>
      </w:tr>
    </w:tbl>
    <w:p w:rsidR="00770B00" w:rsidRDefault="00770B00" w:rsidP="007167B2">
      <w:pPr>
        <w:spacing w:before="0" w:after="0" w:line="240" w:lineRule="auto"/>
        <w:rPr>
          <w:lang w:eastAsia="pl-PL"/>
        </w:rPr>
      </w:pP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1"/>
        <w:gridCol w:w="6366"/>
      </w:tblGrid>
      <w:tr w:rsidR="00043CB4"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043CB4" w:rsidRPr="008E6E02" w:rsidRDefault="00043CB4" w:rsidP="00F65F8F">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626" w:type="dxa"/>
            <w:tcBorders>
              <w:top w:val="single" w:sz="12" w:space="0" w:color="522398"/>
              <w:left w:val="single" w:sz="4" w:space="0" w:color="522398"/>
              <w:bottom w:val="single" w:sz="4" w:space="0" w:color="522398"/>
            </w:tcBorders>
          </w:tcPr>
          <w:p w:rsidR="00043CB4" w:rsidRPr="00FA5128" w:rsidRDefault="00043CB4" w:rsidP="00F65F8F">
            <w:pPr>
              <w:tabs>
                <w:tab w:val="left" w:pos="979"/>
                <w:tab w:val="right" w:pos="5996"/>
              </w:tabs>
              <w:rPr>
                <w:rFonts w:cs="Arial"/>
                <w:color w:val="000000" w:themeColor="text1"/>
                <w:sz w:val="16"/>
                <w:szCs w:val="16"/>
              </w:rPr>
            </w:pPr>
            <w:r>
              <w:rPr>
                <w:shd w:val="clear" w:color="auto" w:fill="FFFFFF"/>
              </w:rPr>
              <w:t>Działy</w:t>
            </w:r>
          </w:p>
        </w:tc>
      </w:tr>
      <w:tr w:rsidR="00043CB4"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473EA">
              <w:rPr>
                <w:rFonts w:ascii="Fira Sans" w:hAnsi="Fira Sans"/>
                <w:color w:val="000000" w:themeColor="text1"/>
                <w:sz w:val="16"/>
                <w:szCs w:val="16"/>
              </w:rPr>
              <w:t>produkcja wyrobów z drewna, korka, słomy i wikliny</w:t>
            </w:r>
          </w:p>
        </w:tc>
        <w:tc>
          <w:tcPr>
            <w:tcW w:w="6626" w:type="dxa"/>
            <w:tcBorders>
              <w:top w:val="single" w:sz="4" w:space="0" w:color="522398"/>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wyrobów z drewna, oraz korka z wyłączeniem mebli; produkcja wyrobów ze słomy i materiałów używanych do wyplatania</w:t>
            </w:r>
          </w:p>
        </w:tc>
      </w:tr>
      <w:tr w:rsidR="00043CB4" w:rsidRPr="00043CB4" w:rsidTr="00A853D2">
        <w:trPr>
          <w:trHeight w:val="57"/>
          <w:jc w:val="center"/>
        </w:trPr>
        <w:tc>
          <w:tcPr>
            <w:tcW w:w="4255" w:type="dxa"/>
            <w:tcBorders>
              <w:top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wyrobów z metali</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 xml:space="preserve">produkcja metalowych wyrobów gotowych, z wyłączeniem maszyn </w:t>
            </w:r>
            <w:r w:rsidRPr="006473EA">
              <w:rPr>
                <w:shd w:val="clear" w:color="auto" w:fill="FFFFFF"/>
              </w:rPr>
              <w:br/>
              <w:t>i urządzeń</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maszyn i urządzeń</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maszyn i urządzeń, gdzie indziej niesklasyfikowana</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 xml:space="preserve">produkcja pojazdów samochodowych, przyczep </w:t>
            </w:r>
            <w:r>
              <w:rPr>
                <w:rFonts w:ascii="Fira Sans" w:hAnsi="Fira Sans"/>
                <w:color w:val="000000" w:themeColor="text1"/>
                <w:sz w:val="16"/>
                <w:szCs w:val="16"/>
              </w:rPr>
              <w:br/>
            </w:r>
            <w:r w:rsidRPr="00692031">
              <w:rPr>
                <w:rFonts w:ascii="Fira Sans" w:hAnsi="Fira Sans"/>
                <w:color w:val="000000" w:themeColor="text1"/>
                <w:sz w:val="16"/>
                <w:szCs w:val="16"/>
              </w:rPr>
              <w:t>i naczep</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pojazdów samochodowych, przyczep i naczep, z wyłączeniem motocykli</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gospodarka odpadami; odzysk surowców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działalność związana ze zbieraniem, przetwarzaniem i unieszkodliwianiem odpadów; odzysk surowców</w:t>
            </w:r>
          </w:p>
        </w:tc>
      </w:tr>
      <w:tr w:rsidR="00043CB4" w:rsidRPr="00043CB4" w:rsidTr="00A853D2">
        <w:trPr>
          <w:trHeight w:val="57"/>
          <w:jc w:val="center"/>
        </w:trPr>
        <w:tc>
          <w:tcPr>
            <w:tcW w:w="4255" w:type="dxa"/>
            <w:tcBorders>
              <w:right w:val="single" w:sz="4" w:space="0" w:color="522398"/>
            </w:tcBorders>
            <w:vAlign w:val="center"/>
          </w:tcPr>
          <w:p w:rsidR="00043CB4" w:rsidRPr="00692031"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budynków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roboty budowlane związane ze wznoszeniem budynków</w:t>
            </w:r>
          </w:p>
        </w:tc>
      </w:tr>
      <w:tr w:rsidR="007A090E" w:rsidRPr="00043CB4" w:rsidTr="00A853D2">
        <w:trPr>
          <w:trHeight w:val="57"/>
          <w:jc w:val="center"/>
        </w:trPr>
        <w:tc>
          <w:tcPr>
            <w:tcW w:w="4255" w:type="dxa"/>
            <w:tcBorders>
              <w:bottom w:val="single" w:sz="4" w:space="0" w:color="522398"/>
              <w:right w:val="single" w:sz="4" w:space="0" w:color="522398"/>
            </w:tcBorders>
            <w:vAlign w:val="center"/>
          </w:tcPr>
          <w:p w:rsidR="007A090E" w:rsidRPr="0069203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obiektów inżynierii lądowej i wodnej</w:t>
            </w:r>
          </w:p>
        </w:tc>
        <w:tc>
          <w:tcPr>
            <w:tcW w:w="6626" w:type="dxa"/>
            <w:tcBorders>
              <w:left w:val="single" w:sz="4" w:space="0" w:color="522398"/>
              <w:bottom w:val="single" w:sz="4" w:space="0" w:color="522398"/>
            </w:tcBorders>
          </w:tcPr>
          <w:p w:rsidR="007A090E" w:rsidRPr="00043CB4" w:rsidRDefault="007A090E" w:rsidP="007167B2">
            <w:pPr>
              <w:spacing w:before="40" w:after="40" w:line="240" w:lineRule="auto"/>
              <w:rPr>
                <w:rFonts w:cs="Arial"/>
                <w:color w:val="000000" w:themeColor="text1"/>
                <w:szCs w:val="19"/>
              </w:rPr>
            </w:pPr>
            <w:r w:rsidRPr="006473EA">
              <w:rPr>
                <w:shd w:val="clear" w:color="auto" w:fill="FFFFFF"/>
              </w:rPr>
              <w:t>roboty związane z budową obiektów inżynierii lądowej i wodnej</w:t>
            </w:r>
          </w:p>
        </w:tc>
      </w:tr>
    </w:tbl>
    <w:p w:rsidR="00043CB4" w:rsidRPr="00043CB4" w:rsidRDefault="00043CB4" w:rsidP="00770B00">
      <w:pPr>
        <w:rPr>
          <w:lang w:eastAsia="pl-PL"/>
        </w:rPr>
      </w:pPr>
    </w:p>
    <w:p w:rsidR="00770B00" w:rsidRPr="003439F1" w:rsidRDefault="00770B00" w:rsidP="00770B00">
      <w:pPr>
        <w:pStyle w:val="Nagwek1"/>
        <w:rPr>
          <w:color w:val="522398"/>
        </w:rPr>
      </w:pPr>
      <w:r w:rsidRPr="003439F1">
        <w:rPr>
          <w:color w:val="522398"/>
        </w:rPr>
        <w:t>Objaśnienia znaków umownych</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84"/>
        <w:gridCol w:w="6383"/>
      </w:tblGrid>
      <w:tr w:rsidR="00770B00" w:rsidRPr="00EA058A" w:rsidTr="004C2C80">
        <w:trPr>
          <w:trHeight w:val="57"/>
          <w:jc w:val="center"/>
        </w:trPr>
        <w:tc>
          <w:tcPr>
            <w:tcW w:w="4084" w:type="dxa"/>
            <w:tcBorders>
              <w:top w:val="single" w:sz="4" w:space="0" w:color="522398"/>
              <w:right w:val="single" w:sz="4" w:space="0" w:color="522398"/>
            </w:tcBorders>
            <w:vAlign w:val="center"/>
          </w:tcPr>
          <w:p w:rsidR="00770B00" w:rsidRPr="003439F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lang w:val="en-GB"/>
              </w:rPr>
            </w:pPr>
            <w:proofErr w:type="spellStart"/>
            <w:r w:rsidRPr="00692031">
              <w:rPr>
                <w:rFonts w:ascii="Fira Sans" w:hAnsi="Fira Sans"/>
                <w:color w:val="000000" w:themeColor="text1"/>
                <w:sz w:val="16"/>
                <w:szCs w:val="16"/>
                <w:lang w:val="en-GB"/>
              </w:rPr>
              <w:t>Kreska</w:t>
            </w:r>
            <w:proofErr w:type="spellEnd"/>
            <w:r>
              <w:rPr>
                <w:rFonts w:ascii="Fira Sans" w:hAnsi="Fira Sans"/>
                <w:color w:val="000000" w:themeColor="text1"/>
                <w:sz w:val="16"/>
                <w:szCs w:val="16"/>
                <w:lang w:val="en-GB"/>
              </w:rPr>
              <w:t xml:space="preserve"> </w:t>
            </w:r>
            <w:r w:rsidRPr="00692031">
              <w:rPr>
                <w:rFonts w:ascii="Fira Sans" w:hAnsi="Fira Sans"/>
                <w:color w:val="000000" w:themeColor="text1"/>
                <w:sz w:val="16"/>
                <w:szCs w:val="16"/>
                <w:lang w:val="en-GB"/>
              </w:rPr>
              <w:t xml:space="preserve"> (–)    </w:t>
            </w:r>
          </w:p>
        </w:tc>
        <w:tc>
          <w:tcPr>
            <w:tcW w:w="6383" w:type="dxa"/>
            <w:tcBorders>
              <w:top w:val="single" w:sz="4" w:space="0" w:color="522398"/>
              <w:left w:val="single" w:sz="4" w:space="0" w:color="522398"/>
            </w:tcBorders>
          </w:tcPr>
          <w:p w:rsidR="00770B00" w:rsidRPr="003439F1" w:rsidRDefault="00D51C0A" w:rsidP="007167B2">
            <w:pPr>
              <w:spacing w:before="40" w:after="40" w:line="240" w:lineRule="auto"/>
              <w:rPr>
                <w:rFonts w:cs="Arial"/>
                <w:color w:val="000000" w:themeColor="text1"/>
                <w:sz w:val="16"/>
                <w:szCs w:val="16"/>
                <w:lang w:val="en-GB"/>
              </w:rPr>
            </w:pPr>
            <w:proofErr w:type="spellStart"/>
            <w:r>
              <w:rPr>
                <w:shd w:val="clear" w:color="auto" w:fill="FFFFFF"/>
                <w:lang w:val="en-GB"/>
              </w:rPr>
              <w:t>zj</w:t>
            </w:r>
            <w:r w:rsidR="007A090E">
              <w:rPr>
                <w:shd w:val="clear" w:color="auto" w:fill="FFFFFF"/>
                <w:lang w:val="en-GB"/>
              </w:rPr>
              <w:t>awisko</w:t>
            </w:r>
            <w:proofErr w:type="spellEnd"/>
            <w:r w:rsidR="007A090E">
              <w:rPr>
                <w:shd w:val="clear" w:color="auto" w:fill="FFFFFF"/>
                <w:lang w:val="en-GB"/>
              </w:rPr>
              <w:t xml:space="preserve"> </w:t>
            </w:r>
            <w:proofErr w:type="spellStart"/>
            <w:r w:rsidR="007A090E">
              <w:rPr>
                <w:shd w:val="clear" w:color="auto" w:fill="FFFFFF"/>
                <w:lang w:val="en-GB"/>
              </w:rPr>
              <w:t>nie</w:t>
            </w:r>
            <w:proofErr w:type="spellEnd"/>
            <w:r w:rsidR="007A090E">
              <w:rPr>
                <w:shd w:val="clear" w:color="auto" w:fill="FFFFFF"/>
                <w:lang w:val="en-GB"/>
              </w:rPr>
              <w:t xml:space="preserve"> </w:t>
            </w:r>
            <w:proofErr w:type="spellStart"/>
            <w:r w:rsidR="007A090E">
              <w:rPr>
                <w:shd w:val="clear" w:color="auto" w:fill="FFFFFF"/>
                <w:lang w:val="en-GB"/>
              </w:rPr>
              <w:t>wystąpiło</w:t>
            </w:r>
            <w:proofErr w:type="spellEnd"/>
          </w:p>
        </w:tc>
      </w:tr>
      <w:tr w:rsidR="00770B00" w:rsidRPr="007A090E" w:rsidTr="004C2C80">
        <w:trPr>
          <w:trHeight w:val="57"/>
          <w:jc w:val="center"/>
        </w:trPr>
        <w:tc>
          <w:tcPr>
            <w:tcW w:w="4084" w:type="dxa"/>
            <w:tcBorders>
              <w:top w:val="single" w:sz="4" w:space="0" w:color="001D77"/>
              <w:right w:val="single" w:sz="4" w:space="0" w:color="522398"/>
            </w:tcBorders>
            <w:vAlign w:val="center"/>
          </w:tcPr>
          <w:p w:rsidR="00770B00" w:rsidRPr="00FA5128"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196F29">
              <w:rPr>
                <w:rFonts w:ascii="Fira Sans" w:hAnsi="Fira Sans"/>
                <w:color w:val="000000" w:themeColor="text1"/>
                <w:sz w:val="16"/>
                <w:szCs w:val="16"/>
              </w:rPr>
              <w:t>Kropka</w:t>
            </w:r>
            <w:r>
              <w:rPr>
                <w:rFonts w:ascii="Fira Sans" w:hAnsi="Fira Sans"/>
                <w:color w:val="000000" w:themeColor="text1"/>
                <w:sz w:val="16"/>
                <w:szCs w:val="16"/>
              </w:rPr>
              <w:t xml:space="preserve"> </w:t>
            </w:r>
            <w:r w:rsidRPr="00196F29">
              <w:rPr>
                <w:rFonts w:ascii="Fira Sans" w:hAnsi="Fira Sans"/>
                <w:color w:val="000000" w:themeColor="text1"/>
                <w:sz w:val="16"/>
                <w:szCs w:val="16"/>
              </w:rPr>
              <w:t xml:space="preserve"> (.)</w:t>
            </w:r>
          </w:p>
        </w:tc>
        <w:tc>
          <w:tcPr>
            <w:tcW w:w="6383" w:type="dxa"/>
            <w:tcBorders>
              <w:top w:val="single" w:sz="4" w:space="0" w:color="001D77"/>
              <w:left w:val="single" w:sz="4" w:space="0" w:color="522398"/>
            </w:tcBorders>
          </w:tcPr>
          <w:p w:rsidR="00770B00" w:rsidRPr="007A090E" w:rsidRDefault="004C2C80" w:rsidP="007167B2">
            <w:pPr>
              <w:spacing w:before="40" w:after="40" w:line="240" w:lineRule="auto"/>
              <w:rPr>
                <w:rFonts w:cs="Arial"/>
                <w:color w:val="000000" w:themeColor="text1"/>
                <w:sz w:val="16"/>
                <w:szCs w:val="16"/>
              </w:rPr>
            </w:pPr>
            <w:r>
              <w:t>oznacza: brak informacji, konieczność zachowania tajemnicy statystycznej lub że wypełnienie pozycji jest niemożliwe albo niecelowe</w:t>
            </w:r>
          </w:p>
        </w:tc>
      </w:tr>
      <w:tr w:rsidR="007A090E" w:rsidRPr="007A090E" w:rsidTr="004C2C80">
        <w:trPr>
          <w:trHeight w:val="57"/>
          <w:jc w:val="center"/>
        </w:trPr>
        <w:tc>
          <w:tcPr>
            <w:tcW w:w="4084" w:type="dxa"/>
            <w:tcBorders>
              <w:top w:val="single" w:sz="4" w:space="0" w:color="001D77"/>
              <w:bottom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lang w:val="en-GB"/>
              </w:rPr>
              <w:t>Znak</w:t>
            </w:r>
            <w:proofErr w:type="spellEnd"/>
            <w:r>
              <w:rPr>
                <w:rFonts w:ascii="Fira Sans" w:hAnsi="Fira Sans"/>
                <w:color w:val="000000" w:themeColor="text1"/>
                <w:sz w:val="16"/>
                <w:szCs w:val="16"/>
                <w:lang w:val="en-GB"/>
              </w:rPr>
              <w:t xml:space="preserve">  </w:t>
            </w:r>
            <w:r w:rsidRPr="00196F29">
              <w:rPr>
                <w:rFonts w:ascii="Fira Sans" w:hAnsi="Fira Sans"/>
                <w:color w:val="000000" w:themeColor="text1"/>
                <w:sz w:val="16"/>
                <w:szCs w:val="16"/>
                <w:lang w:val="en-GB"/>
              </w:rPr>
              <w:t xml:space="preserve">(*)     </w:t>
            </w:r>
          </w:p>
        </w:tc>
        <w:tc>
          <w:tcPr>
            <w:tcW w:w="6383" w:type="dxa"/>
            <w:tcBorders>
              <w:top w:val="single" w:sz="4" w:space="0" w:color="001D77"/>
              <w:left w:val="single" w:sz="4" w:space="0" w:color="522398"/>
              <w:bottom w:val="single" w:sz="4" w:space="0" w:color="001D77"/>
            </w:tcBorders>
          </w:tcPr>
          <w:p w:rsidR="007A090E" w:rsidRPr="007A090E" w:rsidRDefault="007A090E" w:rsidP="00840577">
            <w:pPr>
              <w:spacing w:before="40" w:after="40" w:line="240" w:lineRule="auto"/>
              <w:rPr>
                <w:shd w:val="clear" w:color="auto" w:fill="FFFFFF"/>
              </w:rPr>
            </w:pPr>
            <w:r w:rsidRPr="006473EA">
              <w:rPr>
                <w:shd w:val="clear" w:color="auto" w:fill="FFFFFF"/>
              </w:rPr>
              <w:t>oznacza, że dane zostały zmienione w</w:t>
            </w:r>
            <w:r>
              <w:rPr>
                <w:shd w:val="clear" w:color="auto" w:fill="FFFFFF"/>
              </w:rPr>
              <w:t xml:space="preserve"> stosunku do już opublikowanych</w:t>
            </w:r>
          </w:p>
        </w:tc>
      </w:tr>
      <w:tr w:rsidR="007A090E" w:rsidRPr="007A090E" w:rsidTr="004C2C80">
        <w:trPr>
          <w:trHeight w:val="57"/>
          <w:jc w:val="center"/>
        </w:trPr>
        <w:tc>
          <w:tcPr>
            <w:tcW w:w="4084" w:type="dxa"/>
            <w:tcBorders>
              <w:top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EB3304">
              <w:rPr>
                <w:rFonts w:ascii="Fira Sans" w:hAnsi="Fira Sans"/>
                <w:color w:val="000000" w:themeColor="text1"/>
                <w:sz w:val="16"/>
                <w:szCs w:val="16"/>
              </w:rPr>
              <w:t xml:space="preserve">Znak  (∆)     </w:t>
            </w:r>
          </w:p>
        </w:tc>
        <w:tc>
          <w:tcPr>
            <w:tcW w:w="6383" w:type="dxa"/>
            <w:tcBorders>
              <w:top w:val="single" w:sz="4" w:space="0" w:color="001D77"/>
              <w:left w:val="single" w:sz="4" w:space="0" w:color="522398"/>
            </w:tcBorders>
          </w:tcPr>
          <w:p w:rsidR="007A090E" w:rsidRPr="007A090E" w:rsidRDefault="007A090E" w:rsidP="007167B2">
            <w:pPr>
              <w:spacing w:before="40" w:after="40" w:line="240" w:lineRule="auto"/>
              <w:rPr>
                <w:shd w:val="clear" w:color="auto" w:fill="FFFFFF"/>
              </w:rPr>
            </w:pPr>
            <w:r w:rsidRPr="006473EA">
              <w:rPr>
                <w:shd w:val="clear" w:color="auto" w:fill="FFFFFF"/>
              </w:rPr>
              <w:t xml:space="preserve">oznacza, że nazwy zostały skrócone w stosunku do obowiązującej </w:t>
            </w:r>
            <w:r>
              <w:rPr>
                <w:shd w:val="clear" w:color="auto" w:fill="FFFFFF"/>
              </w:rPr>
              <w:br/>
              <w:t>klasyfikacji</w:t>
            </w:r>
          </w:p>
        </w:tc>
      </w:tr>
    </w:tbl>
    <w:p w:rsidR="00770B00" w:rsidRPr="007A090E" w:rsidRDefault="00770B00" w:rsidP="00582917">
      <w:pPr>
        <w:rPr>
          <w:lang w:eastAsia="pl-PL"/>
        </w:rPr>
      </w:pPr>
    </w:p>
    <w:p w:rsidR="007167B2" w:rsidRPr="007167B2" w:rsidRDefault="007167B2" w:rsidP="00582917">
      <w:pPr>
        <w:rPr>
          <w:b/>
          <w:shd w:val="clear" w:color="auto" w:fill="FFFFFF"/>
        </w:rPr>
      </w:pPr>
      <w:r w:rsidRPr="007167B2">
        <w:rPr>
          <w:b/>
          <w:shd w:val="clear" w:color="auto" w:fill="FFFFFF"/>
        </w:rPr>
        <w:t>Dane charakteryzujące województwo świętokrzyskie można również znaleźć w publikacjach statystycznych wydawanych przez US w Kielcach oraz w publikacjach ogólnopolskich GUS.</w:t>
      </w:r>
    </w:p>
    <w:p w:rsidR="007167B2" w:rsidRPr="007167B2" w:rsidRDefault="007167B2" w:rsidP="00582917">
      <w:pPr>
        <w:rPr>
          <w:shd w:val="clear" w:color="auto" w:fill="FFFFFF"/>
        </w:rPr>
      </w:pPr>
      <w:r w:rsidRPr="007167B2">
        <w:rPr>
          <w:shd w:val="clear" w:color="auto" w:fill="FFFFFF"/>
        </w:rPr>
        <w:t xml:space="preserve">Raport „Koniunktura gospodarcza w województwie świętokrzyskim w </w:t>
      </w:r>
      <w:r w:rsidR="00CC7F49">
        <w:rPr>
          <w:shd w:val="clear" w:color="auto" w:fill="FFFFFF"/>
        </w:rPr>
        <w:t>sierpniu</w:t>
      </w:r>
      <w:r w:rsidRPr="007167B2">
        <w:rPr>
          <w:shd w:val="clear" w:color="auto" w:fill="FFFFFF"/>
        </w:rPr>
        <w:t xml:space="preserve"> 20</w:t>
      </w:r>
      <w:r w:rsidR="00582917">
        <w:rPr>
          <w:shd w:val="clear" w:color="auto" w:fill="FFFFFF"/>
        </w:rPr>
        <w:t>20</w:t>
      </w:r>
      <w:r w:rsidRPr="007167B2">
        <w:rPr>
          <w:shd w:val="clear" w:color="auto" w:fill="FFFFFF"/>
        </w:rPr>
        <w:t xml:space="preserve"> r.” uka</w:t>
      </w:r>
      <w:r w:rsidR="007D4424">
        <w:rPr>
          <w:shd w:val="clear" w:color="auto" w:fill="FFFFFF"/>
        </w:rPr>
        <w:t>że</w:t>
      </w:r>
      <w:r w:rsidRPr="007167B2">
        <w:rPr>
          <w:shd w:val="clear" w:color="auto" w:fill="FFFFFF"/>
        </w:rPr>
        <w:t xml:space="preserve"> się na stronie głównej Urzędu Statystycznego w Kielcach: http://kielce.stat.gov.pl/ </w:t>
      </w:r>
      <w:r w:rsidR="007D4424">
        <w:rPr>
          <w:shd w:val="clear" w:color="auto" w:fill="FFFFFF"/>
        </w:rPr>
        <w:t>3</w:t>
      </w:r>
      <w:r w:rsidR="00CC7F49">
        <w:rPr>
          <w:shd w:val="clear" w:color="auto" w:fill="FFFFFF"/>
        </w:rPr>
        <w:t>1</w:t>
      </w:r>
      <w:r w:rsidR="00DF1FA7">
        <w:rPr>
          <w:shd w:val="clear" w:color="auto" w:fill="FFFFFF"/>
        </w:rPr>
        <w:t xml:space="preserve"> </w:t>
      </w:r>
      <w:r w:rsidR="00CC7F49">
        <w:rPr>
          <w:shd w:val="clear" w:color="auto" w:fill="FFFFFF"/>
        </w:rPr>
        <w:t>sierpnia</w:t>
      </w:r>
      <w:r w:rsidR="00180E8C">
        <w:rPr>
          <w:shd w:val="clear" w:color="auto" w:fill="FFFFFF"/>
        </w:rPr>
        <w:t xml:space="preserve"> </w:t>
      </w:r>
      <w:r w:rsidRPr="007167B2">
        <w:rPr>
          <w:shd w:val="clear" w:color="auto" w:fill="FFFFFF"/>
        </w:rPr>
        <w:t>20</w:t>
      </w:r>
      <w:r w:rsidR="00582917">
        <w:rPr>
          <w:shd w:val="clear" w:color="auto" w:fill="FFFFFF"/>
        </w:rPr>
        <w:t xml:space="preserve">20 </w:t>
      </w:r>
      <w:r w:rsidRPr="007167B2">
        <w:rPr>
          <w:shd w:val="clear" w:color="auto" w:fill="FFFFFF"/>
        </w:rPr>
        <w:t>r.</w:t>
      </w:r>
    </w:p>
    <w:p w:rsidR="00D4012D" w:rsidRPr="00510856" w:rsidRDefault="00D4012D"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rsidR="00422BD0" w:rsidRPr="00C062F2" w:rsidRDefault="00422BD0" w:rsidP="00422BD0">
      <w:pPr>
        <w:rPr>
          <w:shd w:val="clear" w:color="auto" w:fill="FFFFFF"/>
        </w:rPr>
      </w:pPr>
      <w:r w:rsidRPr="00984CFF">
        <w:rPr>
          <w:shd w:val="clear" w:color="auto" w:fill="FFFFFF"/>
        </w:rPr>
        <w:t xml:space="preserve">W lipcu 2020 r. kolejny raz odnotowano spadek przeciętnego zatrudnienia w skali </w:t>
      </w:r>
      <w:r w:rsidRPr="00C062F2">
        <w:rPr>
          <w:shd w:val="clear" w:color="auto" w:fill="FFFFFF"/>
        </w:rPr>
        <w:t>roku. Stopa bezrobocia była wyższa niż przed rokiem (8,6% wobec 7,7%).</w:t>
      </w:r>
    </w:p>
    <w:p w:rsidR="00422BD0" w:rsidRPr="00600C3E" w:rsidRDefault="00422BD0" w:rsidP="00422BD0">
      <w:pPr>
        <w:rPr>
          <w:b/>
          <w:spacing w:val="-2"/>
          <w:shd w:val="clear" w:color="auto" w:fill="FFFFFF"/>
        </w:rPr>
      </w:pPr>
      <w:r w:rsidRPr="00600C3E">
        <w:rPr>
          <w:shd w:val="clear" w:color="auto" w:fill="FFFFFF"/>
        </w:rPr>
        <w:t xml:space="preserve">Przeciętne zatrudnienie w sektorze przedsiębiorstw ukształtowało się na poziomie 122,8 tys. osób, tj. o 3,0% niższym niż przed rokiem, podczas gdy w analogicznym miesiącu poprzedniego roku odnotowano wzrost o 2,7%. </w:t>
      </w:r>
      <w:r w:rsidRPr="00600C3E">
        <w:rPr>
          <w:i/>
          <w:shd w:val="clear" w:color="auto" w:fill="FFFFFF"/>
        </w:rPr>
        <w:t>W kraju przeciętne zatrudnienie zmniejszyło się w skali roku o 2,3% wobec wzrostu o 2,7% rok wcześniej.</w:t>
      </w:r>
    </w:p>
    <w:p w:rsidR="00422BD0" w:rsidRPr="00CA18EC" w:rsidRDefault="00422BD0" w:rsidP="00CA18EC">
      <w:pPr>
        <w:spacing w:before="240" w:after="0"/>
        <w:rPr>
          <w:b/>
          <w:spacing w:val="-2"/>
          <w:szCs w:val="19"/>
          <w:shd w:val="clear" w:color="auto" w:fill="FFFFFF"/>
        </w:rPr>
      </w:pPr>
      <w:r w:rsidRPr="00CA5477">
        <w:rPr>
          <w:b/>
          <w:spacing w:val="-2"/>
          <w:szCs w:val="19"/>
          <w:shd w:val="clear" w:color="auto" w:fill="FFFFFF"/>
        </w:rPr>
        <w:t>Tablica 1. Przeciętne zatrudnienie w sektorze przedsiębiorstw</w:t>
      </w:r>
    </w:p>
    <w:tbl>
      <w:tblPr>
        <w:tblW w:w="10467" w:type="dxa"/>
        <w:jc w:val="center"/>
        <w:tblLayout w:type="fixed"/>
        <w:tblLook w:val="01E0" w:firstRow="1" w:lastRow="1" w:firstColumn="1" w:lastColumn="1" w:noHBand="0" w:noVBand="0"/>
      </w:tblPr>
      <w:tblGrid>
        <w:gridCol w:w="4809"/>
        <w:gridCol w:w="1414"/>
        <w:gridCol w:w="1415"/>
        <w:gridCol w:w="1414"/>
        <w:gridCol w:w="1415"/>
      </w:tblGrid>
      <w:tr w:rsidR="00422BD0" w:rsidRPr="00DE0F33" w:rsidTr="00045D91">
        <w:trPr>
          <w:trHeight w:val="57"/>
          <w:jc w:val="center"/>
        </w:trPr>
        <w:tc>
          <w:tcPr>
            <w:tcW w:w="4820" w:type="dxa"/>
            <w:vMerge w:val="restart"/>
            <w:tcBorders>
              <w:top w:val="single" w:sz="4" w:space="0" w:color="522398"/>
              <w:bottom w:val="single" w:sz="4" w:space="0" w:color="522398"/>
              <w:right w:val="single" w:sz="4" w:space="0" w:color="522398"/>
            </w:tcBorders>
            <w:vAlign w:val="center"/>
          </w:tcPr>
          <w:p w:rsidR="00422BD0" w:rsidRPr="00DE0F33" w:rsidRDefault="00422BD0" w:rsidP="00045D91">
            <w:pPr>
              <w:spacing w:before="360" w:after="360" w:line="180" w:lineRule="exact"/>
              <w:jc w:val="center"/>
              <w:rPr>
                <w:rFonts w:cs="Arial"/>
                <w:sz w:val="16"/>
                <w:szCs w:val="16"/>
              </w:rPr>
            </w:pPr>
            <w:r>
              <w:rPr>
                <w:rFonts w:cs="Arial"/>
                <w:sz w:val="16"/>
                <w:szCs w:val="16"/>
              </w:rPr>
              <w:t>WYSZCZEGÓLNIENIE</w:t>
            </w:r>
          </w:p>
        </w:tc>
        <w:tc>
          <w:tcPr>
            <w:tcW w:w="2835" w:type="dxa"/>
            <w:gridSpan w:val="2"/>
            <w:tcBorders>
              <w:top w:val="single" w:sz="4" w:space="0" w:color="522398"/>
              <w:left w:val="single" w:sz="4" w:space="0" w:color="522398"/>
              <w:bottom w:val="single" w:sz="4" w:space="0" w:color="522398"/>
              <w:right w:val="single" w:sz="4" w:space="0" w:color="522398"/>
            </w:tcBorders>
            <w:vAlign w:val="center"/>
          </w:tcPr>
          <w:p w:rsidR="00422BD0" w:rsidRPr="00DE0F33" w:rsidRDefault="00422BD0" w:rsidP="00045D91">
            <w:pPr>
              <w:spacing w:line="220" w:lineRule="exact"/>
              <w:jc w:val="center"/>
              <w:outlineLvl w:val="0"/>
              <w:rPr>
                <w:rFonts w:cs="Arial"/>
                <w:sz w:val="16"/>
                <w:szCs w:val="16"/>
              </w:rPr>
            </w:pPr>
            <w:r>
              <w:rPr>
                <w:rFonts w:cs="Arial"/>
                <w:sz w:val="16"/>
                <w:szCs w:val="16"/>
              </w:rPr>
              <w:t>VII</w:t>
            </w:r>
            <w:r w:rsidRPr="00DE0F33">
              <w:rPr>
                <w:rFonts w:cs="Arial"/>
                <w:sz w:val="16"/>
                <w:szCs w:val="16"/>
              </w:rPr>
              <w:t xml:space="preserve"> 20</w:t>
            </w:r>
            <w:r>
              <w:rPr>
                <w:rFonts w:cs="Arial"/>
                <w:sz w:val="16"/>
                <w:szCs w:val="16"/>
              </w:rPr>
              <w:t>20</w:t>
            </w:r>
          </w:p>
        </w:tc>
        <w:tc>
          <w:tcPr>
            <w:tcW w:w="2835" w:type="dxa"/>
            <w:gridSpan w:val="2"/>
            <w:tcBorders>
              <w:top w:val="single" w:sz="4" w:space="0" w:color="522398"/>
              <w:left w:val="single" w:sz="4" w:space="0" w:color="522398"/>
              <w:bottom w:val="single" w:sz="4" w:space="0" w:color="522398"/>
            </w:tcBorders>
            <w:vAlign w:val="center"/>
          </w:tcPr>
          <w:p w:rsidR="00422BD0" w:rsidRPr="00DE0F33" w:rsidRDefault="00422BD0" w:rsidP="00045D91">
            <w:pPr>
              <w:spacing w:line="220" w:lineRule="exact"/>
              <w:jc w:val="center"/>
              <w:outlineLvl w:val="0"/>
              <w:rPr>
                <w:rFonts w:cs="Arial"/>
                <w:sz w:val="16"/>
                <w:szCs w:val="16"/>
              </w:rPr>
            </w:pPr>
            <w:r w:rsidRPr="00DE0F33">
              <w:rPr>
                <w:rFonts w:cs="Arial"/>
                <w:sz w:val="16"/>
                <w:szCs w:val="16"/>
              </w:rPr>
              <w:t>I-</w:t>
            </w:r>
            <w:r>
              <w:rPr>
                <w:rFonts w:cs="Arial"/>
                <w:sz w:val="16"/>
                <w:szCs w:val="16"/>
              </w:rPr>
              <w:t>VII</w:t>
            </w:r>
            <w:r w:rsidRPr="00DE0F33">
              <w:rPr>
                <w:rFonts w:cs="Arial"/>
                <w:sz w:val="16"/>
                <w:szCs w:val="16"/>
              </w:rPr>
              <w:t xml:space="preserve"> 20</w:t>
            </w:r>
            <w:r>
              <w:rPr>
                <w:rFonts w:cs="Arial"/>
                <w:sz w:val="16"/>
                <w:szCs w:val="16"/>
              </w:rPr>
              <w:t>20</w:t>
            </w:r>
          </w:p>
        </w:tc>
      </w:tr>
      <w:tr w:rsidR="00422BD0" w:rsidRPr="00DE0F33" w:rsidTr="00045D91">
        <w:trPr>
          <w:trHeight w:val="57"/>
          <w:jc w:val="center"/>
        </w:trPr>
        <w:tc>
          <w:tcPr>
            <w:tcW w:w="4820" w:type="dxa"/>
            <w:vMerge/>
            <w:tcBorders>
              <w:top w:val="single" w:sz="4" w:space="0" w:color="522398"/>
              <w:bottom w:val="single" w:sz="4" w:space="0" w:color="522398"/>
              <w:right w:val="single" w:sz="4" w:space="0" w:color="522398"/>
            </w:tcBorders>
            <w:vAlign w:val="center"/>
          </w:tcPr>
          <w:p w:rsidR="00422BD0" w:rsidRPr="00DE0F33" w:rsidRDefault="00422BD0" w:rsidP="00045D91">
            <w:pPr>
              <w:spacing w:before="40" w:after="40"/>
              <w:jc w:val="center"/>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tcPr>
          <w:p w:rsidR="00422BD0" w:rsidRPr="00DE0F33" w:rsidRDefault="00422BD0" w:rsidP="00045D91">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right w:val="single" w:sz="4" w:space="0" w:color="522398"/>
            </w:tcBorders>
            <w:vAlign w:val="center"/>
          </w:tcPr>
          <w:p w:rsidR="00422BD0" w:rsidRPr="00DE0F33" w:rsidRDefault="00422BD0" w:rsidP="00045D91">
            <w:pPr>
              <w:spacing w:line="180" w:lineRule="exact"/>
              <w:jc w:val="center"/>
              <w:rPr>
                <w:rFonts w:cs="Arial"/>
                <w:sz w:val="16"/>
                <w:szCs w:val="16"/>
              </w:rPr>
            </w:pPr>
            <w:r>
              <w:rPr>
                <w:rFonts w:cs="Arial"/>
                <w:sz w:val="16"/>
                <w:szCs w:val="16"/>
              </w:rPr>
              <w:t>VII</w:t>
            </w:r>
            <w:r w:rsidRPr="00DE0F33">
              <w:rPr>
                <w:rFonts w:cs="Arial"/>
                <w:sz w:val="16"/>
                <w:szCs w:val="16"/>
              </w:rPr>
              <w:t xml:space="preserve"> 201</w:t>
            </w:r>
            <w:r>
              <w:rPr>
                <w:rFonts w:cs="Arial"/>
                <w:sz w:val="16"/>
                <w:szCs w:val="16"/>
              </w:rPr>
              <w:t>9</w:t>
            </w:r>
            <w:r w:rsidRPr="00DE0F33">
              <w:rPr>
                <w:rFonts w:cs="Arial"/>
                <w:sz w:val="16"/>
                <w:szCs w:val="16"/>
              </w:rPr>
              <w:t xml:space="preserve"> = 100</w:t>
            </w:r>
          </w:p>
        </w:tc>
        <w:tc>
          <w:tcPr>
            <w:tcW w:w="1417" w:type="dxa"/>
            <w:tcBorders>
              <w:top w:val="single" w:sz="4" w:space="0" w:color="522398"/>
              <w:left w:val="single" w:sz="4" w:space="0" w:color="522398"/>
              <w:bottom w:val="single" w:sz="4" w:space="0" w:color="522398"/>
              <w:right w:val="single" w:sz="4" w:space="0" w:color="522398"/>
            </w:tcBorders>
            <w:vAlign w:val="center"/>
          </w:tcPr>
          <w:p w:rsidR="00422BD0" w:rsidRPr="00DE0F33" w:rsidRDefault="00422BD0" w:rsidP="00045D91">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tcBorders>
            <w:vAlign w:val="center"/>
          </w:tcPr>
          <w:p w:rsidR="00422BD0" w:rsidRPr="00DE0F33" w:rsidRDefault="00422BD0" w:rsidP="00045D91">
            <w:pPr>
              <w:spacing w:line="180" w:lineRule="exact"/>
              <w:jc w:val="center"/>
              <w:rPr>
                <w:rFonts w:cs="Arial"/>
                <w:sz w:val="16"/>
                <w:szCs w:val="16"/>
              </w:rPr>
            </w:pPr>
            <w:r w:rsidRPr="00DE0F33">
              <w:rPr>
                <w:rFonts w:cs="Arial"/>
                <w:sz w:val="16"/>
                <w:szCs w:val="16"/>
              </w:rPr>
              <w:t>I-</w:t>
            </w:r>
            <w:r>
              <w:rPr>
                <w:rFonts w:cs="Arial"/>
                <w:sz w:val="16"/>
                <w:szCs w:val="16"/>
              </w:rPr>
              <w:t>VII</w:t>
            </w:r>
            <w:r w:rsidRPr="00DE0F33">
              <w:rPr>
                <w:rFonts w:cs="Arial"/>
                <w:sz w:val="16"/>
                <w:szCs w:val="16"/>
              </w:rPr>
              <w:t xml:space="preserve"> 201</w:t>
            </w:r>
            <w:r>
              <w:rPr>
                <w:rFonts w:cs="Arial"/>
                <w:sz w:val="16"/>
                <w:szCs w:val="16"/>
              </w:rPr>
              <w:t>9</w:t>
            </w:r>
            <w:r w:rsidRPr="00DE0F33">
              <w:rPr>
                <w:rFonts w:cs="Arial"/>
                <w:sz w:val="16"/>
                <w:szCs w:val="16"/>
              </w:rPr>
              <w:t xml:space="preserve"> = 100</w:t>
            </w:r>
          </w:p>
        </w:tc>
      </w:tr>
      <w:tr w:rsidR="00422BD0" w:rsidRPr="00DE0F33"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after="60" w:line="280" w:lineRule="exact"/>
              <w:ind w:left="113" w:hanging="113"/>
              <w:rPr>
                <w:rFonts w:cs="Arial"/>
                <w:b/>
                <w:sz w:val="16"/>
                <w:szCs w:val="16"/>
              </w:rPr>
            </w:pPr>
            <w:r w:rsidRPr="009B77CE">
              <w:rPr>
                <w:rFonts w:cs="Arial"/>
                <w:b/>
                <w:sz w:val="16"/>
                <w:szCs w:val="16"/>
              </w:rPr>
              <w:t>OGÓŁEM</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after="60" w:line="280" w:lineRule="exact"/>
              <w:ind w:right="113"/>
              <w:jc w:val="right"/>
              <w:rPr>
                <w:rFonts w:cs="Arial"/>
                <w:b/>
                <w:sz w:val="16"/>
                <w:szCs w:val="16"/>
              </w:rPr>
            </w:pPr>
            <w:r w:rsidRPr="00D230B5">
              <w:rPr>
                <w:rFonts w:cs="Arial"/>
                <w:b/>
                <w:sz w:val="16"/>
                <w:szCs w:val="16"/>
              </w:rPr>
              <w:t>122,8</w:t>
            </w:r>
          </w:p>
        </w:tc>
        <w:tc>
          <w:tcPr>
            <w:tcW w:w="1418"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after="60" w:line="280" w:lineRule="exact"/>
              <w:ind w:right="113"/>
              <w:jc w:val="right"/>
              <w:rPr>
                <w:rFonts w:cs="Arial"/>
                <w:b/>
                <w:sz w:val="16"/>
                <w:szCs w:val="16"/>
              </w:rPr>
            </w:pPr>
            <w:r w:rsidRPr="00D230B5">
              <w:rPr>
                <w:rFonts w:cs="Arial"/>
                <w:b/>
                <w:sz w:val="16"/>
                <w:szCs w:val="16"/>
              </w:rPr>
              <w:t>97,0</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after="60" w:line="280" w:lineRule="exact"/>
              <w:ind w:right="113"/>
              <w:jc w:val="right"/>
              <w:rPr>
                <w:rFonts w:cs="Arial"/>
                <w:b/>
                <w:sz w:val="16"/>
                <w:szCs w:val="16"/>
              </w:rPr>
            </w:pPr>
            <w:r w:rsidRPr="00D230B5">
              <w:rPr>
                <w:rFonts w:cs="Arial"/>
                <w:b/>
                <w:sz w:val="16"/>
                <w:szCs w:val="16"/>
              </w:rPr>
              <w:t>124,2</w:t>
            </w:r>
          </w:p>
        </w:tc>
        <w:tc>
          <w:tcPr>
            <w:tcW w:w="1418" w:type="dxa"/>
            <w:tcBorders>
              <w:top w:val="single" w:sz="4" w:space="0" w:color="522398"/>
              <w:left w:val="single" w:sz="4" w:space="0" w:color="522398"/>
              <w:bottom w:val="single" w:sz="4" w:space="0" w:color="522398"/>
            </w:tcBorders>
            <w:vAlign w:val="bottom"/>
          </w:tcPr>
          <w:p w:rsidR="00422BD0" w:rsidRPr="00DE0F33" w:rsidRDefault="00422BD0" w:rsidP="00045D91">
            <w:pPr>
              <w:spacing w:after="60" w:line="280" w:lineRule="exact"/>
              <w:ind w:right="113"/>
              <w:jc w:val="right"/>
              <w:rPr>
                <w:rFonts w:cs="Arial"/>
                <w:b/>
                <w:sz w:val="16"/>
                <w:szCs w:val="16"/>
              </w:rPr>
            </w:pPr>
            <w:r w:rsidRPr="00D230B5">
              <w:rPr>
                <w:rFonts w:cs="Arial"/>
                <w:b/>
                <w:sz w:val="16"/>
                <w:szCs w:val="16"/>
              </w:rPr>
              <w:t>98,3</w:t>
            </w:r>
          </w:p>
        </w:tc>
      </w:tr>
      <w:tr w:rsidR="00422BD0" w:rsidRPr="00DE0F33"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before="80" w:after="20" w:line="280" w:lineRule="exact"/>
              <w:ind w:left="226"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DE0F33" w:rsidRDefault="00422BD0" w:rsidP="00045D91">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vAlign w:val="bottom"/>
          </w:tcPr>
          <w:p w:rsidR="00422BD0" w:rsidRPr="00DE0F33" w:rsidRDefault="00422BD0" w:rsidP="00045D91">
            <w:pPr>
              <w:spacing w:before="80" w:after="20" w:line="280" w:lineRule="exact"/>
              <w:ind w:right="113"/>
              <w:rPr>
                <w:rFonts w:cs="Arial"/>
                <w:sz w:val="16"/>
                <w:szCs w:val="16"/>
              </w:rPr>
            </w:pPr>
          </w:p>
        </w:tc>
      </w:tr>
      <w:tr w:rsidR="00422BD0" w:rsidRPr="00C1417F"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before="80" w:after="20" w:line="280" w:lineRule="exact"/>
              <w:ind w:left="113" w:hanging="113"/>
              <w:rPr>
                <w:rFonts w:cs="Arial"/>
                <w:sz w:val="16"/>
                <w:szCs w:val="16"/>
              </w:rPr>
            </w:pPr>
            <w:r w:rsidRPr="00DE0F33">
              <w:rPr>
                <w:rFonts w:cs="Arial"/>
                <w:sz w:val="16"/>
                <w:szCs w:val="16"/>
              </w:rPr>
              <w:t>Przemysł</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before="80" w:after="20" w:line="280" w:lineRule="exact"/>
              <w:ind w:right="113"/>
              <w:jc w:val="right"/>
              <w:rPr>
                <w:rFonts w:cs="Arial"/>
                <w:sz w:val="16"/>
                <w:szCs w:val="16"/>
              </w:rPr>
            </w:pPr>
            <w:r w:rsidRPr="00D230B5">
              <w:rPr>
                <w:rFonts w:cs="Arial"/>
                <w:sz w:val="16"/>
                <w:szCs w:val="16"/>
              </w:rPr>
              <w:t>67,9</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101,2</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68,7</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102,6</w:t>
            </w:r>
          </w:p>
        </w:tc>
      </w:tr>
      <w:tr w:rsidR="00422BD0" w:rsidRPr="00C1417F"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before="80" w:after="20" w:line="280" w:lineRule="exact"/>
              <w:ind w:left="340"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DE0F33" w:rsidRDefault="00422BD0" w:rsidP="00045D91">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C1417F" w:rsidRDefault="00422BD0" w:rsidP="00045D91">
            <w:pPr>
              <w:spacing w:before="80" w:after="20" w:line="280" w:lineRule="exact"/>
              <w:ind w:right="113"/>
              <w:rPr>
                <w:rFonts w:cs="Arial"/>
                <w:sz w:val="16"/>
                <w:szCs w:val="16"/>
              </w:rPr>
            </w:pPr>
          </w:p>
        </w:tc>
      </w:tr>
      <w:tr w:rsidR="00422BD0" w:rsidRPr="00C1417F"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before="80" w:after="20" w:line="280" w:lineRule="exact"/>
              <w:ind w:left="226" w:hanging="113"/>
              <w:rPr>
                <w:rFonts w:cs="Arial"/>
                <w:sz w:val="16"/>
                <w:szCs w:val="16"/>
              </w:rPr>
            </w:pPr>
            <w:r w:rsidRPr="00DE0F33">
              <w:rPr>
                <w:rFonts w:cs="Arial"/>
                <w:sz w:val="16"/>
                <w:szCs w:val="16"/>
              </w:rPr>
              <w:t>przetwórstwo przemysłowe</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00533C" w:rsidRDefault="00422BD0" w:rsidP="00045D91">
            <w:pPr>
              <w:spacing w:before="80" w:after="20" w:line="280" w:lineRule="exact"/>
              <w:ind w:right="113"/>
              <w:jc w:val="right"/>
              <w:rPr>
                <w:rFonts w:cs="Arial"/>
                <w:sz w:val="16"/>
                <w:szCs w:val="16"/>
              </w:rPr>
            </w:pPr>
            <w:r w:rsidRPr="00D230B5">
              <w:rPr>
                <w:rFonts w:cs="Arial"/>
                <w:sz w:val="16"/>
                <w:szCs w:val="16"/>
              </w:rPr>
              <w:t>60,2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101,5</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60,9</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102,8</w:t>
            </w:r>
          </w:p>
        </w:tc>
      </w:tr>
      <w:tr w:rsidR="00422BD0" w:rsidRPr="00C1417F"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DE0F33" w:rsidRDefault="00422BD0" w:rsidP="00045D91">
            <w:pPr>
              <w:tabs>
                <w:tab w:val="right" w:leader="dot" w:pos="4854"/>
              </w:tabs>
              <w:spacing w:before="80" w:after="20" w:line="280" w:lineRule="exact"/>
              <w:ind w:left="113" w:hanging="113"/>
              <w:rPr>
                <w:rFonts w:cs="Arial"/>
                <w:sz w:val="16"/>
                <w:szCs w:val="16"/>
              </w:rPr>
            </w:pPr>
            <w:r w:rsidRPr="00DE0F33">
              <w:rPr>
                <w:rFonts w:cs="Arial"/>
                <w:sz w:val="16"/>
                <w:szCs w:val="16"/>
              </w:rPr>
              <w:t>Budownictwo</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00533C" w:rsidRDefault="00422BD0" w:rsidP="00045D91">
            <w:pPr>
              <w:spacing w:before="80" w:after="20" w:line="280" w:lineRule="exact"/>
              <w:ind w:right="113"/>
              <w:jc w:val="right"/>
              <w:rPr>
                <w:rFonts w:cs="Arial"/>
                <w:sz w:val="16"/>
                <w:szCs w:val="16"/>
              </w:rPr>
            </w:pPr>
            <w:r w:rsidRPr="00D230B5">
              <w:rPr>
                <w:rFonts w:cs="Arial"/>
                <w:sz w:val="16"/>
                <w:szCs w:val="16"/>
              </w:rPr>
              <w:t>10,2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97,1</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10,2</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C1417F" w:rsidRDefault="00422BD0" w:rsidP="00045D91">
            <w:pPr>
              <w:spacing w:before="80" w:after="20" w:line="280" w:lineRule="exact"/>
              <w:ind w:right="113"/>
              <w:jc w:val="right"/>
              <w:rPr>
                <w:rFonts w:cs="Arial"/>
                <w:sz w:val="16"/>
                <w:szCs w:val="16"/>
              </w:rPr>
            </w:pPr>
            <w:r w:rsidRPr="00D230B5">
              <w:rPr>
                <w:rFonts w:cs="Arial"/>
                <w:sz w:val="16"/>
                <w:szCs w:val="16"/>
              </w:rPr>
              <w:t>99,1</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 xml:space="preserve">Handel; naprawa pojazdów samochodowych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21,7</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86,6</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22,0</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88,1</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Transport i gospodarka magazynowa</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7,0</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98,2</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7,1</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100,2</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 xml:space="preserve">Zakwaterowanie i gastronomia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89,6</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2,2</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90,2</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Informacja i komunikacja</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1,2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95,7</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1,2</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91,4</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 xml:space="preserve">Obsługa rynku nieruchomości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94,0</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2,1</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95,5</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49356B">
            <w:pPr>
              <w:tabs>
                <w:tab w:val="right" w:leader="dot" w:pos="4854"/>
              </w:tabs>
              <w:spacing w:before="80" w:after="20" w:line="280" w:lineRule="exact"/>
              <w:ind w:left="113" w:hanging="113"/>
              <w:rPr>
                <w:rFonts w:cs="Arial"/>
                <w:sz w:val="16"/>
                <w:szCs w:val="16"/>
              </w:rPr>
            </w:pPr>
            <w:r w:rsidRPr="00B32A1A">
              <w:rPr>
                <w:rFonts w:cs="Arial"/>
                <w:sz w:val="16"/>
                <w:szCs w:val="16"/>
              </w:rPr>
              <w:t xml:space="preserve">Działalność profesjonalna, naukowa i </w:t>
            </w:r>
            <w:proofErr w:type="spellStart"/>
            <w:r w:rsidRPr="00B32A1A">
              <w:rPr>
                <w:rFonts w:cs="Arial"/>
                <w:sz w:val="16"/>
                <w:szCs w:val="16"/>
              </w:rPr>
              <w:t>techniczna</w:t>
            </w:r>
            <w:r w:rsidR="0049356B" w:rsidRPr="00851B01">
              <w:rPr>
                <w:sz w:val="16"/>
                <w:szCs w:val="16"/>
                <w:vertAlign w:val="superscript"/>
              </w:rPr>
              <w:t>a</w:t>
            </w:r>
            <w:proofErr w:type="spellEnd"/>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2,3</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100,8</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2,3</w:t>
            </w:r>
          </w:p>
        </w:tc>
        <w:tc>
          <w:tcPr>
            <w:tcW w:w="1418" w:type="dxa"/>
            <w:tcBorders>
              <w:top w:val="single" w:sz="4" w:space="0" w:color="522398"/>
              <w:left w:val="single" w:sz="4" w:space="0" w:color="522398"/>
              <w:bottom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98,1</w:t>
            </w:r>
          </w:p>
        </w:tc>
      </w:tr>
      <w:tr w:rsidR="00422BD0" w:rsidRPr="00B32A1A" w:rsidTr="00045D91">
        <w:trPr>
          <w:jc w:val="center"/>
        </w:trPr>
        <w:tc>
          <w:tcPr>
            <w:tcW w:w="4820" w:type="dxa"/>
            <w:tcBorders>
              <w:top w:val="single" w:sz="4" w:space="0" w:color="522398"/>
              <w:bottom w:val="single" w:sz="4" w:space="0" w:color="522398"/>
              <w:right w:val="single" w:sz="4" w:space="0" w:color="522398"/>
            </w:tcBorders>
            <w:vAlign w:val="bottom"/>
          </w:tcPr>
          <w:p w:rsidR="00422BD0" w:rsidRPr="00B32A1A" w:rsidRDefault="00422BD0" w:rsidP="00045D91">
            <w:pPr>
              <w:tabs>
                <w:tab w:val="right" w:leader="dot" w:pos="4854"/>
              </w:tabs>
              <w:spacing w:before="80" w:after="20" w:line="280" w:lineRule="exact"/>
              <w:ind w:left="113" w:hanging="113"/>
              <w:rPr>
                <w:rFonts w:cs="Arial"/>
                <w:sz w:val="16"/>
                <w:szCs w:val="16"/>
              </w:rPr>
            </w:pPr>
            <w:r w:rsidRPr="00B32A1A">
              <w:rPr>
                <w:rFonts w:cs="Arial"/>
                <w:sz w:val="16"/>
                <w:szCs w:val="16"/>
              </w:rPr>
              <w:t xml:space="preserve">Administrowanie i działalność wspierająca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4,9</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93,9</w:t>
            </w:r>
          </w:p>
        </w:tc>
        <w:tc>
          <w:tcPr>
            <w:tcW w:w="1417" w:type="dxa"/>
            <w:tcBorders>
              <w:top w:val="single" w:sz="4" w:space="0" w:color="522398"/>
              <w:left w:val="single" w:sz="4" w:space="0" w:color="522398"/>
              <w:bottom w:val="single" w:sz="4" w:space="0" w:color="522398"/>
              <w:right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5,0</w:t>
            </w:r>
          </w:p>
        </w:tc>
        <w:tc>
          <w:tcPr>
            <w:tcW w:w="1418" w:type="dxa"/>
            <w:tcBorders>
              <w:top w:val="single" w:sz="4" w:space="0" w:color="522398"/>
              <w:left w:val="single" w:sz="4" w:space="0" w:color="522398"/>
              <w:bottom w:val="single" w:sz="4" w:space="0" w:color="522398"/>
            </w:tcBorders>
            <w:vAlign w:val="bottom"/>
          </w:tcPr>
          <w:p w:rsidR="00422BD0" w:rsidRPr="00B32A1A" w:rsidRDefault="00422BD0" w:rsidP="00045D91">
            <w:pPr>
              <w:spacing w:before="80" w:after="20" w:line="280" w:lineRule="exact"/>
              <w:ind w:right="113"/>
              <w:jc w:val="right"/>
              <w:rPr>
                <w:rFonts w:cs="Arial"/>
                <w:sz w:val="16"/>
                <w:szCs w:val="16"/>
              </w:rPr>
            </w:pPr>
            <w:r w:rsidRPr="00D230B5">
              <w:rPr>
                <w:rFonts w:cs="Arial"/>
                <w:sz w:val="16"/>
                <w:szCs w:val="16"/>
              </w:rPr>
              <w:t>93,2</w:t>
            </w:r>
          </w:p>
        </w:tc>
      </w:tr>
    </w:tbl>
    <w:p w:rsidR="00422BD0" w:rsidRDefault="00422BD0" w:rsidP="00422BD0">
      <w:pPr>
        <w:ind w:firstLine="227"/>
        <w:rPr>
          <w:sz w:val="16"/>
          <w:szCs w:val="16"/>
        </w:rPr>
      </w:pPr>
      <w:r w:rsidRPr="00851B01">
        <w:rPr>
          <w:sz w:val="16"/>
          <w:szCs w:val="16"/>
          <w:vertAlign w:val="superscript"/>
        </w:rPr>
        <w:t>a</w:t>
      </w:r>
      <w:r w:rsidRPr="00B32A1A">
        <w:rPr>
          <w:sz w:val="16"/>
          <w:szCs w:val="16"/>
        </w:rPr>
        <w:t xml:space="preserve"> Nie obejmuje działów: Badania naukowe i prace rozwojowe oraz Działalność weterynaryjna.</w:t>
      </w:r>
    </w:p>
    <w:p w:rsidR="00422BD0" w:rsidRPr="00C43298" w:rsidRDefault="00422BD0" w:rsidP="00422BD0">
      <w:pPr>
        <w:ind w:firstLine="227"/>
        <w:jc w:val="both"/>
        <w:rPr>
          <w:sz w:val="16"/>
          <w:szCs w:val="16"/>
        </w:rPr>
      </w:pPr>
    </w:p>
    <w:p w:rsidR="00422BD0" w:rsidRPr="00B46D54" w:rsidRDefault="00422BD0" w:rsidP="00D14189">
      <w:pPr>
        <w:rPr>
          <w:szCs w:val="19"/>
        </w:rPr>
      </w:pPr>
      <w:r w:rsidRPr="00600C3E">
        <w:rPr>
          <w:szCs w:val="19"/>
        </w:rPr>
        <w:t xml:space="preserve">W stosunku do lipca 2019 r. przeciętne zatrudnienie zmniejszyło się w prawie wszystkich sekcjach. Spośród usług spadło w największym stopniu w handlu; naprawie pojazdów samochodowych (o 13,4%) oraz zakwaterowaniu i gastronomii </w:t>
      </w:r>
      <w:r>
        <w:rPr>
          <w:szCs w:val="19"/>
        </w:rPr>
        <w:br/>
      </w:r>
      <w:r w:rsidRPr="00600C3E">
        <w:rPr>
          <w:szCs w:val="19"/>
        </w:rPr>
        <w:t>(o 10,4%), a w najmniejszym w transporcie i gospodarce magazynowej (o 1,8</w:t>
      </w:r>
      <w:r w:rsidRPr="00B46D54">
        <w:rPr>
          <w:szCs w:val="19"/>
        </w:rPr>
        <w:t xml:space="preserve">%). Wzrosła natomiast liczba pracowników </w:t>
      </w:r>
      <w:r>
        <w:rPr>
          <w:szCs w:val="19"/>
        </w:rPr>
        <w:br/>
      </w:r>
      <w:r w:rsidRPr="00B46D54">
        <w:rPr>
          <w:szCs w:val="19"/>
        </w:rPr>
        <w:t xml:space="preserve">w działalności profesjonalnej, naukowej i technicznej (o 0,8 </w:t>
      </w:r>
      <w:r w:rsidR="0049356B">
        <w:rPr>
          <w:szCs w:val="19"/>
        </w:rPr>
        <w:t>%</w:t>
      </w:r>
      <w:r w:rsidRPr="00B46D54">
        <w:rPr>
          <w:szCs w:val="19"/>
        </w:rPr>
        <w:t xml:space="preserve">). Przybyło ich również w przemyśle (o 1,2%), głównie w dominującym przetwórstwie przemysłowym (o 1,5%). Ograniczono liczbę miejsc pracy w budownictwie </w:t>
      </w:r>
      <w:r w:rsidRPr="00B46D54">
        <w:t>(o 2,9%)</w:t>
      </w:r>
      <w:r w:rsidRPr="00B46D54">
        <w:rPr>
          <w:szCs w:val="19"/>
        </w:rPr>
        <w:t>.</w:t>
      </w:r>
    </w:p>
    <w:p w:rsidR="00422BD0" w:rsidRPr="00B46D54" w:rsidRDefault="00422BD0" w:rsidP="00D14189">
      <w:pPr>
        <w:rPr>
          <w:szCs w:val="19"/>
        </w:rPr>
      </w:pPr>
      <w:r w:rsidRPr="00B46D54">
        <w:rPr>
          <w:szCs w:val="19"/>
        </w:rPr>
        <w:t xml:space="preserve">W relacji do czerwca 2020 r. najwyższy wzrost zatrudnienia nastąpił w zakwaterowaniu i gastronomii (o 15,5%), a spadek </w:t>
      </w:r>
      <w:r w:rsidRPr="00B46D54">
        <w:rPr>
          <w:szCs w:val="19"/>
        </w:rPr>
        <w:br/>
        <w:t>w transporcie i gospodarce magazynowej oraz obsłudze rynku nieruchomości (po 0,5%)</w:t>
      </w:r>
    </w:p>
    <w:p w:rsidR="00422BD0" w:rsidRPr="00143352" w:rsidRDefault="00422BD0" w:rsidP="00D14189">
      <w:r w:rsidRPr="001748D4">
        <w:rPr>
          <w:szCs w:val="19"/>
        </w:rPr>
        <w:t>W okresie styczeń-lipiec 2020 r. przeciętne zatrudnienie w sektorze przedsiębiorstw wyniosło 124,2 tys. osób</w:t>
      </w:r>
      <w:r w:rsidRPr="001748D4">
        <w:t xml:space="preserve"> </w:t>
      </w:r>
      <w:r w:rsidRPr="001748D4">
        <w:rPr>
          <w:szCs w:val="19"/>
        </w:rPr>
        <w:t>i było o</w:t>
      </w:r>
      <w:r w:rsidR="00EE2401">
        <w:rPr>
          <w:szCs w:val="19"/>
        </w:rPr>
        <w:t> </w:t>
      </w:r>
      <w:r w:rsidRPr="001748D4">
        <w:rPr>
          <w:szCs w:val="19"/>
        </w:rPr>
        <w:t>1,7% niższe niż w analogicznym okresie ub. roku (przed rokiem odnotowano wzrost o 3,3%</w:t>
      </w:r>
      <w:r w:rsidRPr="000A70E2">
        <w:rPr>
          <w:szCs w:val="19"/>
        </w:rPr>
        <w:t xml:space="preserve">). </w:t>
      </w:r>
      <w:r w:rsidRPr="000A70E2">
        <w:rPr>
          <w:i/>
          <w:szCs w:val="19"/>
        </w:rPr>
        <w:t>W kraju przeciętne zatrudnienie zmniejszyło się o 0,8% (rok wcześniej wzrosło o 2,8</w:t>
      </w:r>
      <w:r w:rsidRPr="00143352">
        <w:rPr>
          <w:i/>
          <w:szCs w:val="19"/>
        </w:rPr>
        <w:t>%)</w:t>
      </w:r>
      <w:r w:rsidRPr="00143352">
        <w:rPr>
          <w:szCs w:val="19"/>
        </w:rPr>
        <w:t>. Wzrost zatrudnienia odnotowano w</w:t>
      </w:r>
      <w:r w:rsidRPr="00143352">
        <w:t xml:space="preserve"> transporcie i gospodarce magazynowej (o 0,2%). </w:t>
      </w:r>
      <w:r w:rsidRPr="00143352">
        <w:rPr>
          <w:szCs w:val="19"/>
        </w:rPr>
        <w:t>Przybyło również miejsc pracy w przemyśle (o 2,6%), w tym przetwórstwie przemysłowym (o 2,8%).</w:t>
      </w:r>
      <w:r w:rsidRPr="00143352">
        <w:t xml:space="preserve"> </w:t>
      </w:r>
      <w:r w:rsidRPr="00143352">
        <w:rPr>
          <w:szCs w:val="19"/>
        </w:rPr>
        <w:t>Z</w:t>
      </w:r>
      <w:r w:rsidR="00EE2401">
        <w:rPr>
          <w:szCs w:val="19"/>
        </w:rPr>
        <w:t> </w:t>
      </w:r>
      <w:r w:rsidRPr="00143352">
        <w:rPr>
          <w:szCs w:val="19"/>
        </w:rPr>
        <w:t>kolei spadek liczby zatrudnionych wystąpił przede wszystkim w handlu; naprawie pojazdów samochodowych (o 11,9%), zakwaterowaniu i gastronomii (o 9,8%) oraz informacji i komunikacji (o 8,6%).</w:t>
      </w:r>
      <w:r w:rsidRPr="00143352">
        <w:t xml:space="preserve"> </w:t>
      </w:r>
    </w:p>
    <w:p w:rsidR="00422BD0" w:rsidRPr="0025316C" w:rsidRDefault="00422BD0" w:rsidP="00422BD0">
      <w:pPr>
        <w:pageBreakBefore/>
        <w:spacing w:before="0" w:after="0"/>
        <w:rPr>
          <w:b/>
          <w:spacing w:val="-2"/>
          <w:shd w:val="clear" w:color="auto" w:fill="FFFFFF"/>
        </w:rPr>
      </w:pPr>
      <w:r w:rsidRPr="0064083B">
        <w:rPr>
          <w:b/>
          <w:spacing w:val="-2"/>
        </w:rPr>
        <w:lastRenderedPageBreak/>
        <w:t>Wykres 1.</w:t>
      </w:r>
      <w:r w:rsidRPr="0025316C">
        <w:rPr>
          <w:b/>
          <w:spacing w:val="-2"/>
          <w:shd w:val="clear" w:color="auto" w:fill="FFFFFF"/>
        </w:rPr>
        <w:t xml:space="preserve"> Dynamika przeciętnego zatrudnienia w sektorze przedsiębiorstw </w:t>
      </w:r>
    </w:p>
    <w:p w:rsidR="00422BD0" w:rsidRDefault="00EE2401" w:rsidP="00422BD0">
      <w:pPr>
        <w:spacing w:before="0"/>
        <w:ind w:left="709"/>
        <w:rPr>
          <w:spacing w:val="-2"/>
          <w:shd w:val="clear" w:color="auto" w:fill="FFFFFF"/>
        </w:rPr>
      </w:pPr>
      <w:r>
        <w:rPr>
          <w:noProof/>
          <w:lang w:eastAsia="pl-PL"/>
        </w:rPr>
        <w:drawing>
          <wp:anchor distT="0" distB="0" distL="114300" distR="114300" simplePos="0" relativeHeight="251652096" behindDoc="0" locked="0" layoutInCell="1" allowOverlap="1">
            <wp:simplePos x="0" y="0"/>
            <wp:positionH relativeFrom="margin">
              <wp:posOffset>0</wp:posOffset>
            </wp:positionH>
            <wp:positionV relativeFrom="margin">
              <wp:posOffset>390525</wp:posOffset>
            </wp:positionV>
            <wp:extent cx="6645910" cy="236220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422BD0" w:rsidRPr="0025316C">
        <w:rPr>
          <w:spacing w:val="-2"/>
          <w:shd w:val="clear" w:color="auto" w:fill="FFFFFF"/>
        </w:rPr>
        <w:t xml:space="preserve">  (przeciętna miesięczna 2015=100)</w:t>
      </w:r>
    </w:p>
    <w:p w:rsidR="00422BD0" w:rsidRDefault="00422BD0" w:rsidP="00422BD0">
      <w:pPr>
        <w:rPr>
          <w:rFonts w:cs="Arial"/>
          <w:szCs w:val="19"/>
        </w:rPr>
      </w:pPr>
    </w:p>
    <w:p w:rsidR="00422BD0" w:rsidRPr="00A350D9" w:rsidRDefault="00422BD0" w:rsidP="00D14189">
      <w:pPr>
        <w:rPr>
          <w:rFonts w:cs="Arial"/>
          <w:szCs w:val="19"/>
        </w:rPr>
      </w:pPr>
      <w:r w:rsidRPr="00A350D9">
        <w:rPr>
          <w:rFonts w:cs="Arial"/>
          <w:szCs w:val="19"/>
        </w:rPr>
        <w:t>W końcu lipca 2020 r. liczba bezrobotnych zarejestrowanych w urzędach pracy wyniosła 45,9 tys. osób i była większa o 0,3% (0,1 tys. osób) niż przed miesiącem oraz o 13,2% (5,3 tys. osób) niż rok wcześniej. Kobiety stanowiły 51,2% ogółu zarejestrowanych bezrobotnych, tj. o 3,2 p.proc. mniej niż przed rokiem.</w:t>
      </w:r>
    </w:p>
    <w:p w:rsidR="00422BD0" w:rsidRDefault="00422BD0" w:rsidP="00422BD0">
      <w:pPr>
        <w:pStyle w:val="tytuwykresu"/>
        <w:rPr>
          <w:b w:val="0"/>
          <w:sz w:val="18"/>
          <w:shd w:val="clear" w:color="auto" w:fill="FFFFFF"/>
        </w:rPr>
      </w:pPr>
      <w:r w:rsidRPr="006473EA">
        <w:rPr>
          <w:shd w:val="clear" w:color="auto" w:fill="FFFFFF"/>
        </w:rPr>
        <w:t>Tablica 2. Liczba bezrobotnych i stopa bezrobocia</w:t>
      </w:r>
    </w:p>
    <w:tbl>
      <w:tblPr>
        <w:tblStyle w:val="Siatkatabelijasna1"/>
        <w:tblpPr w:leftFromText="141" w:rightFromText="141" w:vertAnchor="text" w:horzAnchor="margin" w:tblpXSpec="center" w:tblpY="5"/>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968"/>
        <w:gridCol w:w="1833"/>
        <w:gridCol w:w="1833"/>
        <w:gridCol w:w="1833"/>
      </w:tblGrid>
      <w:tr w:rsidR="00422BD0" w:rsidRPr="00FA5128" w:rsidTr="00045D91">
        <w:trPr>
          <w:trHeight w:val="20"/>
        </w:trPr>
        <w:tc>
          <w:tcPr>
            <w:tcW w:w="4968" w:type="dxa"/>
            <w:vMerge w:val="restart"/>
            <w:tcBorders>
              <w:top w:val="single" w:sz="4" w:space="0" w:color="522398"/>
              <w:right w:val="single" w:sz="4" w:space="0" w:color="522398"/>
            </w:tcBorders>
            <w:vAlign w:val="center"/>
          </w:tcPr>
          <w:p w:rsidR="00422BD0" w:rsidRPr="009C7251" w:rsidRDefault="00422BD0" w:rsidP="00045D91">
            <w:pPr>
              <w:pStyle w:val="Nagwek1"/>
              <w:tabs>
                <w:tab w:val="right" w:leader="dot" w:pos="4139"/>
              </w:tabs>
              <w:spacing w:before="240" w:after="240"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833" w:type="dxa"/>
            <w:tcBorders>
              <w:top w:val="single" w:sz="4" w:space="0" w:color="522398"/>
              <w:right w:val="single" w:sz="4" w:space="0" w:color="522398"/>
            </w:tcBorders>
            <w:vAlign w:val="center"/>
          </w:tcPr>
          <w:p w:rsidR="00422BD0" w:rsidRPr="00FA5128" w:rsidRDefault="00422BD0" w:rsidP="00045D91">
            <w:pPr>
              <w:pStyle w:val="Nagwek3"/>
              <w:spacing w:after="4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3666" w:type="dxa"/>
            <w:gridSpan w:val="2"/>
            <w:tcBorders>
              <w:top w:val="single" w:sz="4" w:space="0" w:color="522398"/>
              <w:right w:val="nil"/>
            </w:tcBorders>
            <w:vAlign w:val="center"/>
          </w:tcPr>
          <w:p w:rsidR="00422BD0" w:rsidRPr="00FA5128" w:rsidRDefault="00422BD0" w:rsidP="00045D91">
            <w:pPr>
              <w:spacing w:before="40" w:after="40" w:line="160" w:lineRule="exact"/>
              <w:jc w:val="center"/>
              <w:rPr>
                <w:color w:val="000000" w:themeColor="text1"/>
                <w:sz w:val="16"/>
                <w:szCs w:val="16"/>
              </w:rPr>
            </w:pPr>
            <w:r>
              <w:rPr>
                <w:color w:val="000000" w:themeColor="text1"/>
                <w:sz w:val="16"/>
                <w:szCs w:val="16"/>
              </w:rPr>
              <w:t>2020</w:t>
            </w:r>
          </w:p>
        </w:tc>
      </w:tr>
      <w:tr w:rsidR="00422BD0" w:rsidRPr="00FA5128" w:rsidTr="00045D91">
        <w:trPr>
          <w:trHeight w:val="20"/>
        </w:trPr>
        <w:tc>
          <w:tcPr>
            <w:tcW w:w="4968" w:type="dxa"/>
            <w:vMerge/>
            <w:tcBorders>
              <w:bottom w:val="single" w:sz="4" w:space="0" w:color="522398"/>
              <w:right w:val="single" w:sz="4" w:space="0" w:color="522398"/>
            </w:tcBorders>
            <w:vAlign w:val="center"/>
          </w:tcPr>
          <w:p w:rsidR="00422BD0" w:rsidRPr="00FA5128" w:rsidRDefault="00422BD0" w:rsidP="00045D91">
            <w:pPr>
              <w:pStyle w:val="Nagwek1"/>
              <w:tabs>
                <w:tab w:val="right" w:leader="dot" w:pos="4139"/>
              </w:tabs>
              <w:spacing w:line="160" w:lineRule="exact"/>
              <w:jc w:val="center"/>
              <w:outlineLvl w:val="0"/>
              <w:rPr>
                <w:rFonts w:cs="Arial"/>
                <w:b/>
                <w:color w:val="000000" w:themeColor="text1"/>
                <w:sz w:val="16"/>
                <w:szCs w:val="16"/>
              </w:rPr>
            </w:pPr>
          </w:p>
        </w:tc>
        <w:tc>
          <w:tcPr>
            <w:tcW w:w="1833" w:type="dxa"/>
            <w:tcBorders>
              <w:bottom w:val="single" w:sz="4" w:space="0" w:color="522398"/>
              <w:right w:val="single" w:sz="4" w:space="0" w:color="522398"/>
            </w:tcBorders>
            <w:vAlign w:val="center"/>
          </w:tcPr>
          <w:p w:rsidR="00422BD0" w:rsidRPr="00FA5128" w:rsidRDefault="00422BD0" w:rsidP="00045D91">
            <w:pPr>
              <w:spacing w:before="0" w:after="0"/>
              <w:jc w:val="center"/>
              <w:rPr>
                <w:color w:val="000000" w:themeColor="text1"/>
                <w:sz w:val="16"/>
                <w:szCs w:val="16"/>
              </w:rPr>
            </w:pPr>
            <w:r>
              <w:rPr>
                <w:color w:val="000000" w:themeColor="text1"/>
                <w:sz w:val="16"/>
                <w:szCs w:val="16"/>
              </w:rPr>
              <w:t>VII</w:t>
            </w:r>
          </w:p>
        </w:tc>
        <w:tc>
          <w:tcPr>
            <w:tcW w:w="1833" w:type="dxa"/>
            <w:tcBorders>
              <w:top w:val="single" w:sz="4" w:space="0" w:color="522398"/>
              <w:left w:val="single" w:sz="4" w:space="0" w:color="522398"/>
              <w:bottom w:val="single" w:sz="4" w:space="0" w:color="522398"/>
              <w:right w:val="single" w:sz="4" w:space="0" w:color="522398"/>
            </w:tcBorders>
            <w:vAlign w:val="center"/>
          </w:tcPr>
          <w:p w:rsidR="00422BD0" w:rsidRPr="00FA5128" w:rsidRDefault="00422BD0" w:rsidP="00045D91">
            <w:pPr>
              <w:spacing w:before="0" w:after="0"/>
              <w:jc w:val="center"/>
              <w:rPr>
                <w:color w:val="000000" w:themeColor="text1"/>
                <w:sz w:val="16"/>
                <w:szCs w:val="16"/>
              </w:rPr>
            </w:pPr>
            <w:r>
              <w:rPr>
                <w:color w:val="000000" w:themeColor="text1"/>
                <w:sz w:val="16"/>
                <w:szCs w:val="16"/>
              </w:rPr>
              <w:t>VI</w:t>
            </w:r>
          </w:p>
        </w:tc>
        <w:tc>
          <w:tcPr>
            <w:tcW w:w="1833" w:type="dxa"/>
            <w:tcBorders>
              <w:left w:val="single" w:sz="4" w:space="0" w:color="522398"/>
              <w:bottom w:val="single" w:sz="4" w:space="0" w:color="522398"/>
              <w:right w:val="nil"/>
            </w:tcBorders>
            <w:vAlign w:val="center"/>
          </w:tcPr>
          <w:p w:rsidR="00422BD0" w:rsidRPr="00FA5128" w:rsidRDefault="00422BD0" w:rsidP="00045D91">
            <w:pPr>
              <w:spacing w:before="0" w:after="0"/>
              <w:jc w:val="center"/>
              <w:rPr>
                <w:color w:val="000000" w:themeColor="text1"/>
                <w:sz w:val="16"/>
                <w:szCs w:val="16"/>
              </w:rPr>
            </w:pPr>
            <w:r>
              <w:rPr>
                <w:color w:val="000000" w:themeColor="text1"/>
                <w:sz w:val="16"/>
                <w:szCs w:val="16"/>
              </w:rPr>
              <w:t>VII</w:t>
            </w:r>
          </w:p>
        </w:tc>
      </w:tr>
      <w:tr w:rsidR="00422BD0"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422BD0" w:rsidRPr="006C2CCB" w:rsidRDefault="00422BD0" w:rsidP="00045D91">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zarejestrowani (stan w końcu miesiąca) w tys. </w:t>
            </w:r>
          </w:p>
        </w:tc>
        <w:tc>
          <w:tcPr>
            <w:tcW w:w="1833" w:type="dxa"/>
            <w:tcBorders>
              <w:top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sidRPr="00A04B0A">
              <w:rPr>
                <w:rFonts w:cs="Arial"/>
                <w:sz w:val="16"/>
                <w:szCs w:val="16"/>
              </w:rPr>
              <w:t>40,6</w:t>
            </w:r>
          </w:p>
        </w:tc>
        <w:tc>
          <w:tcPr>
            <w:tcW w:w="1833" w:type="dxa"/>
            <w:tcBorders>
              <w:top w:val="single" w:sz="4" w:space="0" w:color="522398"/>
              <w:left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45,8</w:t>
            </w:r>
          </w:p>
        </w:tc>
        <w:tc>
          <w:tcPr>
            <w:tcW w:w="1833" w:type="dxa"/>
            <w:tcBorders>
              <w:top w:val="single" w:sz="4" w:space="0" w:color="522398"/>
              <w:left w:val="single" w:sz="4" w:space="0" w:color="522398"/>
              <w:bottom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sidRPr="00A350D9">
              <w:rPr>
                <w:rFonts w:cs="Arial"/>
                <w:sz w:val="16"/>
                <w:szCs w:val="16"/>
              </w:rPr>
              <w:t>45,9</w:t>
            </w:r>
          </w:p>
        </w:tc>
      </w:tr>
      <w:tr w:rsidR="00422BD0"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422BD0" w:rsidRPr="006C2CCB" w:rsidRDefault="00422BD0" w:rsidP="00045D91">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nowo zarejestrowani (w ciągu miesiąca) w tys. </w:t>
            </w:r>
          </w:p>
        </w:tc>
        <w:tc>
          <w:tcPr>
            <w:tcW w:w="1833" w:type="dxa"/>
            <w:tcBorders>
              <w:top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sidRPr="00A04B0A">
              <w:rPr>
                <w:rFonts w:cs="Arial"/>
                <w:sz w:val="16"/>
                <w:szCs w:val="16"/>
              </w:rPr>
              <w:t>5,5</w:t>
            </w:r>
          </w:p>
        </w:tc>
        <w:tc>
          <w:tcPr>
            <w:tcW w:w="1833" w:type="dxa"/>
            <w:tcBorders>
              <w:top w:val="single" w:sz="4" w:space="0" w:color="522398"/>
              <w:left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4,3</w:t>
            </w:r>
          </w:p>
        </w:tc>
        <w:tc>
          <w:tcPr>
            <w:tcW w:w="1833" w:type="dxa"/>
            <w:tcBorders>
              <w:top w:val="single" w:sz="4" w:space="0" w:color="522398"/>
              <w:left w:val="single" w:sz="4" w:space="0" w:color="522398"/>
              <w:bottom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4,8</w:t>
            </w:r>
          </w:p>
        </w:tc>
      </w:tr>
      <w:tr w:rsidR="00422BD0"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422BD0" w:rsidRPr="006C2CCB" w:rsidRDefault="00422BD0" w:rsidP="00045D91">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wyrejestrowani (w ciągu miesiąca) w tys. </w:t>
            </w:r>
          </w:p>
        </w:tc>
        <w:tc>
          <w:tcPr>
            <w:tcW w:w="1833" w:type="dxa"/>
            <w:tcBorders>
              <w:top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sidRPr="00A04B0A">
              <w:rPr>
                <w:rFonts w:cs="Arial"/>
                <w:sz w:val="16"/>
                <w:szCs w:val="16"/>
              </w:rPr>
              <w:t>5,5</w:t>
            </w:r>
          </w:p>
        </w:tc>
        <w:tc>
          <w:tcPr>
            <w:tcW w:w="1833" w:type="dxa"/>
            <w:tcBorders>
              <w:top w:val="single" w:sz="4" w:space="0" w:color="522398"/>
              <w:left w:val="single" w:sz="4" w:space="0" w:color="522398"/>
              <w:bottom w:val="single" w:sz="4" w:space="0" w:color="522398"/>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4,1</w:t>
            </w:r>
          </w:p>
        </w:tc>
        <w:tc>
          <w:tcPr>
            <w:tcW w:w="1833" w:type="dxa"/>
            <w:tcBorders>
              <w:top w:val="single" w:sz="4" w:space="0" w:color="522398"/>
              <w:left w:val="single" w:sz="4" w:space="0" w:color="522398"/>
              <w:bottom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4,7</w:t>
            </w:r>
          </w:p>
        </w:tc>
      </w:tr>
      <w:tr w:rsidR="00422BD0" w:rsidRPr="006C2CCB" w:rsidTr="00045D91">
        <w:trPr>
          <w:trHeight w:val="20"/>
        </w:trPr>
        <w:tc>
          <w:tcPr>
            <w:tcW w:w="4968" w:type="dxa"/>
            <w:tcBorders>
              <w:top w:val="single" w:sz="4" w:space="0" w:color="522398"/>
              <w:bottom w:val="nil"/>
              <w:right w:val="single" w:sz="4" w:space="0" w:color="522398"/>
            </w:tcBorders>
            <w:vAlign w:val="bottom"/>
          </w:tcPr>
          <w:p w:rsidR="00422BD0" w:rsidRPr="006C2CCB" w:rsidRDefault="00422BD0" w:rsidP="00045D91">
            <w:pPr>
              <w:tabs>
                <w:tab w:val="left" w:leader="dot" w:pos="5103"/>
              </w:tabs>
              <w:spacing w:before="60" w:after="0" w:line="240" w:lineRule="auto"/>
              <w:ind w:left="113" w:hanging="113"/>
              <w:rPr>
                <w:rFonts w:cs="Arial"/>
                <w:spacing w:val="-2"/>
                <w:sz w:val="16"/>
                <w:szCs w:val="16"/>
              </w:rPr>
            </w:pPr>
            <w:r w:rsidRPr="006C2CCB">
              <w:rPr>
                <w:rFonts w:cs="Arial"/>
                <w:spacing w:val="-2"/>
                <w:sz w:val="16"/>
                <w:szCs w:val="16"/>
              </w:rPr>
              <w:t xml:space="preserve">Stopa bezrobocia rejestrowanego (stan w końcu miesiąca) w </w:t>
            </w:r>
            <w:r>
              <w:rPr>
                <w:rFonts w:cs="Arial"/>
                <w:spacing w:val="-2"/>
                <w:sz w:val="16"/>
                <w:szCs w:val="16"/>
              </w:rPr>
              <w:t>%</w:t>
            </w:r>
          </w:p>
        </w:tc>
        <w:tc>
          <w:tcPr>
            <w:tcW w:w="1833" w:type="dxa"/>
            <w:tcBorders>
              <w:top w:val="single" w:sz="4" w:space="0" w:color="522398"/>
              <w:bottom w:val="nil"/>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sidRPr="00A04B0A">
              <w:rPr>
                <w:rFonts w:cs="Arial"/>
                <w:sz w:val="16"/>
                <w:szCs w:val="16"/>
              </w:rPr>
              <w:t>7,</w:t>
            </w:r>
            <w:r>
              <w:rPr>
                <w:rFonts w:cs="Arial"/>
                <w:sz w:val="16"/>
                <w:szCs w:val="16"/>
              </w:rPr>
              <w:t>7</w:t>
            </w:r>
          </w:p>
        </w:tc>
        <w:tc>
          <w:tcPr>
            <w:tcW w:w="1833" w:type="dxa"/>
            <w:tcBorders>
              <w:top w:val="single" w:sz="4" w:space="0" w:color="522398"/>
              <w:left w:val="single" w:sz="4" w:space="0" w:color="522398"/>
              <w:bottom w:val="nil"/>
              <w:right w:val="single" w:sz="4" w:space="0" w:color="522398"/>
            </w:tcBorders>
            <w:vAlign w:val="bottom"/>
          </w:tcPr>
          <w:p w:rsidR="00422BD0" w:rsidRPr="002A3098" w:rsidRDefault="00422BD0" w:rsidP="00045D91">
            <w:pPr>
              <w:spacing w:before="60" w:after="0" w:line="240" w:lineRule="auto"/>
              <w:ind w:right="113"/>
              <w:jc w:val="right"/>
              <w:rPr>
                <w:rFonts w:cs="Arial"/>
                <w:sz w:val="16"/>
                <w:szCs w:val="16"/>
              </w:rPr>
            </w:pPr>
            <w:r>
              <w:rPr>
                <w:rFonts w:cs="Arial"/>
                <w:sz w:val="16"/>
                <w:szCs w:val="16"/>
              </w:rPr>
              <w:t>8,6</w:t>
            </w:r>
          </w:p>
        </w:tc>
        <w:tc>
          <w:tcPr>
            <w:tcW w:w="1833" w:type="dxa"/>
            <w:tcBorders>
              <w:top w:val="single" w:sz="4" w:space="0" w:color="522398"/>
              <w:left w:val="single" w:sz="4" w:space="0" w:color="522398"/>
              <w:bottom w:val="nil"/>
            </w:tcBorders>
            <w:vAlign w:val="bottom"/>
          </w:tcPr>
          <w:p w:rsidR="00422BD0" w:rsidRPr="002A3098" w:rsidRDefault="00422BD0" w:rsidP="00045D91">
            <w:pPr>
              <w:spacing w:before="60" w:after="0" w:line="240" w:lineRule="auto"/>
              <w:ind w:right="113"/>
              <w:jc w:val="right"/>
              <w:rPr>
                <w:rFonts w:cs="Arial"/>
                <w:sz w:val="16"/>
                <w:szCs w:val="16"/>
              </w:rPr>
            </w:pPr>
            <w:r w:rsidRPr="00A350D9">
              <w:rPr>
                <w:rFonts w:cs="Arial"/>
                <w:sz w:val="16"/>
                <w:szCs w:val="16"/>
              </w:rPr>
              <w:t>8,6</w:t>
            </w:r>
          </w:p>
        </w:tc>
      </w:tr>
    </w:tbl>
    <w:p w:rsidR="00422BD0" w:rsidRDefault="00422BD0" w:rsidP="00422BD0">
      <w:pPr>
        <w:pStyle w:val="Tekstpodstawowy"/>
        <w:tabs>
          <w:tab w:val="left" w:pos="567"/>
        </w:tabs>
        <w:jc w:val="left"/>
        <w:rPr>
          <w:rFonts w:ascii="Fira Sans" w:hAnsi="Fira Sans" w:cs="Arial"/>
          <w:b/>
          <w:sz w:val="19"/>
          <w:szCs w:val="19"/>
        </w:rPr>
      </w:pPr>
    </w:p>
    <w:p w:rsidR="00422BD0" w:rsidRPr="00796F0A" w:rsidRDefault="00422BD0" w:rsidP="00D14189">
      <w:pPr>
        <w:pStyle w:val="Tekstpodstawowy"/>
        <w:tabs>
          <w:tab w:val="left" w:pos="567"/>
        </w:tabs>
        <w:spacing w:before="120" w:after="120" w:line="240" w:lineRule="exact"/>
        <w:jc w:val="left"/>
        <w:rPr>
          <w:rFonts w:ascii="Fira Sans" w:hAnsi="Fira Sans" w:cs="Arial"/>
          <w:sz w:val="19"/>
          <w:szCs w:val="19"/>
        </w:rPr>
      </w:pPr>
      <w:r w:rsidRPr="00796F0A">
        <w:rPr>
          <w:rFonts w:ascii="Fira Sans" w:hAnsi="Fira Sans" w:cs="Arial"/>
          <w:b/>
          <w:sz w:val="19"/>
          <w:szCs w:val="19"/>
        </w:rPr>
        <w:t>Stopa bezrobocia rejestrowanego</w:t>
      </w:r>
      <w:r w:rsidRPr="00796F0A">
        <w:rPr>
          <w:rFonts w:ascii="Fira Sans" w:hAnsi="Fira Sans" w:cs="Arial"/>
          <w:sz w:val="19"/>
          <w:szCs w:val="19"/>
        </w:rPr>
        <w:t xml:space="preserve"> osiągnęła poziom 8,6%, kształtując się wyżej niż przed rokiem (7,7%). </w:t>
      </w:r>
      <w:r w:rsidRPr="00796F0A">
        <w:rPr>
          <w:rFonts w:ascii="Fira Sans" w:hAnsi="Fira Sans" w:cs="Arial"/>
          <w:i/>
          <w:sz w:val="19"/>
          <w:szCs w:val="19"/>
        </w:rPr>
        <w:t xml:space="preserve">W kraju stopa bezrobocia rejestrowanego wyniosła 6,1% wobec 6,1% przed miesiącem i 5,2% przed rokiem. </w:t>
      </w:r>
      <w:r w:rsidRPr="00796F0A">
        <w:rPr>
          <w:rFonts w:ascii="Fira Sans" w:hAnsi="Fira Sans" w:cs="Arial"/>
          <w:sz w:val="19"/>
          <w:szCs w:val="19"/>
        </w:rPr>
        <w:t>Województwo świętokrzyskie należy do grupy województw o wysokiej stopie bezrobocia. Na koniec miesiąca sprawozdawczego najniższą wartość wskaźnika odnotowano w województwie wielkopolskim (3,7%), natomiast w jeszcze trudniejszej sytuacji niż świętokrzyskie pozostawały województwa: kujawsko-pomorskie (8,7%), podkarpackie (9,0%) oraz warmińsko-mazurskie (10,1%).</w:t>
      </w:r>
    </w:p>
    <w:p w:rsidR="00422BD0" w:rsidRDefault="00EE2401" w:rsidP="00422BD0">
      <w:pPr>
        <w:pStyle w:val="tytuwykresu"/>
        <w:spacing w:after="120"/>
        <w:rPr>
          <w:noProof/>
          <w:lang w:eastAsia="pl-PL"/>
        </w:rPr>
      </w:pPr>
      <w:r>
        <w:rPr>
          <w:noProof/>
          <w:lang w:eastAsia="pl-PL"/>
        </w:rPr>
        <w:drawing>
          <wp:anchor distT="0" distB="0" distL="114300" distR="114300" simplePos="0" relativeHeight="251660288" behindDoc="0" locked="0" layoutInCell="1" allowOverlap="1">
            <wp:simplePos x="0" y="0"/>
            <wp:positionH relativeFrom="margin">
              <wp:posOffset>0</wp:posOffset>
            </wp:positionH>
            <wp:positionV relativeFrom="margin">
              <wp:posOffset>6877050</wp:posOffset>
            </wp:positionV>
            <wp:extent cx="6645910" cy="2400300"/>
            <wp:effectExtent l="0" t="0" r="0" b="0"/>
            <wp:wrapSquare wrapText="bothSides"/>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22BD0" w:rsidRPr="006473EA">
        <w:t>Wykres 2.</w:t>
      </w:r>
      <w:r w:rsidR="00422BD0" w:rsidRPr="006473EA">
        <w:rPr>
          <w:shd w:val="clear" w:color="auto" w:fill="FFFFFF"/>
        </w:rPr>
        <w:t xml:space="preserve"> Stopa bezrobocia rejestrowanego</w:t>
      </w:r>
      <w:r w:rsidR="00422BD0">
        <w:rPr>
          <w:shd w:val="clear" w:color="auto" w:fill="FFFFFF"/>
        </w:rPr>
        <w:t xml:space="preserve"> </w:t>
      </w:r>
      <w:r w:rsidR="00422BD0" w:rsidRPr="00E47AFC">
        <w:rPr>
          <w:b w:val="0"/>
          <w:shd w:val="clear" w:color="auto" w:fill="FFFFFF"/>
        </w:rPr>
        <w:t>(stan w końcu miesiąca)</w:t>
      </w:r>
      <w:r w:rsidR="00422BD0" w:rsidRPr="003E4751">
        <w:rPr>
          <w:noProof/>
          <w:lang w:eastAsia="pl-PL"/>
        </w:rPr>
        <w:t xml:space="preserve"> </w:t>
      </w:r>
    </w:p>
    <w:p w:rsidR="00422BD0" w:rsidRPr="00FE0876" w:rsidRDefault="00422BD0" w:rsidP="00EE2401">
      <w:pPr>
        <w:pStyle w:val="tytuwykresu"/>
        <w:pageBreakBefore/>
        <w:spacing w:before="120" w:after="120"/>
        <w:rPr>
          <w:rFonts w:cs="Arial"/>
          <w:b w:val="0"/>
          <w:szCs w:val="19"/>
        </w:rPr>
      </w:pPr>
      <w:r w:rsidRPr="00AE335C">
        <w:rPr>
          <w:rFonts w:cs="Arial"/>
          <w:b w:val="0"/>
          <w:noProof/>
          <w:szCs w:val="19"/>
          <w:lang w:eastAsia="pl-PL"/>
        </w:rPr>
        <w:lastRenderedPageBreak/>
        <w:drawing>
          <wp:anchor distT="0" distB="0" distL="114300" distR="114300" simplePos="0" relativeHeight="251648000" behindDoc="0" locked="0" layoutInCell="1" allowOverlap="1">
            <wp:simplePos x="0" y="0"/>
            <wp:positionH relativeFrom="column">
              <wp:posOffset>304800</wp:posOffset>
            </wp:positionH>
            <wp:positionV relativeFrom="paragraph">
              <wp:posOffset>523875</wp:posOffset>
            </wp:positionV>
            <wp:extent cx="3239770" cy="3133725"/>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Komunikaty\2019\Komunikat 10.2019\wykresy\STOPA-BEZR_mapa_X-2019.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239770" cy="3133725"/>
                    </a:xfrm>
                    <a:prstGeom prst="rect">
                      <a:avLst/>
                    </a:prstGeom>
                    <a:noFill/>
                    <a:ln>
                      <a:noFill/>
                    </a:ln>
                  </pic:spPr>
                </pic:pic>
              </a:graphicData>
            </a:graphic>
          </wp:anchor>
        </w:drawing>
      </w:r>
      <w:r w:rsidR="0087522E">
        <w:rPr>
          <w:b w:val="0"/>
          <w:noProof/>
          <w:lang w:eastAsia="pl-PL"/>
        </w:rPr>
        <w:pict>
          <v:shapetype id="_x0000_t202" coordsize="21600,21600" o:spt="202" path="m,l,21600r21600,l21600,xe">
            <v:stroke joinstyle="miter"/>
            <v:path gradientshapeok="t" o:connecttype="rect"/>
          </v:shapetype>
          <v:shape id="Text Box 75" o:spid="_x0000_s1034" type="#_x0000_t202" style="position:absolute;margin-left:-1.8pt;margin-top:6pt;width:280.95pt;height:48.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58 0 -58 21268 21600 21268 21600 0 -5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" stroked="f">
            <v:textbox>
              <w:txbxContent>
                <w:p w:rsidR="0087522E" w:rsidRPr="00723241" w:rsidRDefault="0087522E" w:rsidP="00422BD0">
                  <w:pPr>
                    <w:spacing w:after="0"/>
                    <w:ind w:left="851" w:hanging="709"/>
                  </w:pPr>
                  <w:r w:rsidRPr="00D13612">
                    <w:rPr>
                      <w:b/>
                    </w:rPr>
                    <w:t>Mapa 1.</w:t>
                  </w:r>
                  <w:r w:rsidRPr="00D13612">
                    <w:rPr>
                      <w:b/>
                      <w:shd w:val="clear" w:color="auto" w:fill="FFFFFF"/>
                    </w:rPr>
                    <w:t xml:space="preserve"> Stopa bezrobocia rejestrowanego</w:t>
                  </w:r>
                  <w:r w:rsidRPr="00DC69CD">
                    <w:rPr>
                      <w:b/>
                      <w:shd w:val="clear" w:color="auto" w:fill="FFFFFF"/>
                    </w:rPr>
                    <w:br/>
                  </w:r>
                  <w:r w:rsidRPr="00D13612">
                    <w:rPr>
                      <w:shd w:val="clear" w:color="auto" w:fill="FFFFFF"/>
                    </w:rPr>
                    <w:t xml:space="preserve">Stan w końcu </w:t>
                  </w:r>
                  <w:r>
                    <w:rPr>
                      <w:shd w:val="clear" w:color="auto" w:fill="FFFFFF"/>
                    </w:rPr>
                    <w:t>lipca</w:t>
                  </w:r>
                  <w:r w:rsidRPr="00D13612">
                    <w:rPr>
                      <w:shd w:val="clear" w:color="auto" w:fill="FFFFFF"/>
                    </w:rPr>
                    <w:t xml:space="preserve"> 2020 r.</w:t>
                  </w:r>
                </w:p>
              </w:txbxContent>
            </v:textbox>
            <w10:wrap type="tight"/>
          </v:shape>
        </w:pict>
      </w:r>
      <w:r w:rsidRPr="00AE335C">
        <w:rPr>
          <w:rFonts w:cs="Arial"/>
          <w:b w:val="0"/>
          <w:szCs w:val="19"/>
        </w:rPr>
        <w:t xml:space="preserve">Do powiatów o najwyższej stopie bezrobocia należały: skarżyski (16,0% wobec 14,0% przed rokiem), opatowski (12,8% wobec 12,0%) i konecki (12,5% wobec 10,8%), a o najniższej: buski (4,1% wobec 3,1%), pińczowski (6,7% wobec 6,1%) </w:t>
      </w:r>
      <w:r w:rsidRPr="00C50681">
        <w:rPr>
          <w:rFonts w:cs="Arial"/>
          <w:b w:val="0"/>
          <w:szCs w:val="19"/>
        </w:rPr>
        <w:t>i miasto Kielce (5,7% wobec 5,0%).</w:t>
      </w:r>
      <w:r w:rsidRPr="00AE335C">
        <w:rPr>
          <w:rFonts w:cs="Arial"/>
          <w:b w:val="0"/>
          <w:color w:val="C00000"/>
          <w:szCs w:val="19"/>
        </w:rPr>
        <w:t xml:space="preserve"> </w:t>
      </w:r>
      <w:r w:rsidRPr="00FE0876">
        <w:rPr>
          <w:rFonts w:cs="Arial"/>
          <w:b w:val="0"/>
          <w:szCs w:val="19"/>
        </w:rPr>
        <w:t>W porównaniu z analogicznym okresem 2019 r. stopa bezrobocia wzrosła we wszystkich powiatach województwa świętokrzyskiego, przy czym najbardziej w powiatach: skarżyskim (o 2,0 p.proc.), koneckim (o 1,7 p.proc.),</w:t>
      </w:r>
      <w:r w:rsidRPr="00FE0876">
        <w:rPr>
          <w:rFonts w:cs="Arial"/>
          <w:szCs w:val="19"/>
        </w:rPr>
        <w:t xml:space="preserve"> </w:t>
      </w:r>
      <w:r w:rsidRPr="00FE0876">
        <w:rPr>
          <w:rFonts w:cs="Arial"/>
          <w:b w:val="0"/>
          <w:szCs w:val="19"/>
        </w:rPr>
        <w:t xml:space="preserve">starachowickim (o 1,4 p.proc.) oraz ostrowieckim (o 1,1 p.proc.). </w:t>
      </w:r>
    </w:p>
    <w:p w:rsidR="00422BD0" w:rsidRPr="00145763" w:rsidRDefault="00422BD0" w:rsidP="00EE2401">
      <w:pPr>
        <w:rPr>
          <w:rFonts w:cs="Arial"/>
          <w:szCs w:val="19"/>
        </w:rPr>
      </w:pPr>
      <w:r w:rsidRPr="00FE1F15">
        <w:rPr>
          <w:rFonts w:cs="Arial"/>
          <w:szCs w:val="19"/>
        </w:rPr>
        <w:t xml:space="preserve">W lipcu 2020 r. w urzędach pracy zarejestrowano </w:t>
      </w:r>
      <w:r w:rsidRPr="00FE1F15">
        <w:rPr>
          <w:rFonts w:cs="Arial"/>
          <w:szCs w:val="19"/>
        </w:rPr>
        <w:br/>
        <w:t xml:space="preserve">4,8 tys. osób bezrobotnych, tj. o 11,9% więcej niż przed miesiącem i o 13,4% mniej niż przed </w:t>
      </w:r>
      <w:r w:rsidRPr="00811C18">
        <w:rPr>
          <w:rFonts w:cs="Arial"/>
          <w:szCs w:val="19"/>
        </w:rPr>
        <w:t xml:space="preserve">rokiem. Stopa napływu bezrobotnych do urzędów pracy (tj. stosunek nowo zarejestrowanych do liczby aktywnych zawodowo) wyniosła 0,9% wobec 1,0% rok </w:t>
      </w:r>
      <w:r w:rsidRPr="007F1E6F">
        <w:rPr>
          <w:rFonts w:cs="Arial"/>
          <w:szCs w:val="19"/>
        </w:rPr>
        <w:t>wcześniej. Udział osób rejestrujących się po raz kolejny zmniejszył się na przestrzeni roku o 4,8 p.proc. (do 78,3</w:t>
      </w:r>
      <w:r w:rsidRPr="00145763">
        <w:rPr>
          <w:rFonts w:cs="Arial"/>
          <w:szCs w:val="19"/>
        </w:rPr>
        <w:t xml:space="preserve">%). Zmniejszył się także odsetek osób poprzednio pracujących </w:t>
      </w:r>
      <w:r>
        <w:rPr>
          <w:rFonts w:cs="Arial"/>
          <w:szCs w:val="19"/>
        </w:rPr>
        <w:br/>
      </w:r>
      <w:r w:rsidRPr="00145763">
        <w:rPr>
          <w:rFonts w:cs="Arial"/>
          <w:szCs w:val="19"/>
        </w:rPr>
        <w:t xml:space="preserve">(o 1,8 p.proc. do 82,3%) i zamieszkałych na wsi </w:t>
      </w:r>
      <w:r>
        <w:rPr>
          <w:rFonts w:cs="Arial"/>
          <w:szCs w:val="19"/>
        </w:rPr>
        <w:br/>
      </w:r>
      <w:r w:rsidRPr="00145763">
        <w:rPr>
          <w:rFonts w:cs="Arial"/>
          <w:szCs w:val="19"/>
        </w:rPr>
        <w:t xml:space="preserve">(o 0,9 p.proc. do 54,7%). Wzrósł natomiast udział: absolwentów (o 2,8 p.proc. do 12,6%), osób bez kwalifikacji zawodowych (o 2,1 p.proc. do 24,7%) i bez doświadczenia zawodowego (o 1,4 p.proc. do 25,5%) oraz osób zwolnionych z przyczyn dotyczących zakładu pracy </w:t>
      </w:r>
      <w:r>
        <w:rPr>
          <w:rFonts w:cs="Arial"/>
          <w:szCs w:val="19"/>
        </w:rPr>
        <w:br/>
        <w:t>(</w:t>
      </w:r>
      <w:r w:rsidRPr="00145763">
        <w:rPr>
          <w:rFonts w:cs="Arial"/>
          <w:szCs w:val="19"/>
        </w:rPr>
        <w:t>o 0,7 p.proc. do 4,2%).</w:t>
      </w:r>
    </w:p>
    <w:p w:rsidR="00422BD0" w:rsidRDefault="00422BD0" w:rsidP="00EE2401">
      <w:pPr>
        <w:rPr>
          <w:rFonts w:cs="Arial"/>
          <w:szCs w:val="19"/>
        </w:rPr>
      </w:pPr>
      <w:r w:rsidRPr="009D229F">
        <w:rPr>
          <w:rFonts w:cs="Arial"/>
          <w:szCs w:val="19"/>
        </w:rPr>
        <w:t>Z ewidencji bezrobotnych w lipcu 2020 r. wyrejestrowano 4,7 tys. osób, tj. o 14,7% więcej niż przed miesiącem i o 15,7% mniej niż rok wcześniej. Stopa odpływu bezrobotnych z urzędów pracy (tj. stosunek liczby bezrobotnych wyrejestrowanych w danym miesiącu do liczby bezrobotnych na koniec ub. miesiąca) wyniosła 10,2% wobec 13,6% przed rokiem.</w:t>
      </w:r>
      <w:r w:rsidRPr="00A04B0A">
        <w:rPr>
          <w:rFonts w:cs="Arial"/>
          <w:color w:val="C00000"/>
          <w:szCs w:val="19"/>
        </w:rPr>
        <w:t xml:space="preserve"> </w:t>
      </w:r>
      <w:r>
        <w:rPr>
          <w:rFonts w:cs="Arial"/>
          <w:color w:val="C00000"/>
          <w:szCs w:val="19"/>
        </w:rPr>
        <w:br/>
      </w:r>
      <w:r w:rsidRPr="009D229F">
        <w:rPr>
          <w:rFonts w:cs="Arial"/>
          <w:szCs w:val="19"/>
        </w:rPr>
        <w:t xml:space="preserve">Z tytułu podjęcia pracy (głównej przyczyny wyrejestrowania) z rejestru bezrobotnych wyłączono 2,9 tys. osób wobec </w:t>
      </w:r>
      <w:r w:rsidRPr="009D229F">
        <w:rPr>
          <w:rFonts w:cs="Arial"/>
          <w:szCs w:val="19"/>
        </w:rPr>
        <w:br/>
        <w:t xml:space="preserve">2,6 tys. osób przed rokiem. Udział tej kategorii osób w ogólnej liczbie wyrejestrowanych zwiększył się o 16,2 p.proc. </w:t>
      </w:r>
      <w:r w:rsidRPr="009D229F">
        <w:rPr>
          <w:rFonts w:cs="Arial"/>
          <w:szCs w:val="19"/>
        </w:rPr>
        <w:br/>
        <w:t>w ujęciu rocznym (do 63,3</w:t>
      </w:r>
      <w:r w:rsidRPr="00FF233F">
        <w:rPr>
          <w:rFonts w:cs="Arial"/>
          <w:szCs w:val="19"/>
        </w:rPr>
        <w:t>%). Zwiększył się również odsetek osób, które utraciły status bezrobotnego w wyniku: rozpoczęcia stażu (o 2,0 p.proc. do 10,3</w:t>
      </w:r>
      <w:r w:rsidRPr="00EE3091">
        <w:rPr>
          <w:rFonts w:cs="Arial"/>
          <w:szCs w:val="19"/>
        </w:rPr>
        <w:t xml:space="preserve">%), rozpoczęcia pracy społecznie użytecznej (o 0,6 p.proc. do 1,3%) oraz podjęcia szkolenia u pracodawców (o 0,3 p.proc. do 1,8%). Zmniejszył się natomiast udział osób wykreślonych z ewidencji urzędów pracy </w:t>
      </w:r>
      <w:r>
        <w:rPr>
          <w:rFonts w:cs="Arial"/>
          <w:szCs w:val="19"/>
        </w:rPr>
        <w:br/>
      </w:r>
      <w:r w:rsidRPr="00EE3091">
        <w:rPr>
          <w:rFonts w:cs="Arial"/>
          <w:szCs w:val="19"/>
        </w:rPr>
        <w:t>w wyniku: niepotwierdzenia gotowości do podjęcia pracy (o 13,1 p.proc. do 5,0%), odmowy bez uzasadnionej przyczyny propozycji pracy lub innej formy pomocy (o 5,4 p.proc. do 1,9%) oraz dobrowolnej rezygnacji (o 2,4 p.proc. do 5,5%).</w:t>
      </w:r>
      <w:r w:rsidRPr="00D91C15">
        <w:rPr>
          <w:rFonts w:cs="Arial"/>
          <w:szCs w:val="19"/>
        </w:rPr>
        <w:t xml:space="preserve"> Podobnie jak przed rokiem 0,</w:t>
      </w:r>
      <w:r>
        <w:rPr>
          <w:rFonts w:cs="Arial"/>
          <w:szCs w:val="19"/>
        </w:rPr>
        <w:t>5</w:t>
      </w:r>
      <w:r w:rsidRPr="00D91C15">
        <w:rPr>
          <w:rFonts w:cs="Arial"/>
          <w:szCs w:val="19"/>
        </w:rPr>
        <w:t xml:space="preserve">% osób zostało wykreślonych w efekcie nabycia praw </w:t>
      </w:r>
      <w:r w:rsidRPr="00EE3091">
        <w:rPr>
          <w:rFonts w:cs="Arial"/>
          <w:szCs w:val="19"/>
        </w:rPr>
        <w:t>emerytaln</w:t>
      </w:r>
      <w:r>
        <w:rPr>
          <w:rFonts w:cs="Arial"/>
          <w:szCs w:val="19"/>
        </w:rPr>
        <w:t>ych</w:t>
      </w:r>
      <w:r w:rsidRPr="00EE3091">
        <w:rPr>
          <w:rFonts w:cs="Arial"/>
          <w:szCs w:val="19"/>
        </w:rPr>
        <w:t xml:space="preserve"> lub rentow</w:t>
      </w:r>
      <w:r>
        <w:rPr>
          <w:rFonts w:cs="Arial"/>
          <w:szCs w:val="19"/>
        </w:rPr>
        <w:t>ych, a 0,8% - praw</w:t>
      </w:r>
      <w:r w:rsidRPr="00EE3091">
        <w:rPr>
          <w:rFonts w:cs="Arial"/>
          <w:szCs w:val="19"/>
        </w:rPr>
        <w:t xml:space="preserve"> </w:t>
      </w:r>
      <w:r w:rsidRPr="00D91C15">
        <w:rPr>
          <w:rFonts w:cs="Arial"/>
          <w:szCs w:val="19"/>
        </w:rPr>
        <w:t>do świadczenia przedemerytalnego.</w:t>
      </w:r>
    </w:p>
    <w:p w:rsidR="00422BD0" w:rsidRPr="001B0721" w:rsidRDefault="00422BD0" w:rsidP="00EE2401">
      <w:pPr>
        <w:rPr>
          <w:rFonts w:cs="Arial"/>
          <w:szCs w:val="19"/>
        </w:rPr>
      </w:pPr>
      <w:r w:rsidRPr="001B0721">
        <w:rPr>
          <w:rFonts w:cs="Arial"/>
          <w:szCs w:val="19"/>
        </w:rPr>
        <w:t xml:space="preserve">W końcu lipca 2020 r. </w:t>
      </w:r>
      <w:r w:rsidRPr="001B0721">
        <w:rPr>
          <w:rFonts w:cs="Arial"/>
          <w:b/>
          <w:szCs w:val="19"/>
        </w:rPr>
        <w:t>bez prawa do zasiłku</w:t>
      </w:r>
      <w:r w:rsidRPr="001B0721">
        <w:rPr>
          <w:rFonts w:cs="Arial"/>
          <w:szCs w:val="19"/>
        </w:rPr>
        <w:t xml:space="preserve"> pozostawało 38,5 tys. bezrobotnych, a ich udział w liczbie bezrobotnych wyniósł 83,8%, tj. o 0,9 p.proc. więcej niż przed rokiem.</w:t>
      </w:r>
    </w:p>
    <w:p w:rsidR="00422BD0" w:rsidRPr="00F33ABA" w:rsidRDefault="00422BD0" w:rsidP="00EE2401">
      <w:pPr>
        <w:rPr>
          <w:rFonts w:cs="Arial"/>
          <w:szCs w:val="19"/>
        </w:rPr>
      </w:pPr>
      <w:r w:rsidRPr="00FB5F6B">
        <w:rPr>
          <w:rFonts w:cs="Arial"/>
          <w:szCs w:val="19"/>
        </w:rPr>
        <w:t xml:space="preserve">Bezrobotni będący </w:t>
      </w:r>
      <w:r w:rsidRPr="00FB5F6B">
        <w:rPr>
          <w:rFonts w:cs="Arial"/>
          <w:b/>
          <w:szCs w:val="19"/>
        </w:rPr>
        <w:t>w szczególnej sytuacji na rynku pracy</w:t>
      </w:r>
      <w:r w:rsidRPr="00FB5F6B">
        <w:rPr>
          <w:rFonts w:cs="Arial"/>
          <w:szCs w:val="19"/>
        </w:rPr>
        <w:t xml:space="preserve"> stanowili 83,0% ogółu bezrobotnych, tj. o 1,1 p.proc. mniej niż przed rokiem. Liczebność omawianej subpopulacji zwiększyła się natomiast o 11,6%. Nadal największy odsetek stanowiły osoby długotrwale bezrobotne (50,1%). Udział osób bezrobotnych w wieku do 30 lat wyniósł 28,3%, w tym osób w wieku do 25 roku życia 13,7%. Z kolei odsetek bezrobotnych powyżej 50 roku życia ukształtował się na poziomie 24,2%. Udział posiadających co najmniej jedno dziecko do 6 roku życia wyniósł 17,3%, a poszukujących pracy niepełnosprawnych 6,0%.</w:t>
      </w:r>
      <w:r w:rsidRPr="00A04B0A">
        <w:rPr>
          <w:rFonts w:cs="Arial"/>
          <w:color w:val="C00000"/>
          <w:szCs w:val="19"/>
        </w:rPr>
        <w:t xml:space="preserve"> </w:t>
      </w:r>
      <w:r w:rsidRPr="00FB5F6B">
        <w:rPr>
          <w:rFonts w:cs="Arial"/>
          <w:szCs w:val="19"/>
        </w:rPr>
        <w:t>W ujęciu rocznym, liczebność osób bezrobotnych w wieku do 30 lat zwiększyła się o 19,9%, w tym osób do 25 roku życia przybyło 26,3%, a osób w wieku 50 lat i więcej przybyło 7,2%. Z kolei osób długotrwale bezrobotnych i niepełnosprawnych odnotowano więcej odpowiednio o 10,2% i o 3,</w:t>
      </w:r>
      <w:r w:rsidRPr="00F33ABA">
        <w:rPr>
          <w:rFonts w:cs="Arial"/>
          <w:szCs w:val="19"/>
        </w:rPr>
        <w:t>7%. Zmniejszyła się natomiast liczebność subpopulacji osób, które korzystały ze świadczeń pomocy społecznej (o 19,8%) oraz osób posiadających co najmniej jedno dziecko niepełnosprawne do 18 roku życia (o 13,3%) lub co najmniej jedno dziecko do 6 roku życia (o 1,3%).</w:t>
      </w:r>
    </w:p>
    <w:p w:rsidR="00422BD0" w:rsidRPr="00B77FA2" w:rsidRDefault="00422BD0" w:rsidP="00422BD0">
      <w:pPr>
        <w:pStyle w:val="tytuwykresu"/>
        <w:pageBreakBefore/>
        <w:rPr>
          <w:b w:val="0"/>
          <w:sz w:val="18"/>
          <w:shd w:val="clear" w:color="auto" w:fill="FFFFFF"/>
        </w:rPr>
      </w:pPr>
      <w:r w:rsidRPr="00B77FA2">
        <w:rPr>
          <w:shd w:val="clear" w:color="auto" w:fill="FFFFFF"/>
        </w:rPr>
        <w:lastRenderedPageBreak/>
        <w:t>Tablica 3. Kategorie osób bezrobotnych będących w szczególnej sytuacji na rynku pracy</w:t>
      </w:r>
    </w:p>
    <w:tbl>
      <w:tblPr>
        <w:tblStyle w:val="Siatkatabelijasna1"/>
        <w:tblpPr w:leftFromText="141" w:rightFromText="141" w:vertAnchor="text" w:horzAnchor="margin" w:tblpXSpec="center" w:tblpY="124"/>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769"/>
        <w:gridCol w:w="1233"/>
        <w:gridCol w:w="1232"/>
        <w:gridCol w:w="1233"/>
      </w:tblGrid>
      <w:tr w:rsidR="00422BD0" w:rsidRPr="00B77FA2" w:rsidTr="00045D91">
        <w:trPr>
          <w:trHeight w:val="57"/>
        </w:trPr>
        <w:tc>
          <w:tcPr>
            <w:tcW w:w="6769" w:type="dxa"/>
            <w:vMerge w:val="restart"/>
            <w:tcBorders>
              <w:top w:val="single" w:sz="4" w:space="0" w:color="522398"/>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ascii="Fira Sans" w:hAnsi="Fira Sans" w:cs="Arial"/>
                <w:b/>
                <w:bCs w:val="0"/>
                <w:color w:val="auto"/>
                <w:sz w:val="16"/>
                <w:szCs w:val="16"/>
              </w:rPr>
            </w:pPr>
            <w:r w:rsidRPr="00B77FA2">
              <w:rPr>
                <w:rFonts w:ascii="Fira Sans" w:hAnsi="Fira Sans" w:cs="Arial"/>
                <w:color w:val="auto"/>
                <w:sz w:val="16"/>
                <w:szCs w:val="16"/>
              </w:rPr>
              <w:t>WYSZCZEGÓLNIENIE</w:t>
            </w:r>
          </w:p>
        </w:tc>
        <w:tc>
          <w:tcPr>
            <w:tcW w:w="1233" w:type="dxa"/>
            <w:tcBorders>
              <w:top w:val="single" w:sz="4" w:space="0" w:color="522398"/>
              <w:right w:val="single" w:sz="4" w:space="0" w:color="522398"/>
            </w:tcBorders>
            <w:vAlign w:val="center"/>
          </w:tcPr>
          <w:p w:rsidR="00422BD0" w:rsidRPr="00B77FA2" w:rsidRDefault="00422BD0" w:rsidP="00045D91">
            <w:pPr>
              <w:pStyle w:val="Nagwek3"/>
              <w:spacing w:before="0" w:line="160" w:lineRule="exact"/>
              <w:jc w:val="center"/>
              <w:outlineLvl w:val="2"/>
              <w:rPr>
                <w:rFonts w:ascii="Fira Sans" w:hAnsi="Fira Sans"/>
                <w:color w:val="auto"/>
                <w:sz w:val="16"/>
                <w:szCs w:val="16"/>
              </w:rPr>
            </w:pPr>
            <w:r w:rsidRPr="00B77FA2">
              <w:rPr>
                <w:rFonts w:ascii="Fira Sans" w:hAnsi="Fira Sans"/>
                <w:color w:val="auto"/>
                <w:sz w:val="16"/>
                <w:szCs w:val="16"/>
              </w:rPr>
              <w:t>2019</w:t>
            </w:r>
          </w:p>
        </w:tc>
        <w:tc>
          <w:tcPr>
            <w:tcW w:w="2465" w:type="dxa"/>
            <w:gridSpan w:val="2"/>
            <w:tcBorders>
              <w:top w:val="single" w:sz="4" w:space="0" w:color="522398"/>
              <w:right w:val="nil"/>
            </w:tcBorders>
            <w:vAlign w:val="center"/>
          </w:tcPr>
          <w:p w:rsidR="00422BD0" w:rsidRPr="00B77FA2" w:rsidRDefault="00422BD0" w:rsidP="00045D91">
            <w:pPr>
              <w:spacing w:line="160" w:lineRule="exact"/>
              <w:jc w:val="center"/>
              <w:rPr>
                <w:sz w:val="16"/>
                <w:szCs w:val="16"/>
              </w:rPr>
            </w:pPr>
            <w:r w:rsidRPr="00B77FA2">
              <w:rPr>
                <w:sz w:val="16"/>
                <w:szCs w:val="16"/>
              </w:rPr>
              <w:t>2020</w:t>
            </w:r>
          </w:p>
        </w:tc>
      </w:tr>
      <w:tr w:rsidR="00422BD0" w:rsidRPr="00B77FA2" w:rsidTr="00045D91">
        <w:trPr>
          <w:trHeight w:val="57"/>
        </w:trPr>
        <w:tc>
          <w:tcPr>
            <w:tcW w:w="6769" w:type="dxa"/>
            <w:vMerge/>
            <w:tcBorders>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cs="Arial"/>
                <w:b/>
                <w:color w:val="auto"/>
                <w:sz w:val="16"/>
                <w:szCs w:val="16"/>
              </w:rPr>
            </w:pPr>
          </w:p>
        </w:tc>
        <w:tc>
          <w:tcPr>
            <w:tcW w:w="1233" w:type="dxa"/>
            <w:tcBorders>
              <w:bottom w:val="single" w:sz="4" w:space="0" w:color="001D77"/>
              <w:right w:val="single" w:sz="4" w:space="0" w:color="522398"/>
            </w:tcBorders>
            <w:vAlign w:val="center"/>
          </w:tcPr>
          <w:p w:rsidR="00422BD0" w:rsidRPr="00B77FA2" w:rsidRDefault="00422BD0" w:rsidP="00045D91">
            <w:pPr>
              <w:spacing w:before="40" w:after="40" w:line="160" w:lineRule="exact"/>
              <w:jc w:val="center"/>
              <w:rPr>
                <w:sz w:val="16"/>
                <w:szCs w:val="16"/>
              </w:rPr>
            </w:pPr>
            <w:r w:rsidRPr="00B77FA2">
              <w:rPr>
                <w:sz w:val="16"/>
                <w:szCs w:val="16"/>
              </w:rPr>
              <w:t>VII</w:t>
            </w:r>
          </w:p>
        </w:tc>
        <w:tc>
          <w:tcPr>
            <w:tcW w:w="1232" w:type="dxa"/>
            <w:tcBorders>
              <w:top w:val="single" w:sz="4" w:space="0" w:color="522398"/>
              <w:left w:val="single" w:sz="4" w:space="0" w:color="522398"/>
              <w:bottom w:val="single" w:sz="4" w:space="0" w:color="001D77"/>
              <w:right w:val="single" w:sz="4" w:space="0" w:color="522398"/>
            </w:tcBorders>
            <w:vAlign w:val="center"/>
          </w:tcPr>
          <w:p w:rsidR="00422BD0" w:rsidRPr="00B77FA2" w:rsidRDefault="00422BD0" w:rsidP="00045D91">
            <w:pPr>
              <w:spacing w:before="40" w:after="40" w:line="160" w:lineRule="exact"/>
              <w:jc w:val="center"/>
              <w:rPr>
                <w:sz w:val="16"/>
                <w:szCs w:val="16"/>
              </w:rPr>
            </w:pPr>
            <w:r w:rsidRPr="00B77FA2">
              <w:rPr>
                <w:sz w:val="16"/>
                <w:szCs w:val="16"/>
              </w:rPr>
              <w:t>VI</w:t>
            </w:r>
          </w:p>
        </w:tc>
        <w:tc>
          <w:tcPr>
            <w:tcW w:w="1233" w:type="dxa"/>
            <w:tcBorders>
              <w:left w:val="single" w:sz="4" w:space="0" w:color="522398"/>
              <w:bottom w:val="single" w:sz="4" w:space="0" w:color="001D77"/>
              <w:right w:val="nil"/>
            </w:tcBorders>
            <w:vAlign w:val="center"/>
          </w:tcPr>
          <w:p w:rsidR="00422BD0" w:rsidRPr="00B77FA2" w:rsidRDefault="00422BD0" w:rsidP="00045D91">
            <w:pPr>
              <w:spacing w:before="40" w:after="40" w:line="160" w:lineRule="exact"/>
              <w:jc w:val="center"/>
              <w:rPr>
                <w:sz w:val="16"/>
                <w:szCs w:val="16"/>
              </w:rPr>
            </w:pPr>
            <w:r w:rsidRPr="00B77FA2">
              <w:rPr>
                <w:sz w:val="16"/>
                <w:szCs w:val="16"/>
              </w:rPr>
              <w:t>VII</w:t>
            </w:r>
          </w:p>
        </w:tc>
      </w:tr>
      <w:tr w:rsidR="00422BD0" w:rsidRPr="00B77FA2" w:rsidTr="00045D91">
        <w:trPr>
          <w:trHeight w:val="57"/>
        </w:trPr>
        <w:tc>
          <w:tcPr>
            <w:tcW w:w="6769" w:type="dxa"/>
            <w:vMerge/>
            <w:tcBorders>
              <w:bottom w:val="single" w:sz="4" w:space="0" w:color="522398"/>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cs="Arial"/>
                <w:b/>
                <w:color w:val="auto"/>
                <w:sz w:val="16"/>
                <w:szCs w:val="16"/>
              </w:rPr>
            </w:pPr>
          </w:p>
        </w:tc>
        <w:tc>
          <w:tcPr>
            <w:tcW w:w="3698" w:type="dxa"/>
            <w:gridSpan w:val="3"/>
            <w:tcBorders>
              <w:top w:val="single" w:sz="4" w:space="0" w:color="001D77"/>
              <w:bottom w:val="single" w:sz="4" w:space="0" w:color="522398"/>
              <w:right w:val="nil"/>
            </w:tcBorders>
            <w:vAlign w:val="center"/>
          </w:tcPr>
          <w:p w:rsidR="00422BD0" w:rsidRPr="00B77FA2" w:rsidRDefault="00422BD0" w:rsidP="00045D91">
            <w:pPr>
              <w:spacing w:before="40" w:after="40" w:line="160" w:lineRule="exact"/>
              <w:jc w:val="center"/>
              <w:rPr>
                <w:sz w:val="16"/>
                <w:szCs w:val="16"/>
              </w:rPr>
            </w:pPr>
            <w:r w:rsidRPr="00B77FA2">
              <w:rPr>
                <w:sz w:val="16"/>
                <w:szCs w:val="16"/>
              </w:rPr>
              <w:t>w % ogółem</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Do 30 roku życia</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26,8</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28,2</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28,3</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ind w:left="284"/>
              <w:rPr>
                <w:rFonts w:ascii="Fira Sans" w:hAnsi="Fira Sans" w:cs="Arial"/>
                <w:color w:val="auto"/>
                <w:sz w:val="16"/>
                <w:szCs w:val="16"/>
              </w:rPr>
            </w:pPr>
            <w:r w:rsidRPr="00B77FA2">
              <w:rPr>
                <w:rFonts w:ascii="Fira Sans" w:hAnsi="Fira Sans" w:cs="Arial"/>
                <w:color w:val="auto"/>
                <w:sz w:val="16"/>
                <w:szCs w:val="16"/>
              </w:rPr>
              <w:t xml:space="preserve">w tym do 25 roku życia </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12,3</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13,4</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13,7</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Powyżej 50 roku życia</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25,5</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24,4</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24,2</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32B3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Długotrwale</w:t>
            </w:r>
            <w:r w:rsidRPr="00032B36">
              <w:rPr>
                <w:rFonts w:ascii="Fira Sans" w:hAnsi="Fira Sans" w:cs="Arial"/>
                <w:color w:val="auto"/>
                <w:sz w:val="16"/>
                <w:szCs w:val="16"/>
                <w:vertAlign w:val="superscript"/>
              </w:rPr>
              <w:t>a</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51,5</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49,6</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50,1</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Korzystające ze świadczeń pomocy społecznej</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0,9</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0,7</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0,7</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do 6 roku życia </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19,9</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17,4</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17,3</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niepełnosprawne do 18 roku życia </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0,1</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0,1</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0,1</w:t>
            </w:r>
          </w:p>
        </w:tc>
      </w:tr>
      <w:tr w:rsidR="00422BD0" w:rsidRPr="00B77FA2" w:rsidTr="00045D91">
        <w:tc>
          <w:tcPr>
            <w:tcW w:w="6769" w:type="dxa"/>
            <w:tcBorders>
              <w:top w:val="single" w:sz="4" w:space="0" w:color="522398"/>
              <w:bottom w:val="single" w:sz="4" w:space="0" w:color="522398"/>
              <w:right w:val="single" w:sz="4" w:space="0" w:color="522398"/>
            </w:tcBorders>
            <w:vAlign w:val="bottom"/>
          </w:tcPr>
          <w:p w:rsidR="00422BD0" w:rsidRPr="00B77FA2" w:rsidRDefault="00422BD0" w:rsidP="00045D91">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Niepełnosprawni</w:t>
            </w:r>
          </w:p>
        </w:tc>
        <w:tc>
          <w:tcPr>
            <w:tcW w:w="1233" w:type="dxa"/>
            <w:tcBorders>
              <w:top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6,5</w:t>
            </w:r>
          </w:p>
        </w:tc>
        <w:tc>
          <w:tcPr>
            <w:tcW w:w="1232" w:type="dxa"/>
            <w:tcBorders>
              <w:top w:val="single" w:sz="4" w:space="0" w:color="522398"/>
              <w:left w:val="single" w:sz="4" w:space="0" w:color="522398"/>
              <w:bottom w:val="single" w:sz="4" w:space="0" w:color="522398"/>
              <w:right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6,1</w:t>
            </w:r>
          </w:p>
        </w:tc>
        <w:tc>
          <w:tcPr>
            <w:tcW w:w="1233" w:type="dxa"/>
            <w:tcBorders>
              <w:top w:val="single" w:sz="4" w:space="0" w:color="522398"/>
              <w:left w:val="single" w:sz="4" w:space="0" w:color="522398"/>
              <w:bottom w:val="single" w:sz="4" w:space="0" w:color="522398"/>
            </w:tcBorders>
            <w:vAlign w:val="bottom"/>
          </w:tcPr>
          <w:p w:rsidR="00422BD0" w:rsidRPr="00B77FA2" w:rsidRDefault="00422BD0" w:rsidP="00045D91">
            <w:pPr>
              <w:spacing w:before="0" w:after="0" w:line="240" w:lineRule="auto"/>
              <w:jc w:val="right"/>
              <w:rPr>
                <w:rFonts w:cs="Arial"/>
                <w:sz w:val="16"/>
                <w:szCs w:val="16"/>
              </w:rPr>
            </w:pPr>
            <w:r w:rsidRPr="00B77FA2">
              <w:rPr>
                <w:rFonts w:cs="Arial"/>
                <w:sz w:val="16"/>
                <w:szCs w:val="16"/>
              </w:rPr>
              <w:t>6,0</w:t>
            </w:r>
          </w:p>
        </w:tc>
      </w:tr>
    </w:tbl>
    <w:p w:rsidR="00422BD0" w:rsidRPr="00B77FA2" w:rsidRDefault="00422BD0" w:rsidP="00422BD0">
      <w:pPr>
        <w:ind w:left="170"/>
        <w:rPr>
          <w:sz w:val="16"/>
          <w:szCs w:val="16"/>
        </w:rPr>
      </w:pPr>
      <w:r w:rsidRPr="00032B36">
        <w:rPr>
          <w:sz w:val="16"/>
          <w:szCs w:val="16"/>
          <w:vertAlign w:val="superscript"/>
        </w:rPr>
        <w:t xml:space="preserve">a </w:t>
      </w:r>
      <w:r w:rsidRPr="00B77FA2">
        <w:rPr>
          <w:sz w:val="16"/>
          <w:szCs w:val="16"/>
        </w:rPr>
        <w:t xml:space="preserve">Do długotrwale bezrobotnych zalicza się osoby pozostające w rejestrze powiatowego urzędu pracy łącznie przez okres ponad 12 miesięcy </w:t>
      </w:r>
      <w:r w:rsidRPr="00B77FA2">
        <w:rPr>
          <w:sz w:val="16"/>
          <w:szCs w:val="16"/>
        </w:rPr>
        <w:br/>
        <w:t>w okresie ostatnich 2 lat, z wyłączeniem okresów odbywania stażu i przygotowania zawodowego w miejscu pracy.</w:t>
      </w:r>
    </w:p>
    <w:p w:rsidR="00422BD0" w:rsidRPr="00B77FA2" w:rsidRDefault="00422BD0" w:rsidP="00422BD0">
      <w:pPr>
        <w:tabs>
          <w:tab w:val="left" w:pos="426"/>
        </w:tabs>
        <w:spacing w:before="0" w:after="0" w:line="240" w:lineRule="auto"/>
        <w:jc w:val="both"/>
        <w:rPr>
          <w:rFonts w:cs="Arial"/>
          <w:szCs w:val="19"/>
        </w:rPr>
      </w:pPr>
    </w:p>
    <w:p w:rsidR="00422BD0" w:rsidRPr="00FF7A27" w:rsidRDefault="00422BD0" w:rsidP="00EE2401">
      <w:pPr>
        <w:tabs>
          <w:tab w:val="left" w:pos="426"/>
        </w:tabs>
        <w:spacing w:before="240" w:after="80"/>
        <w:rPr>
          <w:rFonts w:cs="Arial"/>
          <w:szCs w:val="19"/>
        </w:rPr>
      </w:pPr>
      <w:r w:rsidRPr="00FF7A27">
        <w:rPr>
          <w:rFonts w:cs="Arial"/>
          <w:szCs w:val="19"/>
        </w:rPr>
        <w:t>Z danych urzędów pracy wynika, że według stanu w końcu miesiąca sprawozdawczego, 6 zakładów pracy zapowiedziało zwolnienia grupowe (przed rokiem nie odnotowano zgłoszeń zwolnień grupowych).</w:t>
      </w:r>
    </w:p>
    <w:p w:rsidR="00422BD0" w:rsidRPr="006477D3" w:rsidRDefault="00422BD0" w:rsidP="00EE2401">
      <w:pPr>
        <w:tabs>
          <w:tab w:val="left" w:pos="426"/>
        </w:tabs>
        <w:spacing w:before="0" w:after="80"/>
        <w:rPr>
          <w:rFonts w:cs="Arial"/>
          <w:szCs w:val="19"/>
        </w:rPr>
      </w:pPr>
      <w:r w:rsidRPr="00FF7A27">
        <w:rPr>
          <w:rFonts w:cs="Arial"/>
          <w:szCs w:val="19"/>
        </w:rPr>
        <w:t xml:space="preserve">W lipcu 2020 r. do urzędów pracy zgłoszono 2,3 tys. ofert zatrudnienia, tj. więcej o 0,7 tys. niż przed miesiącem i o 0,1 tys. niż przed </w:t>
      </w:r>
      <w:r w:rsidRPr="006477D3">
        <w:rPr>
          <w:rFonts w:cs="Arial"/>
          <w:szCs w:val="19"/>
        </w:rPr>
        <w:t>rokiem. W końcu miesiąca na 1 ofertę pracy przypadało 23 bezrobotnych (przed miesiącem 29, przed rokiem 19).</w:t>
      </w:r>
    </w:p>
    <w:p w:rsidR="00422BD0" w:rsidRPr="00C641DB" w:rsidRDefault="00422BD0" w:rsidP="00422BD0">
      <w:pPr>
        <w:pStyle w:val="tytuwykresu"/>
        <w:spacing w:before="360" w:after="120"/>
        <w:rPr>
          <w:shd w:val="clear" w:color="auto" w:fill="FFFFFF"/>
        </w:rPr>
      </w:pPr>
      <w:r w:rsidRPr="00C641DB">
        <w:t>Wykres 3.</w:t>
      </w:r>
      <w:r w:rsidRPr="00C641DB">
        <w:rPr>
          <w:shd w:val="clear" w:color="auto" w:fill="FFFFFF"/>
        </w:rPr>
        <w:t xml:space="preserve"> Bezrobotni na 1 ofertę pracy</w:t>
      </w:r>
    </w:p>
    <w:p w:rsidR="00422BD0" w:rsidRPr="00C641DB" w:rsidRDefault="00422BD0" w:rsidP="00422BD0">
      <w:pPr>
        <w:spacing w:after="80" w:line="274" w:lineRule="auto"/>
        <w:rPr>
          <w:rFonts w:cs="Arial"/>
        </w:rPr>
      </w:pPr>
      <w:r>
        <w:rPr>
          <w:rFonts w:cs="Arial"/>
          <w:noProof/>
          <w:lang w:eastAsia="pl-PL"/>
        </w:rPr>
        <w:drawing>
          <wp:inline distT="0" distB="0" distL="0" distR="0">
            <wp:extent cx="6591300" cy="27203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91300" cy="2720340"/>
                    </a:xfrm>
                    <a:prstGeom prst="rect">
                      <a:avLst/>
                    </a:prstGeom>
                    <a:noFill/>
                  </pic:spPr>
                </pic:pic>
              </a:graphicData>
            </a:graphic>
          </wp:inline>
        </w:drawing>
      </w:r>
    </w:p>
    <w:p w:rsidR="00422BD0" w:rsidRDefault="00422BD0" w:rsidP="00422BD0">
      <w:pPr>
        <w:tabs>
          <w:tab w:val="left" w:pos="426"/>
        </w:tabs>
        <w:spacing w:before="0" w:after="80"/>
        <w:rPr>
          <w:rFonts w:cs="Arial"/>
          <w:szCs w:val="19"/>
        </w:rPr>
      </w:pPr>
    </w:p>
    <w:p w:rsidR="00422BD0" w:rsidRPr="00C641DB" w:rsidRDefault="00422BD0" w:rsidP="00422BD0">
      <w:pPr>
        <w:tabs>
          <w:tab w:val="left" w:pos="426"/>
        </w:tabs>
        <w:spacing w:before="0" w:after="80"/>
        <w:rPr>
          <w:rFonts w:cs="Arial"/>
          <w:szCs w:val="19"/>
        </w:rPr>
      </w:pPr>
      <w:r w:rsidRPr="00C641DB">
        <w:rPr>
          <w:rFonts w:cs="Arial"/>
          <w:szCs w:val="19"/>
        </w:rPr>
        <w:t>W okresie styczeń-lipiec 2020 r. wydatkowano z Funduszu Pracy 449143 tys. zł wobec 120815 tys. zł w analogicznym okresie poprzedniego roku. Najwięcej przeznaczono na realizację programów na rzecz promocji zatrudnienia (87,7%) oraz na zasiłki dla bezrobotnych (10,8%).</w:t>
      </w:r>
    </w:p>
    <w:p w:rsidR="00422BD0" w:rsidRPr="00C641DB" w:rsidRDefault="00422BD0" w:rsidP="00422BD0">
      <w:pPr>
        <w:jc w:val="both"/>
        <w:rPr>
          <w:rFonts w:cs="Arial"/>
        </w:rPr>
      </w:pPr>
    </w:p>
    <w:p w:rsidR="00422BD0" w:rsidRPr="00C641DB" w:rsidRDefault="00422BD0" w:rsidP="00422BD0">
      <w:pPr>
        <w:sectPr w:rsidR="00422BD0" w:rsidRPr="00C641DB" w:rsidSect="00B63E54">
          <w:headerReference w:type="default" r:id="rId18"/>
          <w:footerReference w:type="default" r:id="rId19"/>
          <w:pgSz w:w="11906" w:h="16838" w:code="9"/>
          <w:pgMar w:top="720" w:right="720" w:bottom="851" w:left="720" w:header="170" w:footer="284" w:gutter="0"/>
          <w:paperSrc w:first="7"/>
          <w:cols w:space="708"/>
          <w:docGrid w:linePitch="360"/>
        </w:sectPr>
      </w:pPr>
    </w:p>
    <w:p w:rsidR="00284CE4" w:rsidRPr="00EF2D6D" w:rsidRDefault="00284CE4"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EF2D6D">
        <w:rPr>
          <w:rFonts w:ascii="Fira Sans SemiBold" w:eastAsia="Times New Roman" w:hAnsi="Fira Sans SemiBold" w:cs="Times New Roman"/>
          <w:bCs/>
          <w:color w:val="522398"/>
          <w:sz w:val="24"/>
          <w:szCs w:val="24"/>
          <w:lang w:eastAsia="pl-PL"/>
        </w:rPr>
        <w:lastRenderedPageBreak/>
        <w:t>WYNAGRODZENIA</w:t>
      </w:r>
    </w:p>
    <w:p w:rsidR="00151DC3" w:rsidRDefault="00151DC3" w:rsidP="00AD6900">
      <w:r w:rsidRPr="00A7460C">
        <w:t xml:space="preserve">W </w:t>
      </w:r>
      <w:r w:rsidR="00EA53AC" w:rsidRPr="00A7460C">
        <w:t>lipcu</w:t>
      </w:r>
      <w:r w:rsidRPr="00A7460C">
        <w:t xml:space="preserve"> br. </w:t>
      </w:r>
      <w:r w:rsidR="00DF3D9F" w:rsidRPr="00A7460C">
        <w:t xml:space="preserve">odnotowano wzrost </w:t>
      </w:r>
      <w:r w:rsidRPr="00A7460C">
        <w:t>przeciętne</w:t>
      </w:r>
      <w:r w:rsidR="00DF3D9F" w:rsidRPr="00A7460C">
        <w:t>go</w:t>
      </w:r>
      <w:r w:rsidRPr="00A7460C">
        <w:t xml:space="preserve"> miesięczne</w:t>
      </w:r>
      <w:r w:rsidR="00DF3D9F" w:rsidRPr="00A7460C">
        <w:t>go</w:t>
      </w:r>
      <w:r w:rsidRPr="00A7460C">
        <w:t xml:space="preserve"> wynagrodzeni</w:t>
      </w:r>
      <w:r w:rsidR="00DF3D9F" w:rsidRPr="00A7460C">
        <w:t>a</w:t>
      </w:r>
      <w:r w:rsidRPr="00A7460C">
        <w:t xml:space="preserve"> brutto w</w:t>
      </w:r>
      <w:r w:rsidR="00DF3D9F" w:rsidRPr="00A7460C">
        <w:t> </w:t>
      </w:r>
      <w:r w:rsidRPr="00A7460C">
        <w:t xml:space="preserve">sektorze przedsiębiorstw w województwie świętokrzyskim w skali roku, </w:t>
      </w:r>
      <w:r w:rsidR="003E05A9" w:rsidRPr="00A7460C">
        <w:rPr>
          <w:rFonts w:cs="Arial"/>
        </w:rPr>
        <w:t>przy czym był o</w:t>
      </w:r>
      <w:r w:rsidR="00DF3D9F" w:rsidRPr="00A7460C">
        <w:rPr>
          <w:rFonts w:cs="Arial"/>
        </w:rPr>
        <w:t xml:space="preserve">n słabszy </w:t>
      </w:r>
      <w:r w:rsidRPr="00A7460C">
        <w:rPr>
          <w:rFonts w:cs="Arial"/>
        </w:rPr>
        <w:t>niż</w:t>
      </w:r>
      <w:r w:rsidR="00126C22" w:rsidRPr="00A7460C">
        <w:rPr>
          <w:rFonts w:cs="Arial"/>
        </w:rPr>
        <w:t xml:space="preserve"> w </w:t>
      </w:r>
      <w:r w:rsidR="00DF3D9F" w:rsidRPr="00A7460C">
        <w:rPr>
          <w:rFonts w:cs="Arial"/>
        </w:rPr>
        <w:t>ubiegłym roku</w:t>
      </w:r>
      <w:r w:rsidR="00126C22" w:rsidRPr="00A7460C">
        <w:rPr>
          <w:rFonts w:cs="Arial"/>
        </w:rPr>
        <w:t>. W</w:t>
      </w:r>
      <w:r w:rsidRPr="00A7460C">
        <w:t> porównaniu z poprzednim miesiącem br</w:t>
      </w:r>
      <w:r w:rsidR="00126C22" w:rsidRPr="00A7460C">
        <w:t>.</w:t>
      </w:r>
      <w:r w:rsidR="00126C22" w:rsidRPr="00A7460C">
        <w:rPr>
          <w:rFonts w:cs="Arial"/>
        </w:rPr>
        <w:t xml:space="preserve"> przeciętne miesięczne wynagrodzenie</w:t>
      </w:r>
      <w:r w:rsidRPr="00A7460C">
        <w:t xml:space="preserve"> </w:t>
      </w:r>
      <w:r w:rsidR="00A7460C" w:rsidRPr="00A7460C">
        <w:t>wzrosło o 6,7</w:t>
      </w:r>
      <w:r w:rsidRPr="00A7460C">
        <w:t>%.</w:t>
      </w:r>
    </w:p>
    <w:p w:rsidR="00151DC3" w:rsidRDefault="00151DC3" w:rsidP="00AD6900">
      <w:pPr>
        <w:rPr>
          <w:rFonts w:cs="Arial"/>
          <w:i/>
          <w:szCs w:val="19"/>
        </w:rPr>
      </w:pPr>
      <w:r w:rsidRPr="00DD30B0">
        <w:rPr>
          <w:rFonts w:cs="Arial"/>
          <w:b/>
          <w:szCs w:val="19"/>
        </w:rPr>
        <w:t>Przeciętne miesięczne wynagrodzenie brutto w sektorze przedsiębiorstw</w:t>
      </w:r>
      <w:r w:rsidRPr="00DD30B0">
        <w:rPr>
          <w:rFonts w:cs="Arial"/>
          <w:szCs w:val="19"/>
        </w:rPr>
        <w:t xml:space="preserve"> w województwie</w:t>
      </w:r>
      <w:r w:rsidR="003E3FA5" w:rsidRPr="00DD30B0">
        <w:rPr>
          <w:rFonts w:cs="Arial"/>
          <w:szCs w:val="19"/>
        </w:rPr>
        <w:t xml:space="preserve"> w</w:t>
      </w:r>
      <w:r w:rsidRPr="00DD30B0">
        <w:rPr>
          <w:rFonts w:cs="Arial"/>
          <w:szCs w:val="19"/>
        </w:rPr>
        <w:t xml:space="preserve"> </w:t>
      </w:r>
      <w:r w:rsidR="00EA53AC" w:rsidRPr="00DD30B0">
        <w:rPr>
          <w:rFonts w:cs="Arial"/>
          <w:szCs w:val="19"/>
        </w:rPr>
        <w:t xml:space="preserve">lipcu </w:t>
      </w:r>
      <w:r w:rsidRPr="00DD30B0">
        <w:rPr>
          <w:rFonts w:cs="Arial"/>
          <w:szCs w:val="19"/>
        </w:rPr>
        <w:t xml:space="preserve">2020 r. wyniosło </w:t>
      </w:r>
      <w:r w:rsidR="00EA53AC" w:rsidRPr="00DD30B0">
        <w:rPr>
          <w:rFonts w:cs="Arial"/>
          <w:szCs w:val="19"/>
        </w:rPr>
        <w:t>4588,49</w:t>
      </w:r>
      <w:r w:rsidRPr="00DD30B0">
        <w:rPr>
          <w:rFonts w:cs="Arial"/>
          <w:szCs w:val="19"/>
        </w:rPr>
        <w:t> zł i było o</w:t>
      </w:r>
      <w:r w:rsidR="00EA53AC" w:rsidRPr="00DD30B0">
        <w:rPr>
          <w:rFonts w:cs="Arial"/>
          <w:szCs w:val="19"/>
        </w:rPr>
        <w:t xml:space="preserve"> 3,7</w:t>
      </w:r>
      <w:r w:rsidRPr="00DD30B0">
        <w:rPr>
          <w:rFonts w:cs="Arial"/>
          <w:szCs w:val="19"/>
        </w:rPr>
        <w:t>% wyższe w porównaniu z analogicznym okresem ub. roku, kiedy obserwowano wzrost o </w:t>
      </w:r>
      <w:r w:rsidR="00EA53AC" w:rsidRPr="00DD30B0">
        <w:rPr>
          <w:rFonts w:cs="Arial"/>
          <w:szCs w:val="19"/>
        </w:rPr>
        <w:t>6,8</w:t>
      </w:r>
      <w:r w:rsidRPr="00DD30B0">
        <w:rPr>
          <w:rFonts w:cs="Arial"/>
          <w:szCs w:val="19"/>
        </w:rPr>
        <w:t xml:space="preserve">%. </w:t>
      </w:r>
      <w:r w:rsidRPr="00DD30B0">
        <w:rPr>
          <w:rFonts w:cs="Arial"/>
          <w:i/>
          <w:szCs w:val="19"/>
        </w:rPr>
        <w:t>W kraju przeciętne miesięczne wynagrodzenie brutto ukształtowało się na poziomie</w:t>
      </w:r>
      <w:r w:rsidR="00EA53AC" w:rsidRPr="00DD30B0">
        <w:t xml:space="preserve"> </w:t>
      </w:r>
      <w:r w:rsidR="00EA53AC" w:rsidRPr="00DD30B0">
        <w:rPr>
          <w:rFonts w:cs="Arial"/>
          <w:i/>
          <w:szCs w:val="19"/>
        </w:rPr>
        <w:t>5381,65</w:t>
      </w:r>
      <w:r w:rsidRPr="00DD30B0">
        <w:rPr>
          <w:rFonts w:cs="Arial"/>
          <w:i/>
          <w:szCs w:val="19"/>
        </w:rPr>
        <w:t xml:space="preserve"> zł i było o </w:t>
      </w:r>
      <w:r w:rsidR="00EA53AC" w:rsidRPr="00DD30B0">
        <w:rPr>
          <w:rFonts w:cs="Arial"/>
          <w:bCs/>
          <w:i/>
          <w:szCs w:val="19"/>
          <w:shd w:val="clear" w:color="auto" w:fill="FFFFFF"/>
        </w:rPr>
        <w:t>3,8</w:t>
      </w:r>
      <w:r w:rsidRPr="00DD30B0">
        <w:rPr>
          <w:rFonts w:cs="Arial"/>
          <w:i/>
          <w:szCs w:val="19"/>
        </w:rPr>
        <w:t xml:space="preserve">% wyższe niż przed rokiem (wobec wzrostu o </w:t>
      </w:r>
      <w:r w:rsidR="00EA53AC" w:rsidRPr="00DD30B0">
        <w:rPr>
          <w:rFonts w:cs="Arial"/>
          <w:i/>
          <w:szCs w:val="19"/>
        </w:rPr>
        <w:t>7,4</w:t>
      </w:r>
      <w:r w:rsidRPr="00DD30B0">
        <w:rPr>
          <w:rFonts w:cs="Arial"/>
          <w:i/>
          <w:szCs w:val="19"/>
        </w:rPr>
        <w:t>% rok wcześniej).</w:t>
      </w:r>
    </w:p>
    <w:p w:rsidR="002B78B5" w:rsidRDefault="00284CE4" w:rsidP="00AA5ECF">
      <w:pPr>
        <w:spacing w:before="240" w:after="0"/>
        <w:ind w:left="851" w:hanging="851"/>
        <w:rPr>
          <w:b/>
        </w:rPr>
      </w:pPr>
      <w:r w:rsidRPr="00DD30B0">
        <w:rPr>
          <w:b/>
        </w:rPr>
        <w:t xml:space="preserve">Wykres 4. Dynamika przeciętnego miesięcznego wynagrodzenia brutto w sektorze przedsiębiorstw </w:t>
      </w:r>
    </w:p>
    <w:p w:rsidR="004C40B6" w:rsidRDefault="004C40B6" w:rsidP="004C40B6">
      <w:pPr>
        <w:spacing w:before="0" w:after="0" w:line="240" w:lineRule="auto"/>
        <w:ind w:left="851"/>
        <w:rPr>
          <w:b/>
        </w:rPr>
      </w:pPr>
      <w:r>
        <w:rPr>
          <w:noProof/>
          <w:lang w:eastAsia="pl-PL"/>
        </w:rPr>
        <w:drawing>
          <wp:anchor distT="0" distB="0" distL="114300" distR="114300" simplePos="0" relativeHeight="251658752" behindDoc="0" locked="0" layoutInCell="1" allowOverlap="1">
            <wp:simplePos x="0" y="0"/>
            <wp:positionH relativeFrom="column">
              <wp:posOffset>0</wp:posOffset>
            </wp:positionH>
            <wp:positionV relativeFrom="paragraph">
              <wp:posOffset>264987</wp:posOffset>
            </wp:positionV>
            <wp:extent cx="6648450" cy="2428875"/>
            <wp:effectExtent l="0" t="0" r="0"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t xml:space="preserve"> </w:t>
      </w:r>
      <w:r w:rsidRPr="00335735">
        <w:t>(przeciętna miesięczna 2015=100)</w:t>
      </w:r>
    </w:p>
    <w:p w:rsidR="004C40B6" w:rsidRDefault="004C40B6" w:rsidP="008967C1">
      <w:pPr>
        <w:rPr>
          <w:rFonts w:cs="Arial"/>
        </w:rPr>
      </w:pPr>
    </w:p>
    <w:p w:rsidR="00EE3027" w:rsidRPr="00DD30B0" w:rsidRDefault="00EE3027" w:rsidP="008967C1">
      <w:pPr>
        <w:rPr>
          <w:rFonts w:cs="Arial"/>
        </w:rPr>
      </w:pPr>
      <w:r w:rsidRPr="00EE3027">
        <w:rPr>
          <w:rFonts w:cs="Arial"/>
        </w:rPr>
        <w:t>W porównaniu do lipca ub. roku we wszystkich analizowanych sekcjach sektora przedsiębiorstw związanych zarówno ze sferą produkcyjną, jak i usługową przeciętne miesięczne wynagrodzenia były wyższe</w:t>
      </w:r>
      <w:r w:rsidR="00A7460C">
        <w:rPr>
          <w:rFonts w:cs="Arial"/>
        </w:rPr>
        <w:t xml:space="preserve"> niż przed rokiem</w:t>
      </w:r>
      <w:r w:rsidRPr="00EE3027">
        <w:rPr>
          <w:rFonts w:cs="Arial"/>
        </w:rPr>
        <w:t>. W największym stopniu wzrosły wynagrodzenia w administrowaniu i działalności wspierającej (o 13,5%). W pozostałych sekcjach wzrosty ukształtowały się na poziomie od 1,4% zakwaterowaniu i gastronomi do 9,5% w</w:t>
      </w:r>
      <w:r>
        <w:rPr>
          <w:rFonts w:cs="Arial"/>
        </w:rPr>
        <w:t> </w:t>
      </w:r>
      <w:r w:rsidRPr="00EE3027">
        <w:rPr>
          <w:rFonts w:cs="Arial"/>
        </w:rPr>
        <w:t>obsłudze rynku nieruchomości.</w:t>
      </w:r>
    </w:p>
    <w:p w:rsidR="00A43638" w:rsidRPr="00DD30B0" w:rsidRDefault="00454F01" w:rsidP="004D6CE6">
      <w:pPr>
        <w:pStyle w:val="tytuwykresu"/>
        <w:spacing w:before="240"/>
        <w:rPr>
          <w:szCs w:val="19"/>
          <w:shd w:val="clear" w:color="auto" w:fill="FFFFFF"/>
        </w:rPr>
      </w:pPr>
      <w:r w:rsidRPr="00DD30B0">
        <w:rPr>
          <w:szCs w:val="19"/>
          <w:shd w:val="clear" w:color="auto" w:fill="FFFFFF"/>
        </w:rPr>
        <w:t>Tablica 4. Przeciętne miesięczne wynagrodzenia brutto w sektorze przedsiębiorstw</w:t>
      </w:r>
    </w:p>
    <w:tbl>
      <w:tblPr>
        <w:tblpPr w:leftFromText="141" w:rightFromText="141" w:vertAnchor="text" w:horzAnchor="margin" w:tblpXSpec="center" w:tblpY="179"/>
        <w:tblW w:w="10314"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5955"/>
        <w:gridCol w:w="1089"/>
        <w:gridCol w:w="1090"/>
        <w:gridCol w:w="1090"/>
        <w:gridCol w:w="1090"/>
      </w:tblGrid>
      <w:tr w:rsidR="005B097F" w:rsidRPr="00DD30B0" w:rsidTr="00AD6900">
        <w:trPr>
          <w:trHeight w:val="54"/>
        </w:trPr>
        <w:tc>
          <w:tcPr>
            <w:tcW w:w="5955" w:type="dxa"/>
            <w:vMerge w:val="restart"/>
            <w:tcBorders>
              <w:top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bCs w:val="0"/>
                <w:color w:val="auto"/>
                <w:sz w:val="16"/>
                <w:szCs w:val="16"/>
              </w:rPr>
            </w:pPr>
            <w:r w:rsidRPr="00DD30B0">
              <w:rPr>
                <w:rFonts w:ascii="Fira Sans" w:hAnsi="Fira Sans" w:cs="Arial"/>
                <w:color w:val="auto"/>
                <w:sz w:val="16"/>
                <w:szCs w:val="16"/>
              </w:rPr>
              <w:t>WYSZCZEGÓLNIENIE</w:t>
            </w:r>
          </w:p>
        </w:tc>
        <w:tc>
          <w:tcPr>
            <w:tcW w:w="2179" w:type="dxa"/>
            <w:gridSpan w:val="2"/>
            <w:tcBorders>
              <w:top w:val="single" w:sz="4" w:space="0" w:color="522398"/>
            </w:tcBorders>
            <w:shd w:val="clear" w:color="auto" w:fill="auto"/>
            <w:vAlign w:val="center"/>
          </w:tcPr>
          <w:p w:rsidR="005B097F" w:rsidRPr="00DD30B0" w:rsidRDefault="00073CB9" w:rsidP="00073CB9">
            <w:pPr>
              <w:spacing w:before="0" w:after="0" w:line="240" w:lineRule="auto"/>
              <w:ind w:left="646" w:right="131" w:hanging="646"/>
              <w:jc w:val="center"/>
              <w:rPr>
                <w:rFonts w:cs="Arial"/>
                <w:sz w:val="16"/>
                <w:szCs w:val="16"/>
              </w:rPr>
            </w:pPr>
            <w:r w:rsidRPr="00DD30B0">
              <w:rPr>
                <w:rFonts w:cs="Arial"/>
                <w:sz w:val="16"/>
                <w:szCs w:val="16"/>
              </w:rPr>
              <w:t>V</w:t>
            </w:r>
            <w:r w:rsidR="00012C48" w:rsidRPr="00DD30B0">
              <w:rPr>
                <w:rFonts w:cs="Arial"/>
                <w:sz w:val="16"/>
                <w:szCs w:val="16"/>
              </w:rPr>
              <w:t>I</w:t>
            </w:r>
            <w:r w:rsidR="00544A3B" w:rsidRPr="00DD30B0">
              <w:rPr>
                <w:rFonts w:cs="Arial"/>
                <w:sz w:val="16"/>
                <w:szCs w:val="16"/>
              </w:rPr>
              <w:t>I</w:t>
            </w:r>
            <w:r w:rsidR="005B097F" w:rsidRPr="00DD30B0">
              <w:rPr>
                <w:rFonts w:cs="Arial"/>
                <w:sz w:val="16"/>
                <w:szCs w:val="16"/>
              </w:rPr>
              <w:t xml:space="preserve"> 2020</w:t>
            </w:r>
          </w:p>
        </w:tc>
        <w:tc>
          <w:tcPr>
            <w:tcW w:w="2180" w:type="dxa"/>
            <w:gridSpan w:val="2"/>
            <w:tcBorders>
              <w:top w:val="single" w:sz="4" w:space="0" w:color="522398"/>
            </w:tcBorders>
            <w:shd w:val="clear" w:color="auto" w:fill="auto"/>
            <w:vAlign w:val="center"/>
          </w:tcPr>
          <w:p w:rsidR="005B097F" w:rsidRPr="00DD30B0" w:rsidRDefault="005B097F" w:rsidP="001A7285">
            <w:pPr>
              <w:spacing w:before="0" w:after="0" w:line="240" w:lineRule="auto"/>
              <w:ind w:left="646" w:right="131" w:hanging="646"/>
              <w:jc w:val="center"/>
              <w:rPr>
                <w:rFonts w:cs="Arial"/>
                <w:sz w:val="16"/>
                <w:szCs w:val="16"/>
              </w:rPr>
            </w:pPr>
            <w:r w:rsidRPr="00DD30B0">
              <w:rPr>
                <w:rFonts w:cs="Arial"/>
                <w:sz w:val="16"/>
                <w:szCs w:val="16"/>
              </w:rPr>
              <w:t>I</w:t>
            </w:r>
            <w:r w:rsidR="001A7285" w:rsidRPr="00DD30B0">
              <w:rPr>
                <w:rFonts w:cs="Arial"/>
                <w:sz w:val="16"/>
                <w:szCs w:val="16"/>
              </w:rPr>
              <w:t>-V</w:t>
            </w:r>
            <w:r w:rsidR="00012C48" w:rsidRPr="00DD30B0">
              <w:rPr>
                <w:rFonts w:cs="Arial"/>
                <w:sz w:val="16"/>
                <w:szCs w:val="16"/>
              </w:rPr>
              <w:t>I</w:t>
            </w:r>
            <w:r w:rsidR="00544A3B" w:rsidRPr="00DD30B0">
              <w:rPr>
                <w:rFonts w:cs="Arial"/>
                <w:sz w:val="16"/>
                <w:szCs w:val="16"/>
              </w:rPr>
              <w:t>I</w:t>
            </w:r>
            <w:r w:rsidRPr="00DD30B0">
              <w:rPr>
                <w:rFonts w:cs="Arial"/>
                <w:sz w:val="16"/>
                <w:szCs w:val="16"/>
              </w:rPr>
              <w:t xml:space="preserve"> 2020</w:t>
            </w:r>
          </w:p>
        </w:tc>
      </w:tr>
      <w:tr w:rsidR="005B097F" w:rsidRPr="00DD30B0" w:rsidTr="00AD6900">
        <w:trPr>
          <w:trHeight w:val="54"/>
        </w:trPr>
        <w:tc>
          <w:tcPr>
            <w:tcW w:w="5955" w:type="dxa"/>
            <w:vMerge/>
            <w:tcBorders>
              <w:bottom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color w:val="auto"/>
                <w:sz w:val="16"/>
                <w:szCs w:val="16"/>
              </w:rPr>
            </w:pPr>
          </w:p>
        </w:tc>
        <w:tc>
          <w:tcPr>
            <w:tcW w:w="1089" w:type="dxa"/>
            <w:tcBorders>
              <w:bottom w:val="single" w:sz="4" w:space="0" w:color="522398"/>
              <w:right w:val="single" w:sz="4" w:space="0" w:color="522398"/>
            </w:tcBorders>
            <w:shd w:val="clear" w:color="auto" w:fill="auto"/>
            <w:vAlign w:val="center"/>
          </w:tcPr>
          <w:p w:rsidR="005B097F" w:rsidRPr="00DD30B0" w:rsidRDefault="005B097F" w:rsidP="001357FC">
            <w:pPr>
              <w:spacing w:before="0" w:after="0" w:line="150" w:lineRule="exact"/>
              <w:jc w:val="center"/>
              <w:rPr>
                <w:rFonts w:cs="Arial"/>
                <w:sz w:val="16"/>
                <w:szCs w:val="16"/>
              </w:rPr>
            </w:pPr>
            <w:r w:rsidRPr="00DD30B0">
              <w:rPr>
                <w:rFonts w:cs="Arial"/>
                <w:sz w:val="16"/>
                <w:szCs w:val="16"/>
              </w:rPr>
              <w:t>w zł</w:t>
            </w:r>
          </w:p>
        </w:tc>
        <w:tc>
          <w:tcPr>
            <w:tcW w:w="1090" w:type="dxa"/>
            <w:tcBorders>
              <w:bottom w:val="single" w:sz="4" w:space="0" w:color="522398"/>
            </w:tcBorders>
            <w:shd w:val="clear" w:color="auto" w:fill="auto"/>
            <w:vAlign w:val="center"/>
          </w:tcPr>
          <w:p w:rsidR="005B097F" w:rsidRPr="00DD30B0" w:rsidRDefault="00A54FDE" w:rsidP="001A7285">
            <w:pPr>
              <w:spacing w:before="0" w:after="0" w:line="240" w:lineRule="auto"/>
              <w:jc w:val="center"/>
              <w:rPr>
                <w:rFonts w:cs="Arial"/>
                <w:sz w:val="16"/>
                <w:szCs w:val="16"/>
              </w:rPr>
            </w:pPr>
            <w:r w:rsidRPr="00DD30B0">
              <w:rPr>
                <w:rFonts w:cs="Arial"/>
                <w:sz w:val="16"/>
                <w:szCs w:val="16"/>
              </w:rPr>
              <w:t>V</w:t>
            </w:r>
            <w:r w:rsidR="00012C48" w:rsidRPr="00DD30B0">
              <w:rPr>
                <w:rFonts w:cs="Arial"/>
                <w:sz w:val="16"/>
                <w:szCs w:val="16"/>
              </w:rPr>
              <w:t>I</w:t>
            </w:r>
            <w:r w:rsidR="00544A3B" w:rsidRPr="00DD30B0">
              <w:rPr>
                <w:rFonts w:cs="Arial"/>
                <w:sz w:val="16"/>
                <w:szCs w:val="16"/>
              </w:rPr>
              <w:t>I</w:t>
            </w:r>
            <w:r w:rsidRPr="00DD30B0">
              <w:rPr>
                <w:rFonts w:cs="Arial"/>
                <w:sz w:val="16"/>
                <w:szCs w:val="16"/>
              </w:rPr>
              <w:t xml:space="preserve"> </w:t>
            </w:r>
            <w:r w:rsidR="005B097F" w:rsidRPr="00DD30B0">
              <w:rPr>
                <w:rFonts w:cs="Arial"/>
                <w:sz w:val="16"/>
                <w:szCs w:val="16"/>
              </w:rPr>
              <w:t>2019 = 100</w:t>
            </w:r>
          </w:p>
        </w:tc>
        <w:tc>
          <w:tcPr>
            <w:tcW w:w="1090" w:type="dxa"/>
            <w:tcBorders>
              <w:bottom w:val="single" w:sz="4" w:space="0" w:color="522398"/>
              <w:right w:val="nil"/>
            </w:tcBorders>
            <w:shd w:val="clear" w:color="auto" w:fill="auto"/>
            <w:vAlign w:val="center"/>
          </w:tcPr>
          <w:p w:rsidR="005B097F" w:rsidRPr="00DD30B0" w:rsidRDefault="005B097F" w:rsidP="001357FC">
            <w:pPr>
              <w:spacing w:before="0" w:after="0" w:line="240" w:lineRule="auto"/>
              <w:jc w:val="center"/>
              <w:rPr>
                <w:rFonts w:cs="Arial"/>
                <w:sz w:val="16"/>
                <w:szCs w:val="16"/>
              </w:rPr>
            </w:pPr>
            <w:r w:rsidRPr="00DD30B0">
              <w:rPr>
                <w:rFonts w:cs="Arial"/>
                <w:sz w:val="16"/>
                <w:szCs w:val="16"/>
              </w:rPr>
              <w:t>w zł</w:t>
            </w:r>
          </w:p>
        </w:tc>
        <w:tc>
          <w:tcPr>
            <w:tcW w:w="1090" w:type="dxa"/>
            <w:tcBorders>
              <w:bottom w:val="single" w:sz="4" w:space="0" w:color="522398"/>
              <w:right w:val="nil"/>
            </w:tcBorders>
            <w:shd w:val="clear" w:color="auto" w:fill="auto"/>
            <w:vAlign w:val="center"/>
          </w:tcPr>
          <w:p w:rsidR="005B097F" w:rsidRPr="00DD30B0" w:rsidRDefault="005B097F" w:rsidP="001A7285">
            <w:pPr>
              <w:spacing w:before="0" w:after="0" w:line="240" w:lineRule="auto"/>
              <w:jc w:val="center"/>
              <w:rPr>
                <w:rFonts w:cs="Arial"/>
                <w:sz w:val="16"/>
                <w:szCs w:val="16"/>
              </w:rPr>
            </w:pPr>
            <w:r w:rsidRPr="00DD30B0">
              <w:rPr>
                <w:rFonts w:cs="Arial"/>
                <w:sz w:val="16"/>
                <w:szCs w:val="16"/>
              </w:rPr>
              <w:t>I-</w:t>
            </w:r>
            <w:r w:rsidR="001A7285" w:rsidRPr="00DD30B0">
              <w:rPr>
                <w:rFonts w:cs="Arial"/>
                <w:sz w:val="16"/>
                <w:szCs w:val="16"/>
              </w:rPr>
              <w:t>V</w:t>
            </w:r>
            <w:r w:rsidR="00012C48" w:rsidRPr="00DD30B0">
              <w:rPr>
                <w:rFonts w:cs="Arial"/>
                <w:sz w:val="16"/>
                <w:szCs w:val="16"/>
              </w:rPr>
              <w:t>I</w:t>
            </w:r>
            <w:r w:rsidR="00544A3B" w:rsidRPr="00DD30B0">
              <w:rPr>
                <w:rFonts w:cs="Arial"/>
                <w:sz w:val="16"/>
                <w:szCs w:val="16"/>
              </w:rPr>
              <w:t>I</w:t>
            </w:r>
            <w:r w:rsidRPr="00DD30B0">
              <w:rPr>
                <w:rFonts w:cs="Arial"/>
                <w:sz w:val="16"/>
                <w:szCs w:val="16"/>
              </w:rPr>
              <w:t xml:space="preserve"> 2019 = 100</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center"/>
          </w:tcPr>
          <w:p w:rsidR="00544A3B" w:rsidRPr="00DD30B0" w:rsidRDefault="00544A3B" w:rsidP="00544A3B">
            <w:pPr>
              <w:pStyle w:val="Nagwek5"/>
              <w:tabs>
                <w:tab w:val="right" w:leader="dot" w:pos="4156"/>
              </w:tabs>
              <w:spacing w:before="120" w:line="150" w:lineRule="exact"/>
              <w:contextualSpacing/>
              <w:rPr>
                <w:rFonts w:ascii="Fira Sans" w:hAnsi="Fira Sans"/>
                <w:b/>
                <w:color w:val="auto"/>
                <w:sz w:val="16"/>
                <w:szCs w:val="16"/>
              </w:rPr>
            </w:pPr>
            <w:r w:rsidRPr="00DD30B0">
              <w:rPr>
                <w:rFonts w:ascii="Fira Sans" w:hAnsi="Fira Sans"/>
                <w:b/>
                <w:color w:val="auto"/>
                <w:sz w:val="16"/>
                <w:szCs w:val="16"/>
              </w:rPr>
              <w:t>OGÓŁEM</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012C48" w:rsidP="00EA53AC">
            <w:pPr>
              <w:spacing w:before="40" w:after="0"/>
              <w:jc w:val="right"/>
              <w:rPr>
                <w:b/>
                <w:sz w:val="16"/>
                <w:szCs w:val="16"/>
              </w:rPr>
            </w:pPr>
            <w:r w:rsidRPr="00DD30B0">
              <w:rPr>
                <w:b/>
                <w:sz w:val="16"/>
                <w:szCs w:val="16"/>
              </w:rPr>
              <w:t>4588</w:t>
            </w:r>
            <w:r w:rsidR="00EA53AC" w:rsidRPr="00DD30B0">
              <w:rPr>
                <w:b/>
                <w:sz w:val="16"/>
                <w:szCs w:val="16"/>
              </w:rPr>
              <w:t>,</w:t>
            </w:r>
            <w:r w:rsidRPr="00DD30B0">
              <w:rPr>
                <w:b/>
                <w:sz w:val="16"/>
                <w:szCs w:val="16"/>
              </w:rPr>
              <w:t>49</w:t>
            </w:r>
          </w:p>
        </w:tc>
        <w:tc>
          <w:tcPr>
            <w:tcW w:w="1090" w:type="dxa"/>
            <w:tcBorders>
              <w:top w:val="single" w:sz="4" w:space="0" w:color="522398"/>
              <w:bottom w:val="single" w:sz="4" w:space="0" w:color="522398"/>
            </w:tcBorders>
            <w:shd w:val="clear" w:color="auto" w:fill="auto"/>
            <w:vAlign w:val="bottom"/>
          </w:tcPr>
          <w:p w:rsidR="00544A3B" w:rsidRPr="00DD30B0" w:rsidRDefault="0089074A" w:rsidP="00544A3B">
            <w:pPr>
              <w:spacing w:before="40" w:after="0"/>
              <w:jc w:val="right"/>
              <w:rPr>
                <w:b/>
                <w:sz w:val="16"/>
                <w:szCs w:val="16"/>
              </w:rPr>
            </w:pPr>
            <w:r w:rsidRPr="00DD30B0">
              <w:rPr>
                <w:b/>
                <w:sz w:val="16"/>
                <w:szCs w:val="16"/>
              </w:rPr>
              <w:t>103,7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012C48" w:rsidP="00EA53AC">
            <w:pPr>
              <w:spacing w:before="40" w:after="0"/>
              <w:jc w:val="right"/>
              <w:rPr>
                <w:b/>
                <w:sz w:val="16"/>
                <w:szCs w:val="16"/>
              </w:rPr>
            </w:pPr>
            <w:r w:rsidRPr="00DD30B0">
              <w:rPr>
                <w:b/>
                <w:sz w:val="16"/>
                <w:szCs w:val="16"/>
              </w:rPr>
              <w:t>4420</w:t>
            </w:r>
            <w:r w:rsidR="00EA53AC" w:rsidRPr="00DD30B0">
              <w:rPr>
                <w:b/>
                <w:sz w:val="16"/>
                <w:szCs w:val="16"/>
              </w:rPr>
              <w:t>,</w:t>
            </w:r>
            <w:r w:rsidRPr="00DD30B0">
              <w:rPr>
                <w:b/>
                <w:sz w:val="16"/>
                <w:szCs w:val="16"/>
              </w:rPr>
              <w:t>57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89074A" w:rsidP="00544A3B">
            <w:pPr>
              <w:spacing w:before="40" w:after="0"/>
              <w:jc w:val="right"/>
              <w:rPr>
                <w:b/>
                <w:sz w:val="16"/>
                <w:szCs w:val="16"/>
              </w:rPr>
            </w:pPr>
            <w:r w:rsidRPr="00DD30B0">
              <w:rPr>
                <w:b/>
                <w:sz w:val="16"/>
                <w:szCs w:val="16"/>
              </w:rPr>
              <w:t>103,9</w:t>
            </w:r>
          </w:p>
        </w:tc>
      </w:tr>
      <w:tr w:rsidR="005B097F"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226"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DD30B0" w:rsidRDefault="00544A3B" w:rsidP="00544A3B">
            <w:pPr>
              <w:tabs>
                <w:tab w:val="right" w:leader="dot" w:pos="4037"/>
              </w:tabs>
              <w:spacing w:before="40" w:after="0" w:line="150" w:lineRule="exact"/>
              <w:ind w:left="113" w:hanging="113"/>
              <w:rPr>
                <w:rFonts w:cs="Arial"/>
                <w:sz w:val="16"/>
                <w:szCs w:val="16"/>
              </w:rPr>
            </w:pPr>
            <w:r w:rsidRPr="00DD30B0">
              <w:rPr>
                <w:rFonts w:cs="Arial"/>
                <w:sz w:val="16"/>
                <w:szCs w:val="16"/>
              </w:rPr>
              <w:t>Przemysł</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9C45D4" w:rsidP="001579E8">
            <w:pPr>
              <w:spacing w:before="40" w:after="0" w:line="150" w:lineRule="exact"/>
              <w:jc w:val="right"/>
              <w:rPr>
                <w:sz w:val="16"/>
                <w:szCs w:val="16"/>
              </w:rPr>
            </w:pPr>
            <w:r w:rsidRPr="00DD30B0">
              <w:rPr>
                <w:sz w:val="16"/>
                <w:szCs w:val="16"/>
              </w:rPr>
              <w:t>4909</w:t>
            </w:r>
            <w:r w:rsidR="001579E8" w:rsidRPr="00DD30B0">
              <w:rPr>
                <w:sz w:val="16"/>
                <w:szCs w:val="16"/>
              </w:rPr>
              <w:t>,</w:t>
            </w:r>
            <w:r w:rsidRPr="00DD30B0">
              <w:rPr>
                <w:sz w:val="16"/>
                <w:szCs w:val="16"/>
              </w:rPr>
              <w:t>87</w:t>
            </w:r>
          </w:p>
        </w:tc>
        <w:tc>
          <w:tcPr>
            <w:tcW w:w="1090" w:type="dxa"/>
            <w:tcBorders>
              <w:top w:val="single" w:sz="4" w:space="0" w:color="522398"/>
              <w:bottom w:val="single" w:sz="4" w:space="0" w:color="522398"/>
            </w:tcBorders>
            <w:shd w:val="clear" w:color="auto" w:fill="auto"/>
            <w:vAlign w:val="bottom"/>
          </w:tcPr>
          <w:p w:rsidR="00544A3B" w:rsidRPr="00DD30B0" w:rsidRDefault="0089074A" w:rsidP="00544A3B">
            <w:pPr>
              <w:spacing w:before="40" w:after="0" w:line="150" w:lineRule="exact"/>
              <w:jc w:val="right"/>
              <w:rPr>
                <w:sz w:val="16"/>
                <w:szCs w:val="16"/>
              </w:rPr>
            </w:pPr>
            <w:r w:rsidRPr="00DD30B0">
              <w:rPr>
                <w:sz w:val="16"/>
                <w:szCs w:val="16"/>
              </w:rPr>
              <w:t>101,4</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C45D4" w:rsidP="001579E8">
            <w:pPr>
              <w:spacing w:before="40" w:after="0" w:line="150" w:lineRule="exact"/>
              <w:jc w:val="right"/>
              <w:rPr>
                <w:sz w:val="16"/>
                <w:szCs w:val="16"/>
              </w:rPr>
            </w:pPr>
            <w:r w:rsidRPr="00DD30B0">
              <w:rPr>
                <w:sz w:val="16"/>
                <w:szCs w:val="16"/>
              </w:rPr>
              <w:t>4730</w:t>
            </w:r>
            <w:r w:rsidR="001579E8" w:rsidRPr="00DD30B0">
              <w:rPr>
                <w:sz w:val="16"/>
                <w:szCs w:val="16"/>
              </w:rPr>
              <w:t>,</w:t>
            </w:r>
            <w:r w:rsidRPr="00DD30B0">
              <w:rPr>
                <w:sz w:val="16"/>
                <w:szCs w:val="16"/>
              </w:rPr>
              <w:t>89</w:t>
            </w:r>
          </w:p>
        </w:tc>
        <w:tc>
          <w:tcPr>
            <w:tcW w:w="1090" w:type="dxa"/>
            <w:tcBorders>
              <w:top w:val="single" w:sz="4" w:space="0" w:color="522398"/>
              <w:bottom w:val="single" w:sz="4" w:space="0" w:color="522398"/>
              <w:right w:val="nil"/>
            </w:tcBorders>
            <w:shd w:val="clear" w:color="auto" w:fill="auto"/>
            <w:vAlign w:val="bottom"/>
          </w:tcPr>
          <w:p w:rsidR="00544A3B" w:rsidRPr="00DD30B0" w:rsidRDefault="0089074A" w:rsidP="00544A3B">
            <w:pPr>
              <w:spacing w:before="40" w:after="0" w:line="150" w:lineRule="exact"/>
              <w:jc w:val="right"/>
              <w:rPr>
                <w:sz w:val="16"/>
                <w:szCs w:val="16"/>
              </w:rPr>
            </w:pPr>
            <w:r w:rsidRPr="00DD30B0">
              <w:rPr>
                <w:sz w:val="16"/>
                <w:szCs w:val="16"/>
              </w:rPr>
              <w:t>102,8</w:t>
            </w:r>
          </w:p>
        </w:tc>
      </w:tr>
      <w:tr w:rsidR="005B097F"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340"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vAlign w:val="bottom"/>
          </w:tcPr>
          <w:p w:rsidR="005B097F" w:rsidRPr="00DD30B0" w:rsidRDefault="005B097F" w:rsidP="001357FC">
            <w:pPr>
              <w:spacing w:before="0" w:after="0" w:line="150" w:lineRule="exact"/>
              <w:jc w:val="right"/>
              <w:rPr>
                <w:rFonts w:cs="Arial"/>
                <w:sz w:val="16"/>
                <w:szCs w:val="16"/>
              </w:rPr>
            </w:pP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przetwórstwo przemysłowe</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sz w:val="16"/>
                <w:szCs w:val="16"/>
              </w:rPr>
            </w:pPr>
            <w:r w:rsidRPr="00DD30B0">
              <w:rPr>
                <w:sz w:val="16"/>
                <w:szCs w:val="16"/>
              </w:rPr>
              <w:t>4853,</w:t>
            </w:r>
            <w:r w:rsidR="009C45D4" w:rsidRPr="00DD30B0">
              <w:rPr>
                <w:sz w:val="16"/>
                <w:szCs w:val="16"/>
              </w:rPr>
              <w:t>32</w:t>
            </w:r>
          </w:p>
        </w:tc>
        <w:tc>
          <w:tcPr>
            <w:tcW w:w="1090" w:type="dxa"/>
            <w:tcBorders>
              <w:top w:val="single" w:sz="4" w:space="0" w:color="522398"/>
              <w:bottom w:val="single" w:sz="4" w:space="0" w:color="522398"/>
            </w:tcBorders>
            <w:shd w:val="clear" w:color="auto" w:fill="auto"/>
            <w:vAlign w:val="bottom"/>
          </w:tcPr>
          <w:p w:rsidR="00544A3B" w:rsidRPr="00DD30B0" w:rsidRDefault="0089074A" w:rsidP="00544A3B">
            <w:pPr>
              <w:spacing w:before="0" w:after="0" w:line="150" w:lineRule="exact"/>
              <w:contextualSpacing/>
              <w:jc w:val="right"/>
              <w:rPr>
                <w:sz w:val="16"/>
                <w:szCs w:val="16"/>
              </w:rPr>
            </w:pPr>
            <w:r w:rsidRPr="00DD30B0">
              <w:rPr>
                <w:sz w:val="16"/>
                <w:szCs w:val="16"/>
              </w:rPr>
              <w:t>101,9</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C45D4" w:rsidP="001579E8">
            <w:pPr>
              <w:spacing w:before="0" w:after="0" w:line="150" w:lineRule="exact"/>
              <w:contextualSpacing/>
              <w:jc w:val="right"/>
              <w:rPr>
                <w:sz w:val="16"/>
                <w:szCs w:val="16"/>
              </w:rPr>
            </w:pPr>
            <w:r w:rsidRPr="00DD30B0">
              <w:rPr>
                <w:sz w:val="16"/>
                <w:szCs w:val="16"/>
              </w:rPr>
              <w:t>4682</w:t>
            </w:r>
            <w:r w:rsidR="001579E8" w:rsidRPr="00DD30B0">
              <w:rPr>
                <w:sz w:val="16"/>
                <w:szCs w:val="16"/>
              </w:rPr>
              <w:t>,</w:t>
            </w:r>
            <w:r w:rsidRPr="00DD30B0">
              <w:rPr>
                <w:sz w:val="16"/>
                <w:szCs w:val="16"/>
              </w:rPr>
              <w:t>44</w:t>
            </w:r>
          </w:p>
        </w:tc>
        <w:tc>
          <w:tcPr>
            <w:tcW w:w="1090" w:type="dxa"/>
            <w:tcBorders>
              <w:top w:val="single" w:sz="4" w:space="0" w:color="522398"/>
              <w:bottom w:val="single" w:sz="4" w:space="0" w:color="522398"/>
              <w:right w:val="nil"/>
            </w:tcBorders>
            <w:shd w:val="clear" w:color="auto" w:fill="auto"/>
            <w:vAlign w:val="bottom"/>
          </w:tcPr>
          <w:p w:rsidR="00544A3B" w:rsidRPr="00DD30B0" w:rsidRDefault="0089074A" w:rsidP="00544A3B">
            <w:pPr>
              <w:spacing w:before="0" w:after="0" w:line="150" w:lineRule="exact"/>
              <w:contextualSpacing/>
              <w:jc w:val="right"/>
              <w:rPr>
                <w:sz w:val="16"/>
                <w:szCs w:val="16"/>
              </w:rPr>
            </w:pPr>
            <w:r w:rsidRPr="00DD30B0">
              <w:rPr>
                <w:sz w:val="16"/>
                <w:szCs w:val="16"/>
              </w:rPr>
              <w:t>103,0</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 xml:space="preserve">dostawa wody; gospodarowanie ściekami i odpadami; rekultywacja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pStyle w:val="tytuwykresu"/>
              <w:spacing w:before="0" w:line="150" w:lineRule="exact"/>
              <w:jc w:val="right"/>
              <w:rPr>
                <w:b w:val="0"/>
                <w:sz w:val="16"/>
                <w:szCs w:val="16"/>
                <w:shd w:val="clear" w:color="auto" w:fill="FFFFFF"/>
              </w:rPr>
            </w:pPr>
            <w:r w:rsidRPr="00DD30B0">
              <w:rPr>
                <w:b w:val="0"/>
                <w:sz w:val="16"/>
                <w:szCs w:val="16"/>
                <w:shd w:val="clear" w:color="auto" w:fill="FFFFFF"/>
              </w:rPr>
              <w:t>4699,</w:t>
            </w:r>
            <w:r w:rsidR="009C45D4" w:rsidRPr="00DD30B0">
              <w:rPr>
                <w:b w:val="0"/>
                <w:sz w:val="16"/>
                <w:szCs w:val="16"/>
                <w:shd w:val="clear" w:color="auto" w:fill="FFFFFF"/>
              </w:rPr>
              <w:t>34</w:t>
            </w:r>
          </w:p>
        </w:tc>
        <w:tc>
          <w:tcPr>
            <w:tcW w:w="1090" w:type="dxa"/>
            <w:tcBorders>
              <w:top w:val="single" w:sz="4" w:space="0" w:color="522398"/>
              <w:bottom w:val="single" w:sz="4" w:space="0" w:color="522398"/>
            </w:tcBorders>
            <w:shd w:val="clear" w:color="auto" w:fill="auto"/>
            <w:vAlign w:val="bottom"/>
          </w:tcPr>
          <w:p w:rsidR="00544A3B" w:rsidRPr="00DD30B0" w:rsidRDefault="0089074A" w:rsidP="00544A3B">
            <w:pPr>
              <w:spacing w:before="0" w:after="0" w:line="150" w:lineRule="exact"/>
              <w:contextualSpacing/>
              <w:jc w:val="right"/>
              <w:rPr>
                <w:sz w:val="16"/>
                <w:szCs w:val="16"/>
              </w:rPr>
            </w:pPr>
            <w:r w:rsidRPr="00DD30B0">
              <w:rPr>
                <w:sz w:val="16"/>
                <w:szCs w:val="16"/>
              </w:rPr>
              <w:t>104,8</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C45D4" w:rsidP="001579E8">
            <w:pPr>
              <w:pStyle w:val="tytuwykresu"/>
              <w:spacing w:before="0" w:line="150" w:lineRule="exact"/>
              <w:jc w:val="right"/>
              <w:rPr>
                <w:b w:val="0"/>
                <w:sz w:val="16"/>
                <w:szCs w:val="16"/>
                <w:shd w:val="clear" w:color="auto" w:fill="FFFFFF"/>
              </w:rPr>
            </w:pPr>
            <w:r w:rsidRPr="00DD30B0">
              <w:rPr>
                <w:b w:val="0"/>
                <w:sz w:val="16"/>
                <w:szCs w:val="16"/>
                <w:shd w:val="clear" w:color="auto" w:fill="FFFFFF"/>
              </w:rPr>
              <w:t>4556</w:t>
            </w:r>
            <w:r w:rsidR="001579E8" w:rsidRPr="00DD30B0">
              <w:rPr>
                <w:b w:val="0"/>
                <w:sz w:val="16"/>
                <w:szCs w:val="16"/>
                <w:shd w:val="clear" w:color="auto" w:fill="FFFFFF"/>
              </w:rPr>
              <w:t>,</w:t>
            </w:r>
            <w:r w:rsidRPr="00DD30B0">
              <w:rPr>
                <w:b w:val="0"/>
                <w:sz w:val="16"/>
                <w:szCs w:val="16"/>
                <w:shd w:val="clear" w:color="auto" w:fill="FFFFFF"/>
              </w:rPr>
              <w:t>67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89074A" w:rsidP="00544A3B">
            <w:pPr>
              <w:spacing w:before="0" w:after="0" w:line="150" w:lineRule="exact"/>
              <w:contextualSpacing/>
              <w:jc w:val="right"/>
              <w:rPr>
                <w:sz w:val="16"/>
                <w:szCs w:val="16"/>
              </w:rPr>
            </w:pPr>
            <w:r w:rsidRPr="00DD30B0">
              <w:rPr>
                <w:sz w:val="16"/>
                <w:szCs w:val="16"/>
              </w:rPr>
              <w:t>107,4</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Budownictwo</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sz w:val="16"/>
                <w:szCs w:val="16"/>
              </w:rPr>
            </w:pPr>
            <w:r w:rsidRPr="00DD30B0">
              <w:rPr>
                <w:sz w:val="16"/>
                <w:szCs w:val="16"/>
              </w:rPr>
              <w:t>4562,</w:t>
            </w:r>
            <w:r w:rsidR="009C45D4" w:rsidRPr="00DD30B0">
              <w:rPr>
                <w:sz w:val="16"/>
                <w:szCs w:val="16"/>
              </w:rPr>
              <w:t>17</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107,5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C45D4" w:rsidP="001579E8">
            <w:pPr>
              <w:spacing w:before="0" w:after="0" w:line="150" w:lineRule="exact"/>
              <w:contextualSpacing/>
              <w:jc w:val="right"/>
              <w:rPr>
                <w:sz w:val="16"/>
                <w:szCs w:val="16"/>
              </w:rPr>
            </w:pPr>
            <w:r w:rsidRPr="00DD30B0">
              <w:rPr>
                <w:sz w:val="16"/>
                <w:szCs w:val="16"/>
              </w:rPr>
              <w:t>4318</w:t>
            </w:r>
            <w:r w:rsidR="001579E8" w:rsidRPr="00DD30B0">
              <w:rPr>
                <w:sz w:val="16"/>
                <w:szCs w:val="16"/>
              </w:rPr>
              <w:t>,</w:t>
            </w:r>
            <w:r w:rsidRPr="00DD30B0">
              <w:rPr>
                <w:sz w:val="16"/>
                <w:szCs w:val="16"/>
              </w:rPr>
              <w:t>60</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106,0</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Handel; naprawa pojazdów samochodowych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9C45D4" w:rsidP="001579E8">
            <w:pPr>
              <w:spacing w:before="0" w:after="0" w:line="150" w:lineRule="exact"/>
              <w:contextualSpacing/>
              <w:jc w:val="right"/>
              <w:rPr>
                <w:sz w:val="16"/>
                <w:szCs w:val="16"/>
              </w:rPr>
            </w:pPr>
            <w:r w:rsidRPr="00DD30B0">
              <w:rPr>
                <w:sz w:val="16"/>
                <w:szCs w:val="16"/>
              </w:rPr>
              <w:t>4152</w:t>
            </w:r>
            <w:r w:rsidR="001579E8" w:rsidRPr="00DD30B0">
              <w:rPr>
                <w:sz w:val="16"/>
                <w:szCs w:val="16"/>
              </w:rPr>
              <w:t>,</w:t>
            </w:r>
            <w:r w:rsidRPr="00DD30B0">
              <w:rPr>
                <w:sz w:val="16"/>
                <w:szCs w:val="16"/>
              </w:rPr>
              <w:t>67</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104,9</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C45D4" w:rsidP="001579E8">
            <w:pPr>
              <w:spacing w:before="0" w:after="0" w:line="150" w:lineRule="exact"/>
              <w:contextualSpacing/>
              <w:jc w:val="right"/>
              <w:rPr>
                <w:sz w:val="16"/>
                <w:szCs w:val="16"/>
              </w:rPr>
            </w:pPr>
            <w:r w:rsidRPr="00DD30B0">
              <w:rPr>
                <w:sz w:val="16"/>
                <w:szCs w:val="16"/>
              </w:rPr>
              <w:t>4023</w:t>
            </w:r>
            <w:r w:rsidR="001579E8" w:rsidRPr="00DD30B0">
              <w:rPr>
                <w:sz w:val="16"/>
                <w:szCs w:val="16"/>
              </w:rPr>
              <w:t>,</w:t>
            </w:r>
            <w:r w:rsidRPr="00DD30B0">
              <w:rPr>
                <w:sz w:val="16"/>
                <w:szCs w:val="16"/>
              </w:rPr>
              <w:t>31</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105,2</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Transport i gospodarka magazynowa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sz w:val="16"/>
                <w:szCs w:val="16"/>
              </w:rPr>
            </w:pPr>
            <w:r w:rsidRPr="00DD30B0">
              <w:rPr>
                <w:sz w:val="16"/>
                <w:szCs w:val="16"/>
              </w:rPr>
              <w:t>3717,</w:t>
            </w:r>
            <w:r w:rsidR="009F5C25" w:rsidRPr="00DD30B0">
              <w:rPr>
                <w:sz w:val="16"/>
                <w:szCs w:val="16"/>
              </w:rPr>
              <w:t>47</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104,7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F5C25" w:rsidP="001579E8">
            <w:pPr>
              <w:spacing w:before="0" w:after="0" w:line="150" w:lineRule="exact"/>
              <w:contextualSpacing/>
              <w:jc w:val="right"/>
              <w:rPr>
                <w:sz w:val="16"/>
                <w:szCs w:val="16"/>
              </w:rPr>
            </w:pPr>
            <w:r w:rsidRPr="00DD30B0">
              <w:rPr>
                <w:sz w:val="16"/>
                <w:szCs w:val="16"/>
              </w:rPr>
              <w:t>3582</w:t>
            </w:r>
            <w:r w:rsidR="001579E8" w:rsidRPr="00DD30B0">
              <w:rPr>
                <w:sz w:val="16"/>
                <w:szCs w:val="16"/>
              </w:rPr>
              <w:t>,</w:t>
            </w:r>
            <w:r w:rsidRPr="00DD30B0">
              <w:rPr>
                <w:sz w:val="16"/>
                <w:szCs w:val="16"/>
              </w:rPr>
              <w:t>80</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102,0</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Zakwaterowanie i gastronomia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sz w:val="16"/>
                <w:szCs w:val="16"/>
              </w:rPr>
            </w:pPr>
            <w:r w:rsidRPr="00DD30B0">
              <w:rPr>
                <w:sz w:val="16"/>
                <w:szCs w:val="16"/>
              </w:rPr>
              <w:t>3468,</w:t>
            </w:r>
            <w:r w:rsidR="009F5C25" w:rsidRPr="00DD30B0">
              <w:rPr>
                <w:sz w:val="16"/>
                <w:szCs w:val="16"/>
              </w:rPr>
              <w:t>62</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101,4</w:t>
            </w:r>
          </w:p>
        </w:tc>
        <w:tc>
          <w:tcPr>
            <w:tcW w:w="1090" w:type="dxa"/>
            <w:tcBorders>
              <w:top w:val="single" w:sz="4" w:space="0" w:color="522398"/>
              <w:bottom w:val="single" w:sz="4" w:space="0" w:color="522398"/>
              <w:right w:val="nil"/>
            </w:tcBorders>
            <w:shd w:val="clear" w:color="auto" w:fill="auto"/>
            <w:vAlign w:val="bottom"/>
          </w:tcPr>
          <w:p w:rsidR="00544A3B" w:rsidRPr="00DD30B0" w:rsidRDefault="009F5C25" w:rsidP="001579E8">
            <w:pPr>
              <w:spacing w:before="0" w:after="0" w:line="150" w:lineRule="exact"/>
              <w:contextualSpacing/>
              <w:jc w:val="right"/>
              <w:rPr>
                <w:sz w:val="16"/>
                <w:szCs w:val="16"/>
              </w:rPr>
            </w:pPr>
            <w:r w:rsidRPr="00DD30B0">
              <w:rPr>
                <w:sz w:val="16"/>
                <w:szCs w:val="16"/>
              </w:rPr>
              <w:t>3376</w:t>
            </w:r>
            <w:r w:rsidR="001579E8" w:rsidRPr="00DD30B0">
              <w:rPr>
                <w:sz w:val="16"/>
                <w:szCs w:val="16"/>
              </w:rPr>
              <w:t>,</w:t>
            </w:r>
            <w:r w:rsidRPr="00DD30B0">
              <w:rPr>
                <w:sz w:val="16"/>
                <w:szCs w:val="16"/>
              </w:rPr>
              <w:t>56</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sz w:val="16"/>
                <w:szCs w:val="16"/>
              </w:rPr>
            </w:pPr>
            <w:r w:rsidRPr="00DD30B0">
              <w:rPr>
                <w:sz w:val="16"/>
                <w:szCs w:val="16"/>
              </w:rPr>
              <w:t>102,1</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Informacja i komunikacja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rFonts w:cs="Arial"/>
                <w:sz w:val="16"/>
                <w:szCs w:val="16"/>
              </w:rPr>
            </w:pPr>
            <w:r w:rsidRPr="00DD30B0">
              <w:rPr>
                <w:rFonts w:cs="Arial"/>
                <w:sz w:val="16"/>
                <w:szCs w:val="16"/>
              </w:rPr>
              <w:t>4747,11</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106,1</w:t>
            </w:r>
          </w:p>
        </w:tc>
        <w:tc>
          <w:tcPr>
            <w:tcW w:w="1090" w:type="dxa"/>
            <w:tcBorders>
              <w:top w:val="single" w:sz="4" w:space="0" w:color="522398"/>
              <w:bottom w:val="single" w:sz="4" w:space="0" w:color="522398"/>
              <w:right w:val="nil"/>
            </w:tcBorders>
            <w:shd w:val="clear" w:color="auto" w:fill="auto"/>
            <w:vAlign w:val="bottom"/>
          </w:tcPr>
          <w:p w:rsidR="00544A3B" w:rsidRPr="00DD30B0" w:rsidRDefault="001579E8" w:rsidP="001579E8">
            <w:pPr>
              <w:spacing w:before="0" w:after="0" w:line="150" w:lineRule="exact"/>
              <w:contextualSpacing/>
              <w:jc w:val="right"/>
              <w:rPr>
                <w:rFonts w:cs="Arial"/>
                <w:sz w:val="16"/>
                <w:szCs w:val="16"/>
              </w:rPr>
            </w:pPr>
            <w:r w:rsidRPr="00DD30B0">
              <w:rPr>
                <w:rFonts w:cs="Arial"/>
                <w:sz w:val="16"/>
                <w:szCs w:val="16"/>
              </w:rPr>
              <w:t>4638,74</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100,7</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Obsługa rynku nieruchomości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rFonts w:cs="Arial"/>
                <w:sz w:val="16"/>
                <w:szCs w:val="16"/>
              </w:rPr>
            </w:pPr>
            <w:r w:rsidRPr="00DD30B0">
              <w:rPr>
                <w:rFonts w:cs="Arial"/>
                <w:sz w:val="16"/>
                <w:szCs w:val="16"/>
              </w:rPr>
              <w:t>6018,18</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109,5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1579E8" w:rsidP="001579E8">
            <w:pPr>
              <w:spacing w:before="0" w:after="0" w:line="150" w:lineRule="exact"/>
              <w:contextualSpacing/>
              <w:jc w:val="right"/>
              <w:rPr>
                <w:rFonts w:cs="Arial"/>
                <w:sz w:val="16"/>
                <w:szCs w:val="16"/>
              </w:rPr>
            </w:pPr>
            <w:r w:rsidRPr="00DD30B0">
              <w:rPr>
                <w:rFonts w:cs="Arial"/>
                <w:sz w:val="16"/>
                <w:szCs w:val="16"/>
              </w:rPr>
              <w:t>5736,15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101,3</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971282">
            <w:pPr>
              <w:tabs>
                <w:tab w:val="right" w:leader="dot" w:pos="4037"/>
              </w:tabs>
              <w:spacing w:before="0" w:after="0" w:line="150" w:lineRule="exact"/>
              <w:ind w:left="113" w:hanging="113"/>
              <w:rPr>
                <w:rFonts w:cs="Arial"/>
                <w:sz w:val="16"/>
                <w:szCs w:val="16"/>
              </w:rPr>
            </w:pPr>
            <w:r w:rsidRPr="001F49DC">
              <w:rPr>
                <w:rFonts w:cs="Arial"/>
                <w:sz w:val="16"/>
                <w:szCs w:val="16"/>
              </w:rPr>
              <w:t>Działalność profesjonalna, naukowa i techniczna</w:t>
            </w:r>
            <w:r w:rsidRPr="00971282">
              <w:rPr>
                <w:rFonts w:cs="Arial"/>
                <w:sz w:val="16"/>
                <w:szCs w:val="16"/>
                <w:vertAlign w:val="superscript"/>
              </w:rPr>
              <w:t>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1579E8">
            <w:pPr>
              <w:spacing w:before="0" w:after="0" w:line="150" w:lineRule="exact"/>
              <w:contextualSpacing/>
              <w:jc w:val="right"/>
              <w:rPr>
                <w:rFonts w:cs="Arial"/>
                <w:sz w:val="16"/>
                <w:szCs w:val="16"/>
              </w:rPr>
            </w:pPr>
            <w:r w:rsidRPr="00DD30B0">
              <w:rPr>
                <w:rFonts w:cs="Arial"/>
                <w:sz w:val="16"/>
                <w:szCs w:val="16"/>
              </w:rPr>
              <w:t>4085,97</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103,2</w:t>
            </w:r>
          </w:p>
        </w:tc>
        <w:tc>
          <w:tcPr>
            <w:tcW w:w="1090" w:type="dxa"/>
            <w:tcBorders>
              <w:top w:val="single" w:sz="4" w:space="0" w:color="522398"/>
              <w:bottom w:val="single" w:sz="4" w:space="0" w:color="522398"/>
              <w:right w:val="nil"/>
            </w:tcBorders>
            <w:shd w:val="clear" w:color="auto" w:fill="auto"/>
            <w:vAlign w:val="bottom"/>
          </w:tcPr>
          <w:p w:rsidR="00544A3B" w:rsidRPr="00DD30B0" w:rsidRDefault="001579E8" w:rsidP="001579E8">
            <w:pPr>
              <w:spacing w:before="0" w:after="0" w:line="150" w:lineRule="exact"/>
              <w:contextualSpacing/>
              <w:jc w:val="right"/>
              <w:rPr>
                <w:rFonts w:cs="Arial"/>
                <w:sz w:val="16"/>
                <w:szCs w:val="16"/>
              </w:rPr>
            </w:pPr>
            <w:r w:rsidRPr="00DD30B0">
              <w:rPr>
                <w:rFonts w:cs="Arial"/>
                <w:sz w:val="16"/>
                <w:szCs w:val="16"/>
              </w:rPr>
              <w:t>3877,52</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96,9</w:t>
            </w:r>
          </w:p>
        </w:tc>
      </w:tr>
      <w:tr w:rsidR="00544A3B" w:rsidRPr="00DD30B0" w:rsidTr="00AD6900">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Administrowanie i działalność wspierająca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1579E8" w:rsidP="00544A3B">
            <w:pPr>
              <w:spacing w:before="0" w:after="0" w:line="150" w:lineRule="exact"/>
              <w:contextualSpacing/>
              <w:jc w:val="right"/>
              <w:rPr>
                <w:rFonts w:cs="Arial"/>
                <w:sz w:val="16"/>
                <w:szCs w:val="16"/>
              </w:rPr>
            </w:pPr>
            <w:r w:rsidRPr="00DD30B0">
              <w:rPr>
                <w:rFonts w:cs="Arial"/>
                <w:sz w:val="16"/>
                <w:szCs w:val="16"/>
              </w:rPr>
              <w:t>3233,91</w:t>
            </w:r>
          </w:p>
        </w:tc>
        <w:tc>
          <w:tcPr>
            <w:tcW w:w="1090" w:type="dxa"/>
            <w:tcBorders>
              <w:top w:val="single" w:sz="4" w:space="0" w:color="522398"/>
              <w:bottom w:val="single" w:sz="4" w:space="0" w:color="522398"/>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113,5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1579E8" w:rsidP="001579E8">
            <w:pPr>
              <w:spacing w:before="0" w:after="0" w:line="150" w:lineRule="exact"/>
              <w:contextualSpacing/>
              <w:jc w:val="right"/>
              <w:rPr>
                <w:rFonts w:cs="Arial"/>
                <w:sz w:val="16"/>
                <w:szCs w:val="16"/>
              </w:rPr>
            </w:pPr>
            <w:r w:rsidRPr="00DD30B0">
              <w:rPr>
                <w:rFonts w:cs="Arial"/>
                <w:sz w:val="16"/>
                <w:szCs w:val="16"/>
              </w:rPr>
              <w:t>3194,98</w:t>
            </w:r>
          </w:p>
        </w:tc>
        <w:tc>
          <w:tcPr>
            <w:tcW w:w="1090" w:type="dxa"/>
            <w:tcBorders>
              <w:top w:val="single" w:sz="4" w:space="0" w:color="522398"/>
              <w:bottom w:val="single" w:sz="4" w:space="0" w:color="522398"/>
              <w:right w:val="nil"/>
            </w:tcBorders>
            <w:shd w:val="clear" w:color="auto" w:fill="auto"/>
            <w:vAlign w:val="bottom"/>
          </w:tcPr>
          <w:p w:rsidR="00544A3B" w:rsidRPr="00DD30B0" w:rsidRDefault="00B86EE8" w:rsidP="00544A3B">
            <w:pPr>
              <w:spacing w:before="0" w:after="0" w:line="150" w:lineRule="exact"/>
              <w:contextualSpacing/>
              <w:jc w:val="right"/>
              <w:rPr>
                <w:rFonts w:cs="Arial"/>
                <w:sz w:val="16"/>
                <w:szCs w:val="16"/>
              </w:rPr>
            </w:pPr>
            <w:r w:rsidRPr="00DD30B0">
              <w:rPr>
                <w:rFonts w:cs="Arial"/>
                <w:sz w:val="16"/>
                <w:szCs w:val="16"/>
              </w:rPr>
              <w:t>112,5</w:t>
            </w:r>
          </w:p>
        </w:tc>
      </w:tr>
    </w:tbl>
    <w:p w:rsidR="00A27A04" w:rsidRPr="00DD30B0" w:rsidRDefault="00284CE4" w:rsidP="00B63E54">
      <w:pPr>
        <w:spacing w:before="0"/>
        <w:ind w:firstLine="227"/>
        <w:jc w:val="both"/>
        <w:rPr>
          <w:rFonts w:cs="Arial"/>
        </w:rPr>
      </w:pPr>
      <w:r w:rsidRPr="00971282">
        <w:rPr>
          <w:rFonts w:eastAsia="Calibri" w:cs="Arial"/>
          <w:sz w:val="16"/>
          <w:szCs w:val="16"/>
          <w:vertAlign w:val="superscript"/>
        </w:rPr>
        <w:t>a</w:t>
      </w:r>
      <w:r w:rsidRPr="00DD30B0">
        <w:rPr>
          <w:rFonts w:eastAsia="Calibri" w:cs="Arial"/>
          <w:i/>
          <w:sz w:val="16"/>
          <w:szCs w:val="16"/>
        </w:rPr>
        <w:t xml:space="preserve"> </w:t>
      </w:r>
      <w:r w:rsidRPr="00DD30B0">
        <w:rPr>
          <w:rFonts w:eastAsia="Calibri" w:cs="Arial"/>
          <w:sz w:val="16"/>
          <w:szCs w:val="16"/>
        </w:rPr>
        <w:t>Nie obejmuje działów: Badania naukowe i prace rozwojowe oraz Działalność weterynaryjna.</w:t>
      </w:r>
    </w:p>
    <w:p w:rsidR="00EE3027" w:rsidRDefault="00EE3027" w:rsidP="00EE3027">
      <w:r w:rsidRPr="000732CB">
        <w:lastRenderedPageBreak/>
        <w:t xml:space="preserve">W lipcu </w:t>
      </w:r>
      <w:r w:rsidR="00552F45">
        <w:t xml:space="preserve">br. </w:t>
      </w:r>
      <w:r w:rsidRPr="000732CB">
        <w:t>przeciętne miesięczne wynagrodzenie brutto, znacznie przekraczające średnie w województwie, otrzymali pracujący w obsłudze rynku nieruchomości (o 31,2%). Najniższe wynagrodzenia, znacznie poniżej średniego, wypłacono w</w:t>
      </w:r>
      <w:r>
        <w:t> </w:t>
      </w:r>
      <w:r w:rsidRPr="000732CB">
        <w:t>administrowaniu i działalności wspierającej (o 29,5%) oraz zakwaterowaniu i gastronomii (o 24,4%).</w:t>
      </w:r>
    </w:p>
    <w:p w:rsidR="0086664B" w:rsidRDefault="00EE3027" w:rsidP="008C3B84">
      <w:pPr>
        <w:tabs>
          <w:tab w:val="left" w:pos="851"/>
        </w:tabs>
        <w:spacing w:before="240" w:after="0"/>
        <w:ind w:left="851" w:hanging="851"/>
        <w:rPr>
          <w:b/>
        </w:rPr>
      </w:pPr>
      <w:r>
        <w:rPr>
          <w:noProof/>
          <w:lang w:eastAsia="pl-PL"/>
        </w:rPr>
        <w:drawing>
          <wp:anchor distT="0" distB="0" distL="114300" distR="114300" simplePos="0" relativeHeight="251657216" behindDoc="0" locked="0" layoutInCell="1" allowOverlap="1">
            <wp:simplePos x="0" y="0"/>
            <wp:positionH relativeFrom="column">
              <wp:posOffset>310551</wp:posOffset>
            </wp:positionH>
            <wp:positionV relativeFrom="paragraph">
              <wp:posOffset>458638</wp:posOffset>
            </wp:positionV>
            <wp:extent cx="5784215" cy="2820035"/>
            <wp:effectExtent l="0" t="0" r="0" b="0"/>
            <wp:wrapTopAndBottom/>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86664B" w:rsidRPr="00DD30B0">
        <w:rPr>
          <w:b/>
        </w:rPr>
        <w:t>Wykres 5.</w:t>
      </w:r>
      <w:r w:rsidR="00F66DF2" w:rsidRPr="00DD30B0">
        <w:rPr>
          <w:b/>
        </w:rPr>
        <w:t xml:space="preserve"> </w:t>
      </w:r>
      <w:r w:rsidR="0086664B" w:rsidRPr="00DD30B0">
        <w:rPr>
          <w:b/>
        </w:rPr>
        <w:t>Odchylenia względne przeciętnych miesięcznych wynagrodzeń brutto w sekcjach od przeciętnego</w:t>
      </w:r>
      <w:r w:rsidR="00566D21" w:rsidRPr="00DD30B0">
        <w:rPr>
          <w:b/>
        </w:rPr>
        <w:t xml:space="preserve"> </w:t>
      </w:r>
      <w:r w:rsidR="0086664B" w:rsidRPr="00DD30B0">
        <w:rPr>
          <w:b/>
        </w:rPr>
        <w:t xml:space="preserve">wynagrodzenia w sektorze przedsiębiorstw </w:t>
      </w:r>
      <w:r w:rsidR="00A27A04" w:rsidRPr="00DD30B0">
        <w:rPr>
          <w:b/>
        </w:rPr>
        <w:t xml:space="preserve">w </w:t>
      </w:r>
      <w:r w:rsidR="00C9173D" w:rsidRPr="00DD30B0">
        <w:rPr>
          <w:b/>
        </w:rPr>
        <w:t>lipcu</w:t>
      </w:r>
      <w:r w:rsidR="00A27A04" w:rsidRPr="00DD30B0">
        <w:rPr>
          <w:b/>
        </w:rPr>
        <w:t xml:space="preserve"> </w:t>
      </w:r>
      <w:r w:rsidR="00565E83" w:rsidRPr="00DD30B0">
        <w:rPr>
          <w:b/>
        </w:rPr>
        <w:t xml:space="preserve">2020 </w:t>
      </w:r>
      <w:r w:rsidR="0086664B" w:rsidRPr="00DD30B0">
        <w:rPr>
          <w:b/>
        </w:rPr>
        <w:t xml:space="preserve">r. </w:t>
      </w:r>
      <w:r w:rsidR="000564EC" w:rsidRPr="00DD30B0">
        <w:rPr>
          <w:b/>
        </w:rPr>
        <w:t xml:space="preserve"> </w:t>
      </w:r>
    </w:p>
    <w:p w:rsidR="00EE3027" w:rsidRDefault="00EE3027" w:rsidP="00EE3027">
      <w:r w:rsidRPr="00F66DF2">
        <w:rPr>
          <w:rFonts w:eastAsia="Times New Roman"/>
          <w:bCs/>
          <w:szCs w:val="19"/>
          <w:lang w:eastAsia="pl-PL"/>
        </w:rPr>
        <w:t xml:space="preserve">W </w:t>
      </w:r>
      <w:r>
        <w:rPr>
          <w:rFonts w:eastAsia="Times New Roman"/>
          <w:bCs/>
          <w:szCs w:val="19"/>
          <w:lang w:eastAsia="pl-PL"/>
        </w:rPr>
        <w:t>okresie pierwszych siedmiu miesięcy bieżącego roku</w:t>
      </w:r>
      <w:r w:rsidRPr="00F66DF2">
        <w:rPr>
          <w:rFonts w:eastAsia="Times New Roman"/>
          <w:bCs/>
          <w:szCs w:val="19"/>
          <w:lang w:eastAsia="pl-PL"/>
        </w:rPr>
        <w:t xml:space="preserve"> przeciętne miesięczne wynagrodzenie brutto w sektorze przedsiębiorstw ukształtowało się na poziomie</w:t>
      </w:r>
      <w:r>
        <w:rPr>
          <w:rFonts w:eastAsia="Times New Roman"/>
          <w:bCs/>
          <w:szCs w:val="19"/>
          <w:lang w:eastAsia="pl-PL"/>
        </w:rPr>
        <w:t xml:space="preserve"> </w:t>
      </w:r>
      <w:r w:rsidRPr="00EA53AC">
        <w:rPr>
          <w:rFonts w:eastAsia="Times New Roman"/>
          <w:bCs/>
          <w:szCs w:val="19"/>
          <w:lang w:eastAsia="pl-PL"/>
        </w:rPr>
        <w:t>4420</w:t>
      </w:r>
      <w:r>
        <w:rPr>
          <w:rFonts w:eastAsia="Times New Roman"/>
          <w:bCs/>
          <w:szCs w:val="19"/>
          <w:lang w:eastAsia="pl-PL"/>
        </w:rPr>
        <w:t>,</w:t>
      </w:r>
      <w:r w:rsidRPr="00EA53AC">
        <w:rPr>
          <w:rFonts w:eastAsia="Times New Roman"/>
          <w:bCs/>
          <w:szCs w:val="19"/>
          <w:lang w:eastAsia="pl-PL"/>
        </w:rPr>
        <w:t>57</w:t>
      </w:r>
      <w:r>
        <w:rPr>
          <w:rFonts w:eastAsia="Times New Roman"/>
          <w:bCs/>
          <w:szCs w:val="19"/>
          <w:lang w:eastAsia="pl-PL"/>
        </w:rPr>
        <w:t xml:space="preserve"> zł, tj. o 3</w:t>
      </w:r>
      <w:r w:rsidRPr="00F66DF2">
        <w:rPr>
          <w:rFonts w:eastAsia="Times New Roman"/>
          <w:bCs/>
          <w:szCs w:val="19"/>
          <w:lang w:eastAsia="pl-PL"/>
        </w:rPr>
        <w:t>,</w:t>
      </w:r>
      <w:r>
        <w:rPr>
          <w:rFonts w:eastAsia="Times New Roman"/>
          <w:bCs/>
          <w:szCs w:val="19"/>
          <w:lang w:eastAsia="pl-PL"/>
        </w:rPr>
        <w:t>9</w:t>
      </w:r>
      <w:r w:rsidRPr="00F66DF2">
        <w:rPr>
          <w:rFonts w:eastAsia="Times New Roman"/>
          <w:bCs/>
          <w:szCs w:val="19"/>
          <w:lang w:eastAsia="pl-PL"/>
        </w:rPr>
        <w:t xml:space="preserve">% wyższym niż w analogicznym okresie ub. roku (kiedy wzrost </w:t>
      </w:r>
      <w:r w:rsidRPr="00C9173D">
        <w:rPr>
          <w:rFonts w:eastAsia="Times New Roman"/>
          <w:bCs/>
          <w:szCs w:val="19"/>
          <w:lang w:eastAsia="pl-PL"/>
        </w:rPr>
        <w:t>wyniósł 6,4%).</w:t>
      </w:r>
      <w:r w:rsidRPr="00F66DF2">
        <w:rPr>
          <w:rFonts w:eastAsia="Times New Roman"/>
          <w:bCs/>
          <w:szCs w:val="19"/>
          <w:lang w:eastAsia="pl-PL"/>
        </w:rPr>
        <w:t xml:space="preserve"> </w:t>
      </w:r>
      <w:r w:rsidRPr="00F66DF2">
        <w:rPr>
          <w:rFonts w:eastAsia="Times New Roman"/>
          <w:bCs/>
          <w:i/>
          <w:szCs w:val="19"/>
          <w:lang w:eastAsia="pl-PL"/>
        </w:rPr>
        <w:t xml:space="preserve">W kraju przeciętne miesięczne wynagrodzenie brutto w </w:t>
      </w:r>
      <w:r w:rsidR="0023759A">
        <w:rPr>
          <w:rFonts w:eastAsia="Times New Roman"/>
          <w:bCs/>
          <w:i/>
          <w:szCs w:val="19"/>
          <w:lang w:eastAsia="pl-PL"/>
        </w:rPr>
        <w:t>okresie styczeń-lipiec</w:t>
      </w:r>
      <w:r w:rsidRPr="00F66DF2">
        <w:rPr>
          <w:rFonts w:eastAsia="Times New Roman"/>
          <w:bCs/>
          <w:i/>
          <w:szCs w:val="19"/>
          <w:lang w:eastAsia="pl-PL"/>
        </w:rPr>
        <w:t xml:space="preserve"> br. wyniosło</w:t>
      </w:r>
      <w:r>
        <w:rPr>
          <w:rFonts w:eastAsia="Times New Roman"/>
          <w:bCs/>
          <w:i/>
          <w:szCs w:val="19"/>
          <w:lang w:eastAsia="pl-PL"/>
        </w:rPr>
        <w:t xml:space="preserve"> </w:t>
      </w:r>
      <w:r w:rsidRPr="00B77F35">
        <w:rPr>
          <w:rFonts w:eastAsia="Times New Roman"/>
          <w:bCs/>
          <w:i/>
          <w:szCs w:val="19"/>
          <w:lang w:eastAsia="pl-PL"/>
        </w:rPr>
        <w:t>5319,19 zł i przekroczyło poziom ubiegłoroczny o 4,4% (rok wcześniej wzrost osiągnął 6,8%).</w:t>
      </w:r>
      <w:r w:rsidRPr="00B77F35">
        <w:rPr>
          <w:rFonts w:eastAsia="Times New Roman"/>
          <w:bCs/>
          <w:szCs w:val="19"/>
          <w:lang w:eastAsia="pl-PL"/>
        </w:rPr>
        <w:t xml:space="preserve"> W bieżącym okresie narastającym wzrost wynagrodzeń zanotowano w większości analizowanych sekcji. W relacji do analogicznego okresu ub. roku najwięcej zyskali zatrudnieni </w:t>
      </w:r>
      <w:r w:rsidRPr="00B77F35">
        <w:rPr>
          <w:lang w:eastAsia="pl-PL"/>
        </w:rPr>
        <w:t>w administrowaniu</w:t>
      </w:r>
      <w:r w:rsidRPr="00B77F35">
        <w:rPr>
          <w:rFonts w:eastAsia="Times New Roman"/>
          <w:bCs/>
          <w:szCs w:val="19"/>
          <w:lang w:eastAsia="pl-PL"/>
        </w:rPr>
        <w:t xml:space="preserve"> i działalność wspierającej (</w:t>
      </w:r>
      <w:r w:rsidR="001F49DC">
        <w:rPr>
          <w:rFonts w:eastAsia="Times New Roman"/>
          <w:bCs/>
          <w:szCs w:val="19"/>
          <w:lang w:eastAsia="pl-PL"/>
        </w:rPr>
        <w:t xml:space="preserve">wzrost </w:t>
      </w:r>
      <w:r w:rsidRPr="00B77F35">
        <w:rPr>
          <w:rFonts w:eastAsia="Times New Roman"/>
          <w:bCs/>
          <w:szCs w:val="19"/>
          <w:lang w:eastAsia="pl-PL"/>
        </w:rPr>
        <w:t xml:space="preserve">o 12,5%). Niższe wynagrodzenia otrzymali jedynie pracujący w działalności profesjonalnej, naukowej i technicznej (o 3,1%). </w:t>
      </w:r>
    </w:p>
    <w:p w:rsidR="00EE3027" w:rsidRPr="00DD30B0" w:rsidRDefault="00EE3027" w:rsidP="00E30A8A">
      <w:pPr>
        <w:rPr>
          <w:rFonts w:eastAsia="Times New Roman"/>
          <w:bCs/>
          <w:szCs w:val="19"/>
          <w:lang w:eastAsia="pl-PL"/>
        </w:rPr>
      </w:pPr>
    </w:p>
    <w:p w:rsidR="00284CE4" w:rsidRPr="00006F36" w:rsidRDefault="00284CE4" w:rsidP="005053BC">
      <w:pPr>
        <w:spacing w:before="360" w:after="36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r w:rsidR="00015DA3">
        <w:rPr>
          <w:rFonts w:ascii="Fira Sans SemiBold" w:eastAsia="Times New Roman" w:hAnsi="Fira Sans SemiBold" w:cs="Times New Roman"/>
          <w:bCs/>
          <w:color w:val="522398"/>
          <w:sz w:val="24"/>
          <w:szCs w:val="24"/>
          <w:lang w:eastAsia="pl-PL"/>
        </w:rPr>
        <w:t xml:space="preserve"> </w:t>
      </w:r>
    </w:p>
    <w:p w:rsidR="004156F3" w:rsidRPr="00D70590" w:rsidRDefault="004156F3" w:rsidP="004156F3">
      <w:pPr>
        <w:rPr>
          <w:shd w:val="clear" w:color="auto" w:fill="FFFFFF"/>
        </w:rPr>
      </w:pPr>
      <w:r w:rsidRPr="00D70590">
        <w:rPr>
          <w:shd w:val="clear" w:color="auto" w:fill="FFFFFF"/>
        </w:rPr>
        <w:t>Na rynku rolnym w lipcu br. przeciętne ceny skupu produktów roślinnych i zwierzęcych (z wyjątkiem pszenicy, żywca rzeźnego wołowego oraz mleka) były niższe niż przed rokiem. Więcej niż przed miesiącem płacono za żyto, żywiec drobiowy i mleko, a mniej za</w:t>
      </w:r>
      <w:r w:rsidR="00971282">
        <w:rPr>
          <w:shd w:val="clear" w:color="auto" w:fill="FFFFFF"/>
        </w:rPr>
        <w:t>:</w:t>
      </w:r>
      <w:r w:rsidRPr="00D70590">
        <w:rPr>
          <w:shd w:val="clear" w:color="auto" w:fill="FFFFFF"/>
        </w:rPr>
        <w:t xml:space="preserve"> pszenicę, ziemniaki, żywiec wieprzowy i wołowy. W ujęciu rocznym pogorszyła się opłacalność tuczu trzody chlewnej.</w:t>
      </w:r>
    </w:p>
    <w:p w:rsidR="004156F3" w:rsidRPr="001B43A4" w:rsidRDefault="004156F3" w:rsidP="004156F3">
      <w:pPr>
        <w:rPr>
          <w:shd w:val="clear" w:color="auto" w:fill="FFFFFF"/>
        </w:rPr>
      </w:pPr>
      <w:r w:rsidRPr="00D70590">
        <w:rPr>
          <w:shd w:val="clear" w:color="auto" w:fill="FFFFFF"/>
        </w:rPr>
        <w:t xml:space="preserve">W lipcu 2020 r. średnia temperatura powietrza </w:t>
      </w:r>
      <w:r w:rsidRPr="001B43A4">
        <w:rPr>
          <w:shd w:val="clear" w:color="auto" w:fill="FFFFFF"/>
        </w:rPr>
        <w:t>na obszarze województwa świętokrzyskiego wyniosła 18,6°C i była taka sama jak przeciętna z lat 1981-2010, przy czym maksymalna temperatura osiągnęła 31,3°C, a minimalna wyniosła 5,9°C (obie wartości zarejestrowano w stacji meteorologicznej w Kielcach</w:t>
      </w:r>
      <w:r w:rsidR="00971282">
        <w:rPr>
          <w:shd w:val="clear" w:color="auto" w:fill="FFFFFF"/>
        </w:rPr>
        <w:t>)</w:t>
      </w:r>
      <w:r w:rsidRPr="001B43A4">
        <w:rPr>
          <w:shd w:val="clear" w:color="auto" w:fill="FFFFFF"/>
        </w:rPr>
        <w:t>. Średnia suma opadów atmosferycznych (ponad 47 mm) stanowiła 56% normy z wielolecia (od 37% w Kielcach do 74% w Sandomierzu)</w:t>
      </w:r>
      <w:r w:rsidRPr="001B43A4">
        <w:rPr>
          <w:rStyle w:val="Odwoanieprzypisudolnego"/>
          <w:i/>
        </w:rPr>
        <w:footnoteReference w:id="1"/>
      </w:r>
      <w:r w:rsidRPr="001B43A4">
        <w:rPr>
          <w:rFonts w:cs="Arial"/>
        </w:rPr>
        <w:t xml:space="preserve">. </w:t>
      </w:r>
      <w:r w:rsidRPr="001B43A4">
        <w:rPr>
          <w:shd w:val="clear" w:color="auto" w:fill="FFFFFF"/>
        </w:rPr>
        <w:t>W regionie odnotowano 11 dni</w:t>
      </w:r>
      <w:r w:rsidRPr="001B43A4">
        <w:rPr>
          <w:shd w:val="clear" w:color="auto" w:fill="FFFFFF"/>
        </w:rPr>
        <w:br/>
        <w:t>z opadami.</w:t>
      </w:r>
    </w:p>
    <w:p w:rsidR="004156F3" w:rsidRPr="000C48BE" w:rsidRDefault="004156F3" w:rsidP="008967C1">
      <w:pPr>
        <w:rPr>
          <w:rFonts w:cs="Times New Roman"/>
          <w:szCs w:val="19"/>
        </w:rPr>
      </w:pPr>
      <w:r w:rsidRPr="000C48BE">
        <w:rPr>
          <w:rFonts w:cs="Times New Roman"/>
          <w:szCs w:val="19"/>
        </w:rPr>
        <w:t>Pogoda w lipcu była zmienna. Zanotowano duże skoki temperatur</w:t>
      </w:r>
      <w:r>
        <w:rPr>
          <w:rFonts w:cs="Times New Roman"/>
          <w:szCs w:val="19"/>
        </w:rPr>
        <w:t>,</w:t>
      </w:r>
      <w:r w:rsidRPr="000C48BE">
        <w:rPr>
          <w:rFonts w:cs="Times New Roman"/>
          <w:szCs w:val="19"/>
        </w:rPr>
        <w:t xml:space="preserve"> jak również gwałtowne zmiany pogody. Opady deszczu sprzyjały wypełnianiu ziarna, jednak lokalnie gdzie występowały obfite opady deszczu ziarno zbóż oraz nasiona rzepaku utrzymywały wysoką wilgotność i utrudniały zbiór. Nadmierna ilość opadów oraz ich duża częstotliwość sprzyjały rozwojowi chorób (szczególnie grzybowych) na plantacjach zbóż i rzepaku. W trzeciej dekadzie miesiąca lokalnie wystąpiły burze z opadami gradu, nawałnice z obfitymi opadami deszczu</w:t>
      </w:r>
      <w:r>
        <w:rPr>
          <w:rFonts w:cs="Times New Roman"/>
          <w:szCs w:val="19"/>
        </w:rPr>
        <w:t>,</w:t>
      </w:r>
      <w:r w:rsidRPr="000C48BE">
        <w:rPr>
          <w:rFonts w:cs="Times New Roman"/>
          <w:szCs w:val="19"/>
        </w:rPr>
        <w:t xml:space="preserve"> powodując częściowe zniszczenia upraw. Na polach obserwowano również wylegnięcia łanów zbóż. </w:t>
      </w:r>
      <w:r w:rsidRPr="000C48BE">
        <w:rPr>
          <w:rFonts w:cs="Times New Roman"/>
          <w:color w:val="000000" w:themeColor="text1"/>
          <w:szCs w:val="19"/>
        </w:rPr>
        <w:t>Duże opady atmosferyczne poprawiły stan wilgotności gleby, korzystnie wpłynęły na plantacje okopowych, warzyw i pozostałych roślin uprawnych dojrzewających w późniejszym terminie.</w:t>
      </w:r>
    </w:p>
    <w:p w:rsidR="004156F3" w:rsidRPr="00B7392A" w:rsidRDefault="004156F3" w:rsidP="008967C1">
      <w:pPr>
        <w:pStyle w:val="tytuwykresu"/>
        <w:pageBreakBefore/>
        <w:jc w:val="both"/>
        <w:rPr>
          <w:b w:val="0"/>
          <w:sz w:val="18"/>
          <w:shd w:val="clear" w:color="auto" w:fill="FFFFFF"/>
        </w:rPr>
      </w:pPr>
      <w:r w:rsidRPr="00B7392A">
        <w:rPr>
          <w:shd w:val="clear" w:color="auto" w:fill="FFFFFF"/>
        </w:rPr>
        <w:lastRenderedPageBreak/>
        <w:t xml:space="preserve">Tablica </w:t>
      </w:r>
      <w:r w:rsidR="00662415">
        <w:rPr>
          <w:shd w:val="clear" w:color="auto" w:fill="FFFFFF"/>
        </w:rPr>
        <w:t>5</w:t>
      </w:r>
      <w:r w:rsidRPr="00B7392A">
        <w:rPr>
          <w:shd w:val="clear" w:color="auto" w:fill="FFFFFF"/>
        </w:rPr>
        <w:t xml:space="preserve">. Skup </w:t>
      </w:r>
      <w:proofErr w:type="spellStart"/>
      <w:r w:rsidRPr="00B7392A">
        <w:rPr>
          <w:shd w:val="clear" w:color="auto" w:fill="FFFFFF"/>
        </w:rPr>
        <w:t>zbóż</w:t>
      </w:r>
      <w:r w:rsidRPr="00B7392A">
        <w:rPr>
          <w:shd w:val="clear" w:color="auto" w:fill="FFFFFF"/>
          <w:vertAlign w:val="superscript"/>
        </w:rPr>
        <w:t>a</w:t>
      </w:r>
      <w:proofErr w:type="spellEnd"/>
      <w:r w:rsidRPr="00B7392A">
        <w:rPr>
          <w:shd w:val="clear" w:color="auto" w:fill="FFFFFF"/>
        </w:rPr>
        <w:t xml:space="preserve"> </w:t>
      </w:r>
    </w:p>
    <w:tbl>
      <w:tblPr>
        <w:tblStyle w:val="Siatkatabelijasna11"/>
        <w:tblpPr w:leftFromText="141" w:rightFromText="141" w:vertAnchor="text" w:horzAnchor="margin" w:tblpXSpec="center" w:tblpY="135"/>
        <w:tblW w:w="1050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936"/>
        <w:gridCol w:w="2188"/>
        <w:gridCol w:w="2188"/>
        <w:gridCol w:w="2188"/>
      </w:tblGrid>
      <w:tr w:rsidR="004156F3" w:rsidRPr="00B7392A" w:rsidTr="008967C1">
        <w:trPr>
          <w:trHeight w:val="57"/>
        </w:trPr>
        <w:tc>
          <w:tcPr>
            <w:tcW w:w="3936" w:type="dxa"/>
            <w:vMerge w:val="restart"/>
            <w:tcBorders>
              <w:top w:val="single" w:sz="4" w:space="0" w:color="522398"/>
              <w:right w:val="single" w:sz="4" w:space="0" w:color="522398"/>
            </w:tcBorders>
            <w:vAlign w:val="center"/>
          </w:tcPr>
          <w:p w:rsidR="004156F3" w:rsidRPr="00B7392A" w:rsidRDefault="004156F3" w:rsidP="00DD305C">
            <w:pPr>
              <w:pStyle w:val="Nagwek1"/>
              <w:tabs>
                <w:tab w:val="right" w:leader="dot" w:pos="4139"/>
              </w:tabs>
              <w:spacing w:before="0" w:after="0"/>
              <w:jc w:val="center"/>
              <w:outlineLvl w:val="0"/>
              <w:rPr>
                <w:rFonts w:ascii="Fira Sans" w:hAnsi="Fira Sans" w:cs="Arial"/>
                <w:b/>
                <w:bCs w:val="0"/>
                <w:color w:val="auto"/>
                <w:sz w:val="16"/>
                <w:szCs w:val="16"/>
              </w:rPr>
            </w:pPr>
            <w:r w:rsidRPr="00B7392A">
              <w:rPr>
                <w:rFonts w:ascii="Fira Sans" w:hAnsi="Fira Sans" w:cs="Arial"/>
                <w:color w:val="auto"/>
                <w:sz w:val="16"/>
                <w:szCs w:val="16"/>
              </w:rPr>
              <w:t>WYSZCZEGÓLNIENIE</w:t>
            </w:r>
          </w:p>
        </w:tc>
        <w:tc>
          <w:tcPr>
            <w:tcW w:w="6564" w:type="dxa"/>
            <w:gridSpan w:val="3"/>
            <w:tcBorders>
              <w:top w:val="single" w:sz="4" w:space="0" w:color="522398"/>
            </w:tcBorders>
          </w:tcPr>
          <w:p w:rsidR="004156F3" w:rsidRPr="00B7392A" w:rsidRDefault="004156F3" w:rsidP="008967C1">
            <w:pPr>
              <w:pStyle w:val="Nagwek3"/>
              <w:spacing w:before="120" w:after="120" w:line="240" w:lineRule="auto"/>
              <w:jc w:val="center"/>
              <w:outlineLvl w:val="2"/>
              <w:rPr>
                <w:rFonts w:ascii="Fira Sans" w:hAnsi="Fira Sans"/>
                <w:color w:val="auto"/>
                <w:sz w:val="16"/>
                <w:szCs w:val="16"/>
              </w:rPr>
            </w:pPr>
            <w:r w:rsidRPr="00B7392A">
              <w:rPr>
                <w:rFonts w:ascii="Fira Sans" w:hAnsi="Fira Sans"/>
                <w:color w:val="auto"/>
                <w:sz w:val="16"/>
                <w:szCs w:val="16"/>
              </w:rPr>
              <w:t>VII 2020</w:t>
            </w:r>
          </w:p>
        </w:tc>
      </w:tr>
      <w:tr w:rsidR="004156F3" w:rsidRPr="00B7392A" w:rsidTr="008967C1">
        <w:trPr>
          <w:trHeight w:val="57"/>
        </w:trPr>
        <w:tc>
          <w:tcPr>
            <w:tcW w:w="3936" w:type="dxa"/>
            <w:vMerge/>
            <w:tcBorders>
              <w:bottom w:val="single" w:sz="4" w:space="0" w:color="522398"/>
              <w:right w:val="single" w:sz="4" w:space="0" w:color="522398"/>
            </w:tcBorders>
            <w:vAlign w:val="center"/>
          </w:tcPr>
          <w:p w:rsidR="004156F3" w:rsidRPr="00B7392A" w:rsidRDefault="004156F3" w:rsidP="00DD305C">
            <w:pPr>
              <w:pStyle w:val="Nagwek1"/>
              <w:tabs>
                <w:tab w:val="right" w:leader="dot" w:pos="4139"/>
              </w:tabs>
              <w:spacing w:before="0" w:after="0"/>
              <w:jc w:val="center"/>
              <w:outlineLvl w:val="0"/>
              <w:rPr>
                <w:rFonts w:cs="Arial"/>
                <w:b/>
                <w:color w:val="auto"/>
                <w:sz w:val="16"/>
                <w:szCs w:val="16"/>
              </w:rPr>
            </w:pPr>
          </w:p>
        </w:tc>
        <w:tc>
          <w:tcPr>
            <w:tcW w:w="2188" w:type="dxa"/>
            <w:tcBorders>
              <w:bottom w:val="single" w:sz="4" w:space="0" w:color="522398"/>
            </w:tcBorders>
            <w:vAlign w:val="center"/>
          </w:tcPr>
          <w:p w:rsidR="004156F3" w:rsidRPr="00B7392A" w:rsidRDefault="004156F3" w:rsidP="008967C1">
            <w:pPr>
              <w:spacing w:line="240" w:lineRule="auto"/>
              <w:jc w:val="center"/>
              <w:rPr>
                <w:sz w:val="16"/>
                <w:szCs w:val="16"/>
              </w:rPr>
            </w:pPr>
            <w:r w:rsidRPr="00B7392A">
              <w:rPr>
                <w:sz w:val="16"/>
                <w:szCs w:val="16"/>
              </w:rPr>
              <w:t>w tys. t</w:t>
            </w:r>
          </w:p>
        </w:tc>
        <w:tc>
          <w:tcPr>
            <w:tcW w:w="2188" w:type="dxa"/>
            <w:tcBorders>
              <w:bottom w:val="single" w:sz="4" w:space="0" w:color="522398"/>
            </w:tcBorders>
            <w:vAlign w:val="center"/>
          </w:tcPr>
          <w:p w:rsidR="004156F3" w:rsidRPr="00B7392A" w:rsidRDefault="004156F3" w:rsidP="008967C1">
            <w:pPr>
              <w:spacing w:line="240" w:lineRule="auto"/>
              <w:jc w:val="center"/>
              <w:rPr>
                <w:sz w:val="16"/>
                <w:szCs w:val="16"/>
              </w:rPr>
            </w:pPr>
            <w:r w:rsidRPr="00B7392A">
              <w:rPr>
                <w:sz w:val="16"/>
                <w:szCs w:val="16"/>
              </w:rPr>
              <w:t>VII 2019 = 100</w:t>
            </w:r>
          </w:p>
        </w:tc>
        <w:tc>
          <w:tcPr>
            <w:tcW w:w="2188" w:type="dxa"/>
            <w:tcBorders>
              <w:bottom w:val="single" w:sz="4" w:space="0" w:color="522398"/>
            </w:tcBorders>
            <w:vAlign w:val="center"/>
          </w:tcPr>
          <w:p w:rsidR="004156F3" w:rsidRPr="00B7392A" w:rsidRDefault="004156F3" w:rsidP="008967C1">
            <w:pPr>
              <w:spacing w:line="240" w:lineRule="auto"/>
              <w:jc w:val="center"/>
              <w:rPr>
                <w:sz w:val="16"/>
                <w:szCs w:val="16"/>
              </w:rPr>
            </w:pPr>
            <w:r w:rsidRPr="00B7392A">
              <w:rPr>
                <w:sz w:val="16"/>
                <w:szCs w:val="16"/>
              </w:rPr>
              <w:t>VI 2020 = 100</w:t>
            </w:r>
          </w:p>
        </w:tc>
      </w:tr>
      <w:tr w:rsidR="004156F3" w:rsidRPr="00B7392A" w:rsidTr="008967C1">
        <w:trPr>
          <w:trHeight w:val="113"/>
        </w:trPr>
        <w:tc>
          <w:tcPr>
            <w:tcW w:w="3936" w:type="dxa"/>
            <w:tcBorders>
              <w:top w:val="single" w:sz="4" w:space="0" w:color="522398"/>
              <w:bottom w:val="single" w:sz="4" w:space="0" w:color="522398"/>
              <w:right w:val="single" w:sz="4" w:space="0" w:color="522398"/>
            </w:tcBorders>
            <w:vAlign w:val="center"/>
          </w:tcPr>
          <w:p w:rsidR="004156F3" w:rsidRPr="00B7392A" w:rsidRDefault="004156F3" w:rsidP="008967C1">
            <w:pPr>
              <w:pStyle w:val="Tekstpodstawowy"/>
              <w:tabs>
                <w:tab w:val="right" w:leader="dot" w:pos="1452"/>
              </w:tabs>
              <w:spacing w:before="120" w:after="120"/>
              <w:ind w:left="113" w:hanging="113"/>
              <w:jc w:val="left"/>
              <w:rPr>
                <w:rFonts w:ascii="Fira Sans" w:hAnsi="Fira Sans"/>
                <w:sz w:val="16"/>
                <w:szCs w:val="16"/>
              </w:rPr>
            </w:pPr>
            <w:r w:rsidRPr="00B7392A">
              <w:rPr>
                <w:rFonts w:ascii="Fira Sans" w:hAnsi="Fira Sans"/>
                <w:sz w:val="16"/>
                <w:szCs w:val="16"/>
              </w:rPr>
              <w:t xml:space="preserve">Ziarno zbóż </w:t>
            </w:r>
            <w:proofErr w:type="spellStart"/>
            <w:r w:rsidRPr="00B7392A">
              <w:rPr>
                <w:rFonts w:ascii="Fira Sans" w:hAnsi="Fira Sans"/>
                <w:sz w:val="16"/>
                <w:szCs w:val="16"/>
              </w:rPr>
              <w:t>podstawowych</w:t>
            </w:r>
            <w:r w:rsidRPr="00B7392A">
              <w:rPr>
                <w:rFonts w:ascii="Fira Sans" w:hAnsi="Fira Sans"/>
                <w:sz w:val="16"/>
                <w:szCs w:val="16"/>
                <w:vertAlign w:val="superscript"/>
              </w:rPr>
              <w:t>b</w:t>
            </w:r>
            <w:proofErr w:type="spellEnd"/>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4,0</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122,2</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95,8</w:t>
            </w:r>
          </w:p>
        </w:tc>
      </w:tr>
      <w:tr w:rsidR="004156F3" w:rsidRPr="00B7392A" w:rsidTr="008967C1">
        <w:trPr>
          <w:trHeight w:val="113"/>
        </w:trPr>
        <w:tc>
          <w:tcPr>
            <w:tcW w:w="3936" w:type="dxa"/>
            <w:tcBorders>
              <w:top w:val="single" w:sz="4" w:space="0" w:color="522398"/>
              <w:bottom w:val="single" w:sz="4" w:space="0" w:color="522398"/>
              <w:right w:val="single" w:sz="4" w:space="0" w:color="522398"/>
            </w:tcBorders>
            <w:vAlign w:val="center"/>
          </w:tcPr>
          <w:p w:rsidR="004156F3" w:rsidRPr="00B7392A" w:rsidRDefault="004156F3" w:rsidP="008967C1">
            <w:pPr>
              <w:pStyle w:val="Tekstpodstawowy"/>
              <w:tabs>
                <w:tab w:val="right" w:leader="dot" w:pos="1452"/>
              </w:tabs>
              <w:spacing w:before="120" w:after="120"/>
              <w:ind w:left="340" w:hanging="113"/>
              <w:jc w:val="left"/>
              <w:rPr>
                <w:rFonts w:ascii="Fira Sans" w:hAnsi="Fira Sans"/>
                <w:sz w:val="16"/>
                <w:szCs w:val="16"/>
              </w:rPr>
            </w:pPr>
            <w:r w:rsidRPr="00B7392A">
              <w:rPr>
                <w:rFonts w:ascii="Fira Sans" w:hAnsi="Fira Sans"/>
                <w:sz w:val="16"/>
                <w:szCs w:val="16"/>
              </w:rPr>
              <w:t>w tym:</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p>
        </w:tc>
      </w:tr>
      <w:tr w:rsidR="004156F3" w:rsidRPr="00B7392A" w:rsidTr="008967C1">
        <w:trPr>
          <w:trHeight w:val="113"/>
        </w:trPr>
        <w:tc>
          <w:tcPr>
            <w:tcW w:w="3936" w:type="dxa"/>
            <w:tcBorders>
              <w:top w:val="single" w:sz="4" w:space="0" w:color="522398"/>
              <w:bottom w:val="single" w:sz="4" w:space="0" w:color="522398"/>
              <w:right w:val="single" w:sz="4" w:space="0" w:color="522398"/>
            </w:tcBorders>
            <w:vAlign w:val="center"/>
          </w:tcPr>
          <w:p w:rsidR="004156F3" w:rsidRPr="00B7392A" w:rsidRDefault="004156F3" w:rsidP="008967C1">
            <w:pPr>
              <w:pStyle w:val="Tekstpodstawowy"/>
              <w:tabs>
                <w:tab w:val="right" w:leader="dot" w:pos="1452"/>
              </w:tabs>
              <w:spacing w:before="120" w:after="120"/>
              <w:ind w:left="226" w:hanging="113"/>
              <w:jc w:val="left"/>
              <w:rPr>
                <w:rFonts w:ascii="Fira Sans" w:hAnsi="Fira Sans"/>
                <w:sz w:val="16"/>
                <w:szCs w:val="16"/>
              </w:rPr>
            </w:pPr>
            <w:r w:rsidRPr="00B7392A">
              <w:rPr>
                <w:rFonts w:ascii="Fira Sans" w:hAnsi="Fira Sans"/>
                <w:sz w:val="16"/>
                <w:szCs w:val="16"/>
              </w:rPr>
              <w:t>pszenica</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2,0</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138,3</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74,0</w:t>
            </w:r>
          </w:p>
        </w:tc>
      </w:tr>
      <w:tr w:rsidR="004156F3" w:rsidRPr="00B7392A" w:rsidTr="008967C1">
        <w:trPr>
          <w:trHeight w:val="113"/>
        </w:trPr>
        <w:tc>
          <w:tcPr>
            <w:tcW w:w="3936" w:type="dxa"/>
            <w:tcBorders>
              <w:top w:val="single" w:sz="4" w:space="0" w:color="522398"/>
              <w:bottom w:val="single" w:sz="4" w:space="0" w:color="522398"/>
              <w:right w:val="single" w:sz="4" w:space="0" w:color="522398"/>
            </w:tcBorders>
            <w:vAlign w:val="center"/>
          </w:tcPr>
          <w:p w:rsidR="004156F3" w:rsidRPr="00B7392A" w:rsidRDefault="004156F3" w:rsidP="0087522E">
            <w:pPr>
              <w:pStyle w:val="Tekstpodstawowy"/>
              <w:tabs>
                <w:tab w:val="right" w:leader="dot" w:pos="1452"/>
              </w:tabs>
              <w:spacing w:before="120" w:after="120"/>
              <w:ind w:left="226" w:hanging="113"/>
              <w:jc w:val="left"/>
              <w:rPr>
                <w:rFonts w:ascii="Fira Sans" w:hAnsi="Fira Sans"/>
                <w:sz w:val="16"/>
                <w:szCs w:val="16"/>
              </w:rPr>
            </w:pPr>
            <w:r w:rsidRPr="00B7392A">
              <w:rPr>
                <w:rFonts w:ascii="Fira Sans" w:hAnsi="Fira Sans"/>
                <w:sz w:val="16"/>
                <w:szCs w:val="16"/>
              </w:rPr>
              <w:t>żyto</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0,1</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19,0</w:t>
            </w:r>
          </w:p>
        </w:tc>
        <w:tc>
          <w:tcPr>
            <w:tcW w:w="2188" w:type="dxa"/>
            <w:tcBorders>
              <w:top w:val="single" w:sz="4" w:space="0" w:color="522398"/>
              <w:bottom w:val="single" w:sz="4" w:space="0" w:color="522398"/>
            </w:tcBorders>
            <w:vAlign w:val="bottom"/>
          </w:tcPr>
          <w:p w:rsidR="004156F3" w:rsidRPr="00B7392A" w:rsidRDefault="004156F3" w:rsidP="00DD305C">
            <w:pPr>
              <w:spacing w:before="0" w:after="0" w:line="240" w:lineRule="auto"/>
              <w:jc w:val="right"/>
              <w:rPr>
                <w:rFonts w:cs="Arial"/>
                <w:sz w:val="16"/>
                <w:szCs w:val="16"/>
              </w:rPr>
            </w:pPr>
            <w:r w:rsidRPr="00B7392A">
              <w:rPr>
                <w:rFonts w:cs="Arial"/>
                <w:sz w:val="16"/>
                <w:szCs w:val="16"/>
              </w:rPr>
              <w:t>121,7</w:t>
            </w:r>
          </w:p>
        </w:tc>
      </w:tr>
    </w:tbl>
    <w:p w:rsidR="004156F3" w:rsidRPr="00B7392A" w:rsidRDefault="004156F3" w:rsidP="004156F3">
      <w:pPr>
        <w:spacing w:line="240" w:lineRule="auto"/>
        <w:ind w:left="227"/>
        <w:rPr>
          <w:rFonts w:cs="Arial"/>
          <w:sz w:val="16"/>
          <w:szCs w:val="16"/>
        </w:rPr>
      </w:pPr>
      <w:r w:rsidRPr="00B7392A">
        <w:rPr>
          <w:rFonts w:cs="Arial"/>
          <w:sz w:val="16"/>
          <w:szCs w:val="16"/>
          <w:vertAlign w:val="superscript"/>
        </w:rPr>
        <w:t>a</w:t>
      </w:r>
      <w:r w:rsidRPr="00B7392A">
        <w:rPr>
          <w:rFonts w:cs="Arial"/>
          <w:sz w:val="16"/>
          <w:szCs w:val="16"/>
        </w:rPr>
        <w:t xml:space="preserve"> Bez skupu realizowanego przez osoby fizyczne. </w:t>
      </w:r>
      <w:r w:rsidRPr="00B7392A">
        <w:rPr>
          <w:rFonts w:cs="Arial"/>
          <w:sz w:val="16"/>
          <w:szCs w:val="16"/>
          <w:vertAlign w:val="superscript"/>
        </w:rPr>
        <w:t>b</w:t>
      </w:r>
      <w:r w:rsidRPr="00B7392A">
        <w:rPr>
          <w:rFonts w:cs="Arial"/>
          <w:sz w:val="16"/>
          <w:szCs w:val="16"/>
        </w:rPr>
        <w:t xml:space="preserve"> Obejmuje: pszenicę, żyto, jęczmień, owies, pszenżyto; łącznie z mieszankami zbożowymi, bez ziarna siewnego.</w:t>
      </w:r>
    </w:p>
    <w:p w:rsidR="004156F3" w:rsidRDefault="004156F3" w:rsidP="004156F3">
      <w:pPr>
        <w:pStyle w:val="Tekstkomunikat"/>
        <w:rPr>
          <w:shd w:val="clear" w:color="auto" w:fill="FFFFFF"/>
        </w:rPr>
      </w:pPr>
      <w:r>
        <w:t xml:space="preserve">W lipcu 2020 r. </w:t>
      </w:r>
      <w:r>
        <w:rPr>
          <w:b/>
        </w:rPr>
        <w:t>s</w:t>
      </w:r>
      <w:r w:rsidRPr="00680E04">
        <w:rPr>
          <w:b/>
        </w:rPr>
        <w:t>kup z</w:t>
      </w:r>
      <w:r w:rsidRPr="00A37ACA">
        <w:rPr>
          <w:b/>
        </w:rPr>
        <w:t>bóż podstawowych</w:t>
      </w:r>
      <w:r w:rsidRPr="000A6C62">
        <w:t xml:space="preserve"> (z mieszankami zbożowymi, bez ziarna siewnego)</w:t>
      </w:r>
      <w:r>
        <w:t xml:space="preserve"> wyniósł 4,0 tys. t i był o 22,2% większy </w:t>
      </w:r>
      <w:r w:rsidRPr="000A6C62">
        <w:t xml:space="preserve">niż </w:t>
      </w:r>
      <w:r>
        <w:t>przed rokiem, przy czym dostawy pszenicy były o 38,3% większe, a żyta o 81,0% mniejsze. W skali miesiąca skup pszenicy był o 26,0% mniejszy, a żyta o 21,7% większy.</w:t>
      </w:r>
    </w:p>
    <w:p w:rsidR="004156F3" w:rsidRPr="00B7392A" w:rsidRDefault="004156F3" w:rsidP="004156F3">
      <w:pPr>
        <w:pStyle w:val="tytuwykresu"/>
        <w:rPr>
          <w:shd w:val="clear" w:color="auto" w:fill="FFFFFF"/>
        </w:rPr>
      </w:pPr>
      <w:r w:rsidRPr="00B7392A">
        <w:rPr>
          <w:shd w:val="clear" w:color="auto" w:fill="FFFFFF"/>
        </w:rPr>
        <w:t xml:space="preserve">Tablica </w:t>
      </w:r>
      <w:r w:rsidR="00662415">
        <w:rPr>
          <w:shd w:val="clear" w:color="auto" w:fill="FFFFFF"/>
        </w:rPr>
        <w:t>6</w:t>
      </w:r>
      <w:r w:rsidRPr="00B7392A">
        <w:rPr>
          <w:shd w:val="clear" w:color="auto" w:fill="FFFFFF"/>
        </w:rPr>
        <w:t xml:space="preserve">. Skup podstawowych produktów </w:t>
      </w:r>
      <w:proofErr w:type="spellStart"/>
      <w:r w:rsidRPr="00B7392A">
        <w:rPr>
          <w:shd w:val="clear" w:color="auto" w:fill="FFFFFF"/>
        </w:rPr>
        <w:t>zwierzęcych</w:t>
      </w:r>
      <w:r w:rsidRPr="00B7392A">
        <w:rPr>
          <w:shd w:val="clear" w:color="auto" w:fill="FFFFFF"/>
          <w:vertAlign w:val="superscript"/>
        </w:rPr>
        <w:t>a</w:t>
      </w:r>
      <w:proofErr w:type="spellEnd"/>
      <w:r w:rsidRPr="00B7392A">
        <w:rPr>
          <w:shd w:val="clear" w:color="auto" w:fill="FFFFFF"/>
        </w:rPr>
        <w:t xml:space="preserve"> </w:t>
      </w:r>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28"/>
        <w:gridCol w:w="1488"/>
        <w:gridCol w:w="1487"/>
        <w:gridCol w:w="1488"/>
        <w:gridCol w:w="1487"/>
        <w:gridCol w:w="1489"/>
      </w:tblGrid>
      <w:tr w:rsidR="004156F3" w:rsidRPr="007B7EA9" w:rsidTr="00DD305C">
        <w:trPr>
          <w:trHeight w:val="57"/>
        </w:trPr>
        <w:tc>
          <w:tcPr>
            <w:tcW w:w="3033" w:type="dxa"/>
            <w:vMerge w:val="restart"/>
            <w:tcBorders>
              <w:top w:val="single" w:sz="4" w:space="0" w:color="522398"/>
              <w:right w:val="single" w:sz="4" w:space="0" w:color="522398"/>
            </w:tcBorders>
            <w:vAlign w:val="center"/>
          </w:tcPr>
          <w:p w:rsidR="004156F3" w:rsidRPr="00B7392A" w:rsidRDefault="004156F3" w:rsidP="00DD305C">
            <w:pPr>
              <w:pStyle w:val="Nagwek1"/>
              <w:tabs>
                <w:tab w:val="right" w:leader="dot" w:pos="4139"/>
              </w:tabs>
              <w:spacing w:before="0" w:after="0" w:line="230" w:lineRule="exact"/>
              <w:jc w:val="center"/>
              <w:outlineLvl w:val="0"/>
              <w:rPr>
                <w:rFonts w:ascii="Fira Sans" w:hAnsi="Fira Sans" w:cs="Arial"/>
                <w:b/>
                <w:bCs w:val="0"/>
                <w:color w:val="auto"/>
                <w:sz w:val="16"/>
                <w:szCs w:val="16"/>
              </w:rPr>
            </w:pPr>
            <w:r w:rsidRPr="00B7392A">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4156F3" w:rsidRPr="00B7392A" w:rsidRDefault="004156F3" w:rsidP="008967C1">
            <w:pPr>
              <w:pStyle w:val="Nagwek3"/>
              <w:spacing w:before="120" w:after="120" w:line="240" w:lineRule="auto"/>
              <w:jc w:val="center"/>
              <w:outlineLvl w:val="2"/>
              <w:rPr>
                <w:rFonts w:ascii="Fira Sans" w:hAnsi="Fira Sans"/>
                <w:color w:val="auto"/>
                <w:sz w:val="16"/>
                <w:szCs w:val="16"/>
              </w:rPr>
            </w:pPr>
            <w:r w:rsidRPr="00B7392A">
              <w:rPr>
                <w:rFonts w:ascii="Fira Sans" w:hAnsi="Fira Sans"/>
                <w:color w:val="auto"/>
                <w:sz w:val="16"/>
                <w:szCs w:val="16"/>
              </w:rPr>
              <w:t>I-VII 2020</w:t>
            </w:r>
          </w:p>
        </w:tc>
        <w:tc>
          <w:tcPr>
            <w:tcW w:w="4475" w:type="dxa"/>
            <w:gridSpan w:val="3"/>
            <w:tcBorders>
              <w:top w:val="single" w:sz="4" w:space="0" w:color="522398"/>
              <w:left w:val="single" w:sz="4" w:space="0" w:color="522398"/>
              <w:bottom w:val="single" w:sz="4" w:space="0" w:color="522398"/>
            </w:tcBorders>
            <w:vAlign w:val="center"/>
          </w:tcPr>
          <w:p w:rsidR="004156F3" w:rsidRPr="00B7392A" w:rsidRDefault="004156F3" w:rsidP="008967C1">
            <w:pPr>
              <w:pStyle w:val="Nagwek3"/>
              <w:spacing w:before="120" w:after="120" w:line="240" w:lineRule="auto"/>
              <w:jc w:val="center"/>
              <w:outlineLvl w:val="2"/>
              <w:rPr>
                <w:rFonts w:ascii="Fira Sans" w:hAnsi="Fira Sans"/>
                <w:color w:val="auto"/>
                <w:sz w:val="16"/>
                <w:szCs w:val="16"/>
              </w:rPr>
            </w:pPr>
            <w:r w:rsidRPr="00B7392A">
              <w:rPr>
                <w:rFonts w:ascii="Fira Sans" w:hAnsi="Fira Sans"/>
                <w:color w:val="auto"/>
                <w:sz w:val="16"/>
                <w:szCs w:val="16"/>
              </w:rPr>
              <w:t>VII 2020</w:t>
            </w:r>
          </w:p>
        </w:tc>
      </w:tr>
      <w:tr w:rsidR="004156F3" w:rsidRPr="00B254BD" w:rsidTr="00DD305C">
        <w:trPr>
          <w:trHeight w:val="57"/>
        </w:trPr>
        <w:tc>
          <w:tcPr>
            <w:tcW w:w="3033" w:type="dxa"/>
            <w:vMerge/>
            <w:tcBorders>
              <w:bottom w:val="single" w:sz="4" w:space="0" w:color="522398"/>
              <w:right w:val="single" w:sz="4" w:space="0" w:color="522398"/>
            </w:tcBorders>
            <w:vAlign w:val="center"/>
          </w:tcPr>
          <w:p w:rsidR="004156F3" w:rsidRPr="00B254BD" w:rsidRDefault="004156F3" w:rsidP="00DD305C">
            <w:pPr>
              <w:pStyle w:val="Nagwek1"/>
              <w:tabs>
                <w:tab w:val="right" w:leader="dot" w:pos="4139"/>
              </w:tabs>
              <w:spacing w:before="0" w:after="0" w:line="230" w:lineRule="exact"/>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4156F3" w:rsidRPr="00B254BD" w:rsidRDefault="004156F3" w:rsidP="008967C1">
            <w:pPr>
              <w:spacing w:line="240" w:lineRule="auto"/>
              <w:jc w:val="center"/>
              <w:rPr>
                <w:sz w:val="16"/>
                <w:szCs w:val="16"/>
              </w:rPr>
            </w:pPr>
            <w:r w:rsidRPr="00B254BD">
              <w:rPr>
                <w:sz w:val="16"/>
                <w:szCs w:val="16"/>
              </w:rPr>
              <w:t>w tys. t</w:t>
            </w:r>
          </w:p>
        </w:tc>
        <w:tc>
          <w:tcPr>
            <w:tcW w:w="1491" w:type="dxa"/>
            <w:tcBorders>
              <w:top w:val="single" w:sz="4" w:space="0" w:color="522398"/>
              <w:left w:val="single" w:sz="4" w:space="0" w:color="522398"/>
              <w:bottom w:val="single" w:sz="4" w:space="0" w:color="522398"/>
            </w:tcBorders>
            <w:vAlign w:val="center"/>
          </w:tcPr>
          <w:p w:rsidR="004156F3" w:rsidRPr="00B254BD" w:rsidRDefault="004156F3" w:rsidP="008967C1">
            <w:pPr>
              <w:spacing w:line="240" w:lineRule="auto"/>
              <w:jc w:val="center"/>
              <w:rPr>
                <w:sz w:val="16"/>
                <w:szCs w:val="16"/>
              </w:rPr>
            </w:pPr>
            <w:r w:rsidRPr="00B254BD">
              <w:rPr>
                <w:sz w:val="16"/>
                <w:szCs w:val="16"/>
              </w:rPr>
              <w:t>I-VII 2019 = 100</w:t>
            </w:r>
          </w:p>
        </w:tc>
        <w:tc>
          <w:tcPr>
            <w:tcW w:w="1492" w:type="dxa"/>
            <w:tcBorders>
              <w:top w:val="single" w:sz="4" w:space="0" w:color="522398"/>
              <w:left w:val="single" w:sz="4" w:space="0" w:color="522398"/>
              <w:bottom w:val="single" w:sz="4" w:space="0" w:color="522398"/>
            </w:tcBorders>
            <w:vAlign w:val="center"/>
          </w:tcPr>
          <w:p w:rsidR="004156F3" w:rsidRPr="00B254BD" w:rsidRDefault="004156F3" w:rsidP="008967C1">
            <w:pPr>
              <w:spacing w:line="240" w:lineRule="auto"/>
              <w:jc w:val="center"/>
              <w:rPr>
                <w:sz w:val="16"/>
                <w:szCs w:val="16"/>
              </w:rPr>
            </w:pPr>
            <w:r w:rsidRPr="00B254BD">
              <w:rPr>
                <w:sz w:val="16"/>
                <w:szCs w:val="16"/>
              </w:rPr>
              <w:t>w tys. t</w:t>
            </w:r>
          </w:p>
        </w:tc>
        <w:tc>
          <w:tcPr>
            <w:tcW w:w="1491" w:type="dxa"/>
            <w:tcBorders>
              <w:top w:val="single" w:sz="4" w:space="0" w:color="522398"/>
              <w:left w:val="single" w:sz="4" w:space="0" w:color="522398"/>
              <w:bottom w:val="single" w:sz="4" w:space="0" w:color="522398"/>
            </w:tcBorders>
            <w:vAlign w:val="center"/>
          </w:tcPr>
          <w:p w:rsidR="004156F3" w:rsidRPr="00B254BD" w:rsidRDefault="004156F3" w:rsidP="008967C1">
            <w:pPr>
              <w:spacing w:line="240" w:lineRule="auto"/>
              <w:jc w:val="center"/>
              <w:rPr>
                <w:sz w:val="16"/>
                <w:szCs w:val="16"/>
              </w:rPr>
            </w:pPr>
            <w:r w:rsidRPr="00B254BD">
              <w:rPr>
                <w:sz w:val="16"/>
                <w:szCs w:val="16"/>
              </w:rPr>
              <w:t>VII 2019 = 100</w:t>
            </w:r>
          </w:p>
        </w:tc>
        <w:tc>
          <w:tcPr>
            <w:tcW w:w="1492" w:type="dxa"/>
            <w:tcBorders>
              <w:top w:val="single" w:sz="4" w:space="0" w:color="522398"/>
              <w:left w:val="single" w:sz="4" w:space="0" w:color="522398"/>
              <w:bottom w:val="single" w:sz="4" w:space="0" w:color="522398"/>
            </w:tcBorders>
            <w:vAlign w:val="center"/>
          </w:tcPr>
          <w:p w:rsidR="004156F3" w:rsidRPr="00B254BD" w:rsidRDefault="004156F3" w:rsidP="008967C1">
            <w:pPr>
              <w:spacing w:line="240" w:lineRule="auto"/>
              <w:jc w:val="center"/>
              <w:rPr>
                <w:sz w:val="16"/>
                <w:szCs w:val="16"/>
              </w:rPr>
            </w:pPr>
            <w:r w:rsidRPr="00B254BD">
              <w:rPr>
                <w:sz w:val="16"/>
                <w:szCs w:val="16"/>
              </w:rPr>
              <w:t>VI 2020 = 100</w:t>
            </w:r>
          </w:p>
        </w:tc>
      </w:tr>
      <w:tr w:rsidR="004156F3" w:rsidRPr="00B254BD"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B254BD" w:rsidRDefault="004156F3" w:rsidP="00971282">
            <w:pPr>
              <w:pStyle w:val="Tekstpodstawowy"/>
              <w:tabs>
                <w:tab w:val="right" w:leader="dot" w:pos="1911"/>
              </w:tabs>
              <w:spacing w:before="120" w:after="120"/>
              <w:ind w:left="113" w:hanging="113"/>
              <w:jc w:val="left"/>
              <w:rPr>
                <w:rFonts w:ascii="Fira Sans" w:hAnsi="Fira Sans"/>
                <w:sz w:val="16"/>
                <w:szCs w:val="16"/>
              </w:rPr>
            </w:pPr>
            <w:r w:rsidRPr="00B254BD">
              <w:rPr>
                <w:rFonts w:ascii="Fira Sans" w:hAnsi="Fira Sans"/>
                <w:sz w:val="16"/>
                <w:szCs w:val="16"/>
              </w:rPr>
              <w:t xml:space="preserve">Żywiec </w:t>
            </w:r>
            <w:proofErr w:type="spellStart"/>
            <w:r w:rsidRPr="00B254BD">
              <w:rPr>
                <w:rFonts w:ascii="Fira Sans" w:hAnsi="Fira Sans"/>
                <w:sz w:val="16"/>
                <w:szCs w:val="16"/>
              </w:rPr>
              <w:t>rzeźny</w:t>
            </w:r>
            <w:r w:rsidRPr="00B254BD">
              <w:rPr>
                <w:rFonts w:ascii="Fira Sans" w:hAnsi="Fira Sans"/>
                <w:i/>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39,5</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86,0</w:t>
            </w: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5,4</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75,2</w:t>
            </w: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108,8</w:t>
            </w:r>
          </w:p>
        </w:tc>
      </w:tr>
      <w:tr w:rsidR="004156F3" w:rsidRPr="00B254BD"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B254BD" w:rsidRDefault="004156F3" w:rsidP="008967C1">
            <w:pPr>
              <w:pStyle w:val="Tekstpodstawowy"/>
              <w:tabs>
                <w:tab w:val="right" w:leader="dot" w:pos="1911"/>
              </w:tabs>
              <w:spacing w:before="120" w:after="120"/>
              <w:ind w:left="340" w:hanging="113"/>
              <w:jc w:val="left"/>
              <w:rPr>
                <w:rFonts w:ascii="Fira Sans" w:hAnsi="Fira Sans"/>
                <w:sz w:val="16"/>
                <w:szCs w:val="16"/>
              </w:rPr>
            </w:pPr>
            <w:r w:rsidRPr="00B254BD">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p>
        </w:tc>
      </w:tr>
      <w:tr w:rsidR="004156F3" w:rsidRPr="00B254BD"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B254BD" w:rsidRDefault="004156F3" w:rsidP="008967C1">
            <w:pPr>
              <w:pStyle w:val="Tekstpodstawowy"/>
              <w:tabs>
                <w:tab w:val="right" w:leader="dot" w:pos="1911"/>
              </w:tabs>
              <w:spacing w:before="120" w:after="120"/>
              <w:ind w:left="226" w:hanging="113"/>
              <w:jc w:val="left"/>
              <w:rPr>
                <w:rFonts w:ascii="Fira Sans" w:hAnsi="Fira Sans"/>
                <w:sz w:val="16"/>
                <w:szCs w:val="16"/>
              </w:rPr>
            </w:pPr>
            <w:r w:rsidRPr="00B254BD">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3,8</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89,6</w:t>
            </w: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0,5</w:t>
            </w:r>
          </w:p>
        </w:tc>
        <w:tc>
          <w:tcPr>
            <w:tcW w:w="1491"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115,7</w:t>
            </w:r>
          </w:p>
        </w:tc>
        <w:tc>
          <w:tcPr>
            <w:tcW w:w="1492" w:type="dxa"/>
            <w:tcBorders>
              <w:top w:val="single" w:sz="4" w:space="0" w:color="522398"/>
              <w:left w:val="single" w:sz="4" w:space="0" w:color="522398"/>
              <w:bottom w:val="single" w:sz="4" w:space="0" w:color="522398"/>
            </w:tcBorders>
            <w:vAlign w:val="bottom"/>
          </w:tcPr>
          <w:p w:rsidR="004156F3" w:rsidRPr="00B254BD" w:rsidRDefault="004156F3" w:rsidP="00DD305C">
            <w:pPr>
              <w:spacing w:before="0" w:after="0" w:line="230" w:lineRule="exact"/>
              <w:jc w:val="right"/>
              <w:rPr>
                <w:rFonts w:cs="Arial"/>
                <w:sz w:val="16"/>
                <w:szCs w:val="16"/>
              </w:rPr>
            </w:pPr>
            <w:r w:rsidRPr="00B254BD">
              <w:rPr>
                <w:rFonts w:cs="Arial"/>
                <w:sz w:val="16"/>
                <w:szCs w:val="16"/>
              </w:rPr>
              <w:t>96,2</w:t>
            </w:r>
          </w:p>
        </w:tc>
      </w:tr>
      <w:tr w:rsidR="004156F3" w:rsidRPr="00C928A1"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C928A1" w:rsidRDefault="004156F3" w:rsidP="008967C1">
            <w:pPr>
              <w:pStyle w:val="Tekstpodstawowy"/>
              <w:tabs>
                <w:tab w:val="right" w:leader="dot" w:pos="1911"/>
              </w:tabs>
              <w:spacing w:before="120" w:after="120"/>
              <w:ind w:left="226" w:hanging="113"/>
              <w:jc w:val="left"/>
              <w:rPr>
                <w:rFonts w:ascii="Fira Sans" w:hAnsi="Fira Sans"/>
                <w:sz w:val="16"/>
                <w:szCs w:val="16"/>
              </w:rPr>
            </w:pPr>
            <w:r w:rsidRPr="00C928A1">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rsidR="004156F3" w:rsidRPr="00C928A1" w:rsidRDefault="004156F3" w:rsidP="00DD305C">
            <w:pPr>
              <w:spacing w:before="0" w:after="0" w:line="230" w:lineRule="exact"/>
              <w:jc w:val="right"/>
              <w:rPr>
                <w:rFonts w:cs="Arial"/>
                <w:sz w:val="16"/>
                <w:szCs w:val="16"/>
              </w:rPr>
            </w:pPr>
            <w:r w:rsidRPr="00C928A1">
              <w:rPr>
                <w:rFonts w:cs="Arial"/>
                <w:sz w:val="16"/>
                <w:szCs w:val="16"/>
              </w:rPr>
              <w:t>19,2</w:t>
            </w:r>
          </w:p>
        </w:tc>
        <w:tc>
          <w:tcPr>
            <w:tcW w:w="1491" w:type="dxa"/>
            <w:tcBorders>
              <w:top w:val="single" w:sz="4" w:space="0" w:color="522398"/>
              <w:left w:val="single" w:sz="4" w:space="0" w:color="522398"/>
              <w:bottom w:val="single" w:sz="4" w:space="0" w:color="522398"/>
            </w:tcBorders>
            <w:vAlign w:val="bottom"/>
          </w:tcPr>
          <w:p w:rsidR="004156F3" w:rsidRPr="00C928A1" w:rsidRDefault="004156F3" w:rsidP="00DD305C">
            <w:pPr>
              <w:spacing w:before="0" w:after="0" w:line="230" w:lineRule="exact"/>
              <w:jc w:val="right"/>
              <w:rPr>
                <w:rFonts w:cs="Arial"/>
                <w:sz w:val="16"/>
                <w:szCs w:val="16"/>
              </w:rPr>
            </w:pPr>
            <w:r w:rsidRPr="00C928A1">
              <w:rPr>
                <w:rFonts w:cs="Arial"/>
                <w:sz w:val="16"/>
                <w:szCs w:val="16"/>
              </w:rPr>
              <w:t>94,9</w:t>
            </w:r>
          </w:p>
        </w:tc>
        <w:tc>
          <w:tcPr>
            <w:tcW w:w="1492" w:type="dxa"/>
            <w:tcBorders>
              <w:top w:val="single" w:sz="4" w:space="0" w:color="522398"/>
              <w:left w:val="single" w:sz="4" w:space="0" w:color="522398"/>
              <w:bottom w:val="single" w:sz="4" w:space="0" w:color="522398"/>
            </w:tcBorders>
            <w:vAlign w:val="bottom"/>
          </w:tcPr>
          <w:p w:rsidR="004156F3" w:rsidRPr="00C928A1" w:rsidRDefault="004156F3" w:rsidP="00DD305C">
            <w:pPr>
              <w:spacing w:before="0" w:after="0" w:line="230" w:lineRule="exact"/>
              <w:jc w:val="right"/>
              <w:rPr>
                <w:rFonts w:cs="Arial"/>
                <w:sz w:val="16"/>
                <w:szCs w:val="16"/>
              </w:rPr>
            </w:pPr>
            <w:r w:rsidRPr="00C928A1">
              <w:rPr>
                <w:rFonts w:cs="Arial"/>
                <w:sz w:val="16"/>
                <w:szCs w:val="16"/>
              </w:rPr>
              <w:t>2,4</w:t>
            </w:r>
          </w:p>
        </w:tc>
        <w:tc>
          <w:tcPr>
            <w:tcW w:w="1491" w:type="dxa"/>
            <w:tcBorders>
              <w:top w:val="single" w:sz="4" w:space="0" w:color="522398"/>
              <w:left w:val="single" w:sz="4" w:space="0" w:color="522398"/>
              <w:bottom w:val="single" w:sz="4" w:space="0" w:color="522398"/>
            </w:tcBorders>
            <w:vAlign w:val="bottom"/>
          </w:tcPr>
          <w:p w:rsidR="004156F3" w:rsidRPr="00C928A1" w:rsidRDefault="004156F3" w:rsidP="00DD305C">
            <w:pPr>
              <w:spacing w:before="0" w:after="0" w:line="230" w:lineRule="exact"/>
              <w:jc w:val="right"/>
              <w:rPr>
                <w:rFonts w:cs="Arial"/>
                <w:sz w:val="16"/>
                <w:szCs w:val="16"/>
              </w:rPr>
            </w:pPr>
            <w:r w:rsidRPr="00C928A1">
              <w:rPr>
                <w:rFonts w:cs="Arial"/>
                <w:sz w:val="16"/>
                <w:szCs w:val="16"/>
              </w:rPr>
              <w:t>80,2</w:t>
            </w:r>
          </w:p>
        </w:tc>
        <w:tc>
          <w:tcPr>
            <w:tcW w:w="1492" w:type="dxa"/>
            <w:tcBorders>
              <w:top w:val="single" w:sz="4" w:space="0" w:color="522398"/>
              <w:left w:val="single" w:sz="4" w:space="0" w:color="522398"/>
              <w:bottom w:val="single" w:sz="4" w:space="0" w:color="522398"/>
            </w:tcBorders>
            <w:vAlign w:val="bottom"/>
          </w:tcPr>
          <w:p w:rsidR="004156F3" w:rsidRPr="00C928A1" w:rsidRDefault="004156F3" w:rsidP="00DD305C">
            <w:pPr>
              <w:spacing w:before="0" w:after="0" w:line="230" w:lineRule="exact"/>
              <w:jc w:val="right"/>
              <w:rPr>
                <w:rFonts w:cs="Arial"/>
                <w:sz w:val="16"/>
                <w:szCs w:val="16"/>
              </w:rPr>
            </w:pPr>
            <w:r w:rsidRPr="00C928A1">
              <w:rPr>
                <w:rFonts w:cs="Arial"/>
                <w:sz w:val="16"/>
                <w:szCs w:val="16"/>
              </w:rPr>
              <w:t>100,5</w:t>
            </w:r>
          </w:p>
        </w:tc>
      </w:tr>
      <w:tr w:rsidR="004156F3" w:rsidRPr="009716C2"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9716C2" w:rsidRDefault="004156F3" w:rsidP="008967C1">
            <w:pPr>
              <w:pStyle w:val="Tekstpodstawowy"/>
              <w:tabs>
                <w:tab w:val="right" w:leader="dot" w:pos="1911"/>
              </w:tabs>
              <w:spacing w:before="120" w:after="120"/>
              <w:ind w:left="226" w:hanging="113"/>
              <w:jc w:val="left"/>
              <w:rPr>
                <w:rFonts w:ascii="Fira Sans" w:hAnsi="Fira Sans"/>
                <w:sz w:val="16"/>
                <w:szCs w:val="16"/>
              </w:rPr>
            </w:pPr>
            <w:r w:rsidRPr="009716C2">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16,3</w:t>
            </w:r>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76,7</w:t>
            </w:r>
          </w:p>
        </w:tc>
        <w:tc>
          <w:tcPr>
            <w:tcW w:w="1492"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2,5</w:t>
            </w:r>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66,8</w:t>
            </w:r>
          </w:p>
        </w:tc>
        <w:tc>
          <w:tcPr>
            <w:tcW w:w="1492"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123,7</w:t>
            </w:r>
          </w:p>
        </w:tc>
      </w:tr>
      <w:tr w:rsidR="004156F3" w:rsidRPr="009716C2" w:rsidTr="00DD305C">
        <w:trPr>
          <w:trHeight w:val="57"/>
        </w:trPr>
        <w:tc>
          <w:tcPr>
            <w:tcW w:w="3033" w:type="dxa"/>
            <w:tcBorders>
              <w:top w:val="single" w:sz="4" w:space="0" w:color="522398"/>
              <w:bottom w:val="single" w:sz="4" w:space="0" w:color="522398"/>
              <w:right w:val="single" w:sz="4" w:space="0" w:color="522398"/>
            </w:tcBorders>
            <w:vAlign w:val="bottom"/>
          </w:tcPr>
          <w:p w:rsidR="004156F3" w:rsidRPr="009716C2" w:rsidRDefault="004156F3" w:rsidP="00971282">
            <w:pPr>
              <w:pStyle w:val="Tekstpodstawowy"/>
              <w:tabs>
                <w:tab w:val="right" w:leader="dot" w:pos="1911"/>
              </w:tabs>
              <w:spacing w:before="120" w:after="120"/>
              <w:ind w:left="113" w:hanging="113"/>
              <w:jc w:val="left"/>
              <w:rPr>
                <w:rFonts w:ascii="Fira Sans" w:hAnsi="Fira Sans"/>
                <w:sz w:val="16"/>
                <w:szCs w:val="16"/>
              </w:rPr>
            </w:pPr>
            <w:proofErr w:type="spellStart"/>
            <w:r w:rsidRPr="009716C2">
              <w:rPr>
                <w:rFonts w:ascii="Fira Sans" w:hAnsi="Fira Sans"/>
                <w:sz w:val="16"/>
                <w:szCs w:val="16"/>
              </w:rPr>
              <w:t>Mleko</w:t>
            </w:r>
            <w:r w:rsidRPr="009716C2">
              <w:rPr>
                <w:rFonts w:ascii="Fira Sans" w:hAnsi="Fira Sans"/>
                <w:i/>
                <w:sz w:val="16"/>
                <w:szCs w:val="16"/>
                <w:vertAlign w:val="superscript"/>
              </w:rPr>
              <w:t>c</w:t>
            </w:r>
            <w:proofErr w:type="spellEnd"/>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106,0</w:t>
            </w:r>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99,0</w:t>
            </w:r>
          </w:p>
        </w:tc>
        <w:tc>
          <w:tcPr>
            <w:tcW w:w="1492"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15,5</w:t>
            </w:r>
          </w:p>
        </w:tc>
        <w:tc>
          <w:tcPr>
            <w:tcW w:w="1491"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101,5</w:t>
            </w:r>
          </w:p>
        </w:tc>
        <w:tc>
          <w:tcPr>
            <w:tcW w:w="1492" w:type="dxa"/>
            <w:tcBorders>
              <w:top w:val="single" w:sz="4" w:space="0" w:color="522398"/>
              <w:left w:val="single" w:sz="4" w:space="0" w:color="522398"/>
              <w:bottom w:val="single" w:sz="4" w:space="0" w:color="522398"/>
            </w:tcBorders>
            <w:vAlign w:val="bottom"/>
          </w:tcPr>
          <w:p w:rsidR="004156F3" w:rsidRPr="009716C2" w:rsidRDefault="004156F3" w:rsidP="00DD305C">
            <w:pPr>
              <w:spacing w:before="0" w:after="0" w:line="230" w:lineRule="exact"/>
              <w:jc w:val="right"/>
              <w:rPr>
                <w:rFonts w:cs="Arial"/>
                <w:sz w:val="16"/>
                <w:szCs w:val="16"/>
              </w:rPr>
            </w:pPr>
            <w:r w:rsidRPr="009716C2">
              <w:rPr>
                <w:rFonts w:cs="Arial"/>
                <w:sz w:val="16"/>
                <w:szCs w:val="16"/>
              </w:rPr>
              <w:t>103,8</w:t>
            </w:r>
          </w:p>
        </w:tc>
      </w:tr>
    </w:tbl>
    <w:p w:rsidR="004156F3" w:rsidRPr="009716C2" w:rsidRDefault="004156F3" w:rsidP="004156F3">
      <w:pPr>
        <w:spacing w:after="0"/>
        <w:ind w:left="227"/>
        <w:rPr>
          <w:rFonts w:cs="Arial"/>
          <w:sz w:val="16"/>
          <w:szCs w:val="16"/>
        </w:rPr>
      </w:pPr>
      <w:r w:rsidRPr="009716C2">
        <w:rPr>
          <w:rFonts w:cs="Arial"/>
          <w:sz w:val="16"/>
          <w:szCs w:val="16"/>
          <w:vertAlign w:val="superscript"/>
        </w:rPr>
        <w:t xml:space="preserve">a </w:t>
      </w:r>
      <w:r w:rsidRPr="009716C2">
        <w:rPr>
          <w:rFonts w:cs="Arial"/>
          <w:sz w:val="16"/>
          <w:szCs w:val="16"/>
        </w:rPr>
        <w:t xml:space="preserve">Bez skupu realizowanego przez osoby fizyczne. </w:t>
      </w:r>
      <w:r w:rsidRPr="009716C2">
        <w:rPr>
          <w:rFonts w:cs="Arial"/>
          <w:sz w:val="16"/>
          <w:szCs w:val="16"/>
          <w:vertAlign w:val="superscript"/>
        </w:rPr>
        <w:t>b</w:t>
      </w:r>
      <w:r w:rsidRPr="009716C2">
        <w:rPr>
          <w:rFonts w:cs="Arial"/>
          <w:sz w:val="16"/>
          <w:szCs w:val="16"/>
        </w:rPr>
        <w:t xml:space="preserve"> Obejmuje bydło, cielęta, trzodę chlewną, owce, konie i drób; w wadze żywej. </w:t>
      </w:r>
      <w:r w:rsidRPr="009716C2">
        <w:rPr>
          <w:rFonts w:cs="Arial"/>
          <w:sz w:val="16"/>
          <w:szCs w:val="16"/>
        </w:rPr>
        <w:br/>
      </w:r>
      <w:r w:rsidRPr="009716C2">
        <w:rPr>
          <w:rFonts w:cs="Arial"/>
          <w:sz w:val="16"/>
          <w:szCs w:val="16"/>
          <w:vertAlign w:val="superscript"/>
        </w:rPr>
        <w:t>c</w:t>
      </w:r>
      <w:r w:rsidRPr="009716C2">
        <w:rPr>
          <w:rFonts w:cs="Arial"/>
          <w:sz w:val="16"/>
          <w:szCs w:val="16"/>
        </w:rPr>
        <w:t xml:space="preserve"> W milionach litrów.</w:t>
      </w:r>
    </w:p>
    <w:p w:rsidR="004156F3" w:rsidRPr="009716C2" w:rsidRDefault="004156F3" w:rsidP="004156F3">
      <w:pPr>
        <w:spacing w:before="0" w:after="0"/>
        <w:ind w:left="227"/>
        <w:jc w:val="both"/>
        <w:rPr>
          <w:rFonts w:cs="Arial"/>
          <w:sz w:val="18"/>
          <w:szCs w:val="16"/>
        </w:rPr>
      </w:pPr>
    </w:p>
    <w:p w:rsidR="004156F3" w:rsidRPr="00361DFA" w:rsidRDefault="004156F3" w:rsidP="004156F3">
      <w:pPr>
        <w:pStyle w:val="Tekstkomunikat"/>
      </w:pPr>
      <w:r w:rsidRPr="00EF23CE">
        <w:rPr>
          <w:shd w:val="clear" w:color="auto" w:fill="FFFFFF"/>
        </w:rPr>
        <w:t xml:space="preserve">Od początku br. producenci z województwa świętokrzyskiego dostarczyli do skupu 39,5 tys. t </w:t>
      </w:r>
      <w:r w:rsidRPr="00EF23CE">
        <w:rPr>
          <w:b/>
          <w:shd w:val="clear" w:color="auto" w:fill="FFFFFF"/>
        </w:rPr>
        <w:t>żywca rzeźnego</w:t>
      </w:r>
      <w:r w:rsidRPr="00EF23CE">
        <w:rPr>
          <w:shd w:val="clear" w:color="auto" w:fill="FFFFFF"/>
        </w:rPr>
        <w:t xml:space="preserve"> (w wadze żywej), tj. o 14,0% mniej niż przed rokiem. Spadek skupu dotyczył  żywca wołowego (o 10,4%), wieprzowego (o 5,1%) i drobiowego (o 23,3</w:t>
      </w:r>
      <w:r w:rsidRPr="00361DFA">
        <w:rPr>
          <w:shd w:val="clear" w:color="auto" w:fill="FFFFFF"/>
        </w:rPr>
        <w:t>%)</w:t>
      </w:r>
      <w:r w:rsidRPr="00361DFA">
        <w:t xml:space="preserve">. </w:t>
      </w:r>
      <w:r w:rsidRPr="00361DFA">
        <w:rPr>
          <w:shd w:val="clear" w:color="auto" w:fill="FFFFFF"/>
        </w:rPr>
        <w:t>W lipcu 2020 r. podaż żywca rzeźnego ogółem (5,4 tys. t) była o 24,8% niższa</w:t>
      </w:r>
      <w:r w:rsidRPr="00361DFA">
        <w:t xml:space="preserve"> w ujęciu rocznym, jednak o 8,8% wyższa w ujęciu miesięcznym.</w:t>
      </w:r>
    </w:p>
    <w:p w:rsidR="004156F3" w:rsidRDefault="004156F3" w:rsidP="004156F3">
      <w:pPr>
        <w:pStyle w:val="Tekstkomunikat"/>
      </w:pPr>
      <w:r w:rsidRPr="00B54A53">
        <w:t xml:space="preserve">Dostawy </w:t>
      </w:r>
      <w:r w:rsidRPr="00B54A53">
        <w:rPr>
          <w:b/>
        </w:rPr>
        <w:t>mleka</w:t>
      </w:r>
      <w:r w:rsidRPr="00B54A53">
        <w:t xml:space="preserve"> do skupu w okresie styczeń–</w:t>
      </w:r>
      <w:r>
        <w:t>lipiec</w:t>
      </w:r>
      <w:r w:rsidRPr="00B54A53">
        <w:t xml:space="preserve"> br. (</w:t>
      </w:r>
      <w:r>
        <w:t>106,0</w:t>
      </w:r>
      <w:r w:rsidRPr="00B54A53">
        <w:t xml:space="preserve"> mln l) były o </w:t>
      </w:r>
      <w:r>
        <w:t>1,0</w:t>
      </w:r>
      <w:r w:rsidRPr="00B54A53">
        <w:t xml:space="preserve">% </w:t>
      </w:r>
      <w:r>
        <w:t>mniejsze</w:t>
      </w:r>
      <w:r w:rsidRPr="00B54A53">
        <w:t xml:space="preserve"> niż w tym samym okresie 201</w:t>
      </w:r>
      <w:r>
        <w:t>9</w:t>
      </w:r>
      <w:r w:rsidRPr="00B54A53">
        <w:t xml:space="preserve"> r. W </w:t>
      </w:r>
      <w:r>
        <w:t>lipcu</w:t>
      </w:r>
      <w:r w:rsidRPr="00B54A53">
        <w:t xml:space="preserve"> br. skup mleka wyniósł </w:t>
      </w:r>
      <w:r>
        <w:t>15,5</w:t>
      </w:r>
      <w:r w:rsidRPr="00B54A53">
        <w:t xml:space="preserve"> mln l i był </w:t>
      </w:r>
      <w:r>
        <w:t>większy</w:t>
      </w:r>
      <w:r w:rsidRPr="00B54A53">
        <w:t xml:space="preserve"> o </w:t>
      </w:r>
      <w:r>
        <w:t>3,8</w:t>
      </w:r>
      <w:r w:rsidRPr="00B54A53">
        <w:t xml:space="preserve">% niż miesiąc </w:t>
      </w:r>
      <w:r>
        <w:t xml:space="preserve">temu oraz o 1,5% niż rok </w:t>
      </w:r>
      <w:r w:rsidRPr="00B54A53">
        <w:t>temu</w:t>
      </w:r>
      <w:r>
        <w:t>.</w:t>
      </w:r>
    </w:p>
    <w:p w:rsidR="004156F3" w:rsidRPr="00AD5B68" w:rsidRDefault="004156F3" w:rsidP="008967C1">
      <w:pPr>
        <w:pStyle w:val="tytuwykresu"/>
        <w:pageBreakBefore/>
        <w:rPr>
          <w:shd w:val="clear" w:color="auto" w:fill="FFFFFF"/>
        </w:rPr>
      </w:pPr>
      <w:r w:rsidRPr="00AD5B68">
        <w:rPr>
          <w:shd w:val="clear" w:color="auto" w:fill="FFFFFF"/>
        </w:rPr>
        <w:lastRenderedPageBreak/>
        <w:t xml:space="preserve">Tablica </w:t>
      </w:r>
      <w:r w:rsidR="00662415">
        <w:rPr>
          <w:shd w:val="clear" w:color="auto" w:fill="FFFFFF"/>
        </w:rPr>
        <w:t>7</w:t>
      </w:r>
      <w:r w:rsidRPr="00AD5B68">
        <w:rPr>
          <w:shd w:val="clear" w:color="auto" w:fill="FFFFFF"/>
        </w:rPr>
        <w:t xml:space="preserve">. Przeciętne ceny podstawowych produktów rolnych </w:t>
      </w:r>
    </w:p>
    <w:tbl>
      <w:tblPr>
        <w:tblStyle w:val="Siatkatabelijasna1"/>
        <w:tblpPr w:leftFromText="141" w:rightFromText="141" w:vertAnchor="text" w:horzAnchor="margin" w:tblpXSpec="center" w:tblpY="14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792"/>
        <w:gridCol w:w="767"/>
        <w:gridCol w:w="768"/>
        <w:gridCol w:w="768"/>
        <w:gridCol w:w="768"/>
        <w:gridCol w:w="768"/>
        <w:gridCol w:w="767"/>
        <w:gridCol w:w="767"/>
        <w:gridCol w:w="767"/>
        <w:gridCol w:w="768"/>
        <w:gridCol w:w="767"/>
      </w:tblGrid>
      <w:tr w:rsidR="004156F3" w:rsidRPr="00AD5B68" w:rsidTr="00DD305C">
        <w:trPr>
          <w:trHeight w:val="57"/>
        </w:trPr>
        <w:tc>
          <w:tcPr>
            <w:tcW w:w="2792" w:type="dxa"/>
            <w:vMerge w:val="restart"/>
            <w:tcBorders>
              <w:top w:val="single" w:sz="4" w:space="0" w:color="522398"/>
              <w:right w:val="single" w:sz="4" w:space="0" w:color="522398"/>
            </w:tcBorders>
            <w:vAlign w:val="center"/>
          </w:tcPr>
          <w:p w:rsidR="004156F3" w:rsidRPr="00AD5B68" w:rsidRDefault="004156F3" w:rsidP="00DD305C">
            <w:pPr>
              <w:pStyle w:val="Nagwek1"/>
              <w:tabs>
                <w:tab w:val="right" w:leader="dot" w:pos="4139"/>
              </w:tabs>
              <w:spacing w:before="0" w:after="0" w:line="216" w:lineRule="exact"/>
              <w:jc w:val="center"/>
              <w:outlineLvl w:val="0"/>
              <w:rPr>
                <w:rFonts w:ascii="Fira Sans" w:hAnsi="Fira Sans" w:cs="Arial"/>
                <w:b/>
                <w:bCs w:val="0"/>
                <w:color w:val="auto"/>
                <w:sz w:val="16"/>
                <w:szCs w:val="16"/>
              </w:rPr>
            </w:pPr>
            <w:r w:rsidRPr="00AD5B68">
              <w:rPr>
                <w:rFonts w:ascii="Fira Sans" w:hAnsi="Fira Sans" w:cs="Arial"/>
                <w:color w:val="auto"/>
                <w:sz w:val="16"/>
                <w:szCs w:val="16"/>
              </w:rPr>
              <w:t>WYSZCZEGÓLNIENIE</w:t>
            </w:r>
          </w:p>
        </w:tc>
        <w:tc>
          <w:tcPr>
            <w:tcW w:w="3839" w:type="dxa"/>
            <w:gridSpan w:val="5"/>
            <w:tcBorders>
              <w:top w:val="single" w:sz="4" w:space="0" w:color="522398"/>
              <w:left w:val="single" w:sz="4" w:space="0" w:color="522398"/>
              <w:bottom w:val="single" w:sz="4" w:space="0" w:color="522398"/>
            </w:tcBorders>
            <w:vAlign w:val="center"/>
          </w:tcPr>
          <w:p w:rsidR="004156F3" w:rsidRPr="00AD5B68" w:rsidRDefault="004156F3" w:rsidP="00DD305C">
            <w:pPr>
              <w:pStyle w:val="Nagwek3"/>
              <w:spacing w:before="0" w:line="216" w:lineRule="exact"/>
              <w:jc w:val="center"/>
              <w:outlineLvl w:val="2"/>
              <w:rPr>
                <w:rFonts w:ascii="Fira Sans" w:hAnsi="Fira Sans"/>
                <w:color w:val="auto"/>
                <w:sz w:val="16"/>
                <w:szCs w:val="16"/>
              </w:rPr>
            </w:pPr>
            <w:r w:rsidRPr="00AD5B68">
              <w:rPr>
                <w:rFonts w:ascii="Fira Sans" w:hAnsi="Fira Sans"/>
                <w:color w:val="auto"/>
                <w:sz w:val="16"/>
                <w:szCs w:val="16"/>
              </w:rPr>
              <w:t>Ceny w skupie</w:t>
            </w:r>
          </w:p>
        </w:tc>
        <w:tc>
          <w:tcPr>
            <w:tcW w:w="3836" w:type="dxa"/>
            <w:gridSpan w:val="5"/>
            <w:tcBorders>
              <w:top w:val="single" w:sz="4" w:space="0" w:color="522398"/>
              <w:left w:val="single" w:sz="4" w:space="0" w:color="522398"/>
              <w:bottom w:val="single" w:sz="4" w:space="0" w:color="522398"/>
            </w:tcBorders>
            <w:vAlign w:val="center"/>
          </w:tcPr>
          <w:p w:rsidR="004156F3" w:rsidRPr="00AD5B68" w:rsidRDefault="004156F3" w:rsidP="00DD305C">
            <w:pPr>
              <w:pStyle w:val="Nagwek3"/>
              <w:spacing w:before="0" w:line="216" w:lineRule="exact"/>
              <w:jc w:val="center"/>
              <w:outlineLvl w:val="2"/>
              <w:rPr>
                <w:rFonts w:ascii="Fira Sans" w:hAnsi="Fira Sans"/>
                <w:color w:val="auto"/>
                <w:sz w:val="16"/>
                <w:szCs w:val="16"/>
              </w:rPr>
            </w:pPr>
            <w:r w:rsidRPr="00AD5B68">
              <w:rPr>
                <w:rFonts w:ascii="Fira Sans" w:hAnsi="Fira Sans"/>
                <w:color w:val="auto"/>
                <w:sz w:val="16"/>
                <w:szCs w:val="16"/>
              </w:rPr>
              <w:t xml:space="preserve">Ceny na </w:t>
            </w:r>
            <w:proofErr w:type="spellStart"/>
            <w:r w:rsidRPr="00AD5B68">
              <w:rPr>
                <w:rFonts w:ascii="Fira Sans" w:hAnsi="Fira Sans"/>
                <w:color w:val="auto"/>
                <w:sz w:val="16"/>
                <w:szCs w:val="16"/>
              </w:rPr>
              <w:t>targowiskach</w:t>
            </w:r>
            <w:r w:rsidRPr="0088269C">
              <w:rPr>
                <w:rFonts w:ascii="Fira Sans" w:hAnsi="Fira Sans"/>
                <w:color w:val="auto"/>
                <w:sz w:val="16"/>
                <w:szCs w:val="16"/>
                <w:vertAlign w:val="superscript"/>
              </w:rPr>
              <w:t>a</w:t>
            </w:r>
            <w:proofErr w:type="spellEnd"/>
          </w:p>
        </w:tc>
      </w:tr>
      <w:tr w:rsidR="004156F3" w:rsidRPr="00AD5B68" w:rsidTr="00DD305C">
        <w:trPr>
          <w:trHeight w:val="57"/>
        </w:trPr>
        <w:tc>
          <w:tcPr>
            <w:tcW w:w="2792" w:type="dxa"/>
            <w:vMerge/>
            <w:tcBorders>
              <w:right w:val="single" w:sz="4" w:space="0" w:color="522398"/>
            </w:tcBorders>
            <w:vAlign w:val="center"/>
          </w:tcPr>
          <w:p w:rsidR="004156F3" w:rsidRPr="00AD5B68" w:rsidRDefault="004156F3" w:rsidP="00DD305C">
            <w:pPr>
              <w:pStyle w:val="Nagwek1"/>
              <w:tabs>
                <w:tab w:val="right" w:leader="dot" w:pos="4139"/>
              </w:tabs>
              <w:spacing w:before="0" w:after="0" w:line="216" w:lineRule="exact"/>
              <w:jc w:val="center"/>
              <w:outlineLvl w:val="0"/>
              <w:rPr>
                <w:rFonts w:cs="Arial"/>
                <w:b/>
                <w:color w:val="auto"/>
                <w:sz w:val="16"/>
                <w:szCs w:val="16"/>
              </w:rPr>
            </w:pPr>
          </w:p>
        </w:tc>
        <w:tc>
          <w:tcPr>
            <w:tcW w:w="2303" w:type="dxa"/>
            <w:gridSpan w:val="3"/>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sz w:val="16"/>
                <w:szCs w:val="16"/>
              </w:rPr>
            </w:pPr>
            <w:r w:rsidRPr="00AD5B68">
              <w:rPr>
                <w:sz w:val="16"/>
                <w:szCs w:val="16"/>
              </w:rPr>
              <w:t>VII 2020</w:t>
            </w:r>
          </w:p>
        </w:tc>
        <w:tc>
          <w:tcPr>
            <w:tcW w:w="1536" w:type="dxa"/>
            <w:gridSpan w:val="2"/>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sz w:val="16"/>
                <w:szCs w:val="16"/>
              </w:rPr>
            </w:pPr>
            <w:r w:rsidRPr="00AD5B68">
              <w:rPr>
                <w:sz w:val="16"/>
                <w:szCs w:val="16"/>
              </w:rPr>
              <w:t>I-VII 2020</w:t>
            </w:r>
          </w:p>
        </w:tc>
        <w:tc>
          <w:tcPr>
            <w:tcW w:w="2301" w:type="dxa"/>
            <w:gridSpan w:val="3"/>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sz w:val="16"/>
                <w:szCs w:val="16"/>
              </w:rPr>
            </w:pPr>
            <w:r w:rsidRPr="00AD5B68">
              <w:rPr>
                <w:sz w:val="16"/>
                <w:szCs w:val="16"/>
              </w:rPr>
              <w:t>VII 2020</w:t>
            </w:r>
          </w:p>
        </w:tc>
        <w:tc>
          <w:tcPr>
            <w:tcW w:w="1535" w:type="dxa"/>
            <w:gridSpan w:val="2"/>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sz w:val="16"/>
                <w:szCs w:val="16"/>
              </w:rPr>
            </w:pPr>
            <w:r w:rsidRPr="00AD5B68">
              <w:rPr>
                <w:sz w:val="16"/>
                <w:szCs w:val="16"/>
              </w:rPr>
              <w:t>I-VII 2020</w:t>
            </w:r>
          </w:p>
        </w:tc>
      </w:tr>
      <w:tr w:rsidR="004156F3" w:rsidRPr="000E1A8A" w:rsidTr="00DD305C">
        <w:trPr>
          <w:trHeight w:val="336"/>
        </w:trPr>
        <w:tc>
          <w:tcPr>
            <w:tcW w:w="2792" w:type="dxa"/>
            <w:vMerge/>
            <w:tcBorders>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113" w:hanging="113"/>
              <w:jc w:val="left"/>
              <w:rPr>
                <w:rFonts w:ascii="Fira Sans" w:hAnsi="Fira Sans"/>
                <w:b/>
                <w:sz w:val="16"/>
                <w:szCs w:val="16"/>
              </w:rPr>
            </w:pPr>
          </w:p>
        </w:tc>
        <w:tc>
          <w:tcPr>
            <w:tcW w:w="767" w:type="dxa"/>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rFonts w:cs="Arial"/>
                <w:sz w:val="16"/>
                <w:szCs w:val="16"/>
              </w:rPr>
            </w:pPr>
            <w:r w:rsidRPr="00AD5B68">
              <w:rPr>
                <w:rFonts w:cs="Arial"/>
                <w:sz w:val="16"/>
                <w:szCs w:val="16"/>
              </w:rPr>
              <w:t>zł</w:t>
            </w:r>
          </w:p>
        </w:tc>
        <w:tc>
          <w:tcPr>
            <w:tcW w:w="768" w:type="dxa"/>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rFonts w:cs="Arial"/>
                <w:sz w:val="16"/>
                <w:szCs w:val="16"/>
              </w:rPr>
            </w:pPr>
            <w:r w:rsidRPr="00AD5B68">
              <w:rPr>
                <w:rFonts w:cs="Arial"/>
                <w:sz w:val="16"/>
                <w:szCs w:val="16"/>
              </w:rPr>
              <w:t>VII</w:t>
            </w:r>
            <w:r w:rsidRPr="00AD5B68">
              <w:rPr>
                <w:rFonts w:cs="Arial"/>
                <w:sz w:val="16"/>
                <w:szCs w:val="16"/>
              </w:rPr>
              <w:br/>
              <w:t>2019 =</w:t>
            </w:r>
            <w:r w:rsidRPr="00AD5B68">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rFonts w:cs="Arial"/>
                <w:sz w:val="16"/>
                <w:szCs w:val="16"/>
              </w:rPr>
            </w:pPr>
            <w:r w:rsidRPr="00AD5B68">
              <w:rPr>
                <w:rFonts w:cs="Arial"/>
                <w:sz w:val="16"/>
                <w:szCs w:val="16"/>
              </w:rPr>
              <w:t>VI</w:t>
            </w:r>
            <w:r w:rsidRPr="00AD5B68">
              <w:rPr>
                <w:rFonts w:cs="Arial"/>
                <w:sz w:val="16"/>
                <w:szCs w:val="16"/>
              </w:rPr>
              <w:br/>
              <w:t>2020 =</w:t>
            </w:r>
            <w:r w:rsidRPr="00AD5B68">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rFonts w:cs="Arial"/>
                <w:sz w:val="16"/>
                <w:szCs w:val="16"/>
              </w:rPr>
            </w:pPr>
            <w:r w:rsidRPr="00AD5B68">
              <w:rPr>
                <w:rFonts w:cs="Arial"/>
                <w:sz w:val="16"/>
                <w:szCs w:val="16"/>
              </w:rPr>
              <w:t>zł</w:t>
            </w:r>
          </w:p>
        </w:tc>
        <w:tc>
          <w:tcPr>
            <w:tcW w:w="768" w:type="dxa"/>
            <w:tcBorders>
              <w:top w:val="single" w:sz="4" w:space="0" w:color="522398"/>
              <w:left w:val="single" w:sz="4" w:space="0" w:color="522398"/>
              <w:bottom w:val="single" w:sz="4" w:space="0" w:color="522398"/>
            </w:tcBorders>
            <w:vAlign w:val="center"/>
          </w:tcPr>
          <w:p w:rsidR="004156F3" w:rsidRPr="00AD5B68" w:rsidRDefault="004156F3" w:rsidP="00DD305C">
            <w:pPr>
              <w:spacing w:before="0" w:after="0" w:line="216" w:lineRule="exact"/>
              <w:jc w:val="center"/>
              <w:rPr>
                <w:rFonts w:cs="Arial"/>
                <w:sz w:val="16"/>
                <w:szCs w:val="16"/>
              </w:rPr>
            </w:pPr>
            <w:r w:rsidRPr="00AD5B68">
              <w:rPr>
                <w:rFonts w:cs="Arial"/>
                <w:sz w:val="16"/>
                <w:szCs w:val="16"/>
              </w:rPr>
              <w:t>I-VII</w:t>
            </w:r>
            <w:r w:rsidRPr="00AD5B68">
              <w:rPr>
                <w:rFonts w:cs="Arial"/>
                <w:sz w:val="16"/>
                <w:szCs w:val="16"/>
              </w:rPr>
              <w:br/>
              <w:t>2019 =</w:t>
            </w:r>
            <w:r w:rsidRPr="00AD5B68">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4156F3" w:rsidRPr="000E1A8A" w:rsidRDefault="004156F3" w:rsidP="00DD305C">
            <w:pPr>
              <w:spacing w:before="0" w:after="0" w:line="216" w:lineRule="exact"/>
              <w:jc w:val="center"/>
              <w:rPr>
                <w:rFonts w:cs="Arial"/>
                <w:sz w:val="16"/>
                <w:szCs w:val="16"/>
              </w:rPr>
            </w:pPr>
            <w:r w:rsidRPr="000E1A8A">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4156F3" w:rsidRPr="000E1A8A" w:rsidRDefault="004156F3" w:rsidP="00DD305C">
            <w:pPr>
              <w:spacing w:before="0" w:after="0" w:line="216" w:lineRule="exact"/>
              <w:jc w:val="center"/>
              <w:rPr>
                <w:rFonts w:cs="Arial"/>
                <w:sz w:val="16"/>
                <w:szCs w:val="16"/>
              </w:rPr>
            </w:pPr>
            <w:r w:rsidRPr="000E1A8A">
              <w:rPr>
                <w:rFonts w:cs="Arial"/>
                <w:sz w:val="16"/>
                <w:szCs w:val="16"/>
              </w:rPr>
              <w:t>VII</w:t>
            </w:r>
            <w:r w:rsidRPr="000E1A8A">
              <w:rPr>
                <w:rFonts w:cs="Arial"/>
                <w:sz w:val="16"/>
                <w:szCs w:val="16"/>
              </w:rPr>
              <w:br/>
              <w:t>2019 =</w:t>
            </w:r>
            <w:r w:rsidRPr="000E1A8A">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4156F3" w:rsidRPr="000E1A8A" w:rsidRDefault="004156F3" w:rsidP="00DD305C">
            <w:pPr>
              <w:spacing w:before="0" w:after="0" w:line="216" w:lineRule="exact"/>
              <w:jc w:val="center"/>
              <w:rPr>
                <w:rFonts w:cs="Arial"/>
                <w:sz w:val="16"/>
                <w:szCs w:val="16"/>
              </w:rPr>
            </w:pPr>
            <w:r w:rsidRPr="000E1A8A">
              <w:rPr>
                <w:rFonts w:cs="Arial"/>
                <w:sz w:val="16"/>
                <w:szCs w:val="16"/>
              </w:rPr>
              <w:t>VI</w:t>
            </w:r>
            <w:r w:rsidRPr="000E1A8A">
              <w:rPr>
                <w:rFonts w:cs="Arial"/>
                <w:sz w:val="16"/>
                <w:szCs w:val="16"/>
              </w:rPr>
              <w:br/>
              <w:t>2020 =</w:t>
            </w:r>
            <w:r w:rsidRPr="000E1A8A">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4156F3" w:rsidRPr="000E1A8A" w:rsidRDefault="004156F3" w:rsidP="00DD305C">
            <w:pPr>
              <w:spacing w:before="0" w:after="0" w:line="216" w:lineRule="exact"/>
              <w:jc w:val="center"/>
              <w:rPr>
                <w:rFonts w:cs="Arial"/>
                <w:sz w:val="16"/>
                <w:szCs w:val="16"/>
              </w:rPr>
            </w:pPr>
            <w:r w:rsidRPr="000E1A8A">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4156F3" w:rsidRPr="000E1A8A" w:rsidRDefault="004156F3" w:rsidP="00DD305C">
            <w:pPr>
              <w:spacing w:before="0" w:after="0" w:line="216" w:lineRule="exact"/>
              <w:jc w:val="center"/>
              <w:rPr>
                <w:rFonts w:cs="Arial"/>
                <w:sz w:val="16"/>
                <w:szCs w:val="16"/>
              </w:rPr>
            </w:pPr>
            <w:r w:rsidRPr="000E1A8A">
              <w:rPr>
                <w:rFonts w:cs="Arial"/>
                <w:sz w:val="16"/>
                <w:szCs w:val="16"/>
              </w:rPr>
              <w:t>I-VII</w:t>
            </w:r>
            <w:r w:rsidRPr="000E1A8A">
              <w:rPr>
                <w:rFonts w:cs="Arial"/>
                <w:sz w:val="16"/>
                <w:szCs w:val="16"/>
              </w:rPr>
              <w:br/>
              <w:t>2019 =</w:t>
            </w:r>
            <w:r w:rsidRPr="000E1A8A">
              <w:rPr>
                <w:rFonts w:cs="Arial"/>
                <w:sz w:val="16"/>
                <w:szCs w:val="16"/>
              </w:rPr>
              <w:br/>
              <w:t>= 100</w:t>
            </w:r>
          </w:p>
        </w:tc>
      </w:tr>
      <w:tr w:rsidR="004156F3" w:rsidRPr="000E1A8A"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113" w:hanging="113"/>
              <w:jc w:val="left"/>
              <w:rPr>
                <w:rFonts w:ascii="Fira Sans" w:hAnsi="Fira Sans"/>
                <w:b/>
                <w:sz w:val="16"/>
                <w:szCs w:val="16"/>
              </w:rPr>
            </w:pPr>
            <w:r w:rsidRPr="00AD5B68">
              <w:rPr>
                <w:rFonts w:ascii="Fira Sans" w:hAnsi="Fira Sans" w:cs="Arial"/>
                <w:sz w:val="16"/>
                <w:szCs w:val="16"/>
              </w:rPr>
              <w:t xml:space="preserve">Ziarno </w:t>
            </w:r>
            <w:proofErr w:type="spellStart"/>
            <w:r w:rsidRPr="00AD5B68">
              <w:rPr>
                <w:rFonts w:ascii="Fira Sans" w:hAnsi="Fira Sans" w:cs="Arial"/>
                <w:sz w:val="16"/>
                <w:szCs w:val="16"/>
              </w:rPr>
              <w:t>zbóż</w:t>
            </w:r>
            <w:r w:rsidRPr="00B66EA3">
              <w:rPr>
                <w:rFonts w:ascii="Fira Sans" w:hAnsi="Fira Sans" w:cs="Arial"/>
                <w:sz w:val="16"/>
                <w:szCs w:val="16"/>
                <w:vertAlign w:val="superscript"/>
              </w:rPr>
              <w:t>b</w:t>
            </w:r>
            <w:proofErr w:type="spellEnd"/>
            <w:r w:rsidRPr="00AD5B68">
              <w:rPr>
                <w:rFonts w:ascii="Fira Sans" w:hAnsi="Fira Sans" w:cs="Arial"/>
                <w:sz w:val="16"/>
                <w:szCs w:val="16"/>
              </w:rPr>
              <w:t xml:space="preserve"> za 1 </w:t>
            </w:r>
            <w:proofErr w:type="spellStart"/>
            <w:r w:rsidRPr="00AD5B68">
              <w:rPr>
                <w:rFonts w:ascii="Fira Sans" w:hAnsi="Fira Sans" w:cs="Arial"/>
                <w:sz w:val="16"/>
                <w:szCs w:val="16"/>
              </w:rPr>
              <w:t>dt</w:t>
            </w:r>
            <w:proofErr w:type="spellEnd"/>
            <w:r w:rsidRPr="00AD5B68">
              <w:rPr>
                <w:rFonts w:ascii="Fira Sans" w:hAnsi="Fira Sans" w:cs="Arial"/>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6683B"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6683B"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6683B"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6683B"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6683B"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0E1A8A"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0E1A8A"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0E1A8A"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0E1A8A"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0E1A8A" w:rsidRDefault="004156F3" w:rsidP="00DD305C">
            <w:pPr>
              <w:spacing w:before="0" w:after="0" w:line="216" w:lineRule="exact"/>
              <w:jc w:val="right"/>
              <w:rPr>
                <w:rFonts w:cs="Arial"/>
                <w:sz w:val="16"/>
                <w:szCs w:val="16"/>
              </w:rPr>
            </w:pP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226" w:hanging="113"/>
              <w:jc w:val="left"/>
              <w:rPr>
                <w:rFonts w:ascii="Fira Sans" w:hAnsi="Fira Sans"/>
                <w:b/>
                <w:sz w:val="16"/>
                <w:szCs w:val="16"/>
              </w:rPr>
            </w:pPr>
            <w:r w:rsidRPr="00AD5B68">
              <w:rPr>
                <w:rFonts w:ascii="Fira Sans" w:hAnsi="Fira Sans" w:cs="Arial"/>
                <w:sz w:val="16"/>
                <w:szCs w:val="16"/>
              </w:rPr>
              <w:t>pszenica</w:t>
            </w:r>
          </w:p>
        </w:tc>
        <w:tc>
          <w:tcPr>
            <w:tcW w:w="767"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72,12</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107,7</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92,7</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72,85</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92,2</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83,28</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97,6</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226" w:hanging="113"/>
              <w:jc w:val="left"/>
              <w:rPr>
                <w:rFonts w:ascii="Fira Sans" w:hAnsi="Fira Sans"/>
                <w:b/>
                <w:sz w:val="16"/>
                <w:szCs w:val="16"/>
              </w:rPr>
            </w:pPr>
            <w:r w:rsidRPr="00AD5B68">
              <w:rPr>
                <w:rFonts w:ascii="Fira Sans" w:hAnsi="Fira Sans" w:cs="Arial"/>
                <w:sz w:val="16"/>
                <w:szCs w:val="16"/>
              </w:rPr>
              <w:t>żyto</w:t>
            </w:r>
          </w:p>
        </w:tc>
        <w:tc>
          <w:tcPr>
            <w:tcW w:w="767"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54,97</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84,6</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105,3</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51,99</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78,2</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64,44</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94,8</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113" w:hanging="113"/>
              <w:jc w:val="left"/>
              <w:rPr>
                <w:rFonts w:ascii="Fira Sans" w:hAnsi="Fira Sans"/>
                <w:b/>
                <w:sz w:val="16"/>
                <w:szCs w:val="16"/>
              </w:rPr>
            </w:pPr>
            <w:proofErr w:type="spellStart"/>
            <w:r w:rsidRPr="00AD5B68">
              <w:rPr>
                <w:rFonts w:ascii="Fira Sans" w:hAnsi="Fira Sans" w:cs="Arial"/>
                <w:sz w:val="16"/>
                <w:szCs w:val="16"/>
              </w:rPr>
              <w:t>Ziemniaki</w:t>
            </w:r>
            <w:r w:rsidRPr="00B66EA3">
              <w:rPr>
                <w:rFonts w:ascii="Fira Sans" w:hAnsi="Fira Sans" w:cs="Arial"/>
                <w:sz w:val="16"/>
                <w:szCs w:val="16"/>
                <w:vertAlign w:val="superscript"/>
              </w:rPr>
              <w:t>c</w:t>
            </w:r>
            <w:proofErr w:type="spellEnd"/>
            <w:r w:rsidRPr="00AD5B68">
              <w:rPr>
                <w:rFonts w:ascii="Fira Sans" w:hAnsi="Fira Sans" w:cs="Arial"/>
                <w:sz w:val="16"/>
                <w:szCs w:val="16"/>
              </w:rPr>
              <w:t xml:space="preserve"> za 1 </w:t>
            </w:r>
            <w:proofErr w:type="spellStart"/>
            <w:r w:rsidRPr="00AD5B68">
              <w:rPr>
                <w:rFonts w:ascii="Fira Sans" w:hAnsi="Fira Sans" w:cs="Arial"/>
                <w:sz w:val="16"/>
                <w:szCs w:val="16"/>
              </w:rPr>
              <w:t>dt</w:t>
            </w:r>
            <w:proofErr w:type="spellEnd"/>
          </w:p>
        </w:tc>
        <w:tc>
          <w:tcPr>
            <w:tcW w:w="767"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49,87</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34,6</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55,4</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77,12</w:t>
            </w:r>
          </w:p>
        </w:tc>
        <w:tc>
          <w:tcPr>
            <w:tcW w:w="768" w:type="dxa"/>
            <w:tcBorders>
              <w:top w:val="single" w:sz="4" w:space="0" w:color="522398"/>
              <w:left w:val="single" w:sz="4" w:space="0" w:color="522398"/>
              <w:bottom w:val="single" w:sz="4" w:space="0" w:color="522398"/>
            </w:tcBorders>
            <w:vAlign w:val="bottom"/>
          </w:tcPr>
          <w:p w:rsidR="004156F3" w:rsidRPr="00D17E0F" w:rsidRDefault="004156F3" w:rsidP="00DD305C">
            <w:pPr>
              <w:spacing w:before="0" w:after="0" w:line="216" w:lineRule="exact"/>
              <w:jc w:val="right"/>
              <w:rPr>
                <w:rFonts w:cs="Arial"/>
                <w:sz w:val="16"/>
                <w:szCs w:val="16"/>
              </w:rPr>
            </w:pPr>
            <w:r w:rsidRPr="00D17E0F">
              <w:rPr>
                <w:rFonts w:cs="Arial"/>
                <w:sz w:val="16"/>
                <w:szCs w:val="16"/>
              </w:rPr>
              <w:t>102,0</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111,25</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55,1</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113" w:hanging="113"/>
              <w:jc w:val="left"/>
              <w:rPr>
                <w:rFonts w:ascii="Fira Sans" w:hAnsi="Fira Sans" w:cs="Arial"/>
                <w:sz w:val="16"/>
                <w:szCs w:val="16"/>
              </w:rPr>
            </w:pPr>
            <w:r w:rsidRPr="00AD5B68">
              <w:rPr>
                <w:rFonts w:ascii="Fira Sans" w:hAnsi="Fira Sans"/>
                <w:sz w:val="16"/>
                <w:szCs w:val="16"/>
              </w:rPr>
              <w:t>Żywiec rzeźny za 1 kg wagi żywej:</w:t>
            </w:r>
          </w:p>
        </w:tc>
        <w:tc>
          <w:tcPr>
            <w:tcW w:w="767" w:type="dxa"/>
            <w:tcBorders>
              <w:top w:val="single" w:sz="4" w:space="0" w:color="522398"/>
              <w:left w:val="single" w:sz="4" w:space="0" w:color="522398"/>
              <w:bottom w:val="single" w:sz="4" w:space="0" w:color="522398"/>
            </w:tcBorders>
            <w:vAlign w:val="bottom"/>
          </w:tcPr>
          <w:p w:rsidR="004156F3" w:rsidRPr="00AE52C8"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AE52C8"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AE52C8"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AE52C8"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AE52C8"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340" w:hanging="113"/>
              <w:jc w:val="left"/>
              <w:rPr>
                <w:rFonts w:ascii="Fira Sans" w:hAnsi="Fira Sans"/>
                <w:sz w:val="16"/>
                <w:szCs w:val="16"/>
              </w:rPr>
            </w:pPr>
            <w:r w:rsidRPr="00AD5B68">
              <w:rPr>
                <w:rFonts w:ascii="Fira Sans" w:hAnsi="Fira Sans"/>
                <w:sz w:val="16"/>
                <w:szCs w:val="16"/>
              </w:rPr>
              <w:t>w tym:</w:t>
            </w:r>
          </w:p>
        </w:tc>
        <w:tc>
          <w:tcPr>
            <w:tcW w:w="767"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226" w:hanging="113"/>
              <w:jc w:val="left"/>
              <w:rPr>
                <w:rFonts w:ascii="Fira Sans" w:hAnsi="Fira Sans"/>
                <w:sz w:val="16"/>
                <w:szCs w:val="16"/>
              </w:rPr>
            </w:pPr>
            <w:r w:rsidRPr="00AD5B68">
              <w:rPr>
                <w:rFonts w:ascii="Fira Sans" w:hAnsi="Fira Sans"/>
                <w:sz w:val="16"/>
                <w:szCs w:val="16"/>
              </w:rPr>
              <w:t>bydło (bez cieląt)</w:t>
            </w:r>
          </w:p>
        </w:tc>
        <w:tc>
          <w:tcPr>
            <w:tcW w:w="767"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6,08</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100,5</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95,9</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6,39</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94,6</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226" w:hanging="113"/>
              <w:jc w:val="left"/>
              <w:rPr>
                <w:rFonts w:ascii="Fira Sans" w:hAnsi="Fira Sans"/>
                <w:sz w:val="16"/>
                <w:szCs w:val="16"/>
              </w:rPr>
            </w:pPr>
            <w:r w:rsidRPr="00AD5B68">
              <w:rPr>
                <w:rFonts w:ascii="Fira Sans" w:hAnsi="Fira Sans"/>
                <w:sz w:val="16"/>
                <w:szCs w:val="16"/>
              </w:rPr>
              <w:t>trzoda chlewna</w:t>
            </w:r>
          </w:p>
        </w:tc>
        <w:tc>
          <w:tcPr>
            <w:tcW w:w="767"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5,08</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89,3</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90,0</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5,82</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114,4</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226" w:hanging="113"/>
              <w:jc w:val="left"/>
              <w:rPr>
                <w:rFonts w:ascii="Fira Sans" w:hAnsi="Fira Sans"/>
                <w:sz w:val="16"/>
                <w:szCs w:val="16"/>
              </w:rPr>
            </w:pPr>
            <w:r w:rsidRPr="00AD5B68">
              <w:rPr>
                <w:rFonts w:ascii="Fira Sans" w:hAnsi="Fira Sans"/>
                <w:sz w:val="16"/>
                <w:szCs w:val="16"/>
              </w:rPr>
              <w:t>drób</w:t>
            </w:r>
          </w:p>
        </w:tc>
        <w:tc>
          <w:tcPr>
            <w:tcW w:w="767"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3,79</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96,2</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114,2</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3,41</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92,3</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r w:rsidR="004156F3" w:rsidRPr="00280969" w:rsidTr="00DD305C">
        <w:trPr>
          <w:trHeight w:val="57"/>
        </w:trPr>
        <w:tc>
          <w:tcPr>
            <w:tcW w:w="2792" w:type="dxa"/>
            <w:tcBorders>
              <w:top w:val="single" w:sz="4" w:space="0" w:color="522398"/>
              <w:bottom w:val="single" w:sz="4" w:space="0" w:color="522398"/>
              <w:right w:val="single" w:sz="4" w:space="0" w:color="522398"/>
            </w:tcBorders>
            <w:vAlign w:val="bottom"/>
          </w:tcPr>
          <w:p w:rsidR="004156F3" w:rsidRPr="00AD5B68" w:rsidRDefault="004156F3" w:rsidP="00DD305C">
            <w:pPr>
              <w:pStyle w:val="Tekstpodstawowy"/>
              <w:tabs>
                <w:tab w:val="right" w:leader="dot" w:pos="1911"/>
              </w:tabs>
              <w:spacing w:line="216" w:lineRule="exact"/>
              <w:ind w:left="113" w:hanging="113"/>
              <w:jc w:val="left"/>
              <w:rPr>
                <w:rFonts w:ascii="Fira Sans" w:hAnsi="Fira Sans"/>
                <w:sz w:val="16"/>
                <w:szCs w:val="16"/>
              </w:rPr>
            </w:pPr>
            <w:r w:rsidRPr="00AD5B68">
              <w:rPr>
                <w:rFonts w:ascii="Fira Sans" w:hAnsi="Fira Sans"/>
                <w:sz w:val="16"/>
                <w:szCs w:val="16"/>
              </w:rPr>
              <w:t xml:space="preserve">Mleko za 1 </w:t>
            </w:r>
            <w:proofErr w:type="spellStart"/>
            <w:r w:rsidRPr="00AD5B68">
              <w:rPr>
                <w:rFonts w:ascii="Fira Sans" w:hAnsi="Fira Sans"/>
                <w:sz w:val="16"/>
                <w:szCs w:val="16"/>
              </w:rPr>
              <w:t>hl</w:t>
            </w:r>
            <w:proofErr w:type="spellEnd"/>
          </w:p>
        </w:tc>
        <w:tc>
          <w:tcPr>
            <w:tcW w:w="767"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122,76</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100,3</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100,2</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127,18</w:t>
            </w:r>
          </w:p>
        </w:tc>
        <w:tc>
          <w:tcPr>
            <w:tcW w:w="768" w:type="dxa"/>
            <w:tcBorders>
              <w:top w:val="single" w:sz="4" w:space="0" w:color="522398"/>
              <w:left w:val="single" w:sz="4" w:space="0" w:color="522398"/>
              <w:bottom w:val="single" w:sz="4" w:space="0" w:color="522398"/>
            </w:tcBorders>
            <w:vAlign w:val="bottom"/>
          </w:tcPr>
          <w:p w:rsidR="004156F3" w:rsidRPr="000C48BE" w:rsidRDefault="004156F3" w:rsidP="00DD305C">
            <w:pPr>
              <w:spacing w:before="0" w:after="0" w:line="216" w:lineRule="exact"/>
              <w:jc w:val="right"/>
              <w:rPr>
                <w:rFonts w:cs="Arial"/>
                <w:sz w:val="16"/>
                <w:szCs w:val="16"/>
              </w:rPr>
            </w:pPr>
            <w:r w:rsidRPr="000C48BE">
              <w:rPr>
                <w:rFonts w:cs="Arial"/>
                <w:sz w:val="16"/>
                <w:szCs w:val="16"/>
              </w:rPr>
              <w:t>99,7</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b/>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sz w:val="16"/>
                <w:szCs w:val="16"/>
              </w:rPr>
              <w:t>.</w:t>
            </w:r>
          </w:p>
        </w:tc>
        <w:tc>
          <w:tcPr>
            <w:tcW w:w="767" w:type="dxa"/>
            <w:tcBorders>
              <w:top w:val="single" w:sz="4" w:space="0" w:color="522398"/>
              <w:left w:val="single" w:sz="4" w:space="0" w:color="522398"/>
              <w:bottom w:val="single" w:sz="4" w:space="0" w:color="522398"/>
            </w:tcBorders>
            <w:vAlign w:val="bottom"/>
          </w:tcPr>
          <w:p w:rsidR="004156F3" w:rsidRPr="00280969" w:rsidRDefault="004156F3" w:rsidP="00DD305C">
            <w:pPr>
              <w:spacing w:before="0" w:after="0" w:line="216" w:lineRule="exact"/>
              <w:jc w:val="right"/>
              <w:rPr>
                <w:rFonts w:cs="Arial"/>
                <w:sz w:val="16"/>
                <w:szCs w:val="16"/>
              </w:rPr>
            </w:pPr>
            <w:r w:rsidRPr="00280969">
              <w:rPr>
                <w:rFonts w:cs="Arial"/>
                <w:b/>
                <w:sz w:val="16"/>
                <w:szCs w:val="16"/>
              </w:rPr>
              <w:t>.</w:t>
            </w:r>
          </w:p>
        </w:tc>
      </w:tr>
    </w:tbl>
    <w:p w:rsidR="004156F3" w:rsidRPr="00B66EA3" w:rsidRDefault="004156F3" w:rsidP="004156F3">
      <w:pPr>
        <w:ind w:left="227"/>
      </w:pPr>
      <w:r w:rsidRPr="00B33FC2">
        <w:rPr>
          <w:rFonts w:cs="Arial"/>
          <w:sz w:val="16"/>
          <w:szCs w:val="16"/>
          <w:vertAlign w:val="superscript"/>
        </w:rPr>
        <w:t xml:space="preserve">a </w:t>
      </w:r>
      <w:r>
        <w:rPr>
          <w:spacing w:val="-4"/>
          <w:sz w:val="16"/>
          <w:szCs w:val="16"/>
        </w:rPr>
        <w:t xml:space="preserve">Od kwietnia do czerwca br. badanie było zawieszone ze względu </w:t>
      </w:r>
      <w:r w:rsidRPr="00B33FC2">
        <w:rPr>
          <w:spacing w:val="-4"/>
          <w:sz w:val="16"/>
          <w:szCs w:val="16"/>
        </w:rPr>
        <w:t>na obowiązującą decyzję o zamknięciu targowisk spowodowaną stanem zagrożenia</w:t>
      </w:r>
      <w:r>
        <w:rPr>
          <w:spacing w:val="-4"/>
          <w:sz w:val="16"/>
          <w:szCs w:val="16"/>
        </w:rPr>
        <w:t xml:space="preserve"> chorobą COVID-19.</w:t>
      </w:r>
      <w:r w:rsidRPr="00D007D0">
        <w:rPr>
          <w:spacing w:val="-4"/>
          <w:sz w:val="16"/>
          <w:szCs w:val="16"/>
        </w:rPr>
        <w:t xml:space="preserve"> </w:t>
      </w:r>
      <w:r w:rsidRPr="00D007D0">
        <w:rPr>
          <w:rFonts w:cs="Arial"/>
          <w:sz w:val="16"/>
          <w:szCs w:val="16"/>
          <w:vertAlign w:val="superscript"/>
        </w:rPr>
        <w:t xml:space="preserve">b </w:t>
      </w:r>
      <w:r w:rsidRPr="00D007D0">
        <w:rPr>
          <w:rFonts w:cs="Arial"/>
          <w:sz w:val="16"/>
          <w:szCs w:val="16"/>
        </w:rPr>
        <w:t>W skupie bez ziarna siewnego.</w:t>
      </w:r>
      <w:r>
        <w:rPr>
          <w:rFonts w:cs="Arial"/>
          <w:sz w:val="16"/>
          <w:szCs w:val="16"/>
        </w:rPr>
        <w:t xml:space="preserve"> </w:t>
      </w:r>
      <w:r>
        <w:rPr>
          <w:rFonts w:cs="Arial"/>
          <w:sz w:val="16"/>
          <w:szCs w:val="16"/>
          <w:vertAlign w:val="superscript"/>
        </w:rPr>
        <w:t xml:space="preserve">c </w:t>
      </w:r>
      <w:r>
        <w:rPr>
          <w:rFonts w:cs="Arial"/>
          <w:sz w:val="16"/>
          <w:szCs w:val="16"/>
        </w:rPr>
        <w:t xml:space="preserve">Na targowiskach – jadalne późne. </w:t>
      </w:r>
    </w:p>
    <w:p w:rsidR="004156F3" w:rsidRDefault="004156F3" w:rsidP="004156F3">
      <w:pPr>
        <w:pStyle w:val="Tekstkomunikat"/>
      </w:pPr>
      <w:r>
        <w:t xml:space="preserve">W okresie styczeń–lipiec br. w skupie przeciętne </w:t>
      </w:r>
      <w:r w:rsidRPr="00E05A99">
        <w:rPr>
          <w:b/>
        </w:rPr>
        <w:t>cen</w:t>
      </w:r>
      <w:r>
        <w:rPr>
          <w:b/>
        </w:rPr>
        <w:t>y</w:t>
      </w:r>
      <w:r w:rsidRPr="00E05A99">
        <w:rPr>
          <w:b/>
        </w:rPr>
        <w:t xml:space="preserve"> pszenicy i żyta</w:t>
      </w:r>
      <w:r>
        <w:t xml:space="preserve"> były niższe niż w tym samym okresie 2019 r. </w:t>
      </w:r>
      <w:r w:rsidRPr="0018595E">
        <w:t xml:space="preserve">W </w:t>
      </w:r>
      <w:r>
        <w:t>lipcu</w:t>
      </w:r>
      <w:r w:rsidRPr="0018595E">
        <w:t xml:space="preserve"> br. </w:t>
      </w:r>
      <w:r w:rsidRPr="00671FF0">
        <w:t xml:space="preserve">za 1 </w:t>
      </w:r>
      <w:proofErr w:type="spellStart"/>
      <w:r w:rsidRPr="00671FF0">
        <w:t>dt</w:t>
      </w:r>
      <w:proofErr w:type="spellEnd"/>
      <w:r w:rsidRPr="0018595E">
        <w:t xml:space="preserve"> </w:t>
      </w:r>
      <w:r w:rsidRPr="00E05A99">
        <w:t>pszenicy</w:t>
      </w:r>
      <w:r w:rsidRPr="0018595E">
        <w:t xml:space="preserve"> w skupie płacono </w:t>
      </w:r>
      <w:r>
        <w:t>72,12</w:t>
      </w:r>
      <w:r w:rsidRPr="0018595E">
        <w:t xml:space="preserve"> zł, tj. o </w:t>
      </w:r>
      <w:r>
        <w:t>7,3</w:t>
      </w:r>
      <w:r w:rsidRPr="0018595E">
        <w:t xml:space="preserve">% </w:t>
      </w:r>
      <w:r>
        <w:t>mniej</w:t>
      </w:r>
      <w:r w:rsidRPr="0018595E">
        <w:t xml:space="preserve"> niż przed miesiącem </w:t>
      </w:r>
      <w:r>
        <w:t>i</w:t>
      </w:r>
      <w:r w:rsidRPr="0018595E">
        <w:t xml:space="preserve"> </w:t>
      </w:r>
      <w:r>
        <w:t xml:space="preserve">o 7,7% więcej niż </w:t>
      </w:r>
      <w:r w:rsidRPr="0018595E">
        <w:t>przed rokiem.</w:t>
      </w:r>
      <w:r>
        <w:br/>
      </w:r>
      <w:r w:rsidRPr="0018595E">
        <w:t xml:space="preserve">Na targowiskach przeciętna cena pszenicy ukształtowała się na poziomie </w:t>
      </w:r>
      <w:r>
        <w:t>83,28</w:t>
      </w:r>
      <w:r w:rsidRPr="0018595E">
        <w:t xml:space="preserve"> zł/</w:t>
      </w:r>
      <w:proofErr w:type="spellStart"/>
      <w:r w:rsidRPr="0018595E">
        <w:t>dt</w:t>
      </w:r>
      <w:proofErr w:type="spellEnd"/>
      <w:r w:rsidRPr="0018595E">
        <w:t xml:space="preserve"> i </w:t>
      </w:r>
      <w:r>
        <w:t>w ujęciu rocznym była niższa</w:t>
      </w:r>
      <w:r>
        <w:br/>
        <w:t>o 2,4</w:t>
      </w:r>
      <w:r w:rsidRPr="0018595E">
        <w:t xml:space="preserve">%. </w:t>
      </w:r>
      <w:r w:rsidRPr="00280969">
        <w:t>Cena</w:t>
      </w:r>
      <w:r w:rsidRPr="0018595E">
        <w:t xml:space="preserve"> skupu </w:t>
      </w:r>
      <w:r w:rsidRPr="0018595E">
        <w:rPr>
          <w:b/>
        </w:rPr>
        <w:t>żyta</w:t>
      </w:r>
      <w:r w:rsidRPr="0018595E">
        <w:t xml:space="preserve"> w porównaniu z poprzednim miesiącem </w:t>
      </w:r>
      <w:r>
        <w:t>wzrosła</w:t>
      </w:r>
      <w:r w:rsidRPr="0018595E">
        <w:t xml:space="preserve"> o </w:t>
      </w:r>
      <w:r>
        <w:t>5,3</w:t>
      </w:r>
      <w:r w:rsidRPr="0018595E">
        <w:t xml:space="preserve">% (do </w:t>
      </w:r>
      <w:r>
        <w:t>54,97 zł/</w:t>
      </w:r>
      <w:proofErr w:type="spellStart"/>
      <w:r>
        <w:t>dt</w:t>
      </w:r>
      <w:proofErr w:type="spellEnd"/>
      <w:r>
        <w:t>), a w</w:t>
      </w:r>
      <w:r w:rsidRPr="0018595E">
        <w:t xml:space="preserve"> </w:t>
      </w:r>
      <w:r>
        <w:t>odniesieniu do</w:t>
      </w:r>
      <w:r w:rsidRPr="0018595E">
        <w:t xml:space="preserve"> </w:t>
      </w:r>
      <w:r>
        <w:t>lipca</w:t>
      </w:r>
      <w:r w:rsidRPr="0018595E">
        <w:t xml:space="preserve"> 201</w:t>
      </w:r>
      <w:r>
        <w:t>9</w:t>
      </w:r>
      <w:r w:rsidRPr="0018595E">
        <w:t xml:space="preserve"> r. za żyto w skupie </w:t>
      </w:r>
      <w:r>
        <w:t>płacono mniej o 15,4%. N</w:t>
      </w:r>
      <w:r w:rsidRPr="0018595E">
        <w:t xml:space="preserve">a targowiskach </w:t>
      </w:r>
      <w:r>
        <w:t>za żyto płacono 64,44 zł/</w:t>
      </w:r>
      <w:proofErr w:type="spellStart"/>
      <w:r>
        <w:t>dt</w:t>
      </w:r>
      <w:proofErr w:type="spellEnd"/>
      <w:r>
        <w:t>, czyli o 5,2% mniej niż rok temu.</w:t>
      </w:r>
    </w:p>
    <w:p w:rsidR="004156F3" w:rsidRDefault="0087522E" w:rsidP="004156F3">
      <w:pPr>
        <w:spacing w:before="360" w:after="0"/>
        <w:rPr>
          <w:i/>
          <w:noProof/>
          <w:lang w:eastAsia="pl-PL"/>
        </w:rPr>
      </w:pPr>
      <w:r>
        <w:rPr>
          <w:noProof/>
        </w:rPr>
        <w:pict>
          <v:shape id="_x0000_s1042" type="#_x0000_t202" style="position:absolute;margin-left:346.5pt;margin-top:211.4pt;width:3pt;height:24pt;z-index:251668480;visibility:visible;mso-wrap-style:none;mso-width-percent:400;mso-wrap-distance-left:9pt;mso-wrap-distance-top:3.6pt;mso-wrap-distance-right:9pt;mso-wrap-distance-bottom:3.6pt;mso-position-horizontal-relative:text;mso-position-vertical-relative:text;mso-width-percent:400;mso-width-relative:margin;mso-height-relative:margin;v-text-anchor:top" stroked="f">
            <v:textbox style="mso-next-textbox:#_x0000_s1042" inset="0,0,0,0">
              <w:txbxContent>
                <w:p w:rsidR="0087522E" w:rsidRPr="00EE45EB" w:rsidRDefault="0087522E">
                  <w:pPr>
                    <w:rPr>
                      <w:sz w:val="10"/>
                    </w:rPr>
                  </w:pPr>
                  <w:r w:rsidRPr="00EE45EB">
                    <w:rPr>
                      <w:sz w:val="10"/>
                    </w:rPr>
                    <w:t>b</w:t>
                  </w:r>
                </w:p>
              </w:txbxContent>
            </v:textbox>
            <w10:wrap type="square"/>
          </v:shape>
        </w:pict>
      </w:r>
      <w:r w:rsidR="00AB74FC">
        <w:rPr>
          <w:noProof/>
          <w:lang w:eastAsia="pl-PL"/>
        </w:rPr>
        <w:drawing>
          <wp:anchor distT="0" distB="0" distL="114300" distR="114300" simplePos="0" relativeHeight="251661312" behindDoc="0" locked="0" layoutInCell="1" allowOverlap="1">
            <wp:simplePos x="0" y="0"/>
            <wp:positionH relativeFrom="margin">
              <wp:posOffset>0</wp:posOffset>
            </wp:positionH>
            <wp:positionV relativeFrom="margin">
              <wp:posOffset>5411470</wp:posOffset>
            </wp:positionV>
            <wp:extent cx="6645910" cy="2637155"/>
            <wp:effectExtent l="0" t="0" r="0" b="0"/>
            <wp:wrapSquare wrapText="bothSides"/>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4156F3" w:rsidRPr="00464A62">
        <w:rPr>
          <w:b/>
        </w:rPr>
        <w:t>Wykres 6.</w:t>
      </w:r>
      <w:r w:rsidR="004156F3" w:rsidRPr="00464A62">
        <w:rPr>
          <w:b/>
          <w:shd w:val="clear" w:color="auto" w:fill="FFFFFF"/>
        </w:rPr>
        <w:t xml:space="preserve"> Przeciętne ceny skupu </w:t>
      </w:r>
      <w:proofErr w:type="spellStart"/>
      <w:r w:rsidR="004156F3" w:rsidRPr="00464A62">
        <w:rPr>
          <w:b/>
          <w:shd w:val="clear" w:color="auto" w:fill="FFFFFF"/>
        </w:rPr>
        <w:t>zbóż</w:t>
      </w:r>
      <w:r w:rsidR="004156F3" w:rsidRPr="00464A62">
        <w:rPr>
          <w:b/>
          <w:i/>
          <w:shd w:val="clear" w:color="auto" w:fill="FFFFFF"/>
          <w:vertAlign w:val="superscript"/>
        </w:rPr>
        <w:t>a</w:t>
      </w:r>
      <w:proofErr w:type="spellEnd"/>
      <w:r w:rsidR="004156F3" w:rsidRPr="00464A62">
        <w:rPr>
          <w:b/>
          <w:shd w:val="clear" w:color="auto" w:fill="FFFFFF"/>
        </w:rPr>
        <w:t xml:space="preserve"> i targowiskowe ceny ziemniaków</w:t>
      </w:r>
      <w:r w:rsidR="004156F3" w:rsidRPr="00464A62">
        <w:rPr>
          <w:i/>
          <w:noProof/>
          <w:lang w:eastAsia="pl-PL"/>
        </w:rPr>
        <w:t xml:space="preserve"> </w:t>
      </w:r>
    </w:p>
    <w:p w:rsidR="004156F3" w:rsidRPr="00464A62" w:rsidRDefault="004156F3" w:rsidP="004156F3">
      <w:pPr>
        <w:ind w:left="227"/>
      </w:pPr>
      <w:r w:rsidRPr="00464A62">
        <w:rPr>
          <w:rFonts w:cs="Arial"/>
          <w:sz w:val="16"/>
          <w:szCs w:val="16"/>
          <w:vertAlign w:val="superscript"/>
        </w:rPr>
        <w:t>a</w:t>
      </w:r>
      <w:r w:rsidRPr="00464A62">
        <w:rPr>
          <w:rFonts w:cs="Arial"/>
          <w:sz w:val="16"/>
          <w:szCs w:val="16"/>
        </w:rPr>
        <w:t xml:space="preserve"> W okresie styczeń-maj 2019 r. cena żyta bez konsumpcyjnego.</w:t>
      </w:r>
      <w:r w:rsidR="00AB74FC">
        <w:rPr>
          <w:rFonts w:cs="Arial"/>
          <w:sz w:val="16"/>
          <w:szCs w:val="16"/>
        </w:rPr>
        <w:t xml:space="preserve"> </w:t>
      </w:r>
      <w:r w:rsidR="00AB74FC">
        <w:rPr>
          <w:rFonts w:cs="Arial"/>
          <w:sz w:val="16"/>
          <w:szCs w:val="16"/>
          <w:vertAlign w:val="superscript"/>
        </w:rPr>
        <w:t>b</w:t>
      </w:r>
      <w:r w:rsidR="00AB74FC" w:rsidRPr="00464A62">
        <w:rPr>
          <w:rFonts w:cs="Arial"/>
          <w:sz w:val="16"/>
          <w:szCs w:val="16"/>
        </w:rPr>
        <w:t xml:space="preserve"> </w:t>
      </w:r>
      <w:r w:rsidR="00AB74FC" w:rsidRPr="00AB74FC">
        <w:rPr>
          <w:rFonts w:cs="Arial"/>
          <w:sz w:val="16"/>
          <w:szCs w:val="16"/>
        </w:rPr>
        <w:t>Brak danych dla okresu kwiecień-czerwiec 2020 r. z uwagi na obowiązującą decyzję o zamknięciu targowisk spowodowane stanem zagrożenia COVID-19.</w:t>
      </w:r>
    </w:p>
    <w:p w:rsidR="004156F3" w:rsidRDefault="004156F3" w:rsidP="004156F3">
      <w:pPr>
        <w:pStyle w:val="Tekstkomunikat"/>
      </w:pPr>
      <w:r w:rsidRPr="00F43EA6">
        <w:rPr>
          <w:rFonts w:cs="Arial"/>
        </w:rPr>
        <w:t>W</w:t>
      </w:r>
      <w:r w:rsidRPr="00F43EA6">
        <w:t xml:space="preserve"> </w:t>
      </w:r>
      <w:r>
        <w:t>lipcu</w:t>
      </w:r>
      <w:r w:rsidRPr="00F43EA6">
        <w:t xml:space="preserve"> br. za 1 </w:t>
      </w:r>
      <w:proofErr w:type="spellStart"/>
      <w:r w:rsidRPr="00F43EA6">
        <w:t>dt</w:t>
      </w:r>
      <w:proofErr w:type="spellEnd"/>
      <w:r w:rsidRPr="00F43EA6">
        <w:t xml:space="preserve"> </w:t>
      </w:r>
      <w:r w:rsidRPr="00F43EA6">
        <w:rPr>
          <w:b/>
        </w:rPr>
        <w:t>ziemniaków</w:t>
      </w:r>
      <w:r w:rsidRPr="00F43EA6">
        <w:t xml:space="preserve"> w skupie płacono </w:t>
      </w:r>
      <w:r>
        <w:t>49,87</w:t>
      </w:r>
      <w:r w:rsidRPr="00F43EA6">
        <w:t xml:space="preserve"> zł, tj. </w:t>
      </w:r>
      <w:r>
        <w:t>mniej o 44,6</w:t>
      </w:r>
      <w:r w:rsidRPr="00F43EA6">
        <w:t xml:space="preserve">% niż w </w:t>
      </w:r>
      <w:r>
        <w:t>czerwcu</w:t>
      </w:r>
      <w:r w:rsidRPr="00F43EA6">
        <w:t xml:space="preserve"> br. i o </w:t>
      </w:r>
      <w:r>
        <w:t>65,4</w:t>
      </w:r>
      <w:r w:rsidRPr="00F43EA6">
        <w:t xml:space="preserve">% niż w </w:t>
      </w:r>
      <w:r>
        <w:t>lipcu</w:t>
      </w:r>
      <w:r w:rsidRPr="00F43EA6">
        <w:t xml:space="preserve"> ub. roku. W obrocie targowiskowym ceny ziemniaków (</w:t>
      </w:r>
      <w:r>
        <w:t>111,25</w:t>
      </w:r>
      <w:r w:rsidRPr="00F43EA6">
        <w:t xml:space="preserve"> zł/</w:t>
      </w:r>
      <w:proofErr w:type="spellStart"/>
      <w:r w:rsidRPr="00F43EA6">
        <w:t>dt</w:t>
      </w:r>
      <w:proofErr w:type="spellEnd"/>
      <w:r w:rsidRPr="00F43EA6">
        <w:t xml:space="preserve">) </w:t>
      </w:r>
      <w:r>
        <w:t>spadły</w:t>
      </w:r>
      <w:r w:rsidRPr="00F43EA6">
        <w:t xml:space="preserve"> w ujęciu rocznym o </w:t>
      </w:r>
      <w:r>
        <w:t>44,9</w:t>
      </w:r>
      <w:r w:rsidRPr="00F43EA6">
        <w:t>%.</w:t>
      </w:r>
    </w:p>
    <w:p w:rsidR="004156F3" w:rsidRPr="00D03B95" w:rsidRDefault="00763B3D" w:rsidP="00763B3D">
      <w:pPr>
        <w:pageBreakBefore/>
        <w:spacing w:before="480"/>
        <w:jc w:val="both"/>
        <w:rPr>
          <w:noProof/>
          <w:lang w:eastAsia="pl-PL"/>
        </w:rPr>
      </w:pPr>
      <w:r>
        <w:rPr>
          <w:noProof/>
          <w:lang w:eastAsia="pl-PL"/>
        </w:rPr>
        <w:lastRenderedPageBreak/>
        <w:drawing>
          <wp:anchor distT="0" distB="0" distL="114300" distR="114300" simplePos="0" relativeHeight="251662336" behindDoc="0" locked="0" layoutInCell="1" allowOverlap="1">
            <wp:simplePos x="0" y="0"/>
            <wp:positionH relativeFrom="margin">
              <wp:posOffset>0</wp:posOffset>
            </wp:positionH>
            <wp:positionV relativeFrom="margin">
              <wp:posOffset>464928</wp:posOffset>
            </wp:positionV>
            <wp:extent cx="6645910" cy="2658110"/>
            <wp:effectExtent l="0" t="0" r="0" b="0"/>
            <wp:wrapSquare wrapText="bothSides"/>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4156F3" w:rsidRPr="00D03B95">
        <w:rPr>
          <w:b/>
        </w:rPr>
        <w:t>Wykres 7.</w:t>
      </w:r>
      <w:r w:rsidR="004156F3" w:rsidRPr="00D03B95">
        <w:rPr>
          <w:b/>
          <w:shd w:val="clear" w:color="auto" w:fill="FFFFFF"/>
        </w:rPr>
        <w:t xml:space="preserve"> Przeciętne ceny skupu żywca i mleka</w:t>
      </w:r>
      <w:r w:rsidR="004156F3" w:rsidRPr="00D03B95">
        <w:rPr>
          <w:noProof/>
          <w:lang w:eastAsia="pl-PL"/>
        </w:rPr>
        <w:t xml:space="preserve"> </w:t>
      </w:r>
    </w:p>
    <w:p w:rsidR="004156F3" w:rsidRDefault="004156F3" w:rsidP="004156F3">
      <w:pPr>
        <w:pStyle w:val="Tekstkomunikat"/>
      </w:pPr>
      <w:r>
        <w:t xml:space="preserve">W okresie styczeń–lipiec 2020 r. przeciętna </w:t>
      </w:r>
      <w:r w:rsidRPr="00937161">
        <w:rPr>
          <w:b/>
        </w:rPr>
        <w:t>cena</w:t>
      </w:r>
      <w:r>
        <w:t xml:space="preserve"> skupu </w:t>
      </w:r>
      <w:r w:rsidRPr="00D900FD">
        <w:rPr>
          <w:b/>
        </w:rPr>
        <w:t>żywca wieprzowego</w:t>
      </w:r>
      <w:r w:rsidRPr="00F75746">
        <w:t xml:space="preserve"> </w:t>
      </w:r>
      <w:r>
        <w:t xml:space="preserve">była wyższa o 14,4% niż w ubiegłym roku. </w:t>
      </w:r>
      <w:r>
        <w:br/>
        <w:t>W lipcu br. średnia</w:t>
      </w:r>
      <w:r w:rsidRPr="00F75746">
        <w:t xml:space="preserve"> </w:t>
      </w:r>
      <w:r>
        <w:t>cena tego surowca ponownie obniżyła się – z</w:t>
      </w:r>
      <w:r w:rsidRPr="00F75746">
        <w:t xml:space="preserve">a 1 </w:t>
      </w:r>
      <w:r w:rsidRPr="00AB3787">
        <w:t>kg żywca wieprzowego płacono</w:t>
      </w:r>
      <w:r>
        <w:t xml:space="preserve"> 5,08</w:t>
      </w:r>
      <w:r w:rsidRPr="00F75746">
        <w:t xml:space="preserve"> zł, tj. o </w:t>
      </w:r>
      <w:r>
        <w:t>10,0</w:t>
      </w:r>
      <w:r w:rsidRPr="00F75746">
        <w:t xml:space="preserve">% </w:t>
      </w:r>
      <w:r>
        <w:t>mniej</w:t>
      </w:r>
      <w:r w:rsidRPr="00F75746">
        <w:t xml:space="preserve"> niż przed miesiącem i o </w:t>
      </w:r>
      <w:r>
        <w:t>10,7</w:t>
      </w:r>
      <w:r w:rsidRPr="00F75746">
        <w:t xml:space="preserve">% </w:t>
      </w:r>
      <w:r>
        <w:t>mniej</w:t>
      </w:r>
      <w:r w:rsidRPr="00F75746">
        <w:t xml:space="preserve"> niż przed rokiem. </w:t>
      </w:r>
    </w:p>
    <w:p w:rsidR="004156F3" w:rsidRPr="00D03B95" w:rsidRDefault="004156F3" w:rsidP="004156F3">
      <w:pPr>
        <w:rPr>
          <w:shd w:val="clear" w:color="auto" w:fill="FFFFFF"/>
        </w:rPr>
      </w:pPr>
      <w:r w:rsidRPr="00D03B95">
        <w:rPr>
          <w:shd w:val="clear" w:color="auto" w:fill="FFFFFF"/>
        </w:rPr>
        <w:t xml:space="preserve">Relacja cen skupu trzody do cen żyta na targowiskach w lipcu br. wyniosła 7,9 (wobec 8,4 przed rokiem). </w:t>
      </w:r>
    </w:p>
    <w:p w:rsidR="004156F3" w:rsidRPr="00D03B95" w:rsidRDefault="004A0670" w:rsidP="004156F3">
      <w:pPr>
        <w:spacing w:before="480"/>
        <w:rPr>
          <w:b/>
          <w:shd w:val="clear" w:color="auto" w:fill="FFFFFF"/>
        </w:rPr>
      </w:pPr>
      <w:r>
        <w:rPr>
          <w:noProof/>
          <w:lang w:eastAsia="pl-PL"/>
        </w:rPr>
        <w:drawing>
          <wp:anchor distT="0" distB="0" distL="114300" distR="114300" simplePos="0" relativeHeight="251663360" behindDoc="0" locked="0" layoutInCell="1" allowOverlap="1">
            <wp:simplePos x="0" y="0"/>
            <wp:positionH relativeFrom="margin">
              <wp:posOffset>0</wp:posOffset>
            </wp:positionH>
            <wp:positionV relativeFrom="margin">
              <wp:posOffset>4361451</wp:posOffset>
            </wp:positionV>
            <wp:extent cx="6645910" cy="2743835"/>
            <wp:effectExtent l="0" t="0" r="0" b="0"/>
            <wp:wrapSquare wrapText="bothSides"/>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4156F3" w:rsidRPr="00D03B95">
        <w:rPr>
          <w:b/>
        </w:rPr>
        <w:t>Wykres 8.</w:t>
      </w:r>
      <w:r w:rsidR="004156F3" w:rsidRPr="00D03B95">
        <w:rPr>
          <w:b/>
          <w:shd w:val="clear" w:color="auto" w:fill="FFFFFF"/>
        </w:rPr>
        <w:t xml:space="preserve"> Relacja przeciętnych cen skupu żywca wieprzowego do przeciętnych cen żyta na targowiskach</w:t>
      </w:r>
    </w:p>
    <w:p w:rsidR="00763B3D" w:rsidRPr="00D03B95" w:rsidRDefault="00763B3D" w:rsidP="004156F3">
      <w:pPr>
        <w:rPr>
          <w:b/>
          <w:shd w:val="clear" w:color="auto" w:fill="FFFFFF"/>
        </w:rPr>
      </w:pPr>
    </w:p>
    <w:p w:rsidR="004156F3" w:rsidRPr="008A314A" w:rsidRDefault="004156F3" w:rsidP="004156F3">
      <w:pPr>
        <w:pStyle w:val="Tekstkomunikat"/>
      </w:pPr>
      <w:r w:rsidRPr="008A314A">
        <w:rPr>
          <w:rFonts w:cs="Arial"/>
        </w:rPr>
        <w:t xml:space="preserve">Przeciętna </w:t>
      </w:r>
      <w:r w:rsidRPr="008A314A">
        <w:rPr>
          <w:rFonts w:cs="Arial"/>
          <w:b/>
        </w:rPr>
        <w:t>cena</w:t>
      </w:r>
      <w:r w:rsidRPr="008A314A">
        <w:rPr>
          <w:rFonts w:cs="Arial"/>
        </w:rPr>
        <w:t xml:space="preserve"> </w:t>
      </w:r>
      <w:r w:rsidRPr="008A314A">
        <w:t xml:space="preserve">skupu </w:t>
      </w:r>
      <w:r w:rsidRPr="008A314A">
        <w:rPr>
          <w:b/>
        </w:rPr>
        <w:t>żywca drobiowego</w:t>
      </w:r>
      <w:r w:rsidRPr="008A314A">
        <w:t xml:space="preserve"> w </w:t>
      </w:r>
      <w:r>
        <w:t>okresie styczeń–lipiec</w:t>
      </w:r>
      <w:r w:rsidRPr="008A314A">
        <w:t xml:space="preserve"> br. była o </w:t>
      </w:r>
      <w:r>
        <w:t>7,7</w:t>
      </w:r>
      <w:r w:rsidRPr="008A314A">
        <w:t xml:space="preserve">% </w:t>
      </w:r>
      <w:r>
        <w:t>niższa</w:t>
      </w:r>
      <w:r w:rsidRPr="008A314A">
        <w:t xml:space="preserve"> niż przed rokiem. W </w:t>
      </w:r>
      <w:r>
        <w:t>lipcu</w:t>
      </w:r>
      <w:r w:rsidRPr="00A54043">
        <w:t xml:space="preserve"> </w:t>
      </w:r>
      <w:r w:rsidRPr="008A314A">
        <w:t xml:space="preserve">br. </w:t>
      </w:r>
      <w:r>
        <w:br/>
      </w:r>
      <w:r w:rsidRPr="008A314A">
        <w:t xml:space="preserve">za 1 kg drobiu rzeźnego płacono </w:t>
      </w:r>
      <w:r w:rsidRPr="00A54043">
        <w:t xml:space="preserve">średnio </w:t>
      </w:r>
      <w:r>
        <w:t>3,79</w:t>
      </w:r>
      <w:r w:rsidRPr="008A314A">
        <w:t xml:space="preserve"> zł, tj. o </w:t>
      </w:r>
      <w:r>
        <w:t>14,2</w:t>
      </w:r>
      <w:r w:rsidRPr="008A314A">
        <w:t xml:space="preserve">% więcej w porównaniu z </w:t>
      </w:r>
      <w:r>
        <w:t>czerwcem</w:t>
      </w:r>
      <w:r w:rsidRPr="008A314A">
        <w:t xml:space="preserve"> br. i o </w:t>
      </w:r>
      <w:r>
        <w:t>3,8</w:t>
      </w:r>
      <w:r w:rsidRPr="008A314A">
        <w:t xml:space="preserve">% </w:t>
      </w:r>
      <w:r>
        <w:t>mniej</w:t>
      </w:r>
      <w:r w:rsidRPr="008A314A">
        <w:t xml:space="preserve"> w porównaniu z </w:t>
      </w:r>
      <w:r>
        <w:t>lipcem</w:t>
      </w:r>
      <w:r w:rsidRPr="008A314A">
        <w:t xml:space="preserve"> ub. roku. </w:t>
      </w:r>
    </w:p>
    <w:p w:rsidR="004156F3" w:rsidRPr="00B07C29" w:rsidRDefault="004156F3" w:rsidP="004156F3">
      <w:pPr>
        <w:rPr>
          <w:rFonts w:eastAsia="Times New Roman" w:cs="Arial"/>
          <w:szCs w:val="20"/>
          <w:lang w:eastAsia="pl-PL"/>
        </w:rPr>
      </w:pPr>
      <w:r w:rsidRPr="00B07C29">
        <w:rPr>
          <w:rFonts w:eastAsia="Times New Roman" w:cs="Arial"/>
          <w:szCs w:val="20"/>
          <w:lang w:eastAsia="pl-PL"/>
        </w:rPr>
        <w:t>W okresie styczeń–lipiec br., przy mniejszych dostawach żywca wołowego do skupu, przeciętna cena tego surowca ukształtowała się na poziomie 6,39 zł/kg i była o 5,4% niższa niż w analogicznym okresie 2019 r. W lipcu br. za do-starczony żywiec wołowy producentom płacono średnio 6,08 zł/kg, tj. o 4,1% mniej w ujęciu miesięcznym i o 0,5% więcej w ujęciu rocznym.</w:t>
      </w:r>
    </w:p>
    <w:p w:rsidR="004156F3" w:rsidRPr="005A0940" w:rsidRDefault="004156F3" w:rsidP="004156F3">
      <w:pPr>
        <w:pStyle w:val="Tekstkomunikat"/>
      </w:pPr>
      <w:r>
        <w:rPr>
          <w:rFonts w:cs="Arial"/>
        </w:rPr>
        <w:t>W lipcu</w:t>
      </w:r>
      <w:r w:rsidRPr="0042570D">
        <w:rPr>
          <w:rFonts w:cs="Arial"/>
        </w:rPr>
        <w:t xml:space="preserve"> br. </w:t>
      </w:r>
      <w:r>
        <w:rPr>
          <w:rFonts w:cs="Arial"/>
        </w:rPr>
        <w:t xml:space="preserve">zahamowany został </w:t>
      </w:r>
      <w:r w:rsidRPr="0042570D">
        <w:rPr>
          <w:rFonts w:cs="Arial"/>
        </w:rPr>
        <w:t xml:space="preserve">spadek </w:t>
      </w:r>
      <w:r w:rsidRPr="0042570D">
        <w:rPr>
          <w:rFonts w:cs="Arial"/>
          <w:b/>
        </w:rPr>
        <w:t>cen</w:t>
      </w:r>
      <w:r w:rsidRPr="0042570D">
        <w:rPr>
          <w:rFonts w:cs="Arial"/>
        </w:rPr>
        <w:t xml:space="preserve"> </w:t>
      </w:r>
      <w:r w:rsidRPr="0042570D">
        <w:rPr>
          <w:rFonts w:cs="Arial"/>
          <w:b/>
        </w:rPr>
        <w:t>mleka</w:t>
      </w:r>
      <w:r w:rsidRPr="0042570D">
        <w:rPr>
          <w:rFonts w:cs="Arial"/>
        </w:rPr>
        <w:t xml:space="preserve"> w skupie. </w:t>
      </w:r>
      <w:r w:rsidRPr="0042570D">
        <w:t xml:space="preserve">Za 100 litrów </w:t>
      </w:r>
      <w:r w:rsidRPr="0042570D">
        <w:rPr>
          <w:rFonts w:cs="Arial"/>
        </w:rPr>
        <w:t xml:space="preserve">tego surowca </w:t>
      </w:r>
      <w:r w:rsidRPr="0042570D">
        <w:t xml:space="preserve">płacono dostawcom przeciętnie </w:t>
      </w:r>
      <w:r>
        <w:t>122,76</w:t>
      </w:r>
      <w:r w:rsidRPr="0042570D">
        <w:t xml:space="preserve"> zł, czyli </w:t>
      </w:r>
      <w:r>
        <w:t xml:space="preserve">więcej </w:t>
      </w:r>
      <w:r w:rsidRPr="0042570D">
        <w:t xml:space="preserve">o </w:t>
      </w:r>
      <w:r>
        <w:t>0,2</w:t>
      </w:r>
      <w:r w:rsidRPr="0042570D">
        <w:t xml:space="preserve">% niż miesiąc temu i o </w:t>
      </w:r>
      <w:r>
        <w:t>0,3</w:t>
      </w:r>
      <w:r w:rsidRPr="0042570D">
        <w:t>% niż rok temu. W okresie styczeń–</w:t>
      </w:r>
      <w:r>
        <w:t>lipiec</w:t>
      </w:r>
      <w:r w:rsidRPr="00A54043">
        <w:t xml:space="preserve"> </w:t>
      </w:r>
      <w:r w:rsidRPr="0042570D">
        <w:t xml:space="preserve">br. średnia cena mleka była o </w:t>
      </w:r>
      <w:r>
        <w:t>0,3</w:t>
      </w:r>
      <w:r w:rsidRPr="0042570D">
        <w:t xml:space="preserve">% </w:t>
      </w:r>
      <w:r>
        <w:t>niższa</w:t>
      </w:r>
      <w:r w:rsidRPr="0042570D">
        <w:t xml:space="preserve"> niż w tym samym okresie 201</w:t>
      </w:r>
      <w:r w:rsidR="00971282">
        <w:t>9</w:t>
      </w:r>
      <w:r w:rsidRPr="0042570D">
        <w:t xml:space="preserve"> r.</w:t>
      </w:r>
    </w:p>
    <w:p w:rsidR="00D20080" w:rsidRPr="00EC65F2" w:rsidRDefault="00D20080" w:rsidP="00EC65F2">
      <w:pPr>
        <w:rPr>
          <w:shd w:val="clear" w:color="auto" w:fill="FFFFFF"/>
        </w:rPr>
      </w:pPr>
    </w:p>
    <w:p w:rsidR="00284CE4" w:rsidRDefault="00284CE4" w:rsidP="00D20080">
      <w:pPr>
        <w:spacing w:before="360" w:after="36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lastRenderedPageBreak/>
        <w:t>PRZEMYSŁ I BUDOWNICTWO</w:t>
      </w:r>
    </w:p>
    <w:p w:rsidR="00DE4391" w:rsidRPr="00DE4391" w:rsidRDefault="00DE4391" w:rsidP="00DE4391">
      <w:pPr>
        <w:rPr>
          <w:shd w:val="clear" w:color="auto" w:fill="FFFFFF"/>
        </w:rPr>
      </w:pPr>
      <w:r w:rsidRPr="00DE4391">
        <w:rPr>
          <w:shd w:val="clear" w:color="auto" w:fill="FFFFFF"/>
        </w:rPr>
        <w:t xml:space="preserve">Produkcja sprzedana przemysłu w lipcu 2020 r. osiągnęła wartość (w cenach bieżących) 2553,6 mln zł i była (w cenach stałych) mniejsza o 5,2% niż przed rokiem oraz o 0,5% większa niż przed miesiącem. </w:t>
      </w:r>
    </w:p>
    <w:p w:rsidR="00DE4391" w:rsidRPr="00DE4391" w:rsidRDefault="00DE4391" w:rsidP="00DE4391">
      <w:pPr>
        <w:rPr>
          <w:shd w:val="clear" w:color="auto" w:fill="FFFFFF"/>
        </w:rPr>
      </w:pPr>
      <w:r w:rsidRPr="00DE4391">
        <w:rPr>
          <w:shd w:val="clear" w:color="auto" w:fill="FFFFFF"/>
        </w:rPr>
        <w:t>Produkcja sprzedana w przetwórstwie przemysłowym, stanowiąca 87,5% produkcji przemysłowej, w porównaniu z lipcem 2019 r. zmniejszyła się o 2,1%. Spadek odnotowano także w dostawie wody;</w:t>
      </w:r>
      <w:r>
        <w:rPr>
          <w:shd w:val="clear" w:color="auto" w:fill="FFFFFF"/>
        </w:rPr>
        <w:t xml:space="preserve"> gospodarowaniu ściekami i odpa</w:t>
      </w:r>
      <w:r w:rsidRPr="00DE4391">
        <w:rPr>
          <w:shd w:val="clear" w:color="auto" w:fill="FFFFFF"/>
        </w:rPr>
        <w:t>dami; rekultywacji (o 3,3%).</w:t>
      </w:r>
    </w:p>
    <w:p w:rsidR="00D626B6" w:rsidRPr="00F24BD2" w:rsidRDefault="00DE4391" w:rsidP="00DE4391">
      <w:pPr>
        <w:rPr>
          <w:shd w:val="clear" w:color="auto" w:fill="FFFFFF"/>
        </w:rPr>
      </w:pPr>
      <w:r w:rsidRPr="00DE4391">
        <w:rPr>
          <w:shd w:val="clear" w:color="auto" w:fill="FFFFFF"/>
        </w:rPr>
        <w:t xml:space="preserve">Wyższy niż w analogicznym miesiącu 2019 r. poziom produkcji sprzedanej wystąpił w 13 działach przemysłu (spośród 28 występujących w województwie), niższy – w 15. </w:t>
      </w:r>
      <w:r w:rsidR="00D626B6" w:rsidRPr="00F24BD2">
        <w:rPr>
          <w:shd w:val="clear" w:color="auto" w:fill="FFFFFF"/>
        </w:rPr>
        <w:t xml:space="preserve"> </w:t>
      </w:r>
      <w:r w:rsidR="00583F8A" w:rsidRPr="00F24BD2">
        <w:rPr>
          <w:shd w:val="clear" w:color="auto" w:fill="FFFFFF"/>
        </w:rPr>
        <w:t xml:space="preserve">Wśród działów przemysłu o znaczącym udziale w sprzedaży, </w:t>
      </w:r>
      <w:r w:rsidR="00583F8A">
        <w:rPr>
          <w:shd w:val="clear" w:color="auto" w:fill="FFFFFF"/>
        </w:rPr>
        <w:t xml:space="preserve">największy wzrost notowano w </w:t>
      </w:r>
      <w:r w:rsidR="00BF4ECF" w:rsidRPr="00F24BD2">
        <w:rPr>
          <w:shd w:val="clear" w:color="auto" w:fill="FFFFFF"/>
        </w:rPr>
        <w:t>produkcj</w:t>
      </w:r>
      <w:r w:rsidR="00BF4ECF">
        <w:rPr>
          <w:shd w:val="clear" w:color="auto" w:fill="FFFFFF"/>
        </w:rPr>
        <w:t>i</w:t>
      </w:r>
      <w:r w:rsidR="00BF4ECF" w:rsidRPr="00F24BD2">
        <w:rPr>
          <w:shd w:val="clear" w:color="auto" w:fill="FFFFFF"/>
        </w:rPr>
        <w:t xml:space="preserve"> wyrobów z pozostałych mineralnych surowców ni</w:t>
      </w:r>
      <w:r w:rsidR="00BF4ECF">
        <w:rPr>
          <w:shd w:val="clear" w:color="auto" w:fill="FFFFFF"/>
        </w:rPr>
        <w:t>emetalicznych (o 18,4%). Nadal szybko rosła</w:t>
      </w:r>
      <w:r w:rsidR="00583F8A">
        <w:rPr>
          <w:shd w:val="clear" w:color="auto" w:fill="FFFFFF"/>
        </w:rPr>
        <w:t xml:space="preserve"> produkcj</w:t>
      </w:r>
      <w:r w:rsidR="00BF4ECF">
        <w:rPr>
          <w:shd w:val="clear" w:color="auto" w:fill="FFFFFF"/>
        </w:rPr>
        <w:t>a</w:t>
      </w:r>
      <w:r w:rsidR="00583F8A" w:rsidRPr="00F24BD2">
        <w:rPr>
          <w:shd w:val="clear" w:color="auto" w:fill="FFFFFF"/>
        </w:rPr>
        <w:t xml:space="preserve"> wyrobów z gumy i tworzyw sztucznych</w:t>
      </w:r>
      <w:r w:rsidR="00BF4ECF" w:rsidRPr="00BF4ECF">
        <w:rPr>
          <w:shd w:val="clear" w:color="auto" w:fill="FFFFFF"/>
        </w:rPr>
        <w:t xml:space="preserve"> </w:t>
      </w:r>
      <w:r w:rsidR="00BF4ECF">
        <w:rPr>
          <w:shd w:val="clear" w:color="auto" w:fill="FFFFFF"/>
        </w:rPr>
        <w:t>oraz produkcja</w:t>
      </w:r>
      <w:r w:rsidR="00BF4ECF" w:rsidRPr="00F24BD2">
        <w:rPr>
          <w:shd w:val="clear" w:color="auto" w:fill="FFFFFF"/>
        </w:rPr>
        <w:t xml:space="preserve"> wyrobów z drewna, korka, słomy i wikliny</w:t>
      </w:r>
      <w:r w:rsidR="00BF4ECF">
        <w:rPr>
          <w:shd w:val="clear" w:color="auto" w:fill="FFFFFF"/>
        </w:rPr>
        <w:t xml:space="preserve"> </w:t>
      </w:r>
      <w:r w:rsidR="002278C9">
        <w:rPr>
          <w:shd w:val="clear" w:color="auto" w:fill="FFFFFF"/>
        </w:rPr>
        <w:t xml:space="preserve">– </w:t>
      </w:r>
      <w:r w:rsidR="00BF4ECF">
        <w:rPr>
          <w:shd w:val="clear" w:color="auto" w:fill="FFFFFF"/>
        </w:rPr>
        <w:t>odpowiednio o 16,3% i 11,4%</w:t>
      </w:r>
      <w:r w:rsidR="00583F8A">
        <w:rPr>
          <w:shd w:val="clear" w:color="auto" w:fill="FFFFFF"/>
        </w:rPr>
        <w:t>.</w:t>
      </w:r>
      <w:r w:rsidR="00496F54">
        <w:rPr>
          <w:shd w:val="clear" w:color="auto" w:fill="FFFFFF"/>
        </w:rPr>
        <w:t xml:space="preserve"> </w:t>
      </w:r>
      <w:r w:rsidR="00BF4ECF">
        <w:rPr>
          <w:shd w:val="clear" w:color="auto" w:fill="FFFFFF"/>
        </w:rPr>
        <w:t>Po wysokim wzroście w poprzednim miesiącu znaczny spadek wystąpił ponownie w produkcji</w:t>
      </w:r>
      <w:r w:rsidR="00496F54">
        <w:rPr>
          <w:shd w:val="clear" w:color="auto" w:fill="FFFFFF"/>
        </w:rPr>
        <w:t xml:space="preserve"> </w:t>
      </w:r>
      <w:r w:rsidR="00496F54" w:rsidRPr="00F24BD2">
        <w:rPr>
          <w:shd w:val="clear" w:color="auto" w:fill="FFFFFF"/>
        </w:rPr>
        <w:t>wyrobów z</w:t>
      </w:r>
      <w:r w:rsidR="000960A1">
        <w:rPr>
          <w:shd w:val="clear" w:color="auto" w:fill="FFFFFF"/>
        </w:rPr>
        <w:t> </w:t>
      </w:r>
      <w:r w:rsidR="00496F54" w:rsidRPr="00F24BD2">
        <w:rPr>
          <w:shd w:val="clear" w:color="auto" w:fill="FFFFFF"/>
        </w:rPr>
        <w:t xml:space="preserve">metali (o </w:t>
      </w:r>
      <w:r w:rsidR="00BF4ECF">
        <w:rPr>
          <w:shd w:val="clear" w:color="auto" w:fill="FFFFFF"/>
        </w:rPr>
        <w:t>23,6</w:t>
      </w:r>
      <w:r w:rsidR="00496F54" w:rsidRPr="00F24BD2">
        <w:rPr>
          <w:shd w:val="clear" w:color="auto" w:fill="FFFFFF"/>
        </w:rPr>
        <w:t>%)</w:t>
      </w:r>
      <w:r w:rsidR="00496F54">
        <w:rPr>
          <w:shd w:val="clear" w:color="auto" w:fill="FFFFFF"/>
        </w:rPr>
        <w:t xml:space="preserve">. </w:t>
      </w:r>
      <w:r w:rsidR="002278C9">
        <w:rPr>
          <w:shd w:val="clear" w:color="auto" w:fill="FFFFFF"/>
        </w:rPr>
        <w:t xml:space="preserve">Utrzymał się </w:t>
      </w:r>
      <w:r w:rsidR="00496F54">
        <w:rPr>
          <w:shd w:val="clear" w:color="auto" w:fill="FFFFFF"/>
        </w:rPr>
        <w:t>głęboki spadek m.in. w</w:t>
      </w:r>
      <w:r w:rsidR="00160D33">
        <w:rPr>
          <w:shd w:val="clear" w:color="auto" w:fill="FFFFFF"/>
        </w:rPr>
        <w:t>:</w:t>
      </w:r>
      <w:r w:rsidR="00496F54">
        <w:rPr>
          <w:shd w:val="clear" w:color="auto" w:fill="FFFFFF"/>
        </w:rPr>
        <w:t xml:space="preserve"> </w:t>
      </w:r>
      <w:r w:rsidR="00496F54" w:rsidRPr="00F24BD2">
        <w:rPr>
          <w:shd w:val="clear" w:color="auto" w:fill="FFFFFF"/>
        </w:rPr>
        <w:t>produkcj</w:t>
      </w:r>
      <w:r w:rsidR="00AD7390">
        <w:rPr>
          <w:shd w:val="clear" w:color="auto" w:fill="FFFFFF"/>
        </w:rPr>
        <w:t>i</w:t>
      </w:r>
      <w:r w:rsidR="00496F54" w:rsidRPr="00F24BD2">
        <w:rPr>
          <w:shd w:val="clear" w:color="auto" w:fill="FFFFFF"/>
        </w:rPr>
        <w:t xml:space="preserve"> maszyn i urządzeń (o </w:t>
      </w:r>
      <w:r w:rsidR="00BF4ECF">
        <w:rPr>
          <w:shd w:val="clear" w:color="auto" w:fill="FFFFFF"/>
        </w:rPr>
        <w:t>22,2</w:t>
      </w:r>
      <w:r w:rsidR="00496F54" w:rsidRPr="00F24BD2">
        <w:rPr>
          <w:shd w:val="clear" w:color="auto" w:fill="FFFFFF"/>
        </w:rPr>
        <w:t>%)</w:t>
      </w:r>
      <w:r w:rsidR="00160D33">
        <w:rPr>
          <w:shd w:val="clear" w:color="auto" w:fill="FFFFFF"/>
        </w:rPr>
        <w:t xml:space="preserve">, </w:t>
      </w:r>
      <w:r w:rsidR="00BF4ECF">
        <w:rPr>
          <w:shd w:val="clear" w:color="auto" w:fill="FFFFFF"/>
        </w:rPr>
        <w:t xml:space="preserve">produkcji </w:t>
      </w:r>
      <w:r w:rsidR="00BF4ECF" w:rsidRPr="00F24BD2">
        <w:rPr>
          <w:shd w:val="clear" w:color="auto" w:fill="FFFFFF"/>
        </w:rPr>
        <w:t>pojazdów samochodowych, przyczep i naczep</w:t>
      </w:r>
      <w:r w:rsidR="00BF4ECF">
        <w:rPr>
          <w:shd w:val="clear" w:color="auto" w:fill="FFFFFF"/>
        </w:rPr>
        <w:t xml:space="preserve"> (o 20,4%) i </w:t>
      </w:r>
      <w:r w:rsidR="00160D33">
        <w:rPr>
          <w:shd w:val="clear" w:color="auto" w:fill="FFFFFF"/>
        </w:rPr>
        <w:t xml:space="preserve">produkcji metali (o </w:t>
      </w:r>
      <w:r w:rsidR="00BF4ECF">
        <w:rPr>
          <w:shd w:val="clear" w:color="auto" w:fill="FFFFFF"/>
        </w:rPr>
        <w:t>14,1</w:t>
      </w:r>
      <w:r w:rsidR="00160D33">
        <w:rPr>
          <w:shd w:val="clear" w:color="auto" w:fill="FFFFFF"/>
        </w:rPr>
        <w:t>%)</w:t>
      </w:r>
      <w:r w:rsidR="00604A8D">
        <w:rPr>
          <w:shd w:val="clear" w:color="auto" w:fill="FFFFFF"/>
        </w:rPr>
        <w:t xml:space="preserve">. </w:t>
      </w:r>
      <w:r w:rsidR="00BF4ECF">
        <w:rPr>
          <w:shd w:val="clear" w:color="auto" w:fill="FFFFFF"/>
        </w:rPr>
        <w:t>Znacznie szybciej niż miesiąc wcześniej malała</w:t>
      </w:r>
      <w:r w:rsidR="00AD7390">
        <w:rPr>
          <w:shd w:val="clear" w:color="auto" w:fill="FFFFFF"/>
        </w:rPr>
        <w:t xml:space="preserve"> </w:t>
      </w:r>
      <w:r w:rsidR="00BF4ECF">
        <w:rPr>
          <w:shd w:val="clear" w:color="auto" w:fill="FFFFFF"/>
        </w:rPr>
        <w:t>produkcja</w:t>
      </w:r>
      <w:r w:rsidR="00D50946">
        <w:rPr>
          <w:shd w:val="clear" w:color="auto" w:fill="FFFFFF"/>
        </w:rPr>
        <w:t xml:space="preserve"> </w:t>
      </w:r>
      <w:r w:rsidR="00D50946" w:rsidRPr="00F24BD2">
        <w:rPr>
          <w:shd w:val="clear" w:color="auto" w:fill="FFFFFF"/>
        </w:rPr>
        <w:t>a</w:t>
      </w:r>
      <w:r w:rsidR="00D50946">
        <w:rPr>
          <w:shd w:val="clear" w:color="auto" w:fill="FFFFFF"/>
        </w:rPr>
        <w:t>rtykułów spożywczych</w:t>
      </w:r>
      <w:r w:rsidR="00496F54">
        <w:rPr>
          <w:shd w:val="clear" w:color="auto" w:fill="FFFFFF"/>
        </w:rPr>
        <w:t>, która obniżyła się</w:t>
      </w:r>
      <w:r w:rsidR="00D50946">
        <w:rPr>
          <w:shd w:val="clear" w:color="auto" w:fill="FFFFFF"/>
        </w:rPr>
        <w:t xml:space="preserve"> </w:t>
      </w:r>
      <w:r w:rsidR="00604A8D" w:rsidRPr="00F24BD2">
        <w:rPr>
          <w:shd w:val="clear" w:color="auto" w:fill="FFFFFF"/>
        </w:rPr>
        <w:t>(o</w:t>
      </w:r>
      <w:r w:rsidR="00604A8D">
        <w:rPr>
          <w:shd w:val="clear" w:color="auto" w:fill="FFFFFF"/>
        </w:rPr>
        <w:t> </w:t>
      </w:r>
      <w:r w:rsidR="00BF4ECF">
        <w:rPr>
          <w:shd w:val="clear" w:color="auto" w:fill="FFFFFF"/>
        </w:rPr>
        <w:t>7,4</w:t>
      </w:r>
      <w:r w:rsidR="00604A8D">
        <w:rPr>
          <w:shd w:val="clear" w:color="auto" w:fill="FFFFFF"/>
        </w:rPr>
        <w:t>%)</w:t>
      </w:r>
      <w:r w:rsidR="00E83BEE">
        <w:rPr>
          <w:shd w:val="clear" w:color="auto" w:fill="FFFFFF"/>
        </w:rPr>
        <w:t>.</w:t>
      </w:r>
      <w:r w:rsidR="00FB22EC" w:rsidRPr="00FB22EC">
        <w:rPr>
          <w:shd w:val="clear" w:color="auto" w:fill="FFFFFF"/>
        </w:rPr>
        <w:t xml:space="preserve"> </w:t>
      </w:r>
    </w:p>
    <w:p w:rsidR="00D97A24" w:rsidRPr="000960A1" w:rsidRDefault="00D626B6" w:rsidP="00CA18EC">
      <w:pPr>
        <w:pStyle w:val="tytuwykresu"/>
        <w:rPr>
          <w:b w:val="0"/>
          <w:sz w:val="18"/>
          <w:shd w:val="clear" w:color="auto" w:fill="FFFFFF"/>
        </w:rPr>
      </w:pPr>
      <w:r w:rsidRPr="00B17EE7">
        <w:rPr>
          <w:shd w:val="clear" w:color="auto" w:fill="FFFFFF"/>
        </w:rPr>
        <w:t xml:space="preserve">Tablica </w:t>
      </w:r>
      <w:r w:rsidR="004E1F5F">
        <w:rPr>
          <w:shd w:val="clear" w:color="auto" w:fill="FFFFFF"/>
        </w:rPr>
        <w:t>8</w:t>
      </w:r>
      <w:r w:rsidRPr="00B17EE7">
        <w:rPr>
          <w:shd w:val="clear" w:color="auto" w:fill="FFFFFF"/>
        </w:rPr>
        <w:t>. Dynamika (w cenach stałych) i struktura (w cenach bieżących) produkcji sprzedanej przemysłu</w:t>
      </w:r>
    </w:p>
    <w:tbl>
      <w:tblPr>
        <w:tblStyle w:val="Siatkatabelijasna1"/>
        <w:tblpPr w:leftFromText="141" w:rightFromText="141" w:vertAnchor="text" w:horzAnchor="margin" w:tblpXSpec="center" w:tblpY="60"/>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19"/>
        <w:gridCol w:w="2079"/>
        <w:gridCol w:w="2079"/>
        <w:gridCol w:w="2079"/>
      </w:tblGrid>
      <w:tr w:rsidR="00320D7F" w:rsidRPr="00B17EE7" w:rsidTr="004D5F19">
        <w:trPr>
          <w:trHeight w:val="57"/>
        </w:trPr>
        <w:tc>
          <w:tcPr>
            <w:tcW w:w="4219" w:type="dxa"/>
            <w:vMerge w:val="restart"/>
            <w:tcBorders>
              <w:top w:val="single" w:sz="4" w:space="0" w:color="522398"/>
              <w:right w:val="single" w:sz="4" w:space="0" w:color="522398"/>
            </w:tcBorders>
            <w:vAlign w:val="center"/>
          </w:tcPr>
          <w:p w:rsidR="00320D7F" w:rsidRPr="00B17EE7" w:rsidRDefault="00320D7F" w:rsidP="00320D7F">
            <w:pPr>
              <w:pStyle w:val="Nagwek1"/>
              <w:tabs>
                <w:tab w:val="right" w:leader="dot" w:pos="4139"/>
              </w:tabs>
              <w:spacing w:before="0" w:after="0" w:line="180" w:lineRule="exact"/>
              <w:jc w:val="center"/>
              <w:outlineLvl w:val="0"/>
              <w:rPr>
                <w:rFonts w:ascii="Fira Sans" w:hAnsi="Fira Sans" w:cs="Arial"/>
                <w:b/>
                <w:bCs w:val="0"/>
                <w:color w:val="auto"/>
                <w:sz w:val="16"/>
                <w:szCs w:val="16"/>
              </w:rPr>
            </w:pPr>
            <w:r w:rsidRPr="00B17EE7">
              <w:rPr>
                <w:rFonts w:ascii="Fira Sans" w:hAnsi="Fira Sans" w:cs="Arial"/>
                <w:color w:val="auto"/>
                <w:sz w:val="16"/>
                <w:szCs w:val="16"/>
              </w:rPr>
              <w:t>WYSZCZEGÓLNIENIE</w:t>
            </w:r>
          </w:p>
        </w:tc>
        <w:tc>
          <w:tcPr>
            <w:tcW w:w="2079" w:type="dxa"/>
            <w:tcBorders>
              <w:top w:val="single" w:sz="4" w:space="0" w:color="522398"/>
              <w:right w:val="single" w:sz="4" w:space="0" w:color="522398"/>
            </w:tcBorders>
            <w:vAlign w:val="center"/>
          </w:tcPr>
          <w:p w:rsidR="00320D7F" w:rsidRPr="00B17EE7" w:rsidRDefault="00320D7F" w:rsidP="00320D7F">
            <w:pPr>
              <w:pStyle w:val="Nagwek3"/>
              <w:spacing w:before="120" w:after="120"/>
              <w:jc w:val="center"/>
              <w:outlineLvl w:val="2"/>
              <w:rPr>
                <w:rFonts w:ascii="Fira Sans" w:hAnsi="Fira Sans"/>
                <w:color w:val="auto"/>
                <w:sz w:val="16"/>
                <w:szCs w:val="16"/>
              </w:rPr>
            </w:pPr>
            <w:r>
              <w:rPr>
                <w:rFonts w:ascii="Fira Sans" w:hAnsi="Fira Sans"/>
                <w:color w:val="auto"/>
                <w:sz w:val="16"/>
                <w:szCs w:val="16"/>
              </w:rPr>
              <w:t>VI</w:t>
            </w:r>
            <w:r w:rsidR="00DE4391">
              <w:rPr>
                <w:rFonts w:ascii="Fira Sans" w:hAnsi="Fira Sans"/>
                <w:color w:val="auto"/>
                <w:sz w:val="16"/>
                <w:szCs w:val="16"/>
              </w:rPr>
              <w:t>I</w:t>
            </w:r>
            <w:r w:rsidRPr="00B17EE7">
              <w:rPr>
                <w:rFonts w:ascii="Fira Sans" w:hAnsi="Fira Sans"/>
                <w:color w:val="auto"/>
                <w:sz w:val="16"/>
                <w:szCs w:val="16"/>
              </w:rPr>
              <w:t xml:space="preserve"> 2020</w:t>
            </w:r>
          </w:p>
        </w:tc>
        <w:tc>
          <w:tcPr>
            <w:tcW w:w="4158" w:type="dxa"/>
            <w:gridSpan w:val="2"/>
            <w:tcBorders>
              <w:top w:val="single" w:sz="4" w:space="0" w:color="522398"/>
            </w:tcBorders>
            <w:vAlign w:val="center"/>
          </w:tcPr>
          <w:p w:rsidR="00320D7F" w:rsidRPr="00B17EE7" w:rsidRDefault="00320D7F" w:rsidP="00320D7F">
            <w:pPr>
              <w:pStyle w:val="Nagwek3"/>
              <w:spacing w:before="120" w:after="120"/>
              <w:jc w:val="center"/>
              <w:outlineLvl w:val="2"/>
              <w:rPr>
                <w:rFonts w:ascii="Fira Sans" w:hAnsi="Fira Sans"/>
                <w:color w:val="auto"/>
                <w:sz w:val="16"/>
                <w:szCs w:val="16"/>
              </w:rPr>
            </w:pPr>
            <w:r>
              <w:rPr>
                <w:rFonts w:ascii="Fira Sans" w:hAnsi="Fira Sans"/>
                <w:color w:val="auto"/>
                <w:sz w:val="16"/>
                <w:szCs w:val="16"/>
              </w:rPr>
              <w:t>I-VI</w:t>
            </w:r>
            <w:r w:rsidR="00DE4391">
              <w:rPr>
                <w:rFonts w:ascii="Fira Sans" w:hAnsi="Fira Sans"/>
                <w:color w:val="auto"/>
                <w:sz w:val="16"/>
                <w:szCs w:val="16"/>
              </w:rPr>
              <w:t>I</w:t>
            </w:r>
            <w:r w:rsidRPr="00B17EE7">
              <w:rPr>
                <w:rFonts w:ascii="Fira Sans" w:hAnsi="Fira Sans"/>
                <w:color w:val="auto"/>
                <w:sz w:val="16"/>
                <w:szCs w:val="16"/>
              </w:rPr>
              <w:t xml:space="preserve"> 2020</w:t>
            </w:r>
          </w:p>
        </w:tc>
      </w:tr>
      <w:tr w:rsidR="00320D7F" w:rsidRPr="00B17EE7" w:rsidTr="00320D7F">
        <w:trPr>
          <w:trHeight w:val="57"/>
        </w:trPr>
        <w:tc>
          <w:tcPr>
            <w:tcW w:w="4219" w:type="dxa"/>
            <w:vMerge/>
            <w:tcBorders>
              <w:bottom w:val="single" w:sz="4" w:space="0" w:color="522398"/>
              <w:right w:val="single" w:sz="4" w:space="0" w:color="522398"/>
            </w:tcBorders>
            <w:vAlign w:val="center"/>
          </w:tcPr>
          <w:p w:rsidR="00320D7F" w:rsidRPr="00B17EE7" w:rsidRDefault="00320D7F" w:rsidP="00320D7F">
            <w:pPr>
              <w:pStyle w:val="Nagwek1"/>
              <w:tabs>
                <w:tab w:val="right" w:leader="dot" w:pos="4139"/>
              </w:tabs>
              <w:spacing w:before="0" w:after="0" w:line="180" w:lineRule="exact"/>
              <w:jc w:val="center"/>
              <w:outlineLvl w:val="0"/>
              <w:rPr>
                <w:rFonts w:cs="Arial"/>
                <w:b/>
                <w:color w:val="auto"/>
                <w:sz w:val="16"/>
                <w:szCs w:val="16"/>
              </w:rPr>
            </w:pPr>
          </w:p>
        </w:tc>
        <w:tc>
          <w:tcPr>
            <w:tcW w:w="4158" w:type="dxa"/>
            <w:gridSpan w:val="2"/>
            <w:tcBorders>
              <w:top w:val="single" w:sz="4" w:space="0" w:color="522398"/>
              <w:left w:val="single" w:sz="4" w:space="0" w:color="522398"/>
              <w:bottom w:val="single" w:sz="4" w:space="0" w:color="522398"/>
              <w:right w:val="single" w:sz="4" w:space="0" w:color="522398"/>
            </w:tcBorders>
            <w:vAlign w:val="center"/>
          </w:tcPr>
          <w:p w:rsidR="00320D7F" w:rsidRPr="00B17EE7" w:rsidRDefault="00320D7F" w:rsidP="00320D7F">
            <w:pPr>
              <w:jc w:val="center"/>
              <w:rPr>
                <w:sz w:val="16"/>
                <w:szCs w:val="16"/>
              </w:rPr>
            </w:pPr>
            <w:r w:rsidRPr="00B17EE7">
              <w:rPr>
                <w:sz w:val="16"/>
                <w:szCs w:val="16"/>
              </w:rPr>
              <w:t>analogiczny okres roku</w:t>
            </w:r>
            <w:r w:rsidRPr="00B17EE7">
              <w:rPr>
                <w:sz w:val="16"/>
                <w:szCs w:val="16"/>
              </w:rPr>
              <w:br/>
              <w:t>poprzedniego = 100</w:t>
            </w:r>
          </w:p>
        </w:tc>
        <w:tc>
          <w:tcPr>
            <w:tcW w:w="2079" w:type="dxa"/>
            <w:tcBorders>
              <w:top w:val="single" w:sz="4" w:space="0" w:color="7030A0"/>
              <w:left w:val="single" w:sz="4" w:space="0" w:color="522398"/>
              <w:bottom w:val="single" w:sz="4" w:space="0" w:color="522398"/>
            </w:tcBorders>
            <w:vAlign w:val="center"/>
          </w:tcPr>
          <w:p w:rsidR="00320D7F" w:rsidRPr="00B17EE7" w:rsidRDefault="00320D7F" w:rsidP="00320D7F">
            <w:pPr>
              <w:jc w:val="center"/>
              <w:rPr>
                <w:sz w:val="16"/>
                <w:szCs w:val="16"/>
              </w:rPr>
            </w:pPr>
            <w:r w:rsidRPr="00B17EE7">
              <w:rPr>
                <w:sz w:val="16"/>
                <w:szCs w:val="16"/>
              </w:rPr>
              <w:t>w odsetkach</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center"/>
          </w:tcPr>
          <w:p w:rsidR="00320D7F" w:rsidRPr="00B17EE7" w:rsidRDefault="00320D7F" w:rsidP="00320D7F">
            <w:pPr>
              <w:pStyle w:val="Nagwek5"/>
              <w:tabs>
                <w:tab w:val="right" w:leader="dot" w:pos="4156"/>
              </w:tabs>
              <w:spacing w:before="0"/>
              <w:outlineLvl w:val="4"/>
              <w:rPr>
                <w:rFonts w:ascii="Fira Sans" w:hAnsi="Fira Sans"/>
                <w:b/>
                <w:color w:val="auto"/>
                <w:sz w:val="16"/>
                <w:szCs w:val="16"/>
              </w:rPr>
            </w:pPr>
            <w:r w:rsidRPr="00B17EE7">
              <w:rPr>
                <w:rFonts w:ascii="Fira Sans" w:hAnsi="Fira Sans"/>
                <w:b/>
                <w:color w:val="auto"/>
                <w:sz w:val="16"/>
                <w:szCs w:val="16"/>
              </w:rPr>
              <w:t>OGÓŁEM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b/>
                <w:sz w:val="16"/>
                <w:szCs w:val="16"/>
              </w:rPr>
            </w:pPr>
            <w:r>
              <w:rPr>
                <w:rFonts w:cs="Arial"/>
                <w:b/>
                <w:sz w:val="16"/>
                <w:szCs w:val="16"/>
              </w:rPr>
              <w:t>94,8</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b/>
                <w:sz w:val="16"/>
                <w:szCs w:val="16"/>
              </w:rPr>
            </w:pPr>
            <w:r>
              <w:rPr>
                <w:rFonts w:cs="Arial"/>
                <w:b/>
                <w:sz w:val="16"/>
                <w:szCs w:val="16"/>
              </w:rPr>
              <w:t>98,3</w:t>
            </w: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320D7F">
            <w:pPr>
              <w:spacing w:before="0" w:after="0"/>
              <w:ind w:right="170"/>
              <w:jc w:val="right"/>
              <w:rPr>
                <w:rFonts w:cs="Arial"/>
                <w:b/>
                <w:sz w:val="16"/>
                <w:szCs w:val="16"/>
              </w:rPr>
            </w:pPr>
            <w:r w:rsidRPr="00B17EE7">
              <w:rPr>
                <w:rFonts w:cs="Arial"/>
                <w:b/>
                <w:sz w:val="16"/>
                <w:szCs w:val="16"/>
              </w:rPr>
              <w:t>100,0</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w tym: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320D7F">
            <w:pPr>
              <w:spacing w:before="0" w:after="0"/>
              <w:ind w:right="170"/>
              <w:jc w:val="right"/>
              <w:rPr>
                <w:rFonts w:cs="Arial"/>
                <w:sz w:val="16"/>
                <w:szCs w:val="16"/>
              </w:rPr>
            </w:pP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rPr>
                <w:rFonts w:cs="Arial"/>
                <w:sz w:val="16"/>
                <w:szCs w:val="16"/>
              </w:rPr>
            </w:pPr>
            <w:r w:rsidRPr="00B17EE7">
              <w:rPr>
                <w:rFonts w:cs="Arial"/>
                <w:sz w:val="16"/>
                <w:szCs w:val="16"/>
              </w:rPr>
              <w:t>Przetwórstwo przemysłowe</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97,9</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99,6</w:t>
            </w:r>
          </w:p>
        </w:tc>
        <w:tc>
          <w:tcPr>
            <w:tcW w:w="2079" w:type="dxa"/>
            <w:tcBorders>
              <w:top w:val="nil"/>
              <w:left w:val="nil"/>
              <w:bottom w:val="single" w:sz="4" w:space="0" w:color="522398"/>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85,8</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397" w:hanging="113"/>
              <w:rPr>
                <w:rFonts w:cs="Arial"/>
                <w:sz w:val="16"/>
                <w:szCs w:val="16"/>
              </w:rPr>
            </w:pPr>
            <w:r w:rsidRPr="00B17EE7">
              <w:rPr>
                <w:rFonts w:cs="Arial"/>
                <w:sz w:val="16"/>
                <w:szCs w:val="16"/>
              </w:rPr>
              <w:t>w tym produkcja:</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nil"/>
              <w:bottom w:val="single" w:sz="4" w:space="0" w:color="522398"/>
              <w:right w:val="nil"/>
            </w:tcBorders>
            <w:shd w:val="clear" w:color="auto" w:fill="auto"/>
            <w:vAlign w:val="bottom"/>
          </w:tcPr>
          <w:p w:rsidR="00320D7F" w:rsidRPr="00B17EE7" w:rsidRDefault="00320D7F" w:rsidP="00320D7F">
            <w:pPr>
              <w:spacing w:before="0" w:after="0"/>
              <w:ind w:right="170"/>
              <w:jc w:val="right"/>
              <w:rPr>
                <w:rFonts w:cs="Arial"/>
                <w:sz w:val="16"/>
                <w:szCs w:val="16"/>
              </w:rPr>
            </w:pP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artykułów spożywczych</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92,6</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92,1</w:t>
            </w:r>
          </w:p>
        </w:tc>
        <w:tc>
          <w:tcPr>
            <w:tcW w:w="2079" w:type="dxa"/>
            <w:tcBorders>
              <w:top w:val="single" w:sz="4" w:space="0" w:color="522398"/>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11,8</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 xml:space="preserve">wyrobów z drewna, korka, słomy i wikliny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111,4</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102,6</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3,5</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wyrobów z gumy i tworzyw sztucznych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116,3</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117,1</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3,6</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wyrobów z pozostałych mineralnych surowców niemetalicznych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118,4</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116,8</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25,8</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Pr>
                <w:rFonts w:cs="Arial"/>
                <w:sz w:val="16"/>
                <w:szCs w:val="16"/>
              </w:rPr>
              <w:t>metali</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Default="00DE4391" w:rsidP="00320D7F">
            <w:pPr>
              <w:spacing w:before="0" w:after="0"/>
              <w:ind w:right="170"/>
              <w:jc w:val="right"/>
              <w:rPr>
                <w:rFonts w:cs="Arial"/>
                <w:sz w:val="16"/>
                <w:szCs w:val="16"/>
              </w:rPr>
            </w:pPr>
            <w:r>
              <w:rPr>
                <w:rFonts w:cs="Arial"/>
                <w:sz w:val="16"/>
                <w:szCs w:val="16"/>
              </w:rPr>
              <w:t>85,9</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Default="00DE4391" w:rsidP="00320D7F">
            <w:pPr>
              <w:spacing w:before="0" w:after="0"/>
              <w:ind w:right="170"/>
              <w:jc w:val="right"/>
              <w:rPr>
                <w:rFonts w:cs="Arial"/>
                <w:sz w:val="16"/>
                <w:szCs w:val="16"/>
              </w:rPr>
            </w:pPr>
            <w:r>
              <w:rPr>
                <w:rFonts w:cs="Arial"/>
                <w:sz w:val="16"/>
                <w:szCs w:val="16"/>
              </w:rPr>
              <w:t>89,6</w:t>
            </w:r>
          </w:p>
        </w:tc>
        <w:tc>
          <w:tcPr>
            <w:tcW w:w="2079" w:type="dxa"/>
            <w:tcBorders>
              <w:top w:val="single" w:sz="4" w:space="0" w:color="7030A0"/>
              <w:left w:val="nil"/>
              <w:bottom w:val="single" w:sz="4" w:space="0" w:color="7030A0"/>
              <w:right w:val="nil"/>
            </w:tcBorders>
            <w:shd w:val="clear" w:color="auto" w:fill="auto"/>
            <w:vAlign w:val="bottom"/>
          </w:tcPr>
          <w:p w:rsidR="00320D7F" w:rsidRDefault="00DE4391" w:rsidP="00320D7F">
            <w:pPr>
              <w:spacing w:before="0" w:after="0"/>
              <w:ind w:right="170"/>
              <w:jc w:val="right"/>
              <w:rPr>
                <w:rFonts w:cs="Arial"/>
                <w:sz w:val="16"/>
                <w:szCs w:val="16"/>
              </w:rPr>
            </w:pPr>
            <w:r>
              <w:rPr>
                <w:rFonts w:cs="Arial"/>
                <w:sz w:val="16"/>
                <w:szCs w:val="16"/>
              </w:rPr>
              <w:t>11,0</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 xml:space="preserve">wyrobów z metali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76,4</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95,1</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8,3</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 xml:space="preserve">maszyn i urządzeń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77,8</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88,2</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4,0</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pojazdów samochodowych, przyczep i naczep</w:t>
            </w:r>
            <w:r w:rsidRPr="00B17EE7">
              <w:rPr>
                <w:rFonts w:cs="Arial"/>
                <w:sz w:val="16"/>
                <w:szCs w:val="16"/>
                <w:vertAlign w:val="superscript"/>
              </w:rPr>
              <w:t xml:space="preserve"> Δ</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346B56" w:rsidRDefault="00DE4391" w:rsidP="00320D7F">
            <w:pPr>
              <w:spacing w:before="0" w:after="0"/>
              <w:ind w:right="170"/>
              <w:jc w:val="right"/>
              <w:rPr>
                <w:rFonts w:cs="Arial"/>
                <w:sz w:val="16"/>
                <w:szCs w:val="16"/>
              </w:rPr>
            </w:pPr>
            <w:r>
              <w:rPr>
                <w:rFonts w:cs="Arial"/>
                <w:sz w:val="16"/>
                <w:szCs w:val="16"/>
              </w:rPr>
              <w:t>79,6</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76,9</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10,3</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4189B">
            <w:pPr>
              <w:tabs>
                <w:tab w:val="left" w:leader="dot" w:pos="4366"/>
              </w:tabs>
              <w:spacing w:before="0" w:after="0"/>
              <w:rPr>
                <w:rFonts w:cs="Arial"/>
                <w:sz w:val="16"/>
                <w:szCs w:val="16"/>
              </w:rPr>
            </w:pPr>
            <w:r w:rsidRPr="00B17EE7">
              <w:rPr>
                <w:rFonts w:cs="Arial"/>
                <w:sz w:val="16"/>
                <w:szCs w:val="16"/>
              </w:rPr>
              <w:t>Dostawa wody; gospodarowanie ściekami i odpadami</w:t>
            </w:r>
            <w:r w:rsidR="0034189B">
              <w:rPr>
                <w:rFonts w:cs="Arial"/>
                <w:sz w:val="16"/>
                <w:szCs w:val="16"/>
              </w:rPr>
              <w:t>;</w:t>
            </w:r>
            <w:r w:rsidRPr="00B17EE7">
              <w:rPr>
                <w:rFonts w:cs="Arial"/>
                <w:sz w:val="16"/>
                <w:szCs w:val="16"/>
              </w:rPr>
              <w:t xml:space="preserve"> rekultywacja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F24BD2" w:rsidRDefault="00DE4391" w:rsidP="00320D7F">
            <w:pPr>
              <w:spacing w:before="0" w:after="0"/>
              <w:ind w:right="170"/>
              <w:jc w:val="right"/>
              <w:rPr>
                <w:rFonts w:cs="Arial"/>
                <w:sz w:val="16"/>
                <w:szCs w:val="16"/>
              </w:rPr>
            </w:pPr>
            <w:r>
              <w:rPr>
                <w:rFonts w:cs="Arial"/>
                <w:sz w:val="16"/>
                <w:szCs w:val="16"/>
              </w:rPr>
              <w:t>96,7</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DE4391" w:rsidP="00320D7F">
            <w:pPr>
              <w:spacing w:before="0" w:after="0"/>
              <w:ind w:right="170"/>
              <w:jc w:val="right"/>
              <w:rPr>
                <w:rFonts w:cs="Arial"/>
                <w:sz w:val="16"/>
                <w:szCs w:val="16"/>
              </w:rPr>
            </w:pPr>
            <w:r>
              <w:rPr>
                <w:rFonts w:cs="Arial"/>
                <w:sz w:val="16"/>
                <w:szCs w:val="16"/>
              </w:rPr>
              <w:t>104,9</w:t>
            </w:r>
          </w:p>
        </w:tc>
        <w:tc>
          <w:tcPr>
            <w:tcW w:w="2079" w:type="dxa"/>
            <w:tcBorders>
              <w:top w:val="single" w:sz="4" w:space="0" w:color="7030A0"/>
              <w:left w:val="nil"/>
              <w:bottom w:val="single" w:sz="4" w:space="0" w:color="7030A0"/>
              <w:right w:val="nil"/>
            </w:tcBorders>
            <w:shd w:val="clear" w:color="auto" w:fill="auto"/>
            <w:vAlign w:val="bottom"/>
          </w:tcPr>
          <w:p w:rsidR="00320D7F" w:rsidRPr="00B17EE7" w:rsidRDefault="00DE4391" w:rsidP="00320D7F">
            <w:pPr>
              <w:spacing w:before="0" w:after="0"/>
              <w:ind w:right="170"/>
              <w:jc w:val="right"/>
              <w:rPr>
                <w:rFonts w:cs="Arial"/>
                <w:sz w:val="16"/>
                <w:szCs w:val="16"/>
              </w:rPr>
            </w:pPr>
            <w:r>
              <w:rPr>
                <w:rFonts w:cs="Arial"/>
                <w:sz w:val="16"/>
                <w:szCs w:val="16"/>
              </w:rPr>
              <w:t>2,7</w:t>
            </w:r>
          </w:p>
        </w:tc>
      </w:tr>
    </w:tbl>
    <w:p w:rsidR="00DE4391" w:rsidRPr="008671DA" w:rsidRDefault="00DE4391" w:rsidP="00DE4391">
      <w:pPr>
        <w:rPr>
          <w:shd w:val="clear" w:color="auto" w:fill="FFFFFF"/>
        </w:rPr>
      </w:pPr>
      <w:r w:rsidRPr="008671DA">
        <w:rPr>
          <w:shd w:val="clear" w:color="auto" w:fill="FFFFFF"/>
        </w:rPr>
        <w:t xml:space="preserve">W porównaniu </w:t>
      </w:r>
      <w:r>
        <w:rPr>
          <w:shd w:val="clear" w:color="auto" w:fill="FFFFFF"/>
        </w:rPr>
        <w:t xml:space="preserve">z czerwcem </w:t>
      </w:r>
      <w:r w:rsidRPr="008671DA">
        <w:rPr>
          <w:shd w:val="clear" w:color="auto" w:fill="FFFFFF"/>
        </w:rPr>
        <w:t>2020 r. produkcja sprzeda</w:t>
      </w:r>
      <w:r>
        <w:rPr>
          <w:shd w:val="clear" w:color="auto" w:fill="FFFFFF"/>
        </w:rPr>
        <w:t>na w przetwórstwie przemysłowym wzrosła o 2,3</w:t>
      </w:r>
      <w:r w:rsidRPr="008671DA">
        <w:rPr>
          <w:shd w:val="clear" w:color="auto" w:fill="FFFFFF"/>
        </w:rPr>
        <w:t xml:space="preserve">%, a w dostawie wody; gospodarowaniu ściekami i odpadami; rekultywacji o </w:t>
      </w:r>
      <w:r>
        <w:rPr>
          <w:shd w:val="clear" w:color="auto" w:fill="FFFFFF"/>
        </w:rPr>
        <w:t>3,4</w:t>
      </w:r>
      <w:r w:rsidRPr="008671DA">
        <w:rPr>
          <w:shd w:val="clear" w:color="auto" w:fill="FFFFFF"/>
        </w:rPr>
        <w:t>%.</w:t>
      </w:r>
    </w:p>
    <w:p w:rsidR="00DE4391" w:rsidRDefault="00DE4391" w:rsidP="00DE4391">
      <w:pPr>
        <w:rPr>
          <w:shd w:val="clear" w:color="auto" w:fill="FFFFFF"/>
        </w:rPr>
      </w:pPr>
      <w:r w:rsidRPr="00AF72FA">
        <w:rPr>
          <w:shd w:val="clear" w:color="auto" w:fill="FFFFFF"/>
        </w:rPr>
        <w:t xml:space="preserve">Wydajność pracy w przemyśle, mierzona produkcją sprzedaną na 1 zatrudnionego, w </w:t>
      </w:r>
      <w:r>
        <w:rPr>
          <w:shd w:val="clear" w:color="auto" w:fill="FFFFFF"/>
        </w:rPr>
        <w:t xml:space="preserve">lipcu </w:t>
      </w:r>
      <w:r w:rsidRPr="00AF72FA">
        <w:rPr>
          <w:shd w:val="clear" w:color="auto" w:fill="FFFFFF"/>
        </w:rPr>
        <w:t xml:space="preserve">2020 r. wyniosła (w cenach bieżących) </w:t>
      </w:r>
      <w:r>
        <w:rPr>
          <w:shd w:val="clear" w:color="auto" w:fill="FFFFFF"/>
        </w:rPr>
        <w:t>37,6</w:t>
      </w:r>
      <w:r w:rsidRPr="00AF72FA">
        <w:rPr>
          <w:shd w:val="clear" w:color="auto" w:fill="FFFFFF"/>
        </w:rPr>
        <w:t xml:space="preserve"> tys. zł i była (w cenach stałych) o </w:t>
      </w:r>
      <w:r>
        <w:rPr>
          <w:shd w:val="clear" w:color="auto" w:fill="FFFFFF"/>
        </w:rPr>
        <w:t>6,4% niższa</w:t>
      </w:r>
      <w:r w:rsidRPr="00AF72FA">
        <w:rPr>
          <w:shd w:val="clear" w:color="auto" w:fill="FFFFFF"/>
        </w:rPr>
        <w:t xml:space="preserve"> niż p</w:t>
      </w:r>
      <w:r>
        <w:rPr>
          <w:shd w:val="clear" w:color="auto" w:fill="FFFFFF"/>
        </w:rPr>
        <w:t>rzed rokiem, przy większym o 1,2</w:t>
      </w:r>
      <w:r w:rsidRPr="00AF72FA">
        <w:rPr>
          <w:shd w:val="clear" w:color="auto" w:fill="FFFFFF"/>
        </w:rPr>
        <w:t xml:space="preserve">% przeciętnym zatrudnieniu i </w:t>
      </w:r>
      <w:r>
        <w:rPr>
          <w:shd w:val="clear" w:color="auto" w:fill="FFFFFF"/>
        </w:rPr>
        <w:t>wzroście</w:t>
      </w:r>
      <w:r w:rsidRPr="00AF72FA">
        <w:rPr>
          <w:shd w:val="clear" w:color="auto" w:fill="FFFFFF"/>
        </w:rPr>
        <w:t xml:space="preserve"> przeciętnych miesięcznych wynagrodzeń brutto o </w:t>
      </w:r>
      <w:r>
        <w:rPr>
          <w:shd w:val="clear" w:color="auto" w:fill="FFFFFF"/>
        </w:rPr>
        <w:t>1,4</w:t>
      </w:r>
      <w:r w:rsidRPr="00AF72FA">
        <w:rPr>
          <w:shd w:val="clear" w:color="auto" w:fill="FFFFFF"/>
        </w:rPr>
        <w:t>%.</w:t>
      </w:r>
    </w:p>
    <w:p w:rsidR="00D626B6" w:rsidRDefault="00D626B6" w:rsidP="000960A1">
      <w:pPr>
        <w:rPr>
          <w:shd w:val="clear" w:color="auto" w:fill="FFFFFF"/>
        </w:rPr>
      </w:pPr>
    </w:p>
    <w:p w:rsidR="00AB3F19" w:rsidRPr="00AF72FA" w:rsidRDefault="00AB3F19" w:rsidP="006809ED">
      <w:pPr>
        <w:rPr>
          <w:shd w:val="clear" w:color="auto" w:fill="FFFFFF"/>
        </w:rPr>
      </w:pPr>
    </w:p>
    <w:p w:rsidR="00D626B6" w:rsidRDefault="00A868D6" w:rsidP="00452CA7">
      <w:pPr>
        <w:pageBreakBefore/>
        <w:spacing w:before="0" w:after="80"/>
        <w:jc w:val="both"/>
        <w:rPr>
          <w:shd w:val="clear" w:color="auto" w:fill="FFFFFF"/>
        </w:rPr>
      </w:pPr>
      <w:r>
        <w:rPr>
          <w:noProof/>
          <w:lang w:eastAsia="pl-PL"/>
        </w:rPr>
        <w:lastRenderedPageBreak/>
        <w:drawing>
          <wp:anchor distT="0" distB="0" distL="114300" distR="114300" simplePos="0" relativeHeight="251655168" behindDoc="0" locked="0" layoutInCell="1" allowOverlap="1">
            <wp:simplePos x="0" y="0"/>
            <wp:positionH relativeFrom="column">
              <wp:posOffset>0</wp:posOffset>
            </wp:positionH>
            <wp:positionV relativeFrom="paragraph">
              <wp:posOffset>241300</wp:posOffset>
            </wp:positionV>
            <wp:extent cx="6645910" cy="231140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D626B6" w:rsidRPr="00583E9C">
        <w:rPr>
          <w:b/>
        </w:rPr>
        <w:t xml:space="preserve">Wykres </w:t>
      </w:r>
      <w:r w:rsidR="00662415">
        <w:rPr>
          <w:b/>
        </w:rPr>
        <w:t>9</w:t>
      </w:r>
      <w:r w:rsidR="00D626B6" w:rsidRPr="00583E9C">
        <w:rPr>
          <w:b/>
        </w:rPr>
        <w:t>.</w:t>
      </w:r>
      <w:r w:rsidR="00D626B6" w:rsidRPr="00583E9C">
        <w:rPr>
          <w:b/>
          <w:shd w:val="clear" w:color="auto" w:fill="FFFFFF"/>
        </w:rPr>
        <w:t xml:space="preserve"> Dynamika produkcji sprzedanej przemysłu </w:t>
      </w:r>
      <w:r w:rsidR="00D626B6" w:rsidRPr="00583E9C">
        <w:rPr>
          <w:shd w:val="clear" w:color="auto" w:fill="FFFFFF"/>
        </w:rPr>
        <w:t>(przeciętna miesięczna 2015=100)</w:t>
      </w:r>
    </w:p>
    <w:p w:rsidR="00A868D6" w:rsidRDefault="00A868D6" w:rsidP="00F6752E">
      <w:pPr>
        <w:spacing w:before="0" w:after="0"/>
        <w:rPr>
          <w:shd w:val="clear" w:color="auto" w:fill="FFFFFF"/>
        </w:rPr>
      </w:pPr>
    </w:p>
    <w:p w:rsidR="00D626B6" w:rsidRPr="00743B7B" w:rsidRDefault="00EC00F4" w:rsidP="000960A1">
      <w:pPr>
        <w:rPr>
          <w:shd w:val="clear" w:color="auto" w:fill="FFFFFF"/>
        </w:rPr>
      </w:pPr>
      <w:r>
        <w:rPr>
          <w:shd w:val="clear" w:color="auto" w:fill="FFFFFF"/>
        </w:rPr>
        <w:t>P</w:t>
      </w:r>
      <w:r w:rsidRPr="00743B7B">
        <w:rPr>
          <w:shd w:val="clear" w:color="auto" w:fill="FFFFFF"/>
        </w:rPr>
        <w:t xml:space="preserve">rodukcja sprzedana budownictwa (w cenach bieżących) w </w:t>
      </w:r>
      <w:r w:rsidR="007C4639">
        <w:rPr>
          <w:shd w:val="clear" w:color="auto" w:fill="FFFFFF"/>
        </w:rPr>
        <w:t>lipcu</w:t>
      </w:r>
      <w:r w:rsidRPr="00743B7B">
        <w:rPr>
          <w:shd w:val="clear" w:color="auto" w:fill="FFFFFF"/>
        </w:rPr>
        <w:t xml:space="preserve"> 2020 r. wyniosła </w:t>
      </w:r>
      <w:r w:rsidR="007C4639">
        <w:rPr>
          <w:shd w:val="clear" w:color="auto" w:fill="FFFFFF"/>
        </w:rPr>
        <w:t>441,2</w:t>
      </w:r>
      <w:r>
        <w:rPr>
          <w:shd w:val="clear" w:color="auto" w:fill="FFFFFF"/>
        </w:rPr>
        <w:t xml:space="preserve"> </w:t>
      </w:r>
      <w:r w:rsidRPr="00743B7B">
        <w:rPr>
          <w:shd w:val="clear" w:color="auto" w:fill="FFFFFF"/>
        </w:rPr>
        <w:t xml:space="preserve">mln zł i była o </w:t>
      </w:r>
      <w:r w:rsidR="007C4639">
        <w:rPr>
          <w:shd w:val="clear" w:color="auto" w:fill="FFFFFF"/>
        </w:rPr>
        <w:t>14</w:t>
      </w:r>
      <w:r w:rsidR="000B0627">
        <w:rPr>
          <w:shd w:val="clear" w:color="auto" w:fill="FFFFFF"/>
        </w:rPr>
        <w:t>,6</w:t>
      </w:r>
      <w:r w:rsidRPr="00743B7B">
        <w:rPr>
          <w:shd w:val="clear" w:color="auto" w:fill="FFFFFF"/>
        </w:rPr>
        <w:t xml:space="preserve">% </w:t>
      </w:r>
      <w:r w:rsidR="000B0627">
        <w:rPr>
          <w:shd w:val="clear" w:color="auto" w:fill="FFFFFF"/>
        </w:rPr>
        <w:t xml:space="preserve">większa </w:t>
      </w:r>
      <w:r w:rsidRPr="00743B7B">
        <w:rPr>
          <w:shd w:val="clear" w:color="auto" w:fill="FFFFFF"/>
        </w:rPr>
        <w:t>niż przed rokiem.</w:t>
      </w:r>
      <w:r>
        <w:rPr>
          <w:shd w:val="clear" w:color="auto" w:fill="FFFFFF"/>
        </w:rPr>
        <w:t xml:space="preserve"> </w:t>
      </w:r>
      <w:r w:rsidR="00D626B6" w:rsidRPr="00743B7B">
        <w:rPr>
          <w:shd w:val="clear" w:color="auto" w:fill="FFFFFF"/>
        </w:rPr>
        <w:t>Wydajność pracy w budownictwie, mierzona produkcją sprzedaną na 1 zatrudnionego</w:t>
      </w:r>
      <w:r w:rsidR="00FA16FF">
        <w:rPr>
          <w:shd w:val="clear" w:color="auto" w:fill="FFFFFF"/>
        </w:rPr>
        <w:t>,</w:t>
      </w:r>
      <w:r w:rsidR="00D626B6" w:rsidRPr="00743B7B">
        <w:rPr>
          <w:shd w:val="clear" w:color="auto" w:fill="FFFFFF"/>
        </w:rPr>
        <w:t xml:space="preserve"> wyniosła (w cenach bieżących) </w:t>
      </w:r>
      <w:r w:rsidR="000B0627">
        <w:rPr>
          <w:shd w:val="clear" w:color="auto" w:fill="FFFFFF"/>
        </w:rPr>
        <w:t>4</w:t>
      </w:r>
      <w:r w:rsidR="007C4639">
        <w:rPr>
          <w:shd w:val="clear" w:color="auto" w:fill="FFFFFF"/>
        </w:rPr>
        <w:t>3,3</w:t>
      </w:r>
      <w:r w:rsidR="00D626B6" w:rsidRPr="00743B7B">
        <w:rPr>
          <w:shd w:val="clear" w:color="auto" w:fill="FFFFFF"/>
        </w:rPr>
        <w:t xml:space="preserve"> tys. zł i była </w:t>
      </w:r>
      <w:r w:rsidR="00E0567A">
        <w:rPr>
          <w:shd w:val="clear" w:color="auto" w:fill="FFFFFF"/>
        </w:rPr>
        <w:t>większa</w:t>
      </w:r>
      <w:r w:rsidR="00D626B6" w:rsidRPr="00743B7B">
        <w:rPr>
          <w:shd w:val="clear" w:color="auto" w:fill="FFFFFF"/>
        </w:rPr>
        <w:t xml:space="preserve"> niż przed rokiem o </w:t>
      </w:r>
      <w:r w:rsidR="007C4639">
        <w:rPr>
          <w:shd w:val="clear" w:color="auto" w:fill="FFFFFF"/>
        </w:rPr>
        <w:t>18,0</w:t>
      </w:r>
      <w:r w:rsidR="00D626B6" w:rsidRPr="00743B7B">
        <w:rPr>
          <w:shd w:val="clear" w:color="auto" w:fill="FFFFFF"/>
        </w:rPr>
        <w:t>%.</w:t>
      </w:r>
    </w:p>
    <w:p w:rsidR="00D626B6" w:rsidRPr="00FC23D7" w:rsidRDefault="00D626B6" w:rsidP="000960A1">
      <w:pPr>
        <w:rPr>
          <w:shd w:val="clear" w:color="auto" w:fill="FFFFFF"/>
        </w:rPr>
      </w:pPr>
      <w:r w:rsidRPr="00FC23D7">
        <w:rPr>
          <w:shd w:val="clear" w:color="auto" w:fill="FFFFFF"/>
        </w:rPr>
        <w:t xml:space="preserve">Przeciętne zatrudnienie w budownictwie było w </w:t>
      </w:r>
      <w:r w:rsidR="007C4639">
        <w:rPr>
          <w:shd w:val="clear" w:color="auto" w:fill="FFFFFF"/>
        </w:rPr>
        <w:t>lipcu</w:t>
      </w:r>
      <w:r w:rsidR="00C15BBF">
        <w:rPr>
          <w:shd w:val="clear" w:color="auto" w:fill="FFFFFF"/>
        </w:rPr>
        <w:t xml:space="preserve"> 2020 r. </w:t>
      </w:r>
      <w:r w:rsidR="000B0627">
        <w:rPr>
          <w:shd w:val="clear" w:color="auto" w:fill="FFFFFF"/>
        </w:rPr>
        <w:t>o 2,</w:t>
      </w:r>
      <w:r w:rsidR="007C4639">
        <w:rPr>
          <w:shd w:val="clear" w:color="auto" w:fill="FFFFFF"/>
        </w:rPr>
        <w:t>9</w:t>
      </w:r>
      <w:r w:rsidRPr="00FC23D7">
        <w:rPr>
          <w:shd w:val="clear" w:color="auto" w:fill="FFFFFF"/>
        </w:rPr>
        <w:t>% mniejsze niż przed rokiem, przy wzroście przeciętnego miesi</w:t>
      </w:r>
      <w:r w:rsidR="0028695E">
        <w:rPr>
          <w:shd w:val="clear" w:color="auto" w:fill="FFFFFF"/>
        </w:rPr>
        <w:t xml:space="preserve">ęcznego wynagrodzenia brutto o </w:t>
      </w:r>
      <w:r w:rsidR="007C4639">
        <w:rPr>
          <w:shd w:val="clear" w:color="auto" w:fill="FFFFFF"/>
        </w:rPr>
        <w:t>7</w:t>
      </w:r>
      <w:r w:rsidR="000B0627">
        <w:rPr>
          <w:shd w:val="clear" w:color="auto" w:fill="FFFFFF"/>
        </w:rPr>
        <w:t>,5</w:t>
      </w:r>
      <w:r w:rsidRPr="00FC23D7">
        <w:rPr>
          <w:shd w:val="clear" w:color="auto" w:fill="FFFFFF"/>
        </w:rPr>
        <w:t>%.</w:t>
      </w:r>
    </w:p>
    <w:p w:rsidR="00D626B6" w:rsidRDefault="00D626B6" w:rsidP="000960A1">
      <w:pPr>
        <w:rPr>
          <w:shd w:val="clear" w:color="auto" w:fill="FFFFFF"/>
        </w:rPr>
      </w:pPr>
      <w:r w:rsidRPr="00A73BEA">
        <w:rPr>
          <w:shd w:val="clear" w:color="auto" w:fill="FFFFFF"/>
        </w:rPr>
        <w:t xml:space="preserve">Produkcja budowlano-montażowa (w cenach bieżących) w </w:t>
      </w:r>
      <w:r w:rsidR="007C4639">
        <w:rPr>
          <w:shd w:val="clear" w:color="auto" w:fill="FFFFFF"/>
        </w:rPr>
        <w:t>lipcu</w:t>
      </w:r>
      <w:r w:rsidRPr="00A73BEA">
        <w:rPr>
          <w:shd w:val="clear" w:color="auto" w:fill="FFFFFF"/>
        </w:rPr>
        <w:t xml:space="preserve"> 2020 r. ukształtowała się na poziomie </w:t>
      </w:r>
      <w:r w:rsidR="007C4639">
        <w:rPr>
          <w:shd w:val="clear" w:color="auto" w:fill="FFFFFF"/>
        </w:rPr>
        <w:t>177,2</w:t>
      </w:r>
      <w:r w:rsidRPr="00A73BEA">
        <w:rPr>
          <w:shd w:val="clear" w:color="auto" w:fill="FFFFFF"/>
        </w:rPr>
        <w:t xml:space="preserve"> mln zł </w:t>
      </w:r>
      <w:r w:rsidR="002B5B20">
        <w:rPr>
          <w:shd w:val="clear" w:color="auto" w:fill="FFFFFF"/>
        </w:rPr>
        <w:br/>
      </w:r>
      <w:r w:rsidRPr="00A73BEA">
        <w:rPr>
          <w:shd w:val="clear" w:color="auto" w:fill="FFFFFF"/>
        </w:rPr>
        <w:t xml:space="preserve">i stanowiła </w:t>
      </w:r>
      <w:r w:rsidR="007C4639">
        <w:rPr>
          <w:shd w:val="clear" w:color="auto" w:fill="FFFFFF"/>
        </w:rPr>
        <w:t>40,2</w:t>
      </w:r>
      <w:r w:rsidRPr="00A73BEA">
        <w:rPr>
          <w:shd w:val="clear" w:color="auto" w:fill="FFFFFF"/>
        </w:rPr>
        <w:t xml:space="preserve">% ogółu produkcji sprzedanej budownictwa. W stosunku do </w:t>
      </w:r>
      <w:r w:rsidR="007C4639">
        <w:rPr>
          <w:shd w:val="clear" w:color="auto" w:fill="FFFFFF"/>
        </w:rPr>
        <w:t xml:space="preserve">czerwca </w:t>
      </w:r>
      <w:r w:rsidRPr="00A73BEA">
        <w:rPr>
          <w:shd w:val="clear" w:color="auto" w:fill="FFFFFF"/>
        </w:rPr>
        <w:t xml:space="preserve">2020 r. produkcja </w:t>
      </w:r>
      <w:r w:rsidR="0028695E">
        <w:rPr>
          <w:shd w:val="clear" w:color="auto" w:fill="FFFFFF"/>
        </w:rPr>
        <w:t xml:space="preserve">budowlano-montażowa </w:t>
      </w:r>
      <w:r w:rsidR="007C4639">
        <w:rPr>
          <w:shd w:val="clear" w:color="auto" w:fill="FFFFFF"/>
        </w:rPr>
        <w:t>zmalała</w:t>
      </w:r>
      <w:r w:rsidR="0028695E">
        <w:rPr>
          <w:shd w:val="clear" w:color="auto" w:fill="FFFFFF"/>
        </w:rPr>
        <w:t xml:space="preserve"> o </w:t>
      </w:r>
      <w:r w:rsidR="007C4639">
        <w:rPr>
          <w:shd w:val="clear" w:color="auto" w:fill="FFFFFF"/>
        </w:rPr>
        <w:t>14,9</w:t>
      </w:r>
      <w:r w:rsidRPr="00A73BEA">
        <w:rPr>
          <w:shd w:val="clear" w:color="auto" w:fill="FFFFFF"/>
        </w:rPr>
        <w:t>%, a w odniesieniu do</w:t>
      </w:r>
      <w:r w:rsidR="000E6504">
        <w:rPr>
          <w:shd w:val="clear" w:color="auto" w:fill="FFFFFF"/>
        </w:rPr>
        <w:t xml:space="preserve"> </w:t>
      </w:r>
      <w:r w:rsidR="007C4639">
        <w:rPr>
          <w:shd w:val="clear" w:color="auto" w:fill="FFFFFF"/>
        </w:rPr>
        <w:t>lipc</w:t>
      </w:r>
      <w:r w:rsidR="000E6504">
        <w:rPr>
          <w:shd w:val="clear" w:color="auto" w:fill="FFFFFF"/>
        </w:rPr>
        <w:t>a</w:t>
      </w:r>
      <w:r w:rsidRPr="00A73BEA">
        <w:rPr>
          <w:shd w:val="clear" w:color="auto" w:fill="FFFFFF"/>
        </w:rPr>
        <w:t xml:space="preserve"> 2019 r. –</w:t>
      </w:r>
      <w:r w:rsidR="007C4639">
        <w:rPr>
          <w:shd w:val="clear" w:color="auto" w:fill="FFFFFF"/>
        </w:rPr>
        <w:t xml:space="preserve"> wzrosła</w:t>
      </w:r>
      <w:r w:rsidR="00C31A53">
        <w:rPr>
          <w:shd w:val="clear" w:color="auto" w:fill="FFFFFF"/>
        </w:rPr>
        <w:t xml:space="preserve"> </w:t>
      </w:r>
      <w:r w:rsidRPr="00A73BEA">
        <w:rPr>
          <w:shd w:val="clear" w:color="auto" w:fill="FFFFFF"/>
        </w:rPr>
        <w:t xml:space="preserve">o </w:t>
      </w:r>
      <w:r w:rsidR="007C4639">
        <w:rPr>
          <w:shd w:val="clear" w:color="auto" w:fill="FFFFFF"/>
        </w:rPr>
        <w:t>7</w:t>
      </w:r>
      <w:r w:rsidR="000E6504">
        <w:rPr>
          <w:shd w:val="clear" w:color="auto" w:fill="FFFFFF"/>
        </w:rPr>
        <w:t>,3</w:t>
      </w:r>
      <w:r w:rsidRPr="00A73BEA">
        <w:rPr>
          <w:shd w:val="clear" w:color="auto" w:fill="FFFFFF"/>
        </w:rPr>
        <w:t xml:space="preserve">%. </w:t>
      </w:r>
      <w:r w:rsidR="0028695E">
        <w:rPr>
          <w:shd w:val="clear" w:color="auto" w:fill="FFFFFF"/>
        </w:rPr>
        <w:t>Wzrost</w:t>
      </w:r>
      <w:r w:rsidRPr="00825455">
        <w:rPr>
          <w:shd w:val="clear" w:color="auto" w:fill="FFFFFF"/>
        </w:rPr>
        <w:t xml:space="preserve"> produkcji budowlano-montażowej w</w:t>
      </w:r>
      <w:r w:rsidR="00AB3F19">
        <w:rPr>
          <w:shd w:val="clear" w:color="auto" w:fill="FFFFFF"/>
        </w:rPr>
        <w:t> </w:t>
      </w:r>
      <w:r w:rsidRPr="00825455">
        <w:rPr>
          <w:shd w:val="clear" w:color="auto" w:fill="FFFFFF"/>
        </w:rPr>
        <w:t xml:space="preserve">skali roku wystąpił </w:t>
      </w:r>
      <w:r w:rsidR="000162C2" w:rsidRPr="00825455">
        <w:rPr>
          <w:shd w:val="clear" w:color="auto" w:fill="FFFFFF"/>
        </w:rPr>
        <w:t xml:space="preserve">w </w:t>
      </w:r>
      <w:r w:rsidR="000162C2">
        <w:rPr>
          <w:shd w:val="clear" w:color="auto" w:fill="FFFFFF"/>
        </w:rPr>
        <w:t xml:space="preserve">podmiotach </w:t>
      </w:r>
      <w:r w:rsidR="000162C2" w:rsidRPr="000162C2">
        <w:rPr>
          <w:shd w:val="clear" w:color="auto" w:fill="FFFFFF"/>
        </w:rPr>
        <w:t xml:space="preserve">zajmujących się przede wszystkim </w:t>
      </w:r>
      <w:r w:rsidR="007C4639" w:rsidRPr="00825455">
        <w:rPr>
          <w:shd w:val="clear" w:color="auto" w:fill="FFFFFF"/>
        </w:rPr>
        <w:t>robotam</w:t>
      </w:r>
      <w:r w:rsidR="007C4639">
        <w:rPr>
          <w:shd w:val="clear" w:color="auto" w:fill="FFFFFF"/>
        </w:rPr>
        <w:t>i budowlanymi specjalistycznymi (o</w:t>
      </w:r>
      <w:r w:rsidR="00452CA7">
        <w:rPr>
          <w:shd w:val="clear" w:color="auto" w:fill="FFFFFF"/>
        </w:rPr>
        <w:t> </w:t>
      </w:r>
      <w:r w:rsidR="007C4639">
        <w:rPr>
          <w:shd w:val="clear" w:color="auto" w:fill="FFFFFF"/>
        </w:rPr>
        <w:t>35,7%)</w:t>
      </w:r>
      <w:r w:rsidR="000162C2">
        <w:rPr>
          <w:shd w:val="clear" w:color="auto" w:fill="FFFFFF"/>
        </w:rPr>
        <w:t xml:space="preserve"> </w:t>
      </w:r>
      <w:r w:rsidR="00FA16FF">
        <w:rPr>
          <w:shd w:val="clear" w:color="auto" w:fill="FFFFFF"/>
        </w:rPr>
        <w:t>oraz</w:t>
      </w:r>
      <w:r w:rsidR="00F6752E" w:rsidRPr="008A46CE">
        <w:rPr>
          <w:rFonts w:cs="Arial"/>
          <w:szCs w:val="19"/>
        </w:rPr>
        <w:t> </w:t>
      </w:r>
      <w:r w:rsidR="007C4639">
        <w:rPr>
          <w:shd w:val="clear" w:color="auto" w:fill="FFFFFF"/>
        </w:rPr>
        <w:t xml:space="preserve">budową </w:t>
      </w:r>
      <w:r w:rsidR="007C4639" w:rsidRPr="00825455">
        <w:rPr>
          <w:shd w:val="clear" w:color="auto" w:fill="FFFFFF"/>
        </w:rPr>
        <w:t>obiektów inżynierii lądowej i</w:t>
      </w:r>
      <w:r w:rsidR="007C4639">
        <w:rPr>
          <w:shd w:val="clear" w:color="auto" w:fill="FFFFFF"/>
        </w:rPr>
        <w:t> </w:t>
      </w:r>
      <w:r w:rsidR="007C4639" w:rsidRPr="00825455">
        <w:rPr>
          <w:shd w:val="clear" w:color="auto" w:fill="FFFFFF"/>
        </w:rPr>
        <w:t xml:space="preserve">wodnej </w:t>
      </w:r>
      <w:r w:rsidR="007C4639">
        <w:rPr>
          <w:shd w:val="clear" w:color="auto" w:fill="FFFFFF"/>
        </w:rPr>
        <w:t>(o 15,6%)</w:t>
      </w:r>
      <w:r w:rsidR="00716B5B">
        <w:rPr>
          <w:shd w:val="clear" w:color="auto" w:fill="FFFFFF"/>
        </w:rPr>
        <w:t>.</w:t>
      </w:r>
      <w:r w:rsidRPr="00825455">
        <w:rPr>
          <w:shd w:val="clear" w:color="auto" w:fill="FFFFFF"/>
        </w:rPr>
        <w:t xml:space="preserve"> </w:t>
      </w:r>
      <w:r w:rsidR="000162C2">
        <w:rPr>
          <w:shd w:val="clear" w:color="auto" w:fill="FFFFFF"/>
        </w:rPr>
        <w:t>W</w:t>
      </w:r>
      <w:r w:rsidR="000162C2" w:rsidRPr="000162C2">
        <w:rPr>
          <w:shd w:val="clear" w:color="auto" w:fill="FFFFFF"/>
        </w:rPr>
        <w:t xml:space="preserve"> </w:t>
      </w:r>
      <w:r w:rsidR="000162C2">
        <w:rPr>
          <w:shd w:val="clear" w:color="auto" w:fill="FFFFFF"/>
        </w:rPr>
        <w:t xml:space="preserve">jednostkach </w:t>
      </w:r>
      <w:r w:rsidR="000162C2" w:rsidRPr="00825455">
        <w:rPr>
          <w:shd w:val="clear" w:color="auto" w:fill="FFFFFF"/>
        </w:rPr>
        <w:t xml:space="preserve">specjalizujących się w budowie budynków </w:t>
      </w:r>
      <w:r w:rsidR="00A93DEA">
        <w:rPr>
          <w:shd w:val="clear" w:color="auto" w:fill="FFFFFF"/>
        </w:rPr>
        <w:t>odnotowano</w:t>
      </w:r>
      <w:r w:rsidR="000162C2">
        <w:rPr>
          <w:shd w:val="clear" w:color="auto" w:fill="FFFFFF"/>
        </w:rPr>
        <w:t xml:space="preserve"> natomiast </w:t>
      </w:r>
      <w:r w:rsidR="00A93DEA">
        <w:rPr>
          <w:shd w:val="clear" w:color="auto" w:fill="FFFFFF"/>
        </w:rPr>
        <w:t xml:space="preserve">spadek (o </w:t>
      </w:r>
      <w:r w:rsidR="007C4639">
        <w:rPr>
          <w:shd w:val="clear" w:color="auto" w:fill="FFFFFF"/>
        </w:rPr>
        <w:t>20</w:t>
      </w:r>
      <w:r w:rsidR="000E6504">
        <w:rPr>
          <w:shd w:val="clear" w:color="auto" w:fill="FFFFFF"/>
        </w:rPr>
        <w:t>,7</w:t>
      </w:r>
      <w:r w:rsidR="00A93DEA">
        <w:rPr>
          <w:shd w:val="clear" w:color="auto" w:fill="FFFFFF"/>
        </w:rPr>
        <w:t>%).</w:t>
      </w:r>
      <w:r w:rsidR="000162C2">
        <w:rPr>
          <w:shd w:val="clear" w:color="auto" w:fill="FFFFFF"/>
        </w:rPr>
        <w:t xml:space="preserve"> </w:t>
      </w:r>
    </w:p>
    <w:p w:rsidR="000E6504" w:rsidRDefault="00BE7E1D" w:rsidP="00425378">
      <w:pPr>
        <w:rPr>
          <w:shd w:val="clear" w:color="auto" w:fill="FFFFFF"/>
        </w:rPr>
      </w:pPr>
      <w:r>
        <w:rPr>
          <w:shd w:val="clear" w:color="auto" w:fill="FFFFFF"/>
        </w:rPr>
        <w:t>W</w:t>
      </w:r>
      <w:r w:rsidRPr="00756D14">
        <w:rPr>
          <w:shd w:val="clear" w:color="auto" w:fill="FFFFFF"/>
        </w:rPr>
        <w:t xml:space="preserve"> porównaniu </w:t>
      </w:r>
      <w:r>
        <w:rPr>
          <w:shd w:val="clear" w:color="auto" w:fill="FFFFFF"/>
        </w:rPr>
        <w:t xml:space="preserve">z </w:t>
      </w:r>
      <w:r w:rsidR="007C4639">
        <w:rPr>
          <w:shd w:val="clear" w:color="auto" w:fill="FFFFFF"/>
        </w:rPr>
        <w:t>czerwcem</w:t>
      </w:r>
      <w:r w:rsidRPr="00756D14">
        <w:rPr>
          <w:shd w:val="clear" w:color="auto" w:fill="FFFFFF"/>
        </w:rPr>
        <w:t xml:space="preserve"> </w:t>
      </w:r>
      <w:r w:rsidRPr="00AB440E">
        <w:rPr>
          <w:shd w:val="clear" w:color="auto" w:fill="FFFFFF"/>
        </w:rPr>
        <w:t xml:space="preserve">2020 r. </w:t>
      </w:r>
      <w:r w:rsidR="00F4102B">
        <w:rPr>
          <w:shd w:val="clear" w:color="auto" w:fill="FFFFFF"/>
        </w:rPr>
        <w:t xml:space="preserve">niewielki </w:t>
      </w:r>
      <w:r w:rsidR="000E6504">
        <w:rPr>
          <w:shd w:val="clear" w:color="auto" w:fill="FFFFFF"/>
        </w:rPr>
        <w:t>wzrost</w:t>
      </w:r>
      <w:r w:rsidR="00D626B6" w:rsidRPr="00756D14">
        <w:rPr>
          <w:shd w:val="clear" w:color="auto" w:fill="FFFFFF"/>
        </w:rPr>
        <w:t xml:space="preserve"> </w:t>
      </w:r>
      <w:r>
        <w:rPr>
          <w:shd w:val="clear" w:color="auto" w:fill="FFFFFF"/>
        </w:rPr>
        <w:t xml:space="preserve">produkcji budowlano-montażowej </w:t>
      </w:r>
      <w:r w:rsidR="000E6504">
        <w:rPr>
          <w:shd w:val="clear" w:color="auto" w:fill="FFFFFF"/>
        </w:rPr>
        <w:t>wystąpił</w:t>
      </w:r>
      <w:r w:rsidR="001B51EE">
        <w:rPr>
          <w:shd w:val="clear" w:color="auto" w:fill="FFFFFF"/>
        </w:rPr>
        <w:t xml:space="preserve"> </w:t>
      </w:r>
      <w:r w:rsidR="00F4102B">
        <w:rPr>
          <w:shd w:val="clear" w:color="auto" w:fill="FFFFFF"/>
        </w:rPr>
        <w:t xml:space="preserve">jedynie </w:t>
      </w:r>
      <w:r w:rsidR="001B51EE">
        <w:rPr>
          <w:shd w:val="clear" w:color="auto" w:fill="FFFFFF"/>
        </w:rPr>
        <w:t xml:space="preserve">w przedsiębiorstwach </w:t>
      </w:r>
      <w:r w:rsidR="000E6504">
        <w:rPr>
          <w:shd w:val="clear" w:color="auto" w:fill="FFFFFF"/>
        </w:rPr>
        <w:t xml:space="preserve">specjalizujących się w budowie </w:t>
      </w:r>
      <w:r w:rsidR="000E6504" w:rsidRPr="00AB440E">
        <w:rPr>
          <w:shd w:val="clear" w:color="auto" w:fill="FFFFFF"/>
        </w:rPr>
        <w:t xml:space="preserve">budynków </w:t>
      </w:r>
      <w:r w:rsidR="000E6504">
        <w:rPr>
          <w:shd w:val="clear" w:color="auto" w:fill="FFFFFF"/>
        </w:rPr>
        <w:t xml:space="preserve">(o </w:t>
      </w:r>
      <w:r w:rsidR="00F4102B">
        <w:rPr>
          <w:shd w:val="clear" w:color="auto" w:fill="FFFFFF"/>
        </w:rPr>
        <w:t>1,6</w:t>
      </w:r>
      <w:r w:rsidR="000E6504">
        <w:rPr>
          <w:shd w:val="clear" w:color="auto" w:fill="FFFFFF"/>
        </w:rPr>
        <w:t>%). W</w:t>
      </w:r>
      <w:r w:rsidR="00425378">
        <w:rPr>
          <w:shd w:val="clear" w:color="auto" w:fill="FFFFFF"/>
        </w:rPr>
        <w:t> </w:t>
      </w:r>
      <w:r w:rsidR="004C2575" w:rsidRPr="00AB440E">
        <w:rPr>
          <w:shd w:val="clear" w:color="auto" w:fill="FFFFFF"/>
        </w:rPr>
        <w:t>podmiotach, których podstawo</w:t>
      </w:r>
      <w:r w:rsidR="004C2575">
        <w:rPr>
          <w:shd w:val="clear" w:color="auto" w:fill="FFFFFF"/>
        </w:rPr>
        <w:t>wy rodzaj działalności stanowiły</w:t>
      </w:r>
      <w:r w:rsidR="004C2575" w:rsidRPr="00AB440E">
        <w:rPr>
          <w:shd w:val="clear" w:color="auto" w:fill="FFFFFF"/>
        </w:rPr>
        <w:t xml:space="preserve"> rob</w:t>
      </w:r>
      <w:r w:rsidR="004C2575">
        <w:rPr>
          <w:shd w:val="clear" w:color="auto" w:fill="FFFFFF"/>
        </w:rPr>
        <w:t>oty bud</w:t>
      </w:r>
      <w:r w:rsidR="00C31A53">
        <w:rPr>
          <w:shd w:val="clear" w:color="auto" w:fill="FFFFFF"/>
        </w:rPr>
        <w:t>owlane specjalistyczne</w:t>
      </w:r>
      <w:r w:rsidR="001B51EE">
        <w:rPr>
          <w:shd w:val="clear" w:color="auto" w:fill="FFFFFF"/>
        </w:rPr>
        <w:t xml:space="preserve"> </w:t>
      </w:r>
      <w:r w:rsidR="00F4102B">
        <w:rPr>
          <w:shd w:val="clear" w:color="auto" w:fill="FFFFFF"/>
        </w:rPr>
        <w:t xml:space="preserve">oraz firmach </w:t>
      </w:r>
      <w:r w:rsidR="00F4102B" w:rsidRPr="00AB440E">
        <w:rPr>
          <w:shd w:val="clear" w:color="auto" w:fill="FFFFFF"/>
        </w:rPr>
        <w:t xml:space="preserve">zajmujących się </w:t>
      </w:r>
      <w:r w:rsidR="002278C9">
        <w:rPr>
          <w:shd w:val="clear" w:color="auto" w:fill="FFFFFF"/>
        </w:rPr>
        <w:t xml:space="preserve">głównie </w:t>
      </w:r>
      <w:r w:rsidR="00F4102B" w:rsidRPr="00AB440E">
        <w:rPr>
          <w:shd w:val="clear" w:color="auto" w:fill="FFFFFF"/>
        </w:rPr>
        <w:t>budową obiektów inżynierii lądowej i</w:t>
      </w:r>
      <w:r w:rsidR="00452CA7">
        <w:rPr>
          <w:shd w:val="clear" w:color="auto" w:fill="FFFFFF"/>
        </w:rPr>
        <w:t> </w:t>
      </w:r>
      <w:r w:rsidR="00F4102B" w:rsidRPr="00AB440E">
        <w:rPr>
          <w:shd w:val="clear" w:color="auto" w:fill="FFFFFF"/>
        </w:rPr>
        <w:t>wodnej</w:t>
      </w:r>
      <w:r w:rsidR="00F4102B">
        <w:rPr>
          <w:shd w:val="clear" w:color="auto" w:fill="FFFFFF"/>
        </w:rPr>
        <w:t xml:space="preserve"> </w:t>
      </w:r>
      <w:r w:rsidR="001B51EE">
        <w:rPr>
          <w:shd w:val="clear" w:color="auto" w:fill="FFFFFF"/>
        </w:rPr>
        <w:t xml:space="preserve">wystąpił </w:t>
      </w:r>
      <w:r w:rsidR="000E6504">
        <w:rPr>
          <w:shd w:val="clear" w:color="auto" w:fill="FFFFFF"/>
        </w:rPr>
        <w:t>natomiast</w:t>
      </w:r>
      <w:r w:rsidR="001B51EE">
        <w:rPr>
          <w:shd w:val="clear" w:color="auto" w:fill="FFFFFF"/>
        </w:rPr>
        <w:t xml:space="preserve"> </w:t>
      </w:r>
      <w:r w:rsidR="000E6504">
        <w:rPr>
          <w:shd w:val="clear" w:color="auto" w:fill="FFFFFF"/>
        </w:rPr>
        <w:t>spadek (</w:t>
      </w:r>
      <w:r w:rsidR="00F4102B">
        <w:rPr>
          <w:shd w:val="clear" w:color="auto" w:fill="FFFFFF"/>
        </w:rPr>
        <w:t xml:space="preserve">odpowiednio </w:t>
      </w:r>
      <w:r w:rsidR="000E6504">
        <w:rPr>
          <w:shd w:val="clear" w:color="auto" w:fill="FFFFFF"/>
        </w:rPr>
        <w:t xml:space="preserve">o </w:t>
      </w:r>
      <w:r w:rsidR="007C4639">
        <w:rPr>
          <w:shd w:val="clear" w:color="auto" w:fill="FFFFFF"/>
        </w:rPr>
        <w:t>14,9</w:t>
      </w:r>
      <w:r w:rsidR="000E6504">
        <w:rPr>
          <w:shd w:val="clear" w:color="auto" w:fill="FFFFFF"/>
        </w:rPr>
        <w:t>%</w:t>
      </w:r>
      <w:r w:rsidR="00F4102B">
        <w:rPr>
          <w:shd w:val="clear" w:color="auto" w:fill="FFFFFF"/>
        </w:rPr>
        <w:t xml:space="preserve"> i 23,6%).</w:t>
      </w:r>
    </w:p>
    <w:p w:rsidR="00A43638" w:rsidRPr="00425378" w:rsidRDefault="00D626B6" w:rsidP="00CA18EC">
      <w:pPr>
        <w:pStyle w:val="tytuwykresu"/>
        <w:rPr>
          <w:b w:val="0"/>
          <w:sz w:val="18"/>
          <w:shd w:val="clear" w:color="auto" w:fill="FFFFFF"/>
        </w:rPr>
      </w:pPr>
      <w:r w:rsidRPr="00825455">
        <w:rPr>
          <w:shd w:val="clear" w:color="auto" w:fill="FFFFFF"/>
        </w:rPr>
        <w:t xml:space="preserve">Tablica </w:t>
      </w:r>
      <w:r w:rsidR="004E1F5F">
        <w:rPr>
          <w:shd w:val="clear" w:color="auto" w:fill="FFFFFF"/>
        </w:rPr>
        <w:t>9</w:t>
      </w:r>
      <w:r w:rsidRPr="00825455">
        <w:rPr>
          <w:shd w:val="clear" w:color="auto" w:fill="FFFFFF"/>
        </w:rPr>
        <w:t>. Dynamika i struktura produkcji budowlano-montażowej (w cenach bieżących)</w:t>
      </w:r>
    </w:p>
    <w:tbl>
      <w:tblPr>
        <w:tblStyle w:val="Siatkatabelijasna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238"/>
        <w:gridCol w:w="2406"/>
        <w:gridCol w:w="2406"/>
        <w:gridCol w:w="2406"/>
      </w:tblGrid>
      <w:tr w:rsidR="00D626B6" w:rsidRPr="003B7364" w:rsidTr="0068266B">
        <w:trPr>
          <w:trHeight w:val="57"/>
        </w:trPr>
        <w:tc>
          <w:tcPr>
            <w:tcW w:w="3238" w:type="dxa"/>
            <w:vMerge w:val="restart"/>
            <w:tcBorders>
              <w:top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B7364">
              <w:rPr>
                <w:rFonts w:ascii="Fira Sans" w:hAnsi="Fira Sans" w:cs="Arial"/>
                <w:color w:val="auto"/>
                <w:sz w:val="16"/>
                <w:szCs w:val="16"/>
              </w:rPr>
              <w:t>WYSZCZEGÓLNIENIE</w:t>
            </w:r>
          </w:p>
        </w:tc>
        <w:tc>
          <w:tcPr>
            <w:tcW w:w="2406" w:type="dxa"/>
            <w:tcBorders>
              <w:top w:val="single" w:sz="4" w:space="0" w:color="522398"/>
              <w:left w:val="single" w:sz="4" w:space="0" w:color="522398"/>
              <w:bottom w:val="single" w:sz="4" w:space="0" w:color="522398"/>
            </w:tcBorders>
            <w:vAlign w:val="center"/>
          </w:tcPr>
          <w:p w:rsidR="00D626B6" w:rsidRPr="003B7364" w:rsidRDefault="00C15BBF" w:rsidP="000D30BF">
            <w:pPr>
              <w:pStyle w:val="Nagwek3"/>
              <w:spacing w:before="80" w:after="80"/>
              <w:jc w:val="center"/>
              <w:outlineLvl w:val="2"/>
              <w:rPr>
                <w:rFonts w:ascii="Fira Sans" w:hAnsi="Fira Sans"/>
                <w:color w:val="auto"/>
                <w:sz w:val="16"/>
                <w:szCs w:val="16"/>
              </w:rPr>
            </w:pPr>
            <w:r>
              <w:rPr>
                <w:rFonts w:ascii="Fira Sans" w:hAnsi="Fira Sans"/>
                <w:color w:val="auto"/>
                <w:sz w:val="16"/>
                <w:szCs w:val="16"/>
              </w:rPr>
              <w:t>V</w:t>
            </w:r>
            <w:r w:rsidR="000B0627">
              <w:rPr>
                <w:rFonts w:ascii="Fira Sans" w:hAnsi="Fira Sans"/>
                <w:color w:val="auto"/>
                <w:sz w:val="16"/>
                <w:szCs w:val="16"/>
              </w:rPr>
              <w:t>I</w:t>
            </w:r>
            <w:r w:rsidR="007C4639">
              <w:rPr>
                <w:rFonts w:ascii="Fira Sans" w:hAnsi="Fira Sans"/>
                <w:color w:val="auto"/>
                <w:sz w:val="16"/>
                <w:szCs w:val="16"/>
              </w:rPr>
              <w:t>I</w:t>
            </w:r>
            <w:r w:rsidR="00D626B6" w:rsidRPr="003B7364">
              <w:rPr>
                <w:rFonts w:ascii="Fira Sans" w:hAnsi="Fira Sans"/>
                <w:color w:val="auto"/>
                <w:sz w:val="16"/>
                <w:szCs w:val="16"/>
              </w:rPr>
              <w:t xml:space="preserve"> 2020</w:t>
            </w:r>
          </w:p>
        </w:tc>
        <w:tc>
          <w:tcPr>
            <w:tcW w:w="4812" w:type="dxa"/>
            <w:gridSpan w:val="2"/>
            <w:tcBorders>
              <w:top w:val="single" w:sz="4" w:space="0" w:color="522398"/>
              <w:left w:val="single" w:sz="4" w:space="0" w:color="522398"/>
              <w:bottom w:val="single" w:sz="4" w:space="0" w:color="522398"/>
            </w:tcBorders>
            <w:vAlign w:val="center"/>
          </w:tcPr>
          <w:p w:rsidR="00D626B6" w:rsidRPr="003B7364" w:rsidRDefault="00E0567A" w:rsidP="00C15BBF">
            <w:pPr>
              <w:pStyle w:val="Nagwek3"/>
              <w:spacing w:before="80" w:after="80"/>
              <w:jc w:val="center"/>
              <w:outlineLvl w:val="2"/>
              <w:rPr>
                <w:rFonts w:ascii="Fira Sans" w:hAnsi="Fira Sans"/>
                <w:color w:val="auto"/>
                <w:sz w:val="16"/>
                <w:szCs w:val="16"/>
              </w:rPr>
            </w:pPr>
            <w:r>
              <w:rPr>
                <w:rFonts w:ascii="Fira Sans" w:hAnsi="Fira Sans"/>
                <w:color w:val="auto"/>
                <w:sz w:val="16"/>
                <w:szCs w:val="16"/>
              </w:rPr>
              <w:t>I-</w:t>
            </w:r>
            <w:r w:rsidR="00C15BBF">
              <w:rPr>
                <w:rFonts w:ascii="Fira Sans" w:hAnsi="Fira Sans"/>
                <w:color w:val="auto"/>
                <w:sz w:val="16"/>
                <w:szCs w:val="16"/>
              </w:rPr>
              <w:t>V</w:t>
            </w:r>
            <w:r w:rsidR="000B0627">
              <w:rPr>
                <w:rFonts w:ascii="Fira Sans" w:hAnsi="Fira Sans"/>
                <w:color w:val="auto"/>
                <w:sz w:val="16"/>
                <w:szCs w:val="16"/>
              </w:rPr>
              <w:t>I</w:t>
            </w:r>
            <w:r w:rsidR="007C4639">
              <w:rPr>
                <w:rFonts w:ascii="Fira Sans" w:hAnsi="Fira Sans"/>
                <w:color w:val="auto"/>
                <w:sz w:val="16"/>
                <w:szCs w:val="16"/>
              </w:rPr>
              <w:t>I</w:t>
            </w:r>
            <w:r w:rsidR="00D626B6" w:rsidRPr="003B7364">
              <w:rPr>
                <w:rFonts w:ascii="Fira Sans" w:hAnsi="Fira Sans"/>
                <w:color w:val="auto"/>
                <w:sz w:val="16"/>
                <w:szCs w:val="16"/>
              </w:rPr>
              <w:t xml:space="preserve"> 2020</w:t>
            </w:r>
          </w:p>
        </w:tc>
      </w:tr>
      <w:tr w:rsidR="00D626B6" w:rsidRPr="003B7364" w:rsidTr="0068266B">
        <w:tc>
          <w:tcPr>
            <w:tcW w:w="3238" w:type="dxa"/>
            <w:vMerge/>
            <w:tcBorders>
              <w:bottom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cs="Arial"/>
                <w:b/>
                <w:color w:val="auto"/>
                <w:sz w:val="16"/>
                <w:szCs w:val="16"/>
              </w:rPr>
            </w:pPr>
          </w:p>
        </w:tc>
        <w:tc>
          <w:tcPr>
            <w:tcW w:w="4812" w:type="dxa"/>
            <w:gridSpan w:val="2"/>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analogiczny okres roku</w:t>
            </w:r>
            <w:r w:rsidRPr="003B7364">
              <w:rPr>
                <w:sz w:val="16"/>
                <w:szCs w:val="16"/>
              </w:rPr>
              <w:br/>
              <w:t>poprzedniego = 100</w:t>
            </w:r>
          </w:p>
        </w:tc>
        <w:tc>
          <w:tcPr>
            <w:tcW w:w="2406" w:type="dxa"/>
            <w:tcBorders>
              <w:top w:val="single" w:sz="4" w:space="0" w:color="7030A0"/>
              <w:left w:val="single" w:sz="4" w:space="0" w:color="522398"/>
              <w:bottom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w odsetkach</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center"/>
          </w:tcPr>
          <w:p w:rsidR="00D626B6" w:rsidRPr="003B7364" w:rsidRDefault="00D626B6" w:rsidP="000D30BF">
            <w:pPr>
              <w:pStyle w:val="Nagwek5"/>
              <w:tabs>
                <w:tab w:val="right" w:leader="dot" w:pos="4156"/>
              </w:tabs>
              <w:spacing w:before="60" w:after="60"/>
              <w:contextualSpacing/>
              <w:outlineLvl w:val="4"/>
              <w:rPr>
                <w:rFonts w:ascii="Fira Sans" w:hAnsi="Fira Sans"/>
                <w:b/>
                <w:color w:val="auto"/>
                <w:sz w:val="16"/>
                <w:szCs w:val="16"/>
              </w:rPr>
            </w:pPr>
            <w:r w:rsidRPr="003B7364">
              <w:rPr>
                <w:rFonts w:ascii="Fira Sans" w:hAnsi="Fira Sans"/>
                <w:b/>
                <w:color w:val="auto"/>
                <w:sz w:val="16"/>
                <w:szCs w:val="16"/>
              </w:rPr>
              <w:t>OGÓŁEM</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b/>
                <w:sz w:val="16"/>
                <w:szCs w:val="16"/>
              </w:rPr>
            </w:pPr>
            <w:r>
              <w:rPr>
                <w:rFonts w:cs="Arial"/>
                <w:b/>
                <w:sz w:val="16"/>
                <w:szCs w:val="16"/>
              </w:rPr>
              <w:t>107,3</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b/>
                <w:sz w:val="16"/>
                <w:szCs w:val="16"/>
              </w:rPr>
            </w:pPr>
            <w:r>
              <w:rPr>
                <w:rFonts w:cs="Arial"/>
                <w:b/>
                <w:sz w:val="16"/>
                <w:szCs w:val="16"/>
              </w:rPr>
              <w:t>107,7</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3B7364">
              <w:rPr>
                <w:rFonts w:cs="Arial"/>
                <w:b/>
                <w:sz w:val="16"/>
                <w:szCs w:val="16"/>
              </w:rPr>
              <w:t>100,0</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budynków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79,3</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71,5</w:t>
            </w:r>
          </w:p>
        </w:tc>
        <w:tc>
          <w:tcPr>
            <w:tcW w:w="2406" w:type="dxa"/>
            <w:tcBorders>
              <w:top w:val="single" w:sz="4" w:space="0" w:color="522398"/>
              <w:left w:val="single" w:sz="4" w:space="0" w:color="522398"/>
              <w:bottom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24,8</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obiektów inżynierii lądowej </w:t>
            </w:r>
            <w:r w:rsidRPr="003B7364">
              <w:rPr>
                <w:rFonts w:cs="Arial"/>
                <w:sz w:val="16"/>
                <w:szCs w:val="16"/>
              </w:rPr>
              <w:br/>
              <w:t xml:space="preserve">i wodnej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7C4639" w:rsidP="000D30BF">
            <w:pPr>
              <w:spacing w:before="60" w:after="60"/>
              <w:ind w:right="170"/>
              <w:jc w:val="right"/>
              <w:rPr>
                <w:rFonts w:cs="Arial"/>
                <w:sz w:val="16"/>
                <w:szCs w:val="16"/>
              </w:rPr>
            </w:pPr>
            <w:r>
              <w:rPr>
                <w:rFonts w:cs="Arial"/>
                <w:sz w:val="16"/>
                <w:szCs w:val="16"/>
              </w:rPr>
              <w:t>115,6</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7C4639" w:rsidP="000D30BF">
            <w:pPr>
              <w:spacing w:before="60" w:after="60"/>
              <w:ind w:right="170"/>
              <w:jc w:val="right"/>
              <w:rPr>
                <w:rFonts w:cs="Arial"/>
                <w:sz w:val="16"/>
                <w:szCs w:val="16"/>
              </w:rPr>
            </w:pPr>
            <w:r>
              <w:rPr>
                <w:rFonts w:cs="Arial"/>
                <w:sz w:val="16"/>
                <w:szCs w:val="16"/>
              </w:rPr>
              <w:t>140,6</w:t>
            </w:r>
          </w:p>
        </w:tc>
        <w:tc>
          <w:tcPr>
            <w:tcW w:w="2406" w:type="dxa"/>
            <w:tcBorders>
              <w:top w:val="single" w:sz="4" w:space="0" w:color="522398"/>
              <w:left w:val="single" w:sz="4" w:space="0" w:color="522398"/>
              <w:bottom w:val="single" w:sz="4" w:space="0" w:color="522398"/>
            </w:tcBorders>
            <w:vAlign w:val="bottom"/>
          </w:tcPr>
          <w:p w:rsidR="00D626B6" w:rsidRPr="003B7364" w:rsidRDefault="007C4639" w:rsidP="000D30BF">
            <w:pPr>
              <w:spacing w:before="60" w:after="60"/>
              <w:ind w:right="170"/>
              <w:jc w:val="right"/>
              <w:rPr>
                <w:rFonts w:cs="Arial"/>
                <w:sz w:val="16"/>
                <w:szCs w:val="16"/>
              </w:rPr>
            </w:pPr>
            <w:r>
              <w:rPr>
                <w:rFonts w:cs="Arial"/>
                <w:sz w:val="16"/>
                <w:szCs w:val="16"/>
              </w:rPr>
              <w:t>34,2</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Roboty budowlane specjalistyczne</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135,7</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121,2</w:t>
            </w:r>
          </w:p>
        </w:tc>
        <w:tc>
          <w:tcPr>
            <w:tcW w:w="2406" w:type="dxa"/>
            <w:tcBorders>
              <w:top w:val="single" w:sz="4" w:space="0" w:color="522398"/>
              <w:left w:val="single" w:sz="4" w:space="0" w:color="522398"/>
              <w:bottom w:val="single" w:sz="4" w:space="0" w:color="522398"/>
            </w:tcBorders>
            <w:vAlign w:val="center"/>
          </w:tcPr>
          <w:p w:rsidR="00D626B6" w:rsidRPr="003B7364" w:rsidRDefault="007C4639" w:rsidP="000D30BF">
            <w:pPr>
              <w:spacing w:before="60" w:after="60"/>
              <w:ind w:right="170"/>
              <w:jc w:val="right"/>
              <w:rPr>
                <w:rFonts w:cs="Arial"/>
                <w:sz w:val="16"/>
                <w:szCs w:val="16"/>
              </w:rPr>
            </w:pPr>
            <w:r>
              <w:rPr>
                <w:rFonts w:cs="Arial"/>
                <w:sz w:val="16"/>
                <w:szCs w:val="16"/>
              </w:rPr>
              <w:t>41,0</w:t>
            </w:r>
          </w:p>
        </w:tc>
      </w:tr>
    </w:tbl>
    <w:p w:rsidR="00515660" w:rsidRDefault="00515660" w:rsidP="00F6752E">
      <w:pPr>
        <w:pageBreakBefore/>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BUDOWNICTWO MIESZKANIOWE</w:t>
      </w:r>
    </w:p>
    <w:p w:rsidR="0076092B" w:rsidRDefault="0076092B" w:rsidP="0076092B">
      <w:pPr>
        <w:rPr>
          <w:rFonts w:eastAsia="Fira Sans Light" w:cs="Arial"/>
          <w:szCs w:val="19"/>
        </w:rPr>
      </w:pPr>
      <w:r>
        <w:rPr>
          <w:rFonts w:eastAsia="Fira Sans Light" w:cs="Arial"/>
          <w:szCs w:val="19"/>
        </w:rPr>
        <w:t>W lipcu 2020 r. przekazano do użytkowania o 39,6% więcej mieszkań niż w analogicznym miesiącu poprzedniego roku, zmniejszyła się natomiast liczba mieszkań, których budowę rozpoczęto (o 10,7%) oraz liczba mieszkań, na realizację których wydano pozwolenia lub dokonano zgłoszenia z projektem budowlanym (o 5,8%).</w:t>
      </w:r>
    </w:p>
    <w:p w:rsidR="0076092B" w:rsidRDefault="0076092B" w:rsidP="0076092B">
      <w:pPr>
        <w:rPr>
          <w:rFonts w:eastAsia="Fira Sans Light" w:cs="Arial"/>
          <w:szCs w:val="19"/>
        </w:rPr>
      </w:pPr>
      <w:r>
        <w:rPr>
          <w:rFonts w:eastAsia="Fira Sans Light" w:cs="Arial"/>
          <w:szCs w:val="19"/>
        </w:rPr>
        <w:t>Według wstępnych danych</w:t>
      </w:r>
      <w:r>
        <w:rPr>
          <w:rFonts w:eastAsia="Fira Sans Light" w:cs="Arial"/>
          <w:szCs w:val="19"/>
          <w:vertAlign w:val="superscript"/>
        </w:rPr>
        <w:footnoteReference w:id="2"/>
      </w:r>
      <w:r>
        <w:rPr>
          <w:rFonts w:eastAsia="Fira Sans Light" w:cs="Arial"/>
          <w:szCs w:val="19"/>
        </w:rPr>
        <w:t xml:space="preserve">, w lipcu 2020 r. przekazano do użytkowania 522 mieszkania, tj. o 148 więcej niż przed rokiem. W badanym miesiącu oddano do użytkowania 291 mieszkań przeznaczonych na sprzedaż lub wynajem (55,7% ogółu, w lipcu 2019 r. – 49,5%). Ponadto inwestorzy indywidualni przekazali 217 mieszkań (41,6% ogólnej liczby oddanych mieszkań, w lipcu 2019 r. – 49,7%), do użytkowania </w:t>
      </w:r>
      <w:r w:rsidR="00971282">
        <w:rPr>
          <w:rFonts w:eastAsia="Fira Sans Light" w:cs="Arial"/>
          <w:szCs w:val="19"/>
        </w:rPr>
        <w:t xml:space="preserve">oddano także </w:t>
      </w:r>
      <w:r>
        <w:rPr>
          <w:rFonts w:eastAsia="Fira Sans Light" w:cs="Arial"/>
          <w:szCs w:val="19"/>
        </w:rPr>
        <w:t xml:space="preserve">14 mieszkań komunalnych. Efekty budownictwa mieszkaniowego uzyskane w województwie świętokrzyskim w lipcu 2020 r. stanowiły 2,4% efektów krajowych. </w:t>
      </w:r>
    </w:p>
    <w:p w:rsidR="0076092B" w:rsidRDefault="0076092B" w:rsidP="0076092B">
      <w:pPr>
        <w:spacing w:before="480" w:after="0"/>
        <w:rPr>
          <w:rFonts w:eastAsia="Fira Sans Light" w:cs="Times New Roman"/>
          <w:b/>
          <w:spacing w:val="-2"/>
          <w:shd w:val="clear" w:color="auto" w:fill="FFFFFF"/>
        </w:rPr>
      </w:pPr>
      <w:r>
        <w:rPr>
          <w:rFonts w:eastAsia="Fira Sans Light" w:cs="Times New Roman"/>
          <w:b/>
          <w:spacing w:val="-2"/>
          <w:shd w:val="clear" w:color="auto" w:fill="FFFFFF"/>
        </w:rPr>
        <w:t>Tablica 10. Liczba mieszkań oddanych do użytkowania w okresie styczeń-lipiec 2020 r.</w:t>
      </w:r>
    </w:p>
    <w:tbl>
      <w:tblPr>
        <w:tblStyle w:val="Siatkatabelijasna111"/>
        <w:tblpPr w:leftFromText="141" w:rightFromText="141" w:vertAnchor="text" w:horzAnchor="margin" w:tblpXSpec="center" w:tblpY="117"/>
        <w:tblW w:w="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4077"/>
        <w:gridCol w:w="1597"/>
        <w:gridCol w:w="1598"/>
        <w:gridCol w:w="1597"/>
        <w:gridCol w:w="1598"/>
      </w:tblGrid>
      <w:tr w:rsidR="0076092B" w:rsidTr="0076092B">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rsidR="0076092B" w:rsidRDefault="0076092B">
            <w:pPr>
              <w:keepNext/>
              <w:tabs>
                <w:tab w:val="right" w:leader="dot" w:pos="4139"/>
              </w:tabs>
              <w:spacing w:before="80" w:after="80"/>
              <w:jc w:val="center"/>
              <w:outlineLvl w:val="0"/>
              <w:rPr>
                <w:rFonts w:eastAsia="Times New Roman" w:cs="Arial"/>
                <w:b/>
                <w:color w:val="000000" w:themeColor="text1"/>
                <w:sz w:val="16"/>
                <w:szCs w:val="16"/>
              </w:rPr>
            </w:pPr>
            <w:r>
              <w:rPr>
                <w:rFonts w:eastAsia="Times New Roman" w:cs="Arial"/>
                <w:bCs/>
                <w:color w:val="000000" w:themeColor="text1"/>
                <w:sz w:val="16"/>
                <w:szCs w:val="16"/>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rsidR="0076092B" w:rsidRDefault="0076092B">
            <w:pPr>
              <w:keepNext/>
              <w:keepLines/>
              <w:spacing w:before="80" w:after="80"/>
              <w:jc w:val="center"/>
              <w:outlineLvl w:val="2"/>
              <w:rPr>
                <w:rFonts w:eastAsia="MS Gothic"/>
                <w:color w:val="000000" w:themeColor="text1"/>
                <w:sz w:val="16"/>
                <w:szCs w:val="16"/>
              </w:rPr>
            </w:pPr>
            <w:r>
              <w:rPr>
                <w:rFonts w:eastAsia="MS Gothic"/>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rsidR="0076092B" w:rsidRDefault="0076092B">
            <w:pPr>
              <w:spacing w:before="80" w:after="80"/>
              <w:jc w:val="center"/>
              <w:rPr>
                <w:color w:val="000000" w:themeColor="text1"/>
                <w:sz w:val="16"/>
                <w:szCs w:val="16"/>
              </w:rPr>
            </w:pPr>
            <w:r>
              <w:rPr>
                <w:color w:val="000000" w:themeColor="text1"/>
                <w:sz w:val="16"/>
                <w:szCs w:val="16"/>
              </w:rPr>
              <w:t xml:space="preserve">Przeciętna </w:t>
            </w:r>
            <w:r>
              <w:rPr>
                <w:color w:val="000000" w:themeColor="text1"/>
                <w:sz w:val="16"/>
                <w:szCs w:val="16"/>
              </w:rPr>
              <w:br/>
              <w:t xml:space="preserve">powierzchnia użytkowa </w:t>
            </w:r>
            <w:r>
              <w:rPr>
                <w:color w:val="000000" w:themeColor="text1"/>
                <w:sz w:val="16"/>
                <w:szCs w:val="16"/>
              </w:rPr>
              <w:br/>
              <w:t>1 mieszkania w m</w:t>
            </w:r>
            <w:r>
              <w:rPr>
                <w:color w:val="000000" w:themeColor="text1"/>
                <w:sz w:val="16"/>
                <w:szCs w:val="16"/>
                <w:vertAlign w:val="superscript"/>
              </w:rPr>
              <w:t>2</w:t>
            </w:r>
          </w:p>
        </w:tc>
      </w:tr>
      <w:tr w:rsidR="0076092B" w:rsidTr="0076092B">
        <w:trPr>
          <w:trHeight w:val="57"/>
        </w:trPr>
        <w:tc>
          <w:tcPr>
            <w:tcW w:w="4077" w:type="dxa"/>
            <w:vMerge/>
            <w:tcBorders>
              <w:top w:val="single" w:sz="4" w:space="0" w:color="522398"/>
              <w:left w:val="nil"/>
              <w:bottom w:val="single" w:sz="4" w:space="0" w:color="522398"/>
              <w:right w:val="single" w:sz="4" w:space="0" w:color="522398"/>
            </w:tcBorders>
            <w:vAlign w:val="center"/>
            <w:hideMark/>
          </w:tcPr>
          <w:p w:rsidR="0076092B" w:rsidRDefault="0076092B">
            <w:pPr>
              <w:spacing w:before="0" w:after="0" w:line="240" w:lineRule="auto"/>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pPr>
              <w:spacing w:before="40" w:after="40"/>
              <w:jc w:val="center"/>
              <w:rPr>
                <w:color w:val="000000" w:themeColor="text1"/>
                <w:sz w:val="16"/>
                <w:szCs w:val="16"/>
              </w:rPr>
            </w:pPr>
            <w:r>
              <w:rPr>
                <w:color w:val="000000" w:themeColor="text1"/>
                <w:sz w:val="16"/>
                <w:szCs w:val="16"/>
              </w:rPr>
              <w:t xml:space="preserve">w liczbach </w:t>
            </w:r>
            <w:r>
              <w:rPr>
                <w:color w:val="000000" w:themeColor="text1"/>
                <w:sz w:val="16"/>
                <w:szCs w:val="16"/>
              </w:rPr>
              <w:br/>
              <w:t xml:space="preserve">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76092B" w:rsidRDefault="0076092B">
            <w:pPr>
              <w:spacing w:before="40" w:after="4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rsidR="0076092B" w:rsidRDefault="0076092B">
            <w:pPr>
              <w:spacing w:before="40" w:after="40"/>
              <w:jc w:val="center"/>
              <w:rPr>
                <w:color w:val="000000" w:themeColor="text1"/>
                <w:sz w:val="16"/>
                <w:szCs w:val="16"/>
              </w:rPr>
            </w:pPr>
            <w:r>
              <w:rPr>
                <w:color w:val="000000" w:themeColor="text1"/>
                <w:sz w:val="16"/>
                <w:szCs w:val="16"/>
              </w:rPr>
              <w:t>I-VII 2019=100</w:t>
            </w:r>
          </w:p>
        </w:tc>
        <w:tc>
          <w:tcPr>
            <w:tcW w:w="1598" w:type="dxa"/>
            <w:vMerge/>
            <w:tcBorders>
              <w:top w:val="single" w:sz="4" w:space="0" w:color="522398"/>
              <w:left w:val="single" w:sz="4" w:space="0" w:color="522398"/>
              <w:bottom w:val="single" w:sz="4" w:space="0" w:color="522398"/>
              <w:right w:val="nil"/>
            </w:tcBorders>
            <w:vAlign w:val="center"/>
            <w:hideMark/>
          </w:tcPr>
          <w:p w:rsidR="0076092B" w:rsidRDefault="0076092B">
            <w:pPr>
              <w:spacing w:before="0" w:after="0" w:line="240" w:lineRule="auto"/>
              <w:rPr>
                <w:color w:val="000000" w:themeColor="text1"/>
                <w:sz w:val="16"/>
                <w:szCs w:val="16"/>
              </w:rPr>
            </w:pPr>
          </w:p>
        </w:tc>
      </w:tr>
      <w:tr w:rsidR="0076092B" w:rsidTr="0076092B">
        <w:trPr>
          <w:trHeight w:val="57"/>
        </w:trPr>
        <w:tc>
          <w:tcPr>
            <w:tcW w:w="4077" w:type="dxa"/>
            <w:tcBorders>
              <w:top w:val="single" w:sz="4" w:space="0" w:color="522398"/>
              <w:left w:val="nil"/>
              <w:bottom w:val="single" w:sz="4" w:space="0" w:color="522398"/>
              <w:right w:val="single" w:sz="4" w:space="0" w:color="522398"/>
            </w:tcBorders>
            <w:vAlign w:val="center"/>
            <w:hideMark/>
          </w:tcPr>
          <w:p w:rsidR="0076092B" w:rsidRDefault="0076092B">
            <w:pPr>
              <w:keepNext/>
              <w:keepLines/>
              <w:tabs>
                <w:tab w:val="right" w:leader="dot" w:pos="4156"/>
              </w:tabs>
              <w:spacing w:before="0" w:after="0"/>
              <w:outlineLvl w:val="4"/>
              <w:rPr>
                <w:rFonts w:eastAsia="MS Gothic"/>
                <w:b/>
                <w:color w:val="000000" w:themeColor="text1"/>
                <w:sz w:val="16"/>
                <w:szCs w:val="16"/>
              </w:rPr>
            </w:pPr>
            <w:r>
              <w:rPr>
                <w:rFonts w:eastAsia="MS Gothic"/>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pPr>
              <w:spacing w:before="0" w:after="0"/>
              <w:jc w:val="right"/>
              <w:rPr>
                <w:rFonts w:cs="Arial"/>
                <w:b/>
                <w:color w:val="000000" w:themeColor="text1"/>
                <w:sz w:val="16"/>
                <w:szCs w:val="16"/>
              </w:rPr>
            </w:pPr>
            <w:r>
              <w:rPr>
                <w:rFonts w:cs="Arial"/>
                <w:b/>
                <w:color w:val="000000" w:themeColor="text1"/>
                <w:sz w:val="16"/>
                <w:szCs w:val="16"/>
              </w:rPr>
              <w:t>2518</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76092B" w:rsidRDefault="0076092B">
            <w:pPr>
              <w:spacing w:before="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76092B" w:rsidRDefault="0076092B">
            <w:pPr>
              <w:spacing w:before="0" w:after="0"/>
              <w:jc w:val="right"/>
              <w:rPr>
                <w:rFonts w:cs="Arial"/>
                <w:b/>
                <w:sz w:val="16"/>
                <w:szCs w:val="16"/>
              </w:rPr>
            </w:pPr>
            <w:r>
              <w:rPr>
                <w:rFonts w:cs="Arial"/>
                <w:b/>
                <w:sz w:val="16"/>
                <w:szCs w:val="16"/>
              </w:rPr>
              <w:t>120,4</w:t>
            </w:r>
          </w:p>
        </w:tc>
        <w:tc>
          <w:tcPr>
            <w:tcW w:w="1598" w:type="dxa"/>
            <w:tcBorders>
              <w:top w:val="single" w:sz="4" w:space="0" w:color="522398"/>
              <w:left w:val="single" w:sz="4" w:space="0" w:color="522398"/>
              <w:bottom w:val="single" w:sz="4" w:space="0" w:color="522398"/>
              <w:right w:val="nil"/>
            </w:tcBorders>
            <w:vAlign w:val="center"/>
            <w:hideMark/>
          </w:tcPr>
          <w:p w:rsidR="0076092B" w:rsidRDefault="0076092B">
            <w:pPr>
              <w:spacing w:before="0" w:after="0"/>
              <w:jc w:val="right"/>
              <w:rPr>
                <w:rFonts w:cs="Arial"/>
                <w:b/>
                <w:sz w:val="16"/>
                <w:szCs w:val="16"/>
              </w:rPr>
            </w:pPr>
            <w:r>
              <w:rPr>
                <w:rFonts w:cs="Arial"/>
                <w:b/>
                <w:sz w:val="16"/>
                <w:szCs w:val="16"/>
              </w:rPr>
              <w:t>94,9</w:t>
            </w:r>
          </w:p>
        </w:tc>
      </w:tr>
      <w:tr w:rsidR="0076092B" w:rsidTr="0076092B">
        <w:trPr>
          <w:trHeight w:val="57"/>
        </w:trPr>
        <w:tc>
          <w:tcPr>
            <w:tcW w:w="4077" w:type="dxa"/>
            <w:tcBorders>
              <w:top w:val="single" w:sz="4" w:space="0" w:color="522398"/>
              <w:left w:val="nil"/>
              <w:bottom w:val="single" w:sz="4" w:space="0" w:color="522398"/>
              <w:right w:val="single" w:sz="4" w:space="0" w:color="522398"/>
            </w:tcBorders>
            <w:vAlign w:val="bottom"/>
            <w:hideMark/>
          </w:tcPr>
          <w:p w:rsidR="0076092B" w:rsidRDefault="0076092B">
            <w:pPr>
              <w:tabs>
                <w:tab w:val="right" w:leader="dot" w:pos="2444"/>
              </w:tabs>
              <w:spacing w:before="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pPr>
              <w:spacing w:before="0" w:after="0"/>
              <w:jc w:val="right"/>
              <w:rPr>
                <w:rFonts w:cs="Arial"/>
                <w:color w:val="000000" w:themeColor="text1"/>
                <w:sz w:val="16"/>
                <w:szCs w:val="16"/>
              </w:rPr>
            </w:pPr>
            <w:r>
              <w:rPr>
                <w:rFonts w:cs="Arial"/>
                <w:color w:val="000000" w:themeColor="text1"/>
                <w:sz w:val="16"/>
                <w:szCs w:val="16"/>
              </w:rPr>
              <w:t>1262</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76092B" w:rsidRDefault="0076092B">
            <w:pPr>
              <w:spacing w:before="0" w:after="0"/>
              <w:jc w:val="right"/>
              <w:rPr>
                <w:rFonts w:cs="Arial"/>
                <w:sz w:val="16"/>
                <w:szCs w:val="16"/>
              </w:rPr>
            </w:pPr>
            <w:r>
              <w:rPr>
                <w:rFonts w:cs="Arial"/>
                <w:sz w:val="16"/>
                <w:szCs w:val="16"/>
              </w:rPr>
              <w:t>50,1</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76092B" w:rsidRDefault="0076092B">
            <w:pPr>
              <w:spacing w:before="0" w:after="0"/>
              <w:jc w:val="right"/>
              <w:rPr>
                <w:rFonts w:cs="Arial"/>
                <w:sz w:val="16"/>
                <w:szCs w:val="16"/>
              </w:rPr>
            </w:pPr>
            <w:r>
              <w:rPr>
                <w:rFonts w:cs="Arial"/>
                <w:sz w:val="16"/>
                <w:szCs w:val="16"/>
              </w:rPr>
              <w:t>99,0</w:t>
            </w:r>
          </w:p>
        </w:tc>
        <w:tc>
          <w:tcPr>
            <w:tcW w:w="1598" w:type="dxa"/>
            <w:tcBorders>
              <w:top w:val="single" w:sz="4" w:space="0" w:color="522398"/>
              <w:left w:val="single" w:sz="4" w:space="0" w:color="522398"/>
              <w:bottom w:val="single" w:sz="4" w:space="0" w:color="522398"/>
              <w:right w:val="nil"/>
            </w:tcBorders>
            <w:vAlign w:val="center"/>
            <w:hideMark/>
          </w:tcPr>
          <w:p w:rsidR="0076092B" w:rsidRDefault="0076092B">
            <w:pPr>
              <w:spacing w:before="0" w:after="0"/>
              <w:jc w:val="right"/>
              <w:rPr>
                <w:rFonts w:cs="Arial"/>
                <w:sz w:val="16"/>
                <w:szCs w:val="16"/>
              </w:rPr>
            </w:pPr>
            <w:r>
              <w:rPr>
                <w:rFonts w:cs="Arial"/>
                <w:sz w:val="16"/>
                <w:szCs w:val="16"/>
              </w:rPr>
              <w:t>134,8</w:t>
            </w:r>
          </w:p>
        </w:tc>
      </w:tr>
      <w:tr w:rsidR="0076092B" w:rsidTr="0076092B">
        <w:trPr>
          <w:trHeight w:val="57"/>
        </w:trPr>
        <w:tc>
          <w:tcPr>
            <w:tcW w:w="4077" w:type="dxa"/>
            <w:tcBorders>
              <w:top w:val="single" w:sz="4" w:space="0" w:color="522398"/>
              <w:left w:val="nil"/>
              <w:bottom w:val="single" w:sz="4" w:space="0" w:color="522398"/>
              <w:right w:val="single" w:sz="4" w:space="0" w:color="522398"/>
            </w:tcBorders>
            <w:vAlign w:val="bottom"/>
            <w:hideMark/>
          </w:tcPr>
          <w:p w:rsidR="0076092B" w:rsidRDefault="0076092B">
            <w:pPr>
              <w:tabs>
                <w:tab w:val="right" w:leader="dot" w:pos="2444"/>
              </w:tabs>
              <w:spacing w:before="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pPr>
              <w:spacing w:before="0" w:after="0"/>
              <w:jc w:val="right"/>
              <w:rPr>
                <w:rFonts w:cs="Arial"/>
                <w:color w:val="000000" w:themeColor="text1"/>
                <w:sz w:val="16"/>
                <w:szCs w:val="16"/>
              </w:rPr>
            </w:pPr>
            <w:r>
              <w:rPr>
                <w:rFonts w:cs="Arial"/>
                <w:color w:val="000000" w:themeColor="text1"/>
                <w:sz w:val="16"/>
                <w:szCs w:val="16"/>
              </w:rPr>
              <w:t>1242</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76092B" w:rsidRDefault="0076092B">
            <w:pPr>
              <w:spacing w:before="0" w:after="0"/>
              <w:jc w:val="right"/>
              <w:rPr>
                <w:rFonts w:cs="Arial"/>
                <w:sz w:val="16"/>
                <w:szCs w:val="16"/>
              </w:rPr>
            </w:pPr>
            <w:r>
              <w:rPr>
                <w:rFonts w:cs="Arial"/>
                <w:sz w:val="16"/>
                <w:szCs w:val="16"/>
              </w:rPr>
              <w:t>49,3</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76092B" w:rsidRDefault="0076092B">
            <w:pPr>
              <w:spacing w:before="0" w:after="0"/>
              <w:jc w:val="right"/>
              <w:rPr>
                <w:rFonts w:cs="Arial"/>
                <w:sz w:val="16"/>
                <w:szCs w:val="16"/>
              </w:rPr>
            </w:pPr>
            <w:r>
              <w:rPr>
                <w:rFonts w:cs="Arial"/>
                <w:sz w:val="16"/>
                <w:szCs w:val="16"/>
              </w:rPr>
              <w:t>174,4</w:t>
            </w:r>
          </w:p>
        </w:tc>
        <w:tc>
          <w:tcPr>
            <w:tcW w:w="1598" w:type="dxa"/>
            <w:tcBorders>
              <w:top w:val="single" w:sz="4" w:space="0" w:color="522398"/>
              <w:left w:val="single" w:sz="4" w:space="0" w:color="522398"/>
              <w:bottom w:val="single" w:sz="4" w:space="0" w:color="522398"/>
              <w:right w:val="nil"/>
            </w:tcBorders>
            <w:vAlign w:val="center"/>
            <w:hideMark/>
          </w:tcPr>
          <w:p w:rsidR="0076092B" w:rsidRDefault="0076092B">
            <w:pPr>
              <w:spacing w:before="0" w:after="0"/>
              <w:jc w:val="right"/>
              <w:rPr>
                <w:rFonts w:cs="Arial"/>
                <w:sz w:val="16"/>
                <w:szCs w:val="16"/>
              </w:rPr>
            </w:pPr>
            <w:r>
              <w:rPr>
                <w:rFonts w:cs="Arial"/>
                <w:sz w:val="16"/>
                <w:szCs w:val="16"/>
              </w:rPr>
              <w:t>55,1</w:t>
            </w:r>
          </w:p>
        </w:tc>
      </w:tr>
      <w:tr w:rsidR="0076092B" w:rsidTr="0076092B">
        <w:trPr>
          <w:trHeight w:val="57"/>
        </w:trPr>
        <w:tc>
          <w:tcPr>
            <w:tcW w:w="4077" w:type="dxa"/>
            <w:tcBorders>
              <w:top w:val="single" w:sz="4" w:space="0" w:color="522398"/>
              <w:left w:val="nil"/>
              <w:bottom w:val="single" w:sz="4" w:space="0" w:color="522398"/>
              <w:right w:val="single" w:sz="4" w:space="0" w:color="522398"/>
            </w:tcBorders>
            <w:vAlign w:val="bottom"/>
            <w:hideMark/>
          </w:tcPr>
          <w:p w:rsidR="0076092B" w:rsidRDefault="0076092B">
            <w:pPr>
              <w:tabs>
                <w:tab w:val="right" w:leader="dot" w:pos="2444"/>
              </w:tabs>
              <w:spacing w:before="0" w:after="0"/>
              <w:ind w:left="176" w:hanging="176"/>
              <w:rPr>
                <w:rFonts w:cs="Arial"/>
                <w:sz w:val="16"/>
                <w:szCs w:val="16"/>
              </w:rPr>
            </w:pPr>
            <w:r>
              <w:rPr>
                <w:rFonts w:cs="Arial"/>
                <w:sz w:val="16"/>
                <w:szCs w:val="16"/>
              </w:rPr>
              <w:t>Komunalne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pPr>
              <w:spacing w:before="0" w:after="0"/>
              <w:jc w:val="right"/>
              <w:rPr>
                <w:rFonts w:cs="Arial"/>
                <w:color w:val="000000" w:themeColor="text1"/>
                <w:sz w:val="16"/>
                <w:szCs w:val="16"/>
              </w:rPr>
            </w:pPr>
            <w:r>
              <w:rPr>
                <w:rFonts w:cs="Arial"/>
                <w:color w:val="000000" w:themeColor="text1"/>
                <w:sz w:val="16"/>
                <w:szCs w:val="16"/>
              </w:rPr>
              <w:t>14</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76092B" w:rsidRDefault="0076092B">
            <w:pPr>
              <w:spacing w:before="0" w:after="0"/>
              <w:jc w:val="right"/>
              <w:rPr>
                <w:rFonts w:cs="Arial"/>
                <w:sz w:val="16"/>
                <w:szCs w:val="16"/>
              </w:rPr>
            </w:pPr>
            <w:r>
              <w:rPr>
                <w:rFonts w:cs="Arial"/>
                <w:sz w:val="16"/>
                <w:szCs w:val="16"/>
              </w:rPr>
              <w:t>0,6</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76092B" w:rsidRDefault="0076092B">
            <w:pPr>
              <w:spacing w:before="0" w:after="0"/>
              <w:jc w:val="right"/>
              <w:rPr>
                <w:rFonts w:cs="Arial"/>
                <w:sz w:val="16"/>
                <w:szCs w:val="16"/>
              </w:rPr>
            </w:pPr>
            <w:r>
              <w:rPr>
                <w:rFonts w:cs="Arial"/>
                <w:sz w:val="16"/>
                <w:szCs w:val="16"/>
              </w:rPr>
              <w:t>13,7</w:t>
            </w:r>
          </w:p>
        </w:tc>
        <w:tc>
          <w:tcPr>
            <w:tcW w:w="1598" w:type="dxa"/>
            <w:tcBorders>
              <w:top w:val="single" w:sz="4" w:space="0" w:color="522398"/>
              <w:left w:val="single" w:sz="4" w:space="0" w:color="522398"/>
              <w:bottom w:val="single" w:sz="4" w:space="0" w:color="522398"/>
              <w:right w:val="nil"/>
            </w:tcBorders>
            <w:vAlign w:val="center"/>
            <w:hideMark/>
          </w:tcPr>
          <w:p w:rsidR="0076092B" w:rsidRDefault="0076092B">
            <w:pPr>
              <w:spacing w:before="0" w:after="0"/>
              <w:jc w:val="right"/>
              <w:rPr>
                <w:rFonts w:cs="Arial"/>
                <w:sz w:val="16"/>
                <w:szCs w:val="16"/>
              </w:rPr>
            </w:pPr>
            <w:r>
              <w:rPr>
                <w:rFonts w:cs="Arial"/>
                <w:sz w:val="16"/>
                <w:szCs w:val="16"/>
              </w:rPr>
              <w:t>29,0</w:t>
            </w:r>
          </w:p>
        </w:tc>
      </w:tr>
    </w:tbl>
    <w:p w:rsidR="0076092B" w:rsidRDefault="0076092B" w:rsidP="00452CA7">
      <w:pPr>
        <w:spacing w:before="360" w:after="0"/>
        <w:rPr>
          <w:rFonts w:eastAsia="Fira Sans Light" w:cs="Times New Roman"/>
          <w:b/>
        </w:rPr>
      </w:pPr>
      <w:r>
        <w:rPr>
          <w:rFonts w:eastAsia="Fira Sans Light" w:cs="Arial"/>
          <w:szCs w:val="19"/>
        </w:rPr>
        <w:t>W okresie styczeń-lipiec oddano do użytkowania 2518 mieszkań tj. o 20,4% więcej niż w analogicznym okresie ub. roku. Spadek liczby zrealizowanych mieszkań odnotowano w budownictwie indywidualnym, natomiast w budownictwie przeznaczonym na sprzedaż lub wynajem, liczba oddanych mieszkań była większa niż przed rokiem. W badanym okresie nie przekazano żadnego mieszkania spółdzielczego, społecznego czynszowego ani zakładowego.</w:t>
      </w:r>
    </w:p>
    <w:p w:rsidR="0076092B" w:rsidRDefault="0076092B" w:rsidP="0076092B">
      <w:pPr>
        <w:spacing w:before="480" w:after="0"/>
        <w:rPr>
          <w:rFonts w:eastAsia="Fira Sans Light" w:cs="Times New Roman"/>
          <w:shd w:val="clear" w:color="auto" w:fill="FFFFFF"/>
        </w:rPr>
      </w:pPr>
      <w:r>
        <w:rPr>
          <w:noProof/>
          <w:lang w:eastAsia="pl-PL"/>
        </w:rPr>
        <w:drawing>
          <wp:anchor distT="0" distB="0" distL="114300" distR="114300" simplePos="0" relativeHeight="251656192" behindDoc="0" locked="0" layoutInCell="1" allowOverlap="1">
            <wp:simplePos x="0" y="0"/>
            <wp:positionH relativeFrom="margin">
              <wp:align>left</wp:align>
            </wp:positionH>
            <wp:positionV relativeFrom="paragraph">
              <wp:posOffset>581025</wp:posOffset>
            </wp:positionV>
            <wp:extent cx="6643370" cy="2633345"/>
            <wp:effectExtent l="0" t="0" r="0" b="0"/>
            <wp:wrapTopAndBottom/>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Pr>
          <w:rFonts w:eastAsia="Fira Sans Light" w:cs="Times New Roman"/>
          <w:b/>
        </w:rPr>
        <w:t xml:space="preserve">Wykres </w:t>
      </w:r>
      <w:r w:rsidR="00662415">
        <w:rPr>
          <w:rFonts w:eastAsia="Fira Sans Light" w:cs="Times New Roman"/>
          <w:b/>
        </w:rPr>
        <w:t>10</w:t>
      </w:r>
      <w:r>
        <w:rPr>
          <w:rFonts w:eastAsia="Fira Sans Light" w:cs="Times New Roman"/>
          <w:b/>
        </w:rPr>
        <w:t>.</w:t>
      </w:r>
      <w:r>
        <w:rPr>
          <w:rFonts w:eastAsia="Fira Sans Light" w:cs="Times New Roman"/>
          <w:b/>
          <w:shd w:val="clear" w:color="auto" w:fill="FFFFFF"/>
        </w:rPr>
        <w:t xml:space="preserve"> Dynamika mieszkań oddanych do użytkowania </w:t>
      </w:r>
      <w:r>
        <w:rPr>
          <w:rFonts w:eastAsia="Fira Sans Light" w:cs="Times New Roman"/>
          <w:shd w:val="clear" w:color="auto" w:fill="FFFFFF"/>
        </w:rPr>
        <w:t>(analogiczny okres 2015=100)</w:t>
      </w:r>
    </w:p>
    <w:p w:rsidR="0076092B" w:rsidRDefault="0076092B" w:rsidP="0076092B">
      <w:pPr>
        <w:rPr>
          <w:rFonts w:eastAsia="Fira Sans Light" w:cs="Arial"/>
          <w:szCs w:val="19"/>
        </w:rPr>
      </w:pPr>
    </w:p>
    <w:p w:rsidR="0076092B" w:rsidRDefault="0076092B" w:rsidP="00452CA7">
      <w:pPr>
        <w:rPr>
          <w:rFonts w:eastAsia="Fira Sans Light" w:cs="Times New Roman"/>
          <w:spacing w:val="-3"/>
          <w:szCs w:val="19"/>
        </w:rPr>
      </w:pPr>
      <w:r>
        <w:rPr>
          <w:rFonts w:eastAsia="Fira Sans Light" w:cs="Arial"/>
          <w:szCs w:val="19"/>
        </w:rPr>
        <w:lastRenderedPageBreak/>
        <w:t>Przeciętna</w:t>
      </w:r>
      <w:r>
        <w:rPr>
          <w:rFonts w:eastAsia="Fira Sans Light" w:cs="Arial"/>
          <w:b/>
          <w:szCs w:val="19"/>
        </w:rPr>
        <w:t xml:space="preserve"> </w:t>
      </w:r>
      <w:r>
        <w:rPr>
          <w:rFonts w:eastAsia="Fira Sans Light" w:cs="Arial"/>
          <w:szCs w:val="19"/>
        </w:rPr>
        <w:t>powierzchnia mieszkania oddanego do użytkowania w okresie siedmiu miesięcy br. wyniosła 94,9 m</w:t>
      </w:r>
      <w:r>
        <w:rPr>
          <w:rFonts w:eastAsia="Fira Sans Light" w:cs="Arial"/>
          <w:szCs w:val="19"/>
          <w:vertAlign w:val="superscript"/>
        </w:rPr>
        <w:t>2</w:t>
      </w:r>
      <w:r>
        <w:rPr>
          <w:rFonts w:eastAsia="Fira Sans Light" w:cs="Arial"/>
          <w:szCs w:val="19"/>
        </w:rPr>
        <w:t xml:space="preserve"> i była o 8,2 m</w:t>
      </w:r>
      <w:r>
        <w:rPr>
          <w:rFonts w:eastAsia="Fira Sans Light" w:cs="Arial"/>
          <w:szCs w:val="19"/>
          <w:vertAlign w:val="superscript"/>
        </w:rPr>
        <w:t>2</w:t>
      </w:r>
      <w:r>
        <w:rPr>
          <w:rFonts w:eastAsia="Fira Sans Light" w:cs="Arial"/>
          <w:szCs w:val="19"/>
        </w:rPr>
        <w:t xml:space="preserve"> mniejsza niż mieszkania oddanego w analogicznym okresie ub. roku. Spadek odnotowano</w:t>
      </w:r>
      <w:r>
        <w:rPr>
          <w:rFonts w:eastAsia="Fira Sans Light" w:cs="Times New Roman"/>
          <w:spacing w:val="-3"/>
          <w:szCs w:val="19"/>
        </w:rPr>
        <w:t xml:space="preserve"> w budownictwie przeznaczonym na sprzedaż lub wynajem – o 5,2 m</w:t>
      </w:r>
      <w:r>
        <w:rPr>
          <w:rFonts w:eastAsia="Fira Sans Light" w:cs="Arial"/>
          <w:szCs w:val="19"/>
          <w:vertAlign w:val="superscript"/>
        </w:rPr>
        <w:t>2</w:t>
      </w:r>
      <w:r>
        <w:rPr>
          <w:rFonts w:eastAsia="Fira Sans Light" w:cs="Times New Roman"/>
          <w:spacing w:val="-3"/>
          <w:szCs w:val="19"/>
        </w:rPr>
        <w:t>, natomiast w budownictwie indywidualnym odnotowano wzrost – o 2,2 m</w:t>
      </w:r>
      <w:r>
        <w:rPr>
          <w:rFonts w:eastAsia="Fira Sans Light" w:cs="Arial"/>
          <w:szCs w:val="19"/>
          <w:vertAlign w:val="superscript"/>
        </w:rPr>
        <w:t>2</w:t>
      </w:r>
      <w:r>
        <w:rPr>
          <w:rFonts w:eastAsia="Fira Sans Light" w:cs="Times New Roman"/>
          <w:spacing w:val="-3"/>
          <w:szCs w:val="19"/>
        </w:rPr>
        <w:t>.</w:t>
      </w:r>
    </w:p>
    <w:p w:rsidR="0076092B" w:rsidRDefault="0087522E" w:rsidP="0076092B">
      <w:pPr>
        <w:rPr>
          <w:rFonts w:eastAsia="Fira Sans Light" w:cs="Arial"/>
          <w:szCs w:val="19"/>
        </w:rPr>
      </w:pPr>
      <w:r>
        <w:rPr>
          <w:noProof/>
          <w:lang w:eastAsia="pl-PL"/>
        </w:rPr>
        <w:pict>
          <v:shape id="Pole tekstowe 34" o:spid="_x0000_s1027" type="#_x0000_t202" style="position:absolute;margin-left:0;margin-top:4.35pt;width:294pt;height:31.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wrapcoords="-55 0 -55 21086 21600 21086 21600 0 -5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" stroked="f">
            <v:textbox>
              <w:txbxContent>
                <w:p w:rsidR="0087522E" w:rsidRDefault="0087522E" w:rsidP="0076092B">
                  <w:pPr>
                    <w:pageBreakBefore/>
                    <w:spacing w:before="0" w:after="80"/>
                    <w:ind w:left="992" w:hanging="992"/>
                    <w:rPr>
                      <w:rFonts w:cs="Arial"/>
                      <w:b/>
                      <w:szCs w:val="19"/>
                    </w:rPr>
                  </w:pPr>
                  <w:r>
                    <w:rPr>
                      <w:rFonts w:cs="Arial"/>
                      <w:b/>
                      <w:szCs w:val="19"/>
                    </w:rPr>
                    <w:t>Wykres 11. Mieszkania oddane do użytkowania według powiatów w okresie styczeń-lipiec 2020 r.</w:t>
                  </w:r>
                </w:p>
                <w:p w:rsidR="0087522E" w:rsidRDefault="0087522E" w:rsidP="0076092B">
                  <w:pPr>
                    <w:spacing w:before="0" w:after="80"/>
                    <w:ind w:left="709" w:hanging="709"/>
                    <w:rPr>
                      <w:rFonts w:cs="Arial"/>
                      <w:b/>
                      <w:szCs w:val="19"/>
                    </w:rPr>
                  </w:pPr>
                </w:p>
              </w:txbxContent>
            </v:textbox>
            <w10:wrap type="tight" anchorx="margin"/>
          </v:shape>
        </w:pict>
      </w:r>
      <w:r w:rsidR="0076092B">
        <w:rPr>
          <w:noProof/>
          <w:lang w:eastAsia="pl-PL"/>
        </w:rPr>
        <w:drawing>
          <wp:anchor distT="0" distB="0" distL="114300" distR="114300" simplePos="0" relativeHeight="251658240" behindDoc="0" locked="0" layoutInCell="1" allowOverlap="1">
            <wp:simplePos x="0" y="0"/>
            <wp:positionH relativeFrom="margin">
              <wp:align>left</wp:align>
            </wp:positionH>
            <wp:positionV relativeFrom="paragraph">
              <wp:posOffset>466725</wp:posOffset>
            </wp:positionV>
            <wp:extent cx="3700145" cy="3597275"/>
            <wp:effectExtent l="0" t="0" r="14605" b="3175"/>
            <wp:wrapSquare wrapText="bothSides"/>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76092B">
        <w:rPr>
          <w:rFonts w:eastAsia="Fira Sans Light" w:cs="Times New Roman"/>
          <w:noProof/>
          <w:lang w:eastAsia="pl-PL"/>
        </w:rPr>
        <w:t>N</w:t>
      </w:r>
      <w:proofErr w:type="spellStart"/>
      <w:r w:rsidR="0076092B">
        <w:rPr>
          <w:rFonts w:eastAsia="Fira Sans Light" w:cs="Arial"/>
          <w:szCs w:val="19"/>
        </w:rPr>
        <w:t>ajwięcej</w:t>
      </w:r>
      <w:proofErr w:type="spellEnd"/>
      <w:r w:rsidR="0076092B">
        <w:rPr>
          <w:rFonts w:eastAsia="Fira Sans Light" w:cs="Arial"/>
          <w:szCs w:val="19"/>
        </w:rPr>
        <w:t xml:space="preserve"> mieszkań przekazano do użytkowania w m. Kielce (1146) oraz w powiecie kieleckim (450). Najmniej mieszkań wybudowano w powiatach: kazimierskim (18), pińczowskim (24) oraz opatowskim (30).</w:t>
      </w:r>
    </w:p>
    <w:p w:rsidR="0076092B" w:rsidRDefault="0076092B" w:rsidP="0076092B">
      <w:pPr>
        <w:rPr>
          <w:rFonts w:eastAsia="Fira Sans Light" w:cs="Arial"/>
          <w:szCs w:val="19"/>
        </w:rPr>
      </w:pPr>
      <w:r>
        <w:rPr>
          <w:rFonts w:eastAsia="Fira Sans Light" w:cs="Arial"/>
          <w:szCs w:val="19"/>
        </w:rPr>
        <w:t>Mieszkania o największej powierzchni użytkowej powstały w powiatach: kazimierskim (165,0 m</w:t>
      </w:r>
      <w:r>
        <w:rPr>
          <w:rFonts w:eastAsia="Fira Sans Light" w:cs="Arial"/>
          <w:szCs w:val="19"/>
          <w:vertAlign w:val="superscript"/>
        </w:rPr>
        <w:t>2</w:t>
      </w:r>
      <w:r>
        <w:rPr>
          <w:rFonts w:eastAsia="Fira Sans Light" w:cs="Arial"/>
          <w:szCs w:val="19"/>
        </w:rPr>
        <w:t>), opatowskim (153,5 m</w:t>
      </w:r>
      <w:r>
        <w:rPr>
          <w:rFonts w:eastAsia="Fira Sans Light" w:cs="Arial"/>
          <w:szCs w:val="19"/>
          <w:vertAlign w:val="superscript"/>
        </w:rPr>
        <w:t>2</w:t>
      </w:r>
      <w:r>
        <w:rPr>
          <w:rFonts w:eastAsia="Fira Sans Light" w:cs="Arial"/>
          <w:szCs w:val="19"/>
        </w:rPr>
        <w:t>) oraz ostrowieckim (152,8 m</w:t>
      </w:r>
      <w:r>
        <w:rPr>
          <w:rFonts w:eastAsia="Fira Sans Light" w:cs="Arial"/>
          <w:szCs w:val="19"/>
          <w:vertAlign w:val="superscript"/>
        </w:rPr>
        <w:t>2</w:t>
      </w:r>
      <w:r>
        <w:rPr>
          <w:rFonts w:eastAsia="Fira Sans Light" w:cs="Arial"/>
          <w:szCs w:val="19"/>
        </w:rPr>
        <w:t>), a najmniejszej w m. Kielce (60,0 m</w:t>
      </w:r>
      <w:r>
        <w:rPr>
          <w:rFonts w:eastAsia="Fira Sans Light" w:cs="Arial"/>
          <w:szCs w:val="19"/>
          <w:vertAlign w:val="superscript"/>
        </w:rPr>
        <w:t>2</w:t>
      </w:r>
      <w:r>
        <w:rPr>
          <w:rFonts w:eastAsia="Fira Sans Light" w:cs="Arial"/>
          <w:szCs w:val="19"/>
        </w:rPr>
        <w:t>).</w:t>
      </w:r>
      <w:r>
        <w:rPr>
          <w:rFonts w:eastAsia="Fira Sans Light" w:cs="Times New Roman"/>
          <w:noProof/>
          <w:lang w:eastAsia="pl-PL"/>
        </w:rPr>
        <w:t xml:space="preserve"> </w:t>
      </w:r>
    </w:p>
    <w:p w:rsidR="0076092B" w:rsidRDefault="0076092B" w:rsidP="0076092B">
      <w:pPr>
        <w:rPr>
          <w:rFonts w:eastAsia="Fira Sans Light" w:cs="Arial"/>
          <w:szCs w:val="19"/>
        </w:rPr>
      </w:pPr>
      <w:r>
        <w:rPr>
          <w:rFonts w:eastAsia="Fira Sans Light" w:cs="Arial"/>
          <w:szCs w:val="19"/>
        </w:rPr>
        <w:t>W lipcu br. wydano pozwolenia lub dokonano zgłoszenia z projektem budowlanym na realizację 393 mieszkań – o 5,8% mniej niż w analogicznym miesiącu 2019 r. Z ogólnej liczby mieszkań, na realizację których wydano pozwolenia lub dokonano zgłoszenia z projektem budowlanym, 84,7% stanowiły inwestycje indywidualne, a 15,3% mieszkania przeznaczone na sprzedaż lub wynajem.</w:t>
      </w:r>
    </w:p>
    <w:p w:rsidR="0076092B" w:rsidRDefault="0087522E" w:rsidP="0076092B">
      <w:pPr>
        <w:rPr>
          <w:rFonts w:eastAsia="Fira Sans Light" w:cs="Arial"/>
          <w:szCs w:val="19"/>
        </w:rPr>
      </w:pPr>
      <w:r>
        <w:rPr>
          <w:noProof/>
          <w:lang w:eastAsia="pl-PL"/>
        </w:rPr>
        <w:pict>
          <v:shape id="Pole tekstowe 32" o:spid="_x0000_s1028" type="#_x0000_t202" style="position:absolute;margin-left:-135.75pt;margin-top:30.75pt;width:98.15pt;height:30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" fillcolor="white [3201]" stroked="f">
            <v:textbox>
              <w:txbxContent>
                <w:p w:rsidR="0087522E" w:rsidRDefault="0087522E" w:rsidP="0076092B">
                  <w:pPr>
                    <w:pStyle w:val="NormalnyWeb"/>
                    <w:spacing w:before="0" w:beforeAutospacing="0" w:after="0" w:afterAutospacing="0"/>
                  </w:pPr>
                  <w:r>
                    <w:rPr>
                      <w:rFonts w:ascii="Fira Sans" w:eastAsia="Fira Sans" w:hAnsi="Fira Sans" w:cstheme="minorBidi"/>
                      <w:color w:val="000000" w:themeColor="dark1"/>
                      <w:sz w:val="16"/>
                      <w:szCs w:val="16"/>
                    </w:rPr>
                    <w:t>Polska = 118779</w:t>
                  </w:r>
                </w:p>
                <w:p w:rsidR="0087522E" w:rsidRDefault="0087522E" w:rsidP="0076092B">
                  <w:pPr>
                    <w:pStyle w:val="NormalnyWeb"/>
                    <w:spacing w:before="0" w:beforeAutospacing="0" w:after="0" w:afterAutospacing="0"/>
                  </w:pPr>
                  <w:r>
                    <w:rPr>
                      <w:rFonts w:ascii="Fira Sans" w:eastAsia="Fira Sans" w:hAnsi="Fira Sans" w:cstheme="minorBidi"/>
                      <w:color w:val="000000" w:themeColor="dark1"/>
                      <w:sz w:val="16"/>
                      <w:szCs w:val="16"/>
                    </w:rPr>
                    <w:t>Świętokrzyskie = 2518</w:t>
                  </w:r>
                </w:p>
              </w:txbxContent>
            </v:textbox>
          </v:shape>
        </w:pict>
      </w:r>
      <w:r w:rsidR="0076092B">
        <w:rPr>
          <w:rFonts w:eastAsia="Fira Sans Light" w:cs="Arial"/>
          <w:szCs w:val="19"/>
        </w:rPr>
        <w:t>W analizowanym miesiącu rozpoczęto budowę 394 mieszkań – o 10,7% mniej niż przed rokiem. Z ogólnej liczby rozpoczętych budów mieszkań 84,5% stanowiły inwestycje indywidualne, a mieszkania przeznaczone na sprzedaż lub wynajem 15,5%.</w:t>
      </w:r>
    </w:p>
    <w:p w:rsidR="0076092B" w:rsidRDefault="0076092B" w:rsidP="0076092B">
      <w:pPr>
        <w:rPr>
          <w:rFonts w:eastAsia="Fira Sans Light" w:cs="Arial"/>
          <w:szCs w:val="19"/>
        </w:rPr>
      </w:pPr>
    </w:p>
    <w:p w:rsidR="0076092B" w:rsidRDefault="0076092B" w:rsidP="0076092B">
      <w:pPr>
        <w:spacing w:before="480" w:after="0"/>
        <w:ind w:left="907" w:hanging="907"/>
        <w:rPr>
          <w:rFonts w:eastAsia="Fira Sans Light" w:cs="Times New Roman"/>
          <w:b/>
          <w:spacing w:val="-2"/>
          <w:shd w:val="clear" w:color="auto" w:fill="FFFFFF"/>
        </w:rPr>
      </w:pPr>
    </w:p>
    <w:p w:rsidR="0076092B" w:rsidRDefault="0076092B" w:rsidP="00CA18EC">
      <w:pPr>
        <w:spacing w:before="480" w:after="0"/>
        <w:ind w:left="907" w:hanging="907"/>
        <w:rPr>
          <w:rFonts w:eastAsia="Fira Sans Light" w:cs="Times New Roman"/>
          <w:spacing w:val="-2"/>
          <w:sz w:val="18"/>
          <w:shd w:val="clear" w:color="auto" w:fill="FFFFFF"/>
        </w:rPr>
      </w:pPr>
      <w:r>
        <w:rPr>
          <w:rFonts w:eastAsia="Fira Sans Light" w:cs="Times New Roman"/>
          <w:b/>
          <w:spacing w:val="-2"/>
          <w:shd w:val="clear" w:color="auto" w:fill="FFFFFF"/>
        </w:rPr>
        <w:t>Tablica 11. Liczba mieszkań, na budowę których wydano pozwolenia lub dokonano zgłoszenia z projektem budowlanym oraz mieszkań, których budowę rozpoczęto w okresie styczeń-lipiec 2020 r.</w:t>
      </w:r>
    </w:p>
    <w:tbl>
      <w:tblPr>
        <w:tblW w:w="0"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119"/>
        <w:gridCol w:w="1224"/>
        <w:gridCol w:w="1225"/>
        <w:gridCol w:w="1225"/>
        <w:gridCol w:w="1224"/>
        <w:gridCol w:w="1225"/>
        <w:gridCol w:w="1225"/>
      </w:tblGrid>
      <w:tr w:rsidR="0076092B" w:rsidTr="0076092B">
        <w:tc>
          <w:tcPr>
            <w:tcW w:w="3119" w:type="dxa"/>
            <w:vMerge w:val="restart"/>
            <w:tcBorders>
              <w:top w:val="single" w:sz="4" w:space="0" w:color="522398"/>
              <w:left w:val="nil"/>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 xml:space="preserve">Mieszkania, na budowę których wydano pozwolenia lub dokonano zgłoszenia </w:t>
            </w:r>
            <w:r>
              <w:rPr>
                <w:rFonts w:eastAsia="Fira Sans Light" w:cs="Arial"/>
                <w:sz w:val="16"/>
                <w:szCs w:val="16"/>
              </w:rPr>
              <w:br/>
              <w:t xml:space="preserve">z projektem budowlanym </w:t>
            </w:r>
          </w:p>
        </w:tc>
        <w:tc>
          <w:tcPr>
            <w:tcW w:w="3674" w:type="dxa"/>
            <w:gridSpan w:val="3"/>
            <w:tcBorders>
              <w:top w:val="single" w:sz="4" w:space="0" w:color="522398"/>
              <w:left w:val="single" w:sz="4" w:space="0" w:color="522398"/>
              <w:bottom w:val="single" w:sz="4" w:space="0" w:color="522398"/>
              <w:right w:val="nil"/>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Mieszkania, których budowę rozpoczęto</w:t>
            </w:r>
          </w:p>
        </w:tc>
      </w:tr>
      <w:tr w:rsidR="0076092B" w:rsidTr="0076092B">
        <w:tc>
          <w:tcPr>
            <w:tcW w:w="3119" w:type="dxa"/>
            <w:vMerge/>
            <w:tcBorders>
              <w:top w:val="single" w:sz="4" w:space="0" w:color="522398"/>
              <w:left w:val="nil"/>
              <w:bottom w:val="single" w:sz="4" w:space="0" w:color="522398"/>
              <w:right w:val="single" w:sz="4" w:space="0" w:color="522398"/>
            </w:tcBorders>
            <w:vAlign w:val="center"/>
            <w:hideMark/>
          </w:tcPr>
          <w:p w:rsidR="0076092B" w:rsidRDefault="0076092B">
            <w:pPr>
              <w:spacing w:before="0" w:after="0" w:line="256" w:lineRule="auto"/>
              <w:rPr>
                <w:rFonts w:eastAsia="Fira Sans Light" w:cs="Arial"/>
                <w:sz w:val="16"/>
                <w:szCs w:val="16"/>
              </w:rPr>
            </w:pP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w liczbach 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I-VII 2019</w:t>
            </w:r>
            <w:r>
              <w:rPr>
                <w:rFonts w:eastAsia="Fira Sans Light" w:cs="Arial"/>
                <w:sz w:val="16"/>
                <w:szCs w:val="16"/>
              </w:rPr>
              <w:br/>
              <w:t>= 100</w:t>
            </w: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 xml:space="preserve">w liczbach </w:t>
            </w:r>
            <w:r>
              <w:rPr>
                <w:rFonts w:eastAsia="Fira Sans Light" w:cs="Arial"/>
                <w:sz w:val="16"/>
                <w:szCs w:val="16"/>
              </w:rPr>
              <w:br/>
              <w:t>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rsidR="0076092B" w:rsidRDefault="0076092B" w:rsidP="00656E23">
            <w:pPr>
              <w:spacing w:beforeLines="40" w:before="96" w:afterLines="40" w:after="96" w:line="240" w:lineRule="auto"/>
              <w:jc w:val="center"/>
              <w:rPr>
                <w:rFonts w:eastAsia="Fira Sans Light" w:cs="Arial"/>
                <w:sz w:val="16"/>
                <w:szCs w:val="16"/>
              </w:rPr>
            </w:pPr>
            <w:r>
              <w:rPr>
                <w:rFonts w:eastAsia="Fira Sans Light" w:cs="Arial"/>
                <w:sz w:val="16"/>
                <w:szCs w:val="16"/>
              </w:rPr>
              <w:t>I-VII 2019</w:t>
            </w:r>
            <w:r>
              <w:rPr>
                <w:rFonts w:eastAsia="Fira Sans Light" w:cs="Arial"/>
                <w:sz w:val="16"/>
                <w:szCs w:val="16"/>
              </w:rPr>
              <w:br/>
              <w:t>= 100</w:t>
            </w:r>
          </w:p>
        </w:tc>
      </w:tr>
      <w:tr w:rsidR="0076092B" w:rsidTr="0076092B">
        <w:tc>
          <w:tcPr>
            <w:tcW w:w="3119" w:type="dxa"/>
            <w:tcBorders>
              <w:top w:val="single" w:sz="4" w:space="0" w:color="522398"/>
              <w:left w:val="nil"/>
              <w:bottom w:val="single" w:sz="4" w:space="0" w:color="522398"/>
              <w:right w:val="single" w:sz="4" w:space="0" w:color="522398"/>
            </w:tcBorders>
            <w:vAlign w:val="bottom"/>
            <w:hideMark/>
          </w:tcPr>
          <w:p w:rsidR="0076092B" w:rsidRDefault="0076092B">
            <w:pPr>
              <w:tabs>
                <w:tab w:val="left" w:leader="dot" w:pos="2052"/>
              </w:tabs>
              <w:spacing w:after="60"/>
              <w:rPr>
                <w:rFonts w:eastAsia="Fira Sans Light" w:cs="Arial"/>
                <w:b/>
                <w:sz w:val="16"/>
                <w:szCs w:val="16"/>
              </w:rPr>
            </w:pPr>
            <w:r>
              <w:rPr>
                <w:rFonts w:eastAsia="Fira Sans Light" w:cs="Arial"/>
                <w:b/>
                <w:sz w:val="16"/>
                <w:szCs w:val="16"/>
              </w:rPr>
              <w:t>OGÓŁEM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z w:val="16"/>
                <w:szCs w:val="16"/>
              </w:rPr>
            </w:pPr>
            <w:r>
              <w:rPr>
                <w:rFonts w:eastAsia="Fira Sans Light" w:cs="Arial"/>
                <w:b/>
                <w:sz w:val="16"/>
                <w:szCs w:val="16"/>
              </w:rPr>
              <w:t>2571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z w:val="16"/>
                <w:szCs w:val="16"/>
              </w:rPr>
            </w:pPr>
            <w:r>
              <w:rPr>
                <w:rFonts w:eastAsia="Fira Sans Light" w:cs="Arial"/>
                <w:b/>
                <w:sz w:val="16"/>
                <w:szCs w:val="16"/>
              </w:rPr>
              <w:t>103,0</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z w:val="16"/>
                <w:szCs w:val="16"/>
              </w:rPr>
            </w:pPr>
            <w:r>
              <w:rPr>
                <w:rFonts w:eastAsia="Fira Sans Light" w:cs="Arial"/>
                <w:b/>
                <w:sz w:val="16"/>
                <w:szCs w:val="16"/>
              </w:rPr>
              <w:t>2234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nil"/>
            </w:tcBorders>
            <w:vAlign w:val="bottom"/>
            <w:hideMark/>
          </w:tcPr>
          <w:p w:rsidR="0076092B" w:rsidRDefault="0076092B">
            <w:pPr>
              <w:spacing w:after="60"/>
              <w:ind w:right="170"/>
              <w:jc w:val="right"/>
              <w:rPr>
                <w:rFonts w:eastAsia="Fira Sans Light" w:cs="Arial"/>
                <w:b/>
                <w:sz w:val="16"/>
                <w:szCs w:val="16"/>
              </w:rPr>
            </w:pPr>
            <w:r>
              <w:rPr>
                <w:rFonts w:eastAsia="Fira Sans Light" w:cs="Arial"/>
                <w:b/>
                <w:sz w:val="16"/>
                <w:szCs w:val="16"/>
              </w:rPr>
              <w:t>91,5</w:t>
            </w:r>
          </w:p>
        </w:tc>
      </w:tr>
      <w:tr w:rsidR="0076092B" w:rsidTr="0076092B">
        <w:tc>
          <w:tcPr>
            <w:tcW w:w="3119" w:type="dxa"/>
            <w:tcBorders>
              <w:top w:val="single" w:sz="4" w:space="0" w:color="522398"/>
              <w:left w:val="nil"/>
              <w:bottom w:val="single" w:sz="4" w:space="0" w:color="522398"/>
              <w:right w:val="single" w:sz="4" w:space="0" w:color="522398"/>
            </w:tcBorders>
            <w:vAlign w:val="bottom"/>
            <w:hideMark/>
          </w:tcPr>
          <w:p w:rsidR="0076092B" w:rsidRDefault="0076092B">
            <w:pPr>
              <w:tabs>
                <w:tab w:val="left" w:leader="dot" w:pos="2052"/>
                <w:tab w:val="right" w:leader="dot" w:pos="2552"/>
              </w:tabs>
              <w:spacing w:after="60"/>
              <w:ind w:left="34" w:hanging="34"/>
              <w:rPr>
                <w:rFonts w:eastAsia="Fira Sans Light" w:cs="Arial"/>
                <w:sz w:val="16"/>
                <w:szCs w:val="16"/>
              </w:rPr>
            </w:pPr>
            <w:r>
              <w:rPr>
                <w:rFonts w:eastAsia="Fira Sans Light" w:cs="Arial"/>
                <w:sz w:val="16"/>
                <w:szCs w:val="16"/>
              </w:rPr>
              <w:t>Indywidualne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1780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Calibri" w:cs="Arial"/>
                <w:bCs/>
                <w:sz w:val="16"/>
                <w:szCs w:val="16"/>
              </w:rPr>
            </w:pPr>
            <w:r>
              <w:rPr>
                <w:rFonts w:eastAsia="Calibri" w:cs="Arial"/>
                <w:bCs/>
                <w:sz w:val="16"/>
                <w:szCs w:val="16"/>
              </w:rPr>
              <w:t>69,3</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100,2</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1710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76,5</w:t>
            </w:r>
          </w:p>
        </w:tc>
        <w:tc>
          <w:tcPr>
            <w:tcW w:w="1225" w:type="dxa"/>
            <w:tcBorders>
              <w:top w:val="single" w:sz="4" w:space="0" w:color="522398"/>
              <w:left w:val="single" w:sz="4" w:space="0" w:color="522398"/>
              <w:bottom w:val="single" w:sz="4" w:space="0" w:color="522398"/>
              <w:right w:val="nil"/>
            </w:tcBorders>
            <w:vAlign w:val="bottom"/>
            <w:hideMark/>
          </w:tcPr>
          <w:p w:rsidR="0076092B" w:rsidRDefault="0076092B">
            <w:pPr>
              <w:spacing w:after="60"/>
              <w:ind w:right="170"/>
              <w:jc w:val="right"/>
              <w:rPr>
                <w:rFonts w:eastAsia="Fira Sans Light" w:cs="Arial"/>
                <w:sz w:val="16"/>
                <w:szCs w:val="16"/>
              </w:rPr>
            </w:pPr>
            <w:r>
              <w:rPr>
                <w:rFonts w:eastAsia="Fira Sans Light" w:cs="Arial"/>
                <w:sz w:val="16"/>
                <w:szCs w:val="16"/>
              </w:rPr>
              <w:t>90,6</w:t>
            </w:r>
          </w:p>
        </w:tc>
      </w:tr>
      <w:tr w:rsidR="0076092B" w:rsidTr="0076092B">
        <w:tc>
          <w:tcPr>
            <w:tcW w:w="3119" w:type="dxa"/>
            <w:tcBorders>
              <w:top w:val="single" w:sz="4" w:space="0" w:color="522398"/>
              <w:left w:val="nil"/>
              <w:bottom w:val="single" w:sz="4" w:space="0" w:color="522398"/>
              <w:right w:val="single" w:sz="4" w:space="0" w:color="522398"/>
            </w:tcBorders>
            <w:vAlign w:val="bottom"/>
            <w:hideMark/>
          </w:tcPr>
          <w:p w:rsidR="0076092B" w:rsidRDefault="0076092B">
            <w:pPr>
              <w:tabs>
                <w:tab w:val="left" w:leader="dot" w:pos="2052"/>
                <w:tab w:val="right" w:leader="dot" w:pos="2552"/>
              </w:tabs>
              <w:spacing w:after="60"/>
              <w:ind w:left="176" w:hanging="176"/>
              <w:rPr>
                <w:rFonts w:eastAsia="Fira Sans Light" w:cs="Arial"/>
                <w:sz w:val="16"/>
                <w:szCs w:val="16"/>
              </w:rPr>
            </w:pPr>
            <w:r>
              <w:rPr>
                <w:rFonts w:eastAsia="Fira Sans Light" w:cs="Arial"/>
                <w:sz w:val="16"/>
                <w:szCs w:val="16"/>
              </w:rPr>
              <w:t>Przeznaczone na sprzedaż lub wynajem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775</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Calibri" w:cs="Arial"/>
                <w:bCs/>
                <w:sz w:val="16"/>
                <w:szCs w:val="16"/>
              </w:rPr>
            </w:pPr>
            <w:r>
              <w:rPr>
                <w:rFonts w:eastAsia="Calibri" w:cs="Arial"/>
                <w:bCs/>
                <w:sz w:val="16"/>
                <w:szCs w:val="16"/>
              </w:rPr>
              <w:t>30,1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107,5</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524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23,5</w:t>
            </w:r>
          </w:p>
        </w:tc>
        <w:tc>
          <w:tcPr>
            <w:tcW w:w="1225" w:type="dxa"/>
            <w:tcBorders>
              <w:top w:val="single" w:sz="4" w:space="0" w:color="522398"/>
              <w:left w:val="single" w:sz="4" w:space="0" w:color="522398"/>
              <w:bottom w:val="single" w:sz="4" w:space="0" w:color="522398"/>
              <w:right w:val="nil"/>
            </w:tcBorders>
            <w:vAlign w:val="bottom"/>
            <w:hideMark/>
          </w:tcPr>
          <w:p w:rsidR="0076092B" w:rsidRDefault="0076092B">
            <w:pPr>
              <w:spacing w:after="60"/>
              <w:ind w:right="170"/>
              <w:jc w:val="right"/>
              <w:rPr>
                <w:rFonts w:eastAsia="Fira Sans Light" w:cs="Arial"/>
                <w:sz w:val="16"/>
                <w:szCs w:val="16"/>
              </w:rPr>
            </w:pPr>
            <w:r>
              <w:rPr>
                <w:rFonts w:eastAsia="Fira Sans Light" w:cs="Arial"/>
                <w:sz w:val="16"/>
                <w:szCs w:val="16"/>
              </w:rPr>
              <w:t>94,6</w:t>
            </w:r>
          </w:p>
        </w:tc>
      </w:tr>
      <w:tr w:rsidR="0076092B" w:rsidTr="0076092B">
        <w:tc>
          <w:tcPr>
            <w:tcW w:w="3119" w:type="dxa"/>
            <w:tcBorders>
              <w:top w:val="single" w:sz="4" w:space="0" w:color="522398"/>
              <w:left w:val="nil"/>
              <w:bottom w:val="single" w:sz="4" w:space="0" w:color="522398"/>
              <w:right w:val="single" w:sz="4" w:space="0" w:color="522398"/>
            </w:tcBorders>
            <w:vAlign w:val="bottom"/>
            <w:hideMark/>
          </w:tcPr>
          <w:p w:rsidR="0076092B" w:rsidRDefault="0076092B">
            <w:pPr>
              <w:tabs>
                <w:tab w:val="left" w:leader="dot" w:pos="2052"/>
                <w:tab w:val="right" w:leader="dot" w:pos="2552"/>
              </w:tabs>
              <w:spacing w:after="60"/>
              <w:ind w:left="34" w:hanging="34"/>
              <w:rPr>
                <w:rFonts w:eastAsia="Fira Sans Light" w:cs="Arial"/>
                <w:sz w:val="16"/>
                <w:szCs w:val="16"/>
                <w:vertAlign w:val="superscript"/>
              </w:rPr>
            </w:pPr>
            <w:r>
              <w:rPr>
                <w:rFonts w:eastAsia="Fira Sans Light" w:cs="Arial"/>
                <w:sz w:val="16"/>
                <w:szCs w:val="16"/>
              </w:rPr>
              <w:t>Komunalne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16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0,6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b/>
                <w:spacing w:val="-8"/>
                <w:sz w:val="16"/>
                <w:szCs w:val="16"/>
              </w:rPr>
            </w:pPr>
            <w:r>
              <w:rPr>
                <w:rFonts w:eastAsia="Fira Sans Light" w:cs="Arial"/>
                <w:b/>
                <w:spacing w:val="-8"/>
                <w:sz w:val="16"/>
                <w:szCs w:val="16"/>
              </w:rPr>
              <w:t>.</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76092B" w:rsidRDefault="0076092B">
            <w:pPr>
              <w:spacing w:after="6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nil"/>
            </w:tcBorders>
            <w:vAlign w:val="bottom"/>
            <w:hideMark/>
          </w:tcPr>
          <w:p w:rsidR="0076092B" w:rsidRDefault="0076092B">
            <w:pPr>
              <w:spacing w:after="60"/>
              <w:ind w:right="170"/>
              <w:jc w:val="right"/>
              <w:rPr>
                <w:rFonts w:eastAsia="Fira Sans Light" w:cs="Arial"/>
                <w:sz w:val="16"/>
                <w:szCs w:val="16"/>
              </w:rPr>
            </w:pPr>
            <w:r>
              <w:rPr>
                <w:rFonts w:eastAsia="Fira Sans Light" w:cs="Arial"/>
                <w:sz w:val="16"/>
                <w:szCs w:val="16"/>
              </w:rPr>
              <w:t>–</w:t>
            </w:r>
          </w:p>
        </w:tc>
      </w:tr>
    </w:tbl>
    <w:p w:rsidR="0076092B" w:rsidRDefault="0076092B" w:rsidP="0076092B">
      <w:pPr>
        <w:spacing w:before="0" w:after="0" w:line="240" w:lineRule="auto"/>
        <w:rPr>
          <w:rFonts w:eastAsia="Fira Sans Light" w:cs="Arial"/>
          <w:szCs w:val="19"/>
        </w:rPr>
      </w:pPr>
    </w:p>
    <w:p w:rsidR="003321A3" w:rsidRPr="0076092B" w:rsidRDefault="0076092B" w:rsidP="0076092B">
      <w:pPr>
        <w:spacing w:before="0" w:after="0" w:line="240" w:lineRule="auto"/>
        <w:rPr>
          <w:rFonts w:ascii="Times New Roman" w:eastAsia="Fira Sans Light" w:hAnsi="Times New Roman" w:cs="Times New Roman"/>
          <w:sz w:val="24"/>
          <w:szCs w:val="24"/>
          <w:lang w:eastAsia="pl-PL"/>
        </w:rPr>
      </w:pPr>
      <w:r>
        <w:rPr>
          <w:rFonts w:eastAsia="Fira Sans Light" w:cs="Arial"/>
          <w:szCs w:val="19"/>
        </w:rPr>
        <w:t>W okresie styczeń-lipiec wśród mieszkań, na realizację których wydano pozwolenia lub dokonano zgłoszenia z projektem budowlanym, 69,3% stanowiły mieszkania budowane przez inwestorów indywidualnych. W przypadku mieszkań, których budowę rozpoczęto, inwestycje indywidualne stanowiły 76,5%.</w:t>
      </w:r>
    </w:p>
    <w:p w:rsidR="000967D8" w:rsidRPr="00881EAF" w:rsidRDefault="000967D8" w:rsidP="00452CA7">
      <w:pPr>
        <w:pageBreakBefore/>
        <w:spacing w:before="360" w:after="360"/>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lastRenderedPageBreak/>
        <w:t>RYNEK WEWNĘTRZNY</w:t>
      </w:r>
    </w:p>
    <w:p w:rsidR="00193961" w:rsidRPr="00351B54" w:rsidRDefault="00193961" w:rsidP="00193961">
      <w:pPr>
        <w:rPr>
          <w:rFonts w:cs="Arial"/>
          <w:bCs/>
          <w:szCs w:val="19"/>
        </w:rPr>
      </w:pPr>
      <w:r>
        <w:rPr>
          <w:rFonts w:cs="Arial"/>
          <w:bCs/>
          <w:szCs w:val="19"/>
        </w:rPr>
        <w:t>W lipcu</w:t>
      </w:r>
      <w:r w:rsidRPr="00351B54">
        <w:rPr>
          <w:rFonts w:cs="Arial"/>
          <w:bCs/>
          <w:szCs w:val="19"/>
        </w:rPr>
        <w:t xml:space="preserve"> </w:t>
      </w:r>
      <w:r>
        <w:rPr>
          <w:rFonts w:cs="Arial"/>
          <w:bCs/>
          <w:szCs w:val="19"/>
        </w:rPr>
        <w:t>b</w:t>
      </w:r>
      <w:r w:rsidRPr="00351B54">
        <w:rPr>
          <w:rFonts w:cs="Arial"/>
          <w:bCs/>
          <w:szCs w:val="19"/>
        </w:rPr>
        <w:t xml:space="preserve">r. w </w:t>
      </w:r>
      <w:r>
        <w:rPr>
          <w:rFonts w:cs="Arial"/>
          <w:bCs/>
          <w:szCs w:val="19"/>
        </w:rPr>
        <w:t>ujęciu rocznym zanotowano wzrost</w:t>
      </w:r>
      <w:r w:rsidRPr="00351B54">
        <w:rPr>
          <w:rFonts w:cs="Arial"/>
          <w:bCs/>
          <w:szCs w:val="19"/>
        </w:rPr>
        <w:t xml:space="preserve"> (w cenach bieżący</w:t>
      </w:r>
      <w:r>
        <w:rPr>
          <w:rFonts w:cs="Arial"/>
          <w:bCs/>
          <w:szCs w:val="19"/>
        </w:rPr>
        <w:t>ch) sprzedaży detalicznej (o 3,4%) oraz spadek  </w:t>
      </w:r>
      <w:r w:rsidRPr="00351B54">
        <w:rPr>
          <w:rFonts w:cs="Arial"/>
          <w:bCs/>
          <w:szCs w:val="19"/>
        </w:rPr>
        <w:t>sprzeda</w:t>
      </w:r>
      <w:r>
        <w:rPr>
          <w:rFonts w:cs="Arial"/>
          <w:bCs/>
          <w:szCs w:val="19"/>
        </w:rPr>
        <w:t>ży hurtowej (o 4,3</w:t>
      </w:r>
      <w:r w:rsidRPr="00351B54">
        <w:rPr>
          <w:rFonts w:cs="Arial"/>
          <w:bCs/>
          <w:szCs w:val="19"/>
        </w:rPr>
        <w:t>%).</w:t>
      </w:r>
    </w:p>
    <w:p w:rsidR="00640387" w:rsidRDefault="00193961" w:rsidP="00193961">
      <w:pPr>
        <w:rPr>
          <w:rFonts w:cs="Arial"/>
          <w:bCs/>
          <w:szCs w:val="19"/>
        </w:rPr>
      </w:pPr>
      <w:r w:rsidRPr="00774BC5">
        <w:rPr>
          <w:rFonts w:cs="Arial"/>
          <w:bCs/>
          <w:szCs w:val="19"/>
        </w:rPr>
        <w:t xml:space="preserve">Wśród grup podmiotów handlowych i niehandlowych o znaczącym udziale w </w:t>
      </w:r>
      <w:r w:rsidRPr="00936457">
        <w:rPr>
          <w:rFonts w:cs="Arial"/>
          <w:b/>
          <w:bCs/>
          <w:szCs w:val="19"/>
        </w:rPr>
        <w:t>sprzedaży detalicznej</w:t>
      </w:r>
      <w:r w:rsidRPr="00774BC5">
        <w:rPr>
          <w:rFonts w:cs="Arial"/>
          <w:bCs/>
          <w:szCs w:val="19"/>
        </w:rPr>
        <w:t xml:space="preserve"> ogółem</w:t>
      </w:r>
      <w:r>
        <w:rPr>
          <w:rFonts w:cs="Arial"/>
          <w:bCs/>
          <w:szCs w:val="19"/>
        </w:rPr>
        <w:t xml:space="preserve">, </w:t>
      </w:r>
      <w:r w:rsidRPr="00774BC5">
        <w:rPr>
          <w:rFonts w:cs="Arial"/>
          <w:bCs/>
          <w:szCs w:val="19"/>
        </w:rPr>
        <w:t xml:space="preserve">największy </w:t>
      </w:r>
      <w:r>
        <w:rPr>
          <w:rFonts w:cs="Arial"/>
          <w:bCs/>
          <w:szCs w:val="19"/>
        </w:rPr>
        <w:t xml:space="preserve">wzrost </w:t>
      </w:r>
      <w:r w:rsidRPr="00774BC5">
        <w:rPr>
          <w:rFonts w:cs="Arial"/>
          <w:bCs/>
          <w:szCs w:val="19"/>
        </w:rPr>
        <w:t>s</w:t>
      </w:r>
      <w:r>
        <w:rPr>
          <w:rFonts w:cs="Arial"/>
          <w:bCs/>
          <w:szCs w:val="19"/>
        </w:rPr>
        <w:t>przedaży, w odniesieniu do lipca 2019</w:t>
      </w:r>
      <w:r w:rsidRPr="00774BC5">
        <w:rPr>
          <w:rFonts w:cs="Arial"/>
          <w:bCs/>
          <w:szCs w:val="19"/>
        </w:rPr>
        <w:t xml:space="preserve"> r.</w:t>
      </w:r>
      <w:r>
        <w:rPr>
          <w:rFonts w:cs="Arial"/>
          <w:bCs/>
          <w:szCs w:val="19"/>
        </w:rPr>
        <w:t>,</w:t>
      </w:r>
      <w:r w:rsidRPr="00774BC5">
        <w:rPr>
          <w:rFonts w:cs="Arial"/>
          <w:bCs/>
          <w:szCs w:val="19"/>
        </w:rPr>
        <w:t xml:space="preserve"> odnotowały</w:t>
      </w:r>
      <w:r>
        <w:rPr>
          <w:rFonts w:cs="Arial"/>
          <w:bCs/>
          <w:szCs w:val="19"/>
        </w:rPr>
        <w:t xml:space="preserve"> </w:t>
      </w:r>
      <w:r w:rsidRPr="00774BC5">
        <w:rPr>
          <w:rFonts w:cs="Arial"/>
          <w:bCs/>
          <w:szCs w:val="19"/>
        </w:rPr>
        <w:t xml:space="preserve">podmioty </w:t>
      </w:r>
      <w:r>
        <w:rPr>
          <w:rFonts w:cs="Arial"/>
          <w:bCs/>
          <w:szCs w:val="19"/>
        </w:rPr>
        <w:t>zaklasyfikowane do grupy pozostałe (o 24,2%). Większą</w:t>
      </w:r>
      <w:r w:rsidRPr="00774BC5">
        <w:rPr>
          <w:rFonts w:cs="Arial"/>
          <w:bCs/>
          <w:szCs w:val="19"/>
        </w:rPr>
        <w:t xml:space="preserve"> niż przed </w:t>
      </w:r>
      <w:r>
        <w:rPr>
          <w:rFonts w:cs="Arial"/>
          <w:bCs/>
          <w:szCs w:val="19"/>
        </w:rPr>
        <w:t>rokiem sprzedaż zanotowały również</w:t>
      </w:r>
      <w:r w:rsidRPr="00774BC5">
        <w:rPr>
          <w:rFonts w:cs="Arial"/>
          <w:bCs/>
          <w:szCs w:val="19"/>
        </w:rPr>
        <w:t xml:space="preserve"> jednostki </w:t>
      </w:r>
      <w:r>
        <w:rPr>
          <w:rFonts w:cs="Arial"/>
          <w:bCs/>
          <w:szCs w:val="19"/>
        </w:rPr>
        <w:t>handlujące żywnością, napojami i wyrobami tytoniowymi (o 6,1%) oraz farmaceutykami, kosmetykami i sprzętem ortopedycznym (o 1,8%). Spośród grup o niższym udziale w sprzedaży detalicznej ogółem, największy wzrost odnotowano wśród podmiotów handlujących prasą, książkami oraz prowadzących pozostałą sprzedaż w wyspecjalizowanych sklepach (ponad dwukrotny wzrost sprzedaży). Spadek sprzedaży detalicznej wykazały natomiast jednostki zaklasyfikowane do grup: pojazdy samochodowe, motocykle, części (o 32,6%), paliwa stałe, ciekłe i gazowe (o 21,4%) oraz meble, RTV i AGD (o 3,1%).</w:t>
      </w:r>
    </w:p>
    <w:p w:rsidR="00640387" w:rsidRPr="00425378" w:rsidRDefault="000F291A" w:rsidP="00CA18EC">
      <w:pPr>
        <w:spacing w:before="480" w:after="0"/>
        <w:jc w:val="both"/>
        <w:rPr>
          <w:rFonts w:cs="Arial"/>
          <w:b/>
          <w:sz w:val="18"/>
          <w:szCs w:val="19"/>
        </w:rPr>
      </w:pPr>
      <w:r w:rsidRPr="0083095D">
        <w:rPr>
          <w:rFonts w:cs="Arial"/>
          <w:b/>
          <w:spacing w:val="-2"/>
          <w:szCs w:val="19"/>
        </w:rPr>
        <w:t>Tablica 1</w:t>
      </w:r>
      <w:r w:rsidR="004E1F5F">
        <w:rPr>
          <w:rFonts w:cs="Arial"/>
          <w:b/>
          <w:spacing w:val="-2"/>
          <w:szCs w:val="19"/>
        </w:rPr>
        <w:t>2</w:t>
      </w:r>
      <w:r w:rsidRPr="0083095D">
        <w:rPr>
          <w:rFonts w:cs="Arial"/>
          <w:b/>
          <w:spacing w:val="-2"/>
          <w:szCs w:val="19"/>
        </w:rPr>
        <w:t xml:space="preserve">. Dynamika i struktura (w cenach bieżących) sprzedaży detalicznej </w:t>
      </w:r>
    </w:p>
    <w:tbl>
      <w:tblPr>
        <w:tblW w:w="10467" w:type="dxa"/>
        <w:tblInd w:w="108" w:type="dxa"/>
        <w:tblLayout w:type="fixed"/>
        <w:tblLook w:val="01E0" w:firstRow="1" w:lastRow="1" w:firstColumn="1" w:lastColumn="1" w:noHBand="0" w:noVBand="0"/>
      </w:tblPr>
      <w:tblGrid>
        <w:gridCol w:w="5103"/>
        <w:gridCol w:w="1788"/>
        <w:gridCol w:w="1788"/>
        <w:gridCol w:w="1788"/>
      </w:tblGrid>
      <w:tr w:rsidR="00640387" w:rsidRPr="0083095D" w:rsidTr="00404776">
        <w:trPr>
          <w:trHeight w:val="266"/>
        </w:trPr>
        <w:tc>
          <w:tcPr>
            <w:tcW w:w="5103" w:type="dxa"/>
            <w:vMerge w:val="restart"/>
            <w:tcBorders>
              <w:top w:val="single" w:sz="4" w:space="0" w:color="522398"/>
              <w:bottom w:val="single" w:sz="4" w:space="0" w:color="522398"/>
              <w:right w:val="single" w:sz="4" w:space="0" w:color="522398"/>
            </w:tcBorders>
            <w:vAlign w:val="center"/>
          </w:tcPr>
          <w:p w:rsidR="00640387" w:rsidRPr="0083095D" w:rsidRDefault="00640387" w:rsidP="00404776">
            <w:pPr>
              <w:spacing w:before="40" w:after="40"/>
              <w:jc w:val="center"/>
              <w:rPr>
                <w:rFonts w:cs="Arial"/>
                <w:sz w:val="16"/>
                <w:szCs w:val="16"/>
              </w:rPr>
            </w:pPr>
            <w:r w:rsidRPr="0083095D">
              <w:rPr>
                <w:rFonts w:cs="Arial"/>
                <w:sz w:val="16"/>
                <w:szCs w:val="16"/>
              </w:rPr>
              <w:t>WYSZCZEGÓLNIENIE</w:t>
            </w:r>
          </w:p>
        </w:tc>
        <w:tc>
          <w:tcPr>
            <w:tcW w:w="1788" w:type="dxa"/>
            <w:tcBorders>
              <w:top w:val="single" w:sz="4" w:space="0" w:color="522398"/>
              <w:left w:val="single" w:sz="4" w:space="0" w:color="522398"/>
              <w:bottom w:val="single" w:sz="4" w:space="0" w:color="522398"/>
            </w:tcBorders>
          </w:tcPr>
          <w:p w:rsidR="00640387" w:rsidRPr="0083095D" w:rsidRDefault="00640387" w:rsidP="00404776">
            <w:pPr>
              <w:spacing w:before="40" w:after="40"/>
              <w:jc w:val="center"/>
              <w:rPr>
                <w:rFonts w:cs="Arial"/>
                <w:sz w:val="16"/>
                <w:szCs w:val="16"/>
              </w:rPr>
            </w:pPr>
            <w:r>
              <w:rPr>
                <w:rFonts w:cs="Arial"/>
                <w:sz w:val="16"/>
                <w:szCs w:val="16"/>
              </w:rPr>
              <w:t>V</w:t>
            </w:r>
            <w:r w:rsidR="00830597">
              <w:rPr>
                <w:rFonts w:cs="Arial"/>
                <w:sz w:val="16"/>
                <w:szCs w:val="16"/>
              </w:rPr>
              <w:t>I</w:t>
            </w:r>
            <w:r w:rsidR="00193961">
              <w:rPr>
                <w:rFonts w:cs="Arial"/>
                <w:sz w:val="16"/>
                <w:szCs w:val="16"/>
              </w:rPr>
              <w:t>I</w:t>
            </w:r>
            <w:r>
              <w:rPr>
                <w:rFonts w:cs="Arial"/>
                <w:sz w:val="16"/>
                <w:szCs w:val="16"/>
              </w:rPr>
              <w:t xml:space="preserve"> 2020</w:t>
            </w:r>
          </w:p>
        </w:tc>
        <w:tc>
          <w:tcPr>
            <w:tcW w:w="3576" w:type="dxa"/>
            <w:gridSpan w:val="2"/>
            <w:tcBorders>
              <w:top w:val="single" w:sz="4" w:space="0" w:color="522398"/>
              <w:left w:val="single" w:sz="4" w:space="0" w:color="522398"/>
              <w:bottom w:val="single" w:sz="4" w:space="0" w:color="522398"/>
            </w:tcBorders>
          </w:tcPr>
          <w:p w:rsidR="00640387" w:rsidRPr="0083095D" w:rsidRDefault="00640387" w:rsidP="00404776">
            <w:pPr>
              <w:spacing w:before="40" w:after="40"/>
              <w:jc w:val="center"/>
              <w:rPr>
                <w:rFonts w:cs="Arial"/>
                <w:sz w:val="16"/>
                <w:szCs w:val="16"/>
              </w:rPr>
            </w:pPr>
            <w:r>
              <w:rPr>
                <w:rFonts w:cs="Arial"/>
                <w:sz w:val="16"/>
                <w:szCs w:val="16"/>
              </w:rPr>
              <w:t>I-V</w:t>
            </w:r>
            <w:r w:rsidR="00830597">
              <w:rPr>
                <w:rFonts w:cs="Arial"/>
                <w:sz w:val="16"/>
                <w:szCs w:val="16"/>
              </w:rPr>
              <w:t>I</w:t>
            </w:r>
            <w:r w:rsidR="00193961">
              <w:rPr>
                <w:rFonts w:cs="Arial"/>
                <w:sz w:val="16"/>
                <w:szCs w:val="16"/>
              </w:rPr>
              <w:t>I</w:t>
            </w:r>
            <w:r>
              <w:rPr>
                <w:rFonts w:cs="Arial"/>
                <w:sz w:val="16"/>
                <w:szCs w:val="16"/>
              </w:rPr>
              <w:t xml:space="preserve"> 2020</w:t>
            </w:r>
          </w:p>
        </w:tc>
      </w:tr>
      <w:tr w:rsidR="00640387" w:rsidRPr="0083095D" w:rsidTr="00404776">
        <w:trPr>
          <w:trHeight w:val="147"/>
        </w:trPr>
        <w:tc>
          <w:tcPr>
            <w:tcW w:w="5103" w:type="dxa"/>
            <w:vMerge/>
            <w:tcBorders>
              <w:bottom w:val="single" w:sz="4" w:space="0" w:color="522398"/>
              <w:right w:val="single" w:sz="4" w:space="0" w:color="522398"/>
            </w:tcBorders>
            <w:vAlign w:val="center"/>
          </w:tcPr>
          <w:p w:rsidR="00640387" w:rsidRPr="0083095D" w:rsidRDefault="00640387" w:rsidP="00404776">
            <w:pPr>
              <w:spacing w:before="40" w:after="40"/>
              <w:jc w:val="center"/>
              <w:rPr>
                <w:rFonts w:cs="Arial"/>
                <w:sz w:val="16"/>
                <w:szCs w:val="16"/>
              </w:rPr>
            </w:pPr>
          </w:p>
        </w:tc>
        <w:tc>
          <w:tcPr>
            <w:tcW w:w="3576" w:type="dxa"/>
            <w:gridSpan w:val="2"/>
            <w:tcBorders>
              <w:top w:val="single" w:sz="4" w:space="0" w:color="522398"/>
              <w:left w:val="single" w:sz="4" w:space="0" w:color="522398"/>
              <w:bottom w:val="single" w:sz="4" w:space="0" w:color="522398"/>
            </w:tcBorders>
            <w:vAlign w:val="center"/>
          </w:tcPr>
          <w:p w:rsidR="00640387" w:rsidRPr="0083095D" w:rsidRDefault="00640387" w:rsidP="00404776">
            <w:pPr>
              <w:spacing w:before="40" w:after="40"/>
              <w:jc w:val="center"/>
              <w:rPr>
                <w:rFonts w:cs="Arial"/>
                <w:sz w:val="16"/>
                <w:szCs w:val="16"/>
              </w:rPr>
            </w:pPr>
            <w:r w:rsidRPr="0083095D">
              <w:rPr>
                <w:rFonts w:cs="Arial"/>
                <w:sz w:val="16"/>
                <w:szCs w:val="16"/>
              </w:rPr>
              <w:t>analogiczny okres roku poprzedniego = 100</w:t>
            </w:r>
          </w:p>
        </w:tc>
        <w:tc>
          <w:tcPr>
            <w:tcW w:w="1788" w:type="dxa"/>
            <w:tcBorders>
              <w:top w:val="single" w:sz="4" w:space="0" w:color="522398"/>
              <w:left w:val="single" w:sz="4" w:space="0" w:color="522398"/>
              <w:bottom w:val="single" w:sz="4" w:space="0" w:color="522398"/>
            </w:tcBorders>
          </w:tcPr>
          <w:p w:rsidR="00640387" w:rsidRPr="0083095D" w:rsidRDefault="00640387" w:rsidP="00404776">
            <w:pPr>
              <w:spacing w:before="40" w:after="40"/>
              <w:jc w:val="center"/>
              <w:rPr>
                <w:rFonts w:cs="Arial"/>
                <w:sz w:val="16"/>
                <w:szCs w:val="16"/>
              </w:rPr>
            </w:pPr>
            <w:r w:rsidRPr="0083095D">
              <w:rPr>
                <w:rFonts w:cs="Arial"/>
                <w:sz w:val="16"/>
                <w:szCs w:val="16"/>
              </w:rPr>
              <w:t>w odsetkach</w:t>
            </w:r>
          </w:p>
        </w:tc>
      </w:tr>
      <w:tr w:rsidR="00193961" w:rsidRPr="0083095D" w:rsidTr="00404776">
        <w:trPr>
          <w:trHeight w:val="330"/>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b/>
                <w:sz w:val="16"/>
                <w:szCs w:val="16"/>
              </w:rPr>
            </w:pPr>
            <w:r w:rsidRPr="0083095D">
              <w:rPr>
                <w:rFonts w:cs="Arial"/>
                <w:b/>
                <w:sz w:val="16"/>
                <w:szCs w:val="16"/>
              </w:rPr>
              <w:t>OGÓŁEM</w:t>
            </w:r>
            <w:r w:rsidRPr="0083095D">
              <w:rPr>
                <w:rFonts w:cs="Arial"/>
                <w:i/>
                <w:sz w:val="16"/>
                <w:szCs w:val="16"/>
                <w:vertAlign w:val="superscript"/>
              </w:rPr>
              <w:t xml:space="preserve"> a</w:t>
            </w:r>
          </w:p>
        </w:tc>
        <w:tc>
          <w:tcPr>
            <w:tcW w:w="1788" w:type="dxa"/>
            <w:tcBorders>
              <w:top w:val="single" w:sz="4" w:space="0" w:color="522398"/>
              <w:left w:val="single" w:sz="4" w:space="0" w:color="522398"/>
              <w:bottom w:val="single" w:sz="4" w:space="0" w:color="522398"/>
              <w:right w:val="single" w:sz="4" w:space="0" w:color="522398"/>
            </w:tcBorders>
          </w:tcPr>
          <w:p w:rsidR="00193961" w:rsidRPr="00CD48D6" w:rsidRDefault="00193961" w:rsidP="00193961">
            <w:pPr>
              <w:spacing w:before="80" w:after="80"/>
              <w:ind w:right="170"/>
              <w:jc w:val="right"/>
              <w:rPr>
                <w:rFonts w:cs="Arial"/>
                <w:b/>
                <w:sz w:val="16"/>
                <w:szCs w:val="16"/>
              </w:rPr>
            </w:pPr>
            <w:r>
              <w:rPr>
                <w:rFonts w:cs="Arial"/>
                <w:b/>
                <w:sz w:val="16"/>
                <w:szCs w:val="16"/>
              </w:rPr>
              <w:t>103,4</w:t>
            </w:r>
          </w:p>
        </w:tc>
        <w:tc>
          <w:tcPr>
            <w:tcW w:w="1788" w:type="dxa"/>
            <w:tcBorders>
              <w:top w:val="single" w:sz="4" w:space="0" w:color="522398"/>
              <w:left w:val="single" w:sz="4" w:space="0" w:color="522398"/>
              <w:bottom w:val="single" w:sz="4" w:space="0" w:color="522398"/>
            </w:tcBorders>
            <w:vAlign w:val="center"/>
          </w:tcPr>
          <w:p w:rsidR="00193961" w:rsidRPr="00CD48D6" w:rsidRDefault="00193961" w:rsidP="00193961">
            <w:pPr>
              <w:spacing w:before="80" w:after="80"/>
              <w:ind w:right="170"/>
              <w:jc w:val="right"/>
              <w:rPr>
                <w:rFonts w:cs="Arial"/>
                <w:b/>
                <w:sz w:val="16"/>
                <w:szCs w:val="16"/>
              </w:rPr>
            </w:pPr>
            <w:r>
              <w:rPr>
                <w:rFonts w:cs="Arial"/>
                <w:b/>
                <w:sz w:val="16"/>
                <w:szCs w:val="16"/>
              </w:rPr>
              <w:t>97,5</w:t>
            </w:r>
          </w:p>
        </w:tc>
        <w:tc>
          <w:tcPr>
            <w:tcW w:w="1788" w:type="dxa"/>
            <w:tcBorders>
              <w:top w:val="single" w:sz="4" w:space="0" w:color="522398"/>
              <w:left w:val="single" w:sz="4" w:space="0" w:color="522398"/>
              <w:bottom w:val="single" w:sz="4" w:space="0" w:color="522398"/>
            </w:tcBorders>
            <w:vAlign w:val="center"/>
          </w:tcPr>
          <w:p w:rsidR="00193961" w:rsidRPr="0083095D" w:rsidRDefault="00193961" w:rsidP="00193961">
            <w:pPr>
              <w:spacing w:before="80" w:after="80"/>
              <w:ind w:right="170"/>
              <w:jc w:val="right"/>
              <w:rPr>
                <w:rFonts w:cs="Arial"/>
                <w:b/>
                <w:sz w:val="16"/>
                <w:szCs w:val="16"/>
              </w:rPr>
            </w:pPr>
            <w:r w:rsidRPr="0083095D">
              <w:rPr>
                <w:rFonts w:cs="Arial"/>
                <w:b/>
                <w:sz w:val="16"/>
                <w:szCs w:val="16"/>
              </w:rPr>
              <w:t>100,0</w:t>
            </w:r>
          </w:p>
        </w:tc>
      </w:tr>
      <w:tr w:rsidR="00193961" w:rsidRPr="0083095D" w:rsidTr="00404776">
        <w:trPr>
          <w:trHeight w:val="227"/>
        </w:trPr>
        <w:tc>
          <w:tcPr>
            <w:tcW w:w="5103" w:type="dxa"/>
            <w:tcBorders>
              <w:top w:val="single" w:sz="4" w:space="0" w:color="522398"/>
              <w:right w:val="single" w:sz="4" w:space="0" w:color="522398"/>
            </w:tcBorders>
            <w:vAlign w:val="center"/>
          </w:tcPr>
          <w:p w:rsidR="00193961" w:rsidRPr="0083095D" w:rsidRDefault="00193961" w:rsidP="00404776">
            <w:pPr>
              <w:tabs>
                <w:tab w:val="left" w:leader="dot" w:pos="4143"/>
              </w:tabs>
              <w:spacing w:before="80" w:after="80"/>
              <w:ind w:left="176"/>
              <w:rPr>
                <w:rFonts w:cs="Arial"/>
                <w:sz w:val="16"/>
                <w:szCs w:val="16"/>
              </w:rPr>
            </w:pPr>
            <w:r w:rsidRPr="0083095D">
              <w:rPr>
                <w:rFonts w:cs="Arial"/>
                <w:sz w:val="16"/>
                <w:szCs w:val="16"/>
              </w:rPr>
              <w:t>w tym:</w:t>
            </w:r>
          </w:p>
        </w:tc>
        <w:tc>
          <w:tcPr>
            <w:tcW w:w="1788" w:type="dxa"/>
            <w:tcBorders>
              <w:top w:val="single" w:sz="4" w:space="0" w:color="522398"/>
              <w:left w:val="single" w:sz="4" w:space="0" w:color="522398"/>
              <w:right w:val="single" w:sz="4" w:space="0" w:color="522398"/>
            </w:tcBorders>
          </w:tcPr>
          <w:p w:rsidR="00193961" w:rsidRPr="00CD48D6" w:rsidRDefault="00193961" w:rsidP="00193961">
            <w:pPr>
              <w:spacing w:before="80" w:after="80"/>
              <w:ind w:right="170"/>
              <w:jc w:val="right"/>
              <w:rPr>
                <w:rFonts w:cs="Arial"/>
                <w:sz w:val="16"/>
                <w:szCs w:val="16"/>
              </w:rPr>
            </w:pPr>
          </w:p>
        </w:tc>
        <w:tc>
          <w:tcPr>
            <w:tcW w:w="1788" w:type="dxa"/>
            <w:tcBorders>
              <w:top w:val="single" w:sz="4" w:space="0" w:color="522398"/>
              <w:left w:val="single" w:sz="4" w:space="0" w:color="522398"/>
            </w:tcBorders>
            <w:vAlign w:val="center"/>
          </w:tcPr>
          <w:p w:rsidR="00193961" w:rsidRPr="00CD48D6" w:rsidRDefault="00193961" w:rsidP="00193961">
            <w:pPr>
              <w:spacing w:before="80" w:after="80"/>
              <w:ind w:right="170"/>
              <w:jc w:val="right"/>
              <w:rPr>
                <w:rFonts w:cs="Arial"/>
                <w:sz w:val="16"/>
                <w:szCs w:val="16"/>
              </w:rPr>
            </w:pPr>
          </w:p>
        </w:tc>
        <w:tc>
          <w:tcPr>
            <w:tcW w:w="1788" w:type="dxa"/>
            <w:tcBorders>
              <w:top w:val="single" w:sz="4" w:space="0" w:color="522398"/>
              <w:left w:val="single" w:sz="4" w:space="0" w:color="522398"/>
            </w:tcBorders>
            <w:vAlign w:val="center"/>
          </w:tcPr>
          <w:p w:rsidR="00193961" w:rsidRPr="0083095D" w:rsidRDefault="00193961" w:rsidP="00193961">
            <w:pPr>
              <w:spacing w:before="80" w:after="80"/>
              <w:ind w:right="170"/>
              <w:jc w:val="right"/>
              <w:rPr>
                <w:rFonts w:cs="Arial"/>
                <w:sz w:val="16"/>
                <w:szCs w:val="16"/>
              </w:rPr>
            </w:pPr>
          </w:p>
        </w:tc>
      </w:tr>
      <w:tr w:rsidR="00193961" w:rsidRPr="004C091F" w:rsidTr="00404776">
        <w:trPr>
          <w:trHeight w:val="227"/>
        </w:trPr>
        <w:tc>
          <w:tcPr>
            <w:tcW w:w="5103" w:type="dxa"/>
            <w:tcBorders>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sidRPr="0083095D">
              <w:rPr>
                <w:rFonts w:cs="Arial"/>
                <w:sz w:val="16"/>
                <w:szCs w:val="16"/>
              </w:rPr>
              <w:t>Pojazdy samochodowe, motocykle, części</w:t>
            </w:r>
          </w:p>
        </w:tc>
        <w:tc>
          <w:tcPr>
            <w:tcW w:w="1788" w:type="dxa"/>
            <w:tcBorders>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67,4</w:t>
            </w:r>
          </w:p>
        </w:tc>
        <w:tc>
          <w:tcPr>
            <w:tcW w:w="1788" w:type="dxa"/>
            <w:tcBorders>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58,1</w:t>
            </w:r>
          </w:p>
        </w:tc>
        <w:tc>
          <w:tcPr>
            <w:tcW w:w="1788" w:type="dxa"/>
            <w:tcBorders>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7,7</w:t>
            </w:r>
          </w:p>
        </w:tc>
      </w:tr>
      <w:tr w:rsidR="00193961" w:rsidRPr="004C091F"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Pr>
                <w:rFonts w:cs="Arial"/>
                <w:sz w:val="16"/>
                <w:szCs w:val="16"/>
              </w:rPr>
              <w:t>Paliwa stałe, ciekłe i gazowe</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78,6</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82,1</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8,3</w:t>
            </w:r>
          </w:p>
        </w:tc>
      </w:tr>
      <w:tr w:rsidR="00193961"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sidRPr="0083095D">
              <w:rPr>
                <w:rFonts w:cs="Arial"/>
                <w:sz w:val="16"/>
                <w:szCs w:val="16"/>
              </w:rPr>
              <w:t>Żywność, napoje i wyroby tytoniowe</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106,1</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106,8</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30,9</w:t>
            </w:r>
          </w:p>
        </w:tc>
      </w:tr>
      <w:tr w:rsidR="00193961"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Pr>
                <w:rFonts w:cs="Arial"/>
                <w:sz w:val="16"/>
                <w:szCs w:val="16"/>
              </w:rPr>
              <w:t>Pozostała sprzedaż detaliczna w niewyspecjalizowanych sklepach</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115,2</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114,7</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2,3</w:t>
            </w:r>
          </w:p>
        </w:tc>
      </w:tr>
      <w:tr w:rsidR="00193961" w:rsidRPr="004C11F4"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Pr>
                <w:rFonts w:cs="Arial"/>
                <w:sz w:val="16"/>
                <w:szCs w:val="16"/>
              </w:rPr>
              <w:t>Farmaceutyki, kosmetyki, sprzęt ortopedyczny</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101,8</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106,3</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10,9</w:t>
            </w:r>
          </w:p>
        </w:tc>
      </w:tr>
      <w:tr w:rsidR="00193961"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sidRPr="0083095D">
              <w:rPr>
                <w:rFonts w:cs="Arial"/>
                <w:sz w:val="16"/>
                <w:szCs w:val="16"/>
              </w:rPr>
              <w:t>Tekstylia, odzież, obuwie</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74,9</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69,4</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0,9</w:t>
            </w:r>
          </w:p>
        </w:tc>
      </w:tr>
      <w:tr w:rsidR="00193961"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Pr>
                <w:rFonts w:cs="Arial"/>
                <w:sz w:val="16"/>
                <w:szCs w:val="16"/>
              </w:rPr>
              <w:t>Meble, RTV, AGD</w:t>
            </w:r>
          </w:p>
        </w:tc>
        <w:tc>
          <w:tcPr>
            <w:tcW w:w="1788" w:type="dxa"/>
            <w:tcBorders>
              <w:top w:val="single" w:sz="4" w:space="0" w:color="522398"/>
              <w:left w:val="single" w:sz="4" w:space="0" w:color="522398"/>
              <w:bottom w:val="single" w:sz="4" w:space="0" w:color="522398"/>
              <w:right w:val="single" w:sz="4" w:space="0" w:color="522398"/>
            </w:tcBorders>
            <w:vAlign w:val="center"/>
          </w:tcPr>
          <w:p w:rsidR="00193961" w:rsidRPr="00B019BC" w:rsidRDefault="00193961" w:rsidP="00193961">
            <w:pPr>
              <w:spacing w:before="80" w:after="80"/>
              <w:ind w:right="170"/>
              <w:jc w:val="right"/>
              <w:rPr>
                <w:rFonts w:cs="Arial"/>
                <w:sz w:val="16"/>
                <w:szCs w:val="16"/>
              </w:rPr>
            </w:pPr>
            <w:r>
              <w:rPr>
                <w:rFonts w:cs="Arial"/>
                <w:sz w:val="16"/>
                <w:szCs w:val="16"/>
              </w:rPr>
              <w:t>96,9</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96,2</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11,5</w:t>
            </w:r>
          </w:p>
        </w:tc>
      </w:tr>
      <w:tr w:rsidR="00193961"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sidRPr="0083095D">
              <w:rPr>
                <w:rFonts w:cs="Arial"/>
                <w:sz w:val="16"/>
                <w:szCs w:val="16"/>
              </w:rPr>
              <w:t>Prasa, książki, pozostała sprzedaż w wyspecjalizowanych sklepach</w:t>
            </w:r>
          </w:p>
        </w:tc>
        <w:tc>
          <w:tcPr>
            <w:tcW w:w="1788" w:type="dxa"/>
            <w:tcBorders>
              <w:top w:val="single" w:sz="4" w:space="0" w:color="522398"/>
              <w:left w:val="single" w:sz="4" w:space="0" w:color="522398"/>
              <w:bottom w:val="single" w:sz="4" w:space="0" w:color="522398"/>
              <w:right w:val="single" w:sz="4" w:space="0" w:color="522398"/>
            </w:tcBorders>
            <w:vAlign w:val="center"/>
          </w:tcPr>
          <w:p w:rsidR="00193961" w:rsidRPr="00B019BC" w:rsidRDefault="00193961" w:rsidP="00193961">
            <w:pPr>
              <w:spacing w:before="80" w:after="80"/>
              <w:ind w:right="170"/>
              <w:jc w:val="right"/>
              <w:rPr>
                <w:rFonts w:cs="Arial"/>
                <w:sz w:val="16"/>
                <w:szCs w:val="16"/>
              </w:rPr>
            </w:pPr>
            <w:r>
              <w:rPr>
                <w:rFonts w:cs="Arial"/>
                <w:sz w:val="16"/>
                <w:szCs w:val="16"/>
              </w:rPr>
              <w:t>215,6</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181,3</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4,4</w:t>
            </w:r>
          </w:p>
        </w:tc>
      </w:tr>
      <w:tr w:rsidR="00193961"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193961" w:rsidRPr="0083095D" w:rsidRDefault="00193961" w:rsidP="00404776">
            <w:pPr>
              <w:tabs>
                <w:tab w:val="left" w:leader="dot" w:pos="4143"/>
              </w:tabs>
              <w:spacing w:before="80" w:after="80"/>
              <w:rPr>
                <w:rFonts w:cs="Arial"/>
                <w:sz w:val="16"/>
                <w:szCs w:val="16"/>
              </w:rPr>
            </w:pPr>
            <w:r w:rsidRPr="0083095D">
              <w:rPr>
                <w:rFonts w:cs="Arial"/>
                <w:sz w:val="16"/>
                <w:szCs w:val="16"/>
              </w:rPr>
              <w:t>Pozostałe</w:t>
            </w:r>
          </w:p>
        </w:tc>
        <w:tc>
          <w:tcPr>
            <w:tcW w:w="1788" w:type="dxa"/>
            <w:tcBorders>
              <w:top w:val="single" w:sz="4" w:space="0" w:color="522398"/>
              <w:left w:val="single" w:sz="4" w:space="0" w:color="522398"/>
              <w:bottom w:val="single" w:sz="4" w:space="0" w:color="522398"/>
              <w:right w:val="single" w:sz="4" w:space="0" w:color="522398"/>
            </w:tcBorders>
          </w:tcPr>
          <w:p w:rsidR="00193961" w:rsidRPr="00B019BC" w:rsidRDefault="00193961" w:rsidP="00193961">
            <w:pPr>
              <w:spacing w:before="80" w:after="80"/>
              <w:ind w:right="170"/>
              <w:jc w:val="right"/>
              <w:rPr>
                <w:rFonts w:cs="Arial"/>
                <w:sz w:val="16"/>
                <w:szCs w:val="16"/>
              </w:rPr>
            </w:pPr>
            <w:r>
              <w:rPr>
                <w:rFonts w:cs="Arial"/>
                <w:sz w:val="16"/>
                <w:szCs w:val="16"/>
              </w:rPr>
              <w:t>124,2</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101,3</w:t>
            </w:r>
          </w:p>
        </w:tc>
        <w:tc>
          <w:tcPr>
            <w:tcW w:w="1788" w:type="dxa"/>
            <w:tcBorders>
              <w:top w:val="single" w:sz="4" w:space="0" w:color="522398"/>
              <w:left w:val="single" w:sz="4" w:space="0" w:color="522398"/>
              <w:bottom w:val="single" w:sz="4" w:space="0" w:color="522398"/>
            </w:tcBorders>
            <w:vAlign w:val="center"/>
          </w:tcPr>
          <w:p w:rsidR="00193961" w:rsidRPr="004846C4" w:rsidRDefault="00193961" w:rsidP="00193961">
            <w:pPr>
              <w:spacing w:before="80" w:after="80"/>
              <w:ind w:right="170"/>
              <w:jc w:val="right"/>
              <w:rPr>
                <w:rFonts w:cs="Arial"/>
                <w:sz w:val="16"/>
                <w:szCs w:val="16"/>
              </w:rPr>
            </w:pPr>
            <w:r>
              <w:rPr>
                <w:rFonts w:cs="Arial"/>
                <w:sz w:val="16"/>
                <w:szCs w:val="16"/>
              </w:rPr>
              <w:t>22,6</w:t>
            </w:r>
          </w:p>
        </w:tc>
      </w:tr>
    </w:tbl>
    <w:p w:rsidR="000F291A" w:rsidRPr="0083095D" w:rsidRDefault="000F291A" w:rsidP="000F291A">
      <w:pPr>
        <w:spacing w:after="0" w:line="240" w:lineRule="auto"/>
        <w:ind w:left="227"/>
        <w:rPr>
          <w:rFonts w:cs="Arial"/>
          <w:sz w:val="16"/>
          <w:szCs w:val="16"/>
        </w:rPr>
      </w:pPr>
      <w:r w:rsidRPr="0083095D">
        <w:rPr>
          <w:rFonts w:cs="Arial"/>
          <w:i/>
          <w:sz w:val="16"/>
          <w:szCs w:val="16"/>
          <w:vertAlign w:val="superscript"/>
        </w:rPr>
        <w:t>a</w:t>
      </w:r>
      <w:r w:rsidRPr="0083095D">
        <w:rPr>
          <w:rFonts w:cs="Arial"/>
          <w:i/>
          <w:sz w:val="16"/>
          <w:szCs w:val="16"/>
        </w:rPr>
        <w:t xml:space="preserve"> </w:t>
      </w:r>
      <w:r w:rsidRPr="0083095D">
        <w:rPr>
          <w:rFonts w:cs="Arial"/>
          <w:sz w:val="16"/>
          <w:szCs w:val="16"/>
        </w:rPr>
        <w:t xml:space="preserve">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0F291A" w:rsidRDefault="000F291A" w:rsidP="000F291A">
      <w:pPr>
        <w:suppressAutoHyphens/>
        <w:rPr>
          <w:rFonts w:cs="Arial"/>
          <w:bCs/>
          <w:szCs w:val="19"/>
        </w:rPr>
      </w:pPr>
    </w:p>
    <w:p w:rsidR="00193961" w:rsidRPr="00802766" w:rsidRDefault="00193961" w:rsidP="00193961">
      <w:pPr>
        <w:suppressAutoHyphens/>
        <w:rPr>
          <w:rFonts w:cs="Arial"/>
          <w:bCs/>
          <w:szCs w:val="19"/>
        </w:rPr>
      </w:pPr>
      <w:r w:rsidRPr="00802766">
        <w:rPr>
          <w:rFonts w:cs="Arial"/>
          <w:bCs/>
          <w:szCs w:val="19"/>
        </w:rPr>
        <w:t>Wartość sprzedaży detalicznej zrealizowanej w lipcu 2020 r. przez jednostki handlowe i niehandlowe zwiększyła się w stosunku do czerwca br. o 16,3%. We wszystkich grupach podmiotów o znaczącym udziale w sprzedaży detalicznej ogółem zanotowano wzrost sprzedaży. Największy wystąpił wśród jednostek zaklasyfikowanych do grupy pozostałe (o</w:t>
      </w:r>
      <w:r>
        <w:rPr>
          <w:rFonts w:cs="Arial"/>
          <w:bCs/>
          <w:szCs w:val="19"/>
        </w:rPr>
        <w:t> </w:t>
      </w:r>
      <w:r w:rsidRPr="00802766">
        <w:rPr>
          <w:rFonts w:cs="Arial"/>
          <w:bCs/>
          <w:szCs w:val="19"/>
        </w:rPr>
        <w:t>43,8%). Znacznie zwiększyła się również, w porównaniu z czerwcem br., sprzedaż detaliczna wśród jednostek handlujących: paliwami stałymi, ciekłymi i gazowymi (o 20,0%), żywnością, napojami i wyrob</w:t>
      </w:r>
      <w:r w:rsidR="00F74C7A">
        <w:rPr>
          <w:rFonts w:cs="Arial"/>
          <w:bCs/>
          <w:szCs w:val="19"/>
        </w:rPr>
        <w:t>ami</w:t>
      </w:r>
      <w:r w:rsidRPr="00802766">
        <w:rPr>
          <w:rFonts w:cs="Arial"/>
          <w:bCs/>
          <w:szCs w:val="19"/>
        </w:rPr>
        <w:t xml:space="preserve"> tytoniowymi (o 9,1%), farmaceutykami, kosmetykami i sprzętem ortopedycznym ( 8,7%), pojazdami samochodowymi, motocyklami i częściami (o 8,1%) oraz meblami i sprzętem RTV i AGD (o 6,5%). </w:t>
      </w:r>
    </w:p>
    <w:p w:rsidR="00F87A68" w:rsidRDefault="00193961" w:rsidP="00193961">
      <w:pPr>
        <w:rPr>
          <w:rFonts w:cs="Arial"/>
          <w:bCs/>
          <w:szCs w:val="19"/>
        </w:rPr>
      </w:pPr>
      <w:r w:rsidRPr="00936457">
        <w:rPr>
          <w:rFonts w:cs="Arial"/>
          <w:b/>
          <w:bCs/>
          <w:szCs w:val="19"/>
        </w:rPr>
        <w:t>Sprzedaż hurtowa</w:t>
      </w:r>
      <w:r w:rsidRPr="0013417F">
        <w:rPr>
          <w:rFonts w:cs="Arial"/>
          <w:bCs/>
          <w:szCs w:val="19"/>
        </w:rPr>
        <w:t xml:space="preserve"> (w cenach bieżących) w przedsiębiorstwach handlowych województwa świę</w:t>
      </w:r>
      <w:r>
        <w:rPr>
          <w:rFonts w:cs="Arial"/>
          <w:bCs/>
          <w:szCs w:val="19"/>
        </w:rPr>
        <w:t>tokrzyskiego w lipcu br. była większa o 8,6%</w:t>
      </w:r>
      <w:r w:rsidRPr="0013417F">
        <w:rPr>
          <w:rFonts w:cs="Arial"/>
          <w:bCs/>
          <w:szCs w:val="19"/>
        </w:rPr>
        <w:t xml:space="preserve"> od notowanej przed miesiące</w:t>
      </w:r>
      <w:r>
        <w:rPr>
          <w:rFonts w:cs="Arial"/>
          <w:bCs/>
          <w:szCs w:val="19"/>
        </w:rPr>
        <w:t>m i o 6,1% mniejsza niż w lipcu 2019</w:t>
      </w:r>
      <w:r w:rsidRPr="0013417F">
        <w:rPr>
          <w:rFonts w:cs="Arial"/>
          <w:bCs/>
          <w:szCs w:val="19"/>
        </w:rPr>
        <w:t xml:space="preserve"> r. Sprzedaż realizowana przez przedsiębiorstwa hurtowe ukształtowała</w:t>
      </w:r>
      <w:r>
        <w:rPr>
          <w:rFonts w:cs="Arial"/>
          <w:bCs/>
          <w:szCs w:val="19"/>
        </w:rPr>
        <w:t xml:space="preserve"> się również na poziomie wyższym w </w:t>
      </w:r>
      <w:r w:rsidRPr="0013417F">
        <w:rPr>
          <w:rFonts w:cs="Arial"/>
          <w:bCs/>
          <w:szCs w:val="19"/>
        </w:rPr>
        <w:t>odniesieniu do miesiąca poprzedniego</w:t>
      </w:r>
      <w:r>
        <w:rPr>
          <w:rFonts w:cs="Arial"/>
          <w:bCs/>
          <w:szCs w:val="19"/>
        </w:rPr>
        <w:t xml:space="preserve"> (o 5,9%), a niższym o 8,5% </w:t>
      </w:r>
      <w:r w:rsidRPr="0013417F">
        <w:rPr>
          <w:rFonts w:cs="Arial"/>
          <w:bCs/>
          <w:szCs w:val="19"/>
        </w:rPr>
        <w:t>w s</w:t>
      </w:r>
      <w:r>
        <w:rPr>
          <w:rFonts w:cs="Arial"/>
          <w:bCs/>
          <w:szCs w:val="19"/>
        </w:rPr>
        <w:t>tosunku do roku ubiegłego.</w:t>
      </w:r>
    </w:p>
    <w:p w:rsidR="00D67EC7" w:rsidRPr="00C51395" w:rsidRDefault="00D67EC7" w:rsidP="00CA18EC">
      <w:pPr>
        <w:pageBreakBefore/>
        <w:spacing w:before="360" w:after="360" w:line="240" w:lineRule="auto"/>
        <w:outlineLvl w:val="0"/>
        <w:rPr>
          <w:rFonts w:ascii="Fira Sans SemiBold" w:hAnsi="Fira Sans SemiBold" w:cs="Arial"/>
          <w:b/>
          <w:caps/>
          <w:color w:val="7030A0"/>
          <w:sz w:val="24"/>
          <w:szCs w:val="24"/>
        </w:rPr>
      </w:pPr>
      <w:r w:rsidRPr="00C51395">
        <w:rPr>
          <w:rFonts w:ascii="Fira Sans SemiBold" w:hAnsi="Fira Sans SemiBold" w:cs="Arial"/>
          <w:b/>
          <w:caps/>
          <w:color w:val="7030A0"/>
          <w:sz w:val="24"/>
          <w:szCs w:val="24"/>
        </w:rPr>
        <w:lastRenderedPageBreak/>
        <w:t>NAKŁADY INWESTYCYJNE</w:t>
      </w:r>
    </w:p>
    <w:p w:rsidR="00D67EC7" w:rsidRPr="00767A00" w:rsidRDefault="00D67EC7" w:rsidP="00D67EC7">
      <w:r w:rsidRPr="00767A00">
        <w:rPr>
          <w:b/>
        </w:rPr>
        <w:t>Nakłady inwestycyjne</w:t>
      </w:r>
      <w:r w:rsidRPr="00767A00">
        <w:t xml:space="preserve"> zrealizowane w okresie </w:t>
      </w:r>
      <w:proofErr w:type="spellStart"/>
      <w:r w:rsidRPr="003A03FC">
        <w:t>styczeń</w:t>
      </w:r>
      <w:r w:rsidRPr="003A03FC">
        <w:rPr>
          <w:rFonts w:ascii="Calibri" w:hAnsi="Calibri" w:cs="Arial"/>
        </w:rPr>
        <w:t>─</w:t>
      </w:r>
      <w:r w:rsidRPr="003A03FC">
        <w:t>czerwiec</w:t>
      </w:r>
      <w:proofErr w:type="spellEnd"/>
      <w:r>
        <w:t xml:space="preserve"> 2020</w:t>
      </w:r>
      <w:r w:rsidRPr="00767A00">
        <w:t xml:space="preserve"> r. przez przedsiębiorstwa </w:t>
      </w:r>
      <w:r w:rsidRPr="00767A00">
        <w:rPr>
          <w:rFonts w:cs="Arial"/>
        </w:rPr>
        <w:t>mające siedzibę na terenie</w:t>
      </w:r>
      <w:r w:rsidRPr="00767A00">
        <w:t xml:space="preserve"> województwa świętokrzyskiego osiągnęły wartość </w:t>
      </w:r>
      <w:r>
        <w:t>712,6</w:t>
      </w:r>
      <w:r w:rsidRPr="00767A00">
        <w:t xml:space="preserve"> mln zł i były (w cenach bieżących) o </w:t>
      </w:r>
      <w:r>
        <w:t>8,2</w:t>
      </w:r>
      <w:r w:rsidRPr="00767A00">
        <w:t xml:space="preserve">% wyższe od poniesionych w analogicznym okresie </w:t>
      </w:r>
      <w:r>
        <w:t>2019 r</w:t>
      </w:r>
      <w:r w:rsidRPr="00767A00">
        <w:t xml:space="preserve">. </w:t>
      </w:r>
    </w:p>
    <w:p w:rsidR="00D67EC7" w:rsidRPr="00066774" w:rsidRDefault="00D67EC7" w:rsidP="00D67EC7">
      <w:r w:rsidRPr="00066774">
        <w:t xml:space="preserve">Wzrost odnotowano w nakładach na budynki i budowle (o </w:t>
      </w:r>
      <w:r>
        <w:t>27,1</w:t>
      </w:r>
      <w:r w:rsidRPr="00066774">
        <w:t xml:space="preserve">%). </w:t>
      </w:r>
      <w:r>
        <w:t>Zmniejszyły się natomiast nakłady na zakupy – o 0,4%. Przyczynił się do tego spadek nakładów</w:t>
      </w:r>
      <w:r w:rsidRPr="00084B9B">
        <w:t xml:space="preserve"> </w:t>
      </w:r>
      <w:r w:rsidRPr="00066774">
        <w:t xml:space="preserve">na środki transportu </w:t>
      </w:r>
      <w:r>
        <w:t>(17,9</w:t>
      </w:r>
      <w:r w:rsidRPr="00066774">
        <w:t>%</w:t>
      </w:r>
      <w:r>
        <w:t xml:space="preserve">), podczas gdy </w:t>
      </w:r>
      <w:r w:rsidRPr="00066774">
        <w:t xml:space="preserve">nakłady na maszyny, urządzenia techniczne, narzędzia i wyposażenie były wyższe o </w:t>
      </w:r>
      <w:r>
        <w:t>2,4%</w:t>
      </w:r>
      <w:r w:rsidRPr="00066774">
        <w:t xml:space="preserve">. Udział zakupów w nakładach ogółem wyniósł </w:t>
      </w:r>
      <w:r>
        <w:t>63,5</w:t>
      </w:r>
      <w:r w:rsidRPr="00066774">
        <w:t xml:space="preserve">% (przed rokiem </w:t>
      </w:r>
      <w:r>
        <w:t>69,0</w:t>
      </w:r>
      <w:r w:rsidRPr="00066774">
        <w:t xml:space="preserve">%). </w:t>
      </w:r>
    </w:p>
    <w:p w:rsidR="00D67EC7" w:rsidRDefault="00D67EC7" w:rsidP="00D67EC7">
      <w:r w:rsidRPr="004C507D">
        <w:t>Do wzrostu wartości nakładów inwestycyjnych w największym stopniu przyczynił</w:t>
      </w:r>
      <w:r>
        <w:t>a</w:t>
      </w:r>
      <w:r w:rsidRPr="004C507D">
        <w:t xml:space="preserve"> się sekcj</w:t>
      </w:r>
      <w:r>
        <w:t>a</w:t>
      </w:r>
      <w:r w:rsidRPr="004C507D">
        <w:t xml:space="preserve"> wytwarzanie i zaopatrywanie w energię elektryczną, gaz, parę wodną i </w:t>
      </w:r>
      <w:r w:rsidRPr="00A823D9">
        <w:t xml:space="preserve">gorącą wodę, w której </w:t>
      </w:r>
      <w:r>
        <w:t xml:space="preserve">nakłady </w:t>
      </w:r>
      <w:r w:rsidRPr="00A823D9">
        <w:t xml:space="preserve">były </w:t>
      </w:r>
      <w:r>
        <w:t xml:space="preserve">trzyipółkrotnie </w:t>
      </w:r>
      <w:r w:rsidRPr="00A823D9">
        <w:t xml:space="preserve">wyższe </w:t>
      </w:r>
      <w:r>
        <w:t>niż przed rokiem</w:t>
      </w:r>
      <w:r w:rsidRPr="00A823D9">
        <w:t xml:space="preserve">. Znacznie większe inwestycje zrealizowano także w: </w:t>
      </w:r>
      <w:r>
        <w:t>informacji i komunikacji (o 7</w:t>
      </w:r>
      <w:r w:rsidRPr="00263BA1">
        <w:t>3,0%)</w:t>
      </w:r>
      <w:r>
        <w:t>,</w:t>
      </w:r>
      <w:r w:rsidRPr="00952127">
        <w:t xml:space="preserve"> </w:t>
      </w:r>
      <w:r w:rsidRPr="00A823D9">
        <w:t>dostaw</w:t>
      </w:r>
      <w:r>
        <w:t>ie</w:t>
      </w:r>
      <w:r w:rsidRPr="00A823D9">
        <w:t xml:space="preserve"> wody; gospodarowani</w:t>
      </w:r>
      <w:r>
        <w:t>u</w:t>
      </w:r>
      <w:r w:rsidRPr="00A823D9">
        <w:t xml:space="preserve"> </w:t>
      </w:r>
      <w:r w:rsidRPr="006F74A6">
        <w:t xml:space="preserve">ściekami i odpadami; rekultywacji (o </w:t>
      </w:r>
      <w:r>
        <w:t>29,9</w:t>
      </w:r>
      <w:r w:rsidRPr="006F74A6">
        <w:t xml:space="preserve">%) </w:t>
      </w:r>
      <w:r>
        <w:t xml:space="preserve">i </w:t>
      </w:r>
      <w:r w:rsidRPr="006F74A6">
        <w:t xml:space="preserve">obsłudze rynku nieruchomości (o </w:t>
      </w:r>
      <w:r>
        <w:t>15,1</w:t>
      </w:r>
      <w:r w:rsidRPr="006F74A6">
        <w:t>%)</w:t>
      </w:r>
      <w:r>
        <w:t>.</w:t>
      </w:r>
      <w:r w:rsidRPr="00C749CC">
        <w:t xml:space="preserve"> </w:t>
      </w:r>
      <w:r w:rsidRPr="006F74A6">
        <w:t>Znacznie mniej niż przed rokiem zainwestowano natomiast</w:t>
      </w:r>
      <w:r>
        <w:t xml:space="preserve"> m.in.</w:t>
      </w:r>
      <w:r w:rsidRPr="006F74A6">
        <w:t xml:space="preserve"> w</w:t>
      </w:r>
      <w:r>
        <w:t>:</w:t>
      </w:r>
      <w:r w:rsidRPr="00C749CC">
        <w:t xml:space="preserve"> </w:t>
      </w:r>
      <w:r w:rsidRPr="00263BA1">
        <w:t xml:space="preserve">górnictwie i wydobywaniu (o </w:t>
      </w:r>
      <w:r>
        <w:t>70,9</w:t>
      </w:r>
      <w:r w:rsidRPr="00263BA1">
        <w:t>%)</w:t>
      </w:r>
      <w:r>
        <w:t xml:space="preserve">, </w:t>
      </w:r>
      <w:r w:rsidRPr="006F74A6">
        <w:t xml:space="preserve">transporcie i gospodarce magazynowej (o </w:t>
      </w:r>
      <w:r>
        <w:t>59,6</w:t>
      </w:r>
      <w:r w:rsidRPr="006F74A6">
        <w:t>%</w:t>
      </w:r>
      <w:r>
        <w:t xml:space="preserve">), </w:t>
      </w:r>
      <w:r w:rsidRPr="006F74A6">
        <w:t>opiece zdro</w:t>
      </w:r>
      <w:r>
        <w:t>wotnej i pomocy społecznej (o 57</w:t>
      </w:r>
      <w:r w:rsidRPr="006F74A6">
        <w:t>,5%)</w:t>
      </w:r>
      <w:r>
        <w:t>,</w:t>
      </w:r>
      <w:r w:rsidRPr="00C749CC">
        <w:t xml:space="preserve"> </w:t>
      </w:r>
      <w:r>
        <w:t>administrowaniu i działalności wspierającej (o 52,9%) i</w:t>
      </w:r>
      <w:r w:rsidRPr="00C749CC">
        <w:t xml:space="preserve"> </w:t>
      </w:r>
      <w:r w:rsidRPr="00A823D9">
        <w:t>budownictwie (o </w:t>
      </w:r>
      <w:r>
        <w:t>40,9%).</w:t>
      </w:r>
    </w:p>
    <w:p w:rsidR="00D67EC7" w:rsidRPr="00263BA1" w:rsidRDefault="00D67EC7" w:rsidP="00D67EC7">
      <w:pPr>
        <w:spacing w:before="0" w:after="80" w:line="288" w:lineRule="auto"/>
        <w:jc w:val="center"/>
        <w:rPr>
          <w:rFonts w:ascii="Arial" w:hAnsi="Arial"/>
        </w:rPr>
      </w:pPr>
    </w:p>
    <w:p w:rsidR="00D67EC7" w:rsidRPr="00692B50" w:rsidRDefault="00D67EC7" w:rsidP="00D67EC7">
      <w:pPr>
        <w:spacing w:before="0" w:after="80" w:line="288" w:lineRule="auto"/>
        <w:rPr>
          <w:rFonts w:ascii="Arial" w:hAnsi="Arial"/>
        </w:rPr>
      </w:pPr>
      <w:r w:rsidRPr="00692B50">
        <w:rPr>
          <w:b/>
        </w:rPr>
        <w:t>Wykres 1</w:t>
      </w:r>
      <w:r>
        <w:rPr>
          <w:b/>
        </w:rPr>
        <w:t>2</w:t>
      </w:r>
      <w:r w:rsidRPr="00692B50">
        <w:rPr>
          <w:b/>
        </w:rPr>
        <w:t>.</w:t>
      </w:r>
      <w:r w:rsidRPr="00692B50">
        <w:rPr>
          <w:b/>
          <w:shd w:val="clear" w:color="auto" w:fill="FFFFFF"/>
        </w:rPr>
        <w:t xml:space="preserve"> Nakłady inwestycyjne (ceny bieżące) </w:t>
      </w:r>
      <w:r w:rsidRPr="00692B50">
        <w:rPr>
          <w:shd w:val="clear" w:color="auto" w:fill="FFFFFF"/>
        </w:rPr>
        <w:t>(wzrost/spadek w stosunku do roku poprzedniego)</w:t>
      </w:r>
    </w:p>
    <w:p w:rsidR="00D67EC7" w:rsidRDefault="00D67EC7" w:rsidP="00D67EC7">
      <w:pPr>
        <w:spacing w:before="0" w:after="80" w:line="288" w:lineRule="auto"/>
        <w:rPr>
          <w:noProof/>
          <w:lang w:eastAsia="pl-PL"/>
        </w:rPr>
      </w:pPr>
      <w:r>
        <w:rPr>
          <w:noProof/>
          <w:lang w:eastAsia="pl-PL"/>
        </w:rPr>
        <w:drawing>
          <wp:inline distT="0" distB="0" distL="0" distR="0">
            <wp:extent cx="6619875" cy="2886075"/>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67EC7" w:rsidRDefault="00D67EC7" w:rsidP="00D67EC7">
      <w:r w:rsidRPr="00263BA1">
        <w:t>W okresie styczeń</w:t>
      </w:r>
      <w:r w:rsidRPr="00263BA1">
        <w:rPr>
          <w:rFonts w:ascii="Calibri" w:hAnsi="Calibri"/>
        </w:rPr>
        <w:t>─</w:t>
      </w:r>
      <w:r>
        <w:rPr>
          <w:rFonts w:ascii="Calibri" w:hAnsi="Calibri"/>
        </w:rPr>
        <w:t xml:space="preserve"> </w:t>
      </w:r>
      <w:r w:rsidRPr="007B27D5">
        <w:t xml:space="preserve">czerwiec </w:t>
      </w:r>
      <w:r w:rsidRPr="00662B5D">
        <w:t>2020</w:t>
      </w:r>
      <w:r w:rsidRPr="00263BA1">
        <w:t xml:space="preserve"> r.</w:t>
      </w:r>
      <w:r w:rsidR="00662B5D">
        <w:t>,</w:t>
      </w:r>
      <w:r w:rsidRPr="00263BA1">
        <w:t xml:space="preserve"> zdecydowanie najwięcej zainwestowały przedsiębiorstwa prowadzące działalność w</w:t>
      </w:r>
      <w:r>
        <w:t> </w:t>
      </w:r>
      <w:r w:rsidRPr="00263BA1">
        <w:t>zakresie przetwórstwa przemysłowego</w:t>
      </w:r>
      <w:r>
        <w:rPr>
          <w:rFonts w:cs="Arial"/>
        </w:rPr>
        <w:t xml:space="preserve"> (53</w:t>
      </w:r>
      <w:r w:rsidRPr="00263BA1">
        <w:rPr>
          <w:rFonts w:cs="Arial"/>
        </w:rPr>
        <w:t>,7% ogółu poniesionych nakładów). Stosunkowo duży udział przypadał także m.in na: wytwarzanie i zaopatrywanie w energię elektryczną, gaz, parę wodną i gorącą wodę (</w:t>
      </w:r>
      <w:r>
        <w:rPr>
          <w:rFonts w:cs="Arial"/>
        </w:rPr>
        <w:t xml:space="preserve">16,8%) i </w:t>
      </w:r>
      <w:r w:rsidRPr="00263BA1">
        <w:rPr>
          <w:rFonts w:cs="Arial"/>
        </w:rPr>
        <w:t>obsługę rynku nieruchomości (</w:t>
      </w:r>
      <w:r>
        <w:rPr>
          <w:rFonts w:cs="Arial"/>
        </w:rPr>
        <w:t>12,6</w:t>
      </w:r>
      <w:r w:rsidRPr="00893663">
        <w:rPr>
          <w:rFonts w:cs="Arial"/>
        </w:rPr>
        <w:t xml:space="preserve">%). </w:t>
      </w:r>
      <w:r w:rsidRPr="00893663">
        <w:t>W strukturze według sekcji, w porównaniu z</w:t>
      </w:r>
      <w:r>
        <w:t> </w:t>
      </w:r>
      <w:r w:rsidRPr="00893663">
        <w:t>analogicznym okresem 201</w:t>
      </w:r>
      <w:r>
        <w:t>9</w:t>
      </w:r>
      <w:r w:rsidRPr="00893663">
        <w:t xml:space="preserve"> r., najbardziej zwiększył się udział nakładów poniesionych przez przedsiębiorstwa prowadzące działalność w zakresie</w:t>
      </w:r>
      <w:r w:rsidRPr="00893663">
        <w:rPr>
          <w:rFonts w:cs="Arial"/>
        </w:rPr>
        <w:t xml:space="preserve"> wytwarzania i zaopatrywania w</w:t>
      </w:r>
      <w:r w:rsidR="00452CA7">
        <w:rPr>
          <w:rFonts w:cs="Arial"/>
        </w:rPr>
        <w:t> </w:t>
      </w:r>
      <w:r w:rsidRPr="00893663">
        <w:rPr>
          <w:rFonts w:cs="Arial"/>
        </w:rPr>
        <w:t xml:space="preserve">energię elektryczną, gaz, parę wodną i gorącą wodę </w:t>
      </w:r>
      <w:r w:rsidRPr="00893663">
        <w:t xml:space="preserve">(o </w:t>
      </w:r>
      <w:r>
        <w:t>11,8</w:t>
      </w:r>
      <w:r w:rsidRPr="00893663">
        <w:t xml:space="preserve"> p.</w:t>
      </w:r>
      <w:r>
        <w:t>pr</w:t>
      </w:r>
      <w:r w:rsidRPr="00893663">
        <w:t>oc.), natomiast najbardziej zmniejszył się - przez przedsiębiorstwa zajmujące się przetwórstwem przemysłowym (o</w:t>
      </w:r>
      <w:r>
        <w:t> 4,3</w:t>
      </w:r>
      <w:r w:rsidRPr="00893663">
        <w:t xml:space="preserve"> p.proc.). </w:t>
      </w:r>
    </w:p>
    <w:p w:rsidR="00FE75EA" w:rsidRDefault="00FE75EA" w:rsidP="00D67EC7"/>
    <w:p w:rsidR="00D67EC7" w:rsidRPr="009906C0" w:rsidRDefault="00D67EC7" w:rsidP="00D67EC7">
      <w:pPr>
        <w:spacing w:before="360" w:after="360" w:line="240" w:lineRule="auto"/>
        <w:rPr>
          <w:rFonts w:ascii="Fira Sans SemiBold" w:eastAsia="Times New Roman" w:hAnsi="Fira Sans SemiBold" w:cs="Times New Roman"/>
          <w:bCs/>
          <w:color w:val="522398"/>
          <w:sz w:val="24"/>
          <w:szCs w:val="24"/>
          <w:lang w:eastAsia="pl-PL"/>
        </w:rPr>
      </w:pPr>
      <w:r w:rsidRPr="009906C0">
        <w:rPr>
          <w:rFonts w:ascii="Fira Sans SemiBold" w:eastAsia="Times New Roman" w:hAnsi="Fira Sans SemiBold" w:cs="Times New Roman"/>
          <w:bCs/>
          <w:color w:val="522398"/>
          <w:sz w:val="24"/>
          <w:szCs w:val="24"/>
          <w:lang w:eastAsia="pl-PL"/>
        </w:rPr>
        <w:t>WYNIKI FINANSOWE PRZEDSIĘBIORSTW</w:t>
      </w:r>
    </w:p>
    <w:p w:rsidR="00D67EC7" w:rsidRPr="00287437" w:rsidRDefault="00D67EC7" w:rsidP="00D67EC7">
      <w:pPr>
        <w:rPr>
          <w:rFonts w:cs="Arial"/>
          <w:bCs/>
          <w:szCs w:val="19"/>
        </w:rPr>
      </w:pPr>
      <w:r>
        <w:rPr>
          <w:rFonts w:cs="Arial"/>
          <w:bCs/>
          <w:szCs w:val="19"/>
        </w:rPr>
        <w:t>W okresie styczeń-czerwie</w:t>
      </w:r>
      <w:r w:rsidRPr="00287437">
        <w:rPr>
          <w:rFonts w:cs="Arial"/>
          <w:bCs/>
          <w:szCs w:val="19"/>
        </w:rPr>
        <w:t xml:space="preserve">c 2020 r. badane przedsiębiorstwa uzyskały </w:t>
      </w:r>
      <w:r>
        <w:rPr>
          <w:rFonts w:cs="Arial"/>
          <w:bCs/>
          <w:szCs w:val="19"/>
        </w:rPr>
        <w:t>podobne</w:t>
      </w:r>
      <w:r w:rsidRPr="00287437">
        <w:rPr>
          <w:rFonts w:cs="Arial"/>
          <w:bCs/>
          <w:szCs w:val="19"/>
        </w:rPr>
        <w:t xml:space="preserve"> wyniki finansowe </w:t>
      </w:r>
      <w:r>
        <w:rPr>
          <w:rFonts w:cs="Arial"/>
          <w:bCs/>
          <w:szCs w:val="19"/>
        </w:rPr>
        <w:t>jak</w:t>
      </w:r>
      <w:r w:rsidRPr="00287437">
        <w:rPr>
          <w:rFonts w:cs="Arial"/>
          <w:bCs/>
          <w:szCs w:val="19"/>
        </w:rPr>
        <w:t xml:space="preserve"> rok wcześniej. </w:t>
      </w:r>
      <w:r>
        <w:rPr>
          <w:rFonts w:cs="Arial"/>
          <w:bCs/>
          <w:szCs w:val="19"/>
        </w:rPr>
        <w:t>W</w:t>
      </w:r>
      <w:r w:rsidRPr="00287437">
        <w:rPr>
          <w:rFonts w:cs="Arial"/>
          <w:bCs/>
          <w:szCs w:val="19"/>
        </w:rPr>
        <w:t xml:space="preserve">zrost wyniku na pozostałej działalności operacyjnej </w:t>
      </w:r>
      <w:r>
        <w:rPr>
          <w:rFonts w:cs="Arial"/>
          <w:bCs/>
          <w:szCs w:val="19"/>
        </w:rPr>
        <w:t>z</w:t>
      </w:r>
      <w:r w:rsidRPr="00287437">
        <w:rPr>
          <w:rFonts w:cs="Arial"/>
          <w:bCs/>
          <w:szCs w:val="19"/>
        </w:rPr>
        <w:t xml:space="preserve">rekompensował </w:t>
      </w:r>
      <w:r>
        <w:rPr>
          <w:rFonts w:cs="Arial"/>
          <w:bCs/>
          <w:szCs w:val="19"/>
        </w:rPr>
        <w:t>spadek</w:t>
      </w:r>
      <w:r w:rsidRPr="00287437">
        <w:rPr>
          <w:rFonts w:cs="Arial"/>
          <w:bCs/>
          <w:szCs w:val="19"/>
        </w:rPr>
        <w:t xml:space="preserve"> wyniku na sprzedaży produktów, towar</w:t>
      </w:r>
      <w:r>
        <w:rPr>
          <w:rFonts w:cs="Arial"/>
          <w:bCs/>
          <w:szCs w:val="19"/>
        </w:rPr>
        <w:t>ów i materiałów oraz pogłębienie</w:t>
      </w:r>
      <w:r w:rsidRPr="00287437">
        <w:rPr>
          <w:rFonts w:cs="Arial"/>
          <w:bCs/>
          <w:szCs w:val="19"/>
        </w:rPr>
        <w:t xml:space="preserve"> strat na operacjach finansowych. W efekcie wynik</w:t>
      </w:r>
      <w:r>
        <w:rPr>
          <w:rFonts w:cs="Arial"/>
          <w:bCs/>
          <w:szCs w:val="19"/>
        </w:rPr>
        <w:t xml:space="preserve"> finansowy brutto był minimalnie wyższy a</w:t>
      </w:r>
      <w:r w:rsidRPr="00287437">
        <w:rPr>
          <w:rFonts w:cs="Arial"/>
          <w:bCs/>
          <w:szCs w:val="19"/>
        </w:rPr>
        <w:t xml:space="preserve"> netto</w:t>
      </w:r>
      <w:r>
        <w:rPr>
          <w:rFonts w:cs="Arial"/>
          <w:bCs/>
          <w:szCs w:val="19"/>
        </w:rPr>
        <w:t xml:space="preserve"> –niższy niż przed rokiem</w:t>
      </w:r>
      <w:r w:rsidRPr="00287437">
        <w:rPr>
          <w:rFonts w:cs="Arial"/>
          <w:bCs/>
          <w:szCs w:val="19"/>
        </w:rPr>
        <w:t xml:space="preserve">. </w:t>
      </w:r>
      <w:r>
        <w:rPr>
          <w:rFonts w:cs="Arial"/>
          <w:bCs/>
          <w:szCs w:val="19"/>
        </w:rPr>
        <w:t>Niewielkiej poprawie uległy</w:t>
      </w:r>
      <w:r w:rsidRPr="00287437">
        <w:rPr>
          <w:rFonts w:cs="Arial"/>
          <w:bCs/>
          <w:szCs w:val="19"/>
        </w:rPr>
        <w:t xml:space="preserve"> podstawowe wskaźniki finansowe (poza </w:t>
      </w:r>
      <w:r>
        <w:rPr>
          <w:rFonts w:cs="Arial"/>
          <w:bCs/>
          <w:szCs w:val="19"/>
        </w:rPr>
        <w:t>re</w:t>
      </w:r>
      <w:r w:rsidRPr="00134957">
        <w:rPr>
          <w:rFonts w:cs="Arial"/>
          <w:bCs/>
          <w:szCs w:val="19"/>
        </w:rPr>
        <w:t>ntowności</w:t>
      </w:r>
      <w:r>
        <w:rPr>
          <w:rFonts w:cs="Arial"/>
          <w:bCs/>
          <w:szCs w:val="19"/>
        </w:rPr>
        <w:t>ą</w:t>
      </w:r>
      <w:r w:rsidRPr="00134957">
        <w:rPr>
          <w:rFonts w:cs="Arial"/>
          <w:bCs/>
          <w:szCs w:val="19"/>
        </w:rPr>
        <w:t xml:space="preserve"> sprzedaży produktów, towarów i materiałów</w:t>
      </w:r>
      <w:r w:rsidRPr="00287437">
        <w:rPr>
          <w:rFonts w:cs="Arial"/>
          <w:bCs/>
          <w:szCs w:val="19"/>
        </w:rPr>
        <w:t xml:space="preserve">). </w:t>
      </w:r>
    </w:p>
    <w:p w:rsidR="00D67EC7" w:rsidRPr="00F5363E" w:rsidRDefault="00D67EC7" w:rsidP="00D67EC7">
      <w:pPr>
        <w:pageBreakBefore/>
        <w:spacing w:before="480"/>
        <w:jc w:val="both"/>
        <w:rPr>
          <w:rFonts w:cs="Arial"/>
          <w:b/>
          <w:spacing w:val="-2"/>
          <w:szCs w:val="19"/>
        </w:rPr>
      </w:pPr>
      <w:r w:rsidRPr="009E71C2">
        <w:rPr>
          <w:rFonts w:cs="Arial"/>
          <w:b/>
          <w:spacing w:val="-2"/>
          <w:szCs w:val="19"/>
        </w:rPr>
        <w:lastRenderedPageBreak/>
        <w:t>Tablica 1</w:t>
      </w:r>
      <w:r>
        <w:rPr>
          <w:rFonts w:cs="Arial"/>
          <w:b/>
          <w:spacing w:val="-2"/>
          <w:szCs w:val="19"/>
        </w:rPr>
        <w:t>3</w:t>
      </w:r>
      <w:r w:rsidRPr="009E71C2">
        <w:rPr>
          <w:rFonts w:cs="Arial"/>
          <w:b/>
          <w:spacing w:val="-2"/>
          <w:szCs w:val="19"/>
        </w:rPr>
        <w:t xml:space="preserve">. </w:t>
      </w:r>
      <w:r w:rsidRPr="00F5363E">
        <w:rPr>
          <w:rFonts w:cs="Arial"/>
          <w:b/>
          <w:spacing w:val="-2"/>
          <w:szCs w:val="19"/>
        </w:rPr>
        <w:t>Przychody, koszty oraz wyniki finansowe podmiotów objętych badaniem</w:t>
      </w:r>
    </w:p>
    <w:tbl>
      <w:tblPr>
        <w:tblW w:w="10505"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7705"/>
        <w:gridCol w:w="1400"/>
        <w:gridCol w:w="1400"/>
      </w:tblGrid>
      <w:tr w:rsidR="00D67EC7" w:rsidRPr="009906C0" w:rsidTr="00D67EC7">
        <w:tc>
          <w:tcPr>
            <w:tcW w:w="7705" w:type="dxa"/>
            <w:vMerge w:val="restart"/>
            <w:tcBorders>
              <w:left w:val="nil"/>
            </w:tcBorders>
            <w:vAlign w:val="center"/>
          </w:tcPr>
          <w:p w:rsidR="00D67EC7" w:rsidRPr="009906C0" w:rsidRDefault="00D67EC7" w:rsidP="00D67EC7">
            <w:pPr>
              <w:spacing w:before="40" w:after="40"/>
              <w:jc w:val="center"/>
              <w:rPr>
                <w:rFonts w:cs="Arial"/>
                <w:sz w:val="16"/>
                <w:szCs w:val="16"/>
              </w:rPr>
            </w:pPr>
            <w:r>
              <w:rPr>
                <w:rFonts w:cs="Arial"/>
                <w:sz w:val="16"/>
                <w:szCs w:val="16"/>
              </w:rPr>
              <w:t>WYSZCZEGÓLNIENIE</w:t>
            </w:r>
          </w:p>
        </w:tc>
        <w:tc>
          <w:tcPr>
            <w:tcW w:w="1400" w:type="dxa"/>
            <w:tcBorders>
              <w:bottom w:val="single" w:sz="4" w:space="0" w:color="7030A0"/>
            </w:tcBorders>
          </w:tcPr>
          <w:p w:rsidR="00D67EC7" w:rsidRPr="009906C0" w:rsidRDefault="00D67EC7" w:rsidP="00D67EC7">
            <w:pPr>
              <w:jc w:val="center"/>
              <w:rPr>
                <w:rFonts w:cs="Arial"/>
                <w:sz w:val="16"/>
                <w:szCs w:val="16"/>
              </w:rPr>
            </w:pPr>
            <w:r w:rsidRPr="009906C0">
              <w:rPr>
                <w:rFonts w:cs="Arial"/>
                <w:sz w:val="16"/>
                <w:szCs w:val="16"/>
              </w:rPr>
              <w:t>I–</w:t>
            </w:r>
            <w:r>
              <w:rPr>
                <w:rFonts w:cs="Arial"/>
                <w:sz w:val="16"/>
                <w:szCs w:val="16"/>
              </w:rPr>
              <w:t>VI</w:t>
            </w:r>
            <w:r w:rsidRPr="009906C0">
              <w:rPr>
                <w:rFonts w:cs="Arial"/>
                <w:sz w:val="16"/>
                <w:szCs w:val="16"/>
              </w:rPr>
              <w:t xml:space="preserve"> 201</w:t>
            </w:r>
            <w:r>
              <w:rPr>
                <w:rFonts w:cs="Arial"/>
                <w:sz w:val="16"/>
                <w:szCs w:val="16"/>
              </w:rPr>
              <w:t>9</w:t>
            </w:r>
          </w:p>
        </w:tc>
        <w:tc>
          <w:tcPr>
            <w:tcW w:w="1400" w:type="dxa"/>
            <w:tcBorders>
              <w:bottom w:val="single" w:sz="4" w:space="0" w:color="7030A0"/>
              <w:right w:val="nil"/>
            </w:tcBorders>
          </w:tcPr>
          <w:p w:rsidR="00D67EC7" w:rsidRPr="009906C0" w:rsidRDefault="00D67EC7" w:rsidP="00D67EC7">
            <w:pPr>
              <w:jc w:val="center"/>
              <w:rPr>
                <w:rFonts w:cs="Arial"/>
                <w:sz w:val="16"/>
                <w:szCs w:val="16"/>
              </w:rPr>
            </w:pPr>
            <w:r w:rsidRPr="009906C0">
              <w:rPr>
                <w:rFonts w:cs="Arial"/>
                <w:sz w:val="16"/>
                <w:szCs w:val="16"/>
              </w:rPr>
              <w:t>I–</w:t>
            </w:r>
            <w:r>
              <w:rPr>
                <w:rFonts w:cs="Arial"/>
                <w:sz w:val="16"/>
                <w:szCs w:val="16"/>
              </w:rPr>
              <w:t>VI</w:t>
            </w:r>
            <w:r w:rsidRPr="009906C0">
              <w:rPr>
                <w:rFonts w:cs="Arial"/>
                <w:sz w:val="16"/>
                <w:szCs w:val="16"/>
              </w:rPr>
              <w:t xml:space="preserve"> 20</w:t>
            </w:r>
            <w:r>
              <w:rPr>
                <w:rFonts w:cs="Arial"/>
                <w:sz w:val="16"/>
                <w:szCs w:val="16"/>
              </w:rPr>
              <w:t>20</w:t>
            </w:r>
          </w:p>
        </w:tc>
      </w:tr>
      <w:tr w:rsidR="00D67EC7" w:rsidRPr="009906C0" w:rsidTr="00D67EC7">
        <w:tc>
          <w:tcPr>
            <w:tcW w:w="7705" w:type="dxa"/>
            <w:vMerge/>
            <w:tcBorders>
              <w:left w:val="nil"/>
            </w:tcBorders>
          </w:tcPr>
          <w:p w:rsidR="00D67EC7" w:rsidRPr="009906C0" w:rsidRDefault="00D67EC7" w:rsidP="00D67EC7">
            <w:pPr>
              <w:spacing w:before="40" w:after="40"/>
              <w:rPr>
                <w:rFonts w:cs="Arial"/>
                <w:sz w:val="16"/>
                <w:szCs w:val="16"/>
              </w:rPr>
            </w:pPr>
          </w:p>
        </w:tc>
        <w:tc>
          <w:tcPr>
            <w:tcW w:w="2800" w:type="dxa"/>
            <w:gridSpan w:val="2"/>
            <w:tcBorders>
              <w:right w:val="nil"/>
            </w:tcBorders>
          </w:tcPr>
          <w:p w:rsidR="00D67EC7" w:rsidRPr="009906C0" w:rsidRDefault="00D67EC7" w:rsidP="00D67EC7">
            <w:pPr>
              <w:jc w:val="center"/>
              <w:rPr>
                <w:rFonts w:cs="Arial"/>
                <w:sz w:val="16"/>
                <w:szCs w:val="16"/>
              </w:rPr>
            </w:pPr>
            <w:r w:rsidRPr="009906C0">
              <w:rPr>
                <w:rFonts w:cs="Arial"/>
                <w:sz w:val="16"/>
                <w:szCs w:val="16"/>
              </w:rPr>
              <w:t>w mln zł</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rPr>
                <w:rFonts w:cs="Arial"/>
                <w:sz w:val="16"/>
                <w:szCs w:val="16"/>
              </w:rPr>
            </w:pPr>
            <w:r w:rsidRPr="009906C0">
              <w:rPr>
                <w:rFonts w:cs="Arial"/>
                <w:sz w:val="16"/>
                <w:szCs w:val="16"/>
              </w:rPr>
              <w:t>Przychody z całokształtu działalności</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22365,7</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21540,3</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ind w:left="454" w:hanging="227"/>
              <w:rPr>
                <w:rFonts w:cs="Arial"/>
                <w:sz w:val="16"/>
                <w:szCs w:val="16"/>
              </w:rPr>
            </w:pPr>
            <w:r w:rsidRPr="009906C0">
              <w:rPr>
                <w:rFonts w:cs="Arial"/>
                <w:sz w:val="16"/>
                <w:szCs w:val="16"/>
              </w:rPr>
              <w:t>w tym przychody ze sprzedaży produktów, towarów i materiałów</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21760,5</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20874,1</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Koszty uzyskania przychodów z całokształtu działalności</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21184,8</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20347,9</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ind w:left="454" w:hanging="227"/>
              <w:rPr>
                <w:rFonts w:cs="Arial"/>
                <w:sz w:val="16"/>
                <w:szCs w:val="16"/>
              </w:rPr>
            </w:pPr>
            <w:r w:rsidRPr="009906C0">
              <w:rPr>
                <w:rFonts w:cs="Arial"/>
                <w:sz w:val="16"/>
                <w:szCs w:val="16"/>
              </w:rPr>
              <w:t>w tym koszt własny sprzedanych produktów oraz wartość sprzedanych towarów i materiałów</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20647,6</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19837,2</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Wynik na sprzedaży produktów, towarów i materiałów</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1112,9</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1036,9</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Wynik na pozostałej działalności operacyjnej</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121,4</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225,7</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Wynik na operacjach finansowych</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-53,4</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-70,3</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Wynik finansowy brutto</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1181,0</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1192,3</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rPr>
                <w:rFonts w:cs="Arial"/>
                <w:sz w:val="16"/>
                <w:szCs w:val="16"/>
              </w:rPr>
            </w:pPr>
            <w:r w:rsidRPr="009906C0">
              <w:rPr>
                <w:rFonts w:cs="Arial"/>
                <w:sz w:val="16"/>
                <w:szCs w:val="16"/>
              </w:rPr>
              <w:t>Wynik finansowy netto</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970,5</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957,2</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ind w:left="227"/>
              <w:rPr>
                <w:rFonts w:cs="Arial"/>
                <w:sz w:val="16"/>
                <w:szCs w:val="16"/>
              </w:rPr>
            </w:pPr>
            <w:r w:rsidRPr="009906C0">
              <w:rPr>
                <w:rFonts w:cs="Arial"/>
                <w:sz w:val="16"/>
                <w:szCs w:val="16"/>
              </w:rPr>
              <w:t>zysk netto</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1114,1</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1181,2</w:t>
            </w:r>
          </w:p>
        </w:tc>
      </w:tr>
      <w:tr w:rsidR="00D67EC7" w:rsidRPr="009906C0" w:rsidTr="00D67EC7">
        <w:tc>
          <w:tcPr>
            <w:tcW w:w="7705" w:type="dxa"/>
            <w:tcBorders>
              <w:left w:val="nil"/>
            </w:tcBorders>
            <w:vAlign w:val="bottom"/>
          </w:tcPr>
          <w:p w:rsidR="00D67EC7" w:rsidRPr="009906C0" w:rsidRDefault="00D67EC7" w:rsidP="00D67EC7">
            <w:pPr>
              <w:tabs>
                <w:tab w:val="right" w:leader="dot" w:pos="5902"/>
              </w:tabs>
              <w:spacing w:before="60"/>
              <w:ind w:left="227"/>
              <w:rPr>
                <w:rFonts w:cs="Arial"/>
                <w:sz w:val="16"/>
                <w:szCs w:val="16"/>
              </w:rPr>
            </w:pPr>
            <w:r w:rsidRPr="009906C0">
              <w:rPr>
                <w:rFonts w:cs="Arial"/>
                <w:sz w:val="16"/>
                <w:szCs w:val="16"/>
              </w:rPr>
              <w:t>strata netto</w:t>
            </w:r>
          </w:p>
        </w:tc>
        <w:tc>
          <w:tcPr>
            <w:tcW w:w="1400" w:type="dxa"/>
            <w:tcBorders>
              <w:right w:val="nil"/>
            </w:tcBorders>
            <w:vAlign w:val="bottom"/>
          </w:tcPr>
          <w:p w:rsidR="00D67EC7" w:rsidRPr="0042368E" w:rsidRDefault="00D67EC7" w:rsidP="00D67EC7">
            <w:pPr>
              <w:spacing w:before="60"/>
              <w:jc w:val="right"/>
              <w:rPr>
                <w:rFonts w:cs="Arial"/>
                <w:sz w:val="16"/>
                <w:szCs w:val="16"/>
              </w:rPr>
            </w:pPr>
            <w:r>
              <w:rPr>
                <w:rFonts w:cs="Arial"/>
                <w:sz w:val="16"/>
                <w:szCs w:val="16"/>
              </w:rPr>
              <w:t>143,6</w:t>
            </w:r>
          </w:p>
        </w:tc>
        <w:tc>
          <w:tcPr>
            <w:tcW w:w="1400" w:type="dxa"/>
            <w:tcBorders>
              <w:right w:val="nil"/>
            </w:tcBorders>
            <w:vAlign w:val="bottom"/>
          </w:tcPr>
          <w:p w:rsidR="00D67EC7" w:rsidRPr="00244815" w:rsidRDefault="00D67EC7" w:rsidP="00D67EC7">
            <w:pPr>
              <w:spacing w:before="60"/>
              <w:jc w:val="right"/>
              <w:rPr>
                <w:rFonts w:cs="Arial"/>
                <w:sz w:val="16"/>
                <w:szCs w:val="16"/>
              </w:rPr>
            </w:pPr>
            <w:r>
              <w:rPr>
                <w:rFonts w:cs="Arial"/>
                <w:sz w:val="16"/>
                <w:szCs w:val="16"/>
              </w:rPr>
              <w:t>224,0</w:t>
            </w:r>
          </w:p>
        </w:tc>
      </w:tr>
    </w:tbl>
    <w:p w:rsidR="00D67EC7" w:rsidRDefault="00D67EC7" w:rsidP="00D67EC7">
      <w:pPr>
        <w:jc w:val="both"/>
        <w:rPr>
          <w:rFonts w:cs="Arial"/>
          <w:b/>
          <w:bCs/>
          <w:szCs w:val="19"/>
        </w:rPr>
      </w:pPr>
    </w:p>
    <w:p w:rsidR="00D67EC7" w:rsidRPr="007167D3" w:rsidRDefault="00D67EC7" w:rsidP="00D67EC7">
      <w:pPr>
        <w:rPr>
          <w:rFonts w:cs="Arial"/>
          <w:bCs/>
          <w:szCs w:val="19"/>
        </w:rPr>
      </w:pPr>
      <w:r w:rsidRPr="00CF30BF">
        <w:rPr>
          <w:rFonts w:cs="Arial"/>
          <w:b/>
          <w:bCs/>
          <w:szCs w:val="19"/>
        </w:rPr>
        <w:t>Przychody z całokształtu działalności</w:t>
      </w:r>
      <w:r w:rsidRPr="00CF30BF">
        <w:rPr>
          <w:rFonts w:cs="Arial"/>
          <w:bCs/>
          <w:szCs w:val="19"/>
        </w:rPr>
        <w:t xml:space="preserve"> w I </w:t>
      </w:r>
      <w:r>
        <w:rPr>
          <w:rFonts w:cs="Arial"/>
          <w:bCs/>
          <w:szCs w:val="19"/>
        </w:rPr>
        <w:t xml:space="preserve">półroczu </w:t>
      </w:r>
      <w:r w:rsidRPr="00CF30BF">
        <w:rPr>
          <w:rFonts w:cs="Arial"/>
          <w:bCs/>
          <w:szCs w:val="19"/>
        </w:rPr>
        <w:t xml:space="preserve">2020 r. osiągnęły </w:t>
      </w:r>
      <w:r>
        <w:rPr>
          <w:rFonts w:cs="Arial"/>
          <w:bCs/>
          <w:szCs w:val="19"/>
        </w:rPr>
        <w:t>21540,3 mln zł, co oznacza spadek o 3,7</w:t>
      </w:r>
      <w:r w:rsidRPr="00CF30BF">
        <w:rPr>
          <w:rFonts w:cs="Arial"/>
          <w:bCs/>
          <w:szCs w:val="19"/>
        </w:rPr>
        <w:t>% w relacji d</w:t>
      </w:r>
      <w:r w:rsidR="003B5414">
        <w:rPr>
          <w:rFonts w:cs="Arial"/>
          <w:bCs/>
          <w:szCs w:val="19"/>
        </w:rPr>
        <w:t>o analogicznego okresu 2019 r.</w:t>
      </w:r>
      <w:r w:rsidRPr="00CF30BF">
        <w:rPr>
          <w:rFonts w:cs="Arial"/>
          <w:bCs/>
          <w:szCs w:val="19"/>
        </w:rPr>
        <w:t xml:space="preserve"> </w:t>
      </w:r>
      <w:r w:rsidR="003B5414">
        <w:rPr>
          <w:rFonts w:cs="Arial"/>
          <w:bCs/>
          <w:szCs w:val="19"/>
        </w:rPr>
        <w:t>S</w:t>
      </w:r>
      <w:r>
        <w:rPr>
          <w:rFonts w:cs="Arial"/>
          <w:bCs/>
          <w:szCs w:val="19"/>
        </w:rPr>
        <w:t>zybciej</w:t>
      </w:r>
      <w:r w:rsidRPr="00CF30BF">
        <w:rPr>
          <w:rFonts w:cs="Arial"/>
          <w:bCs/>
          <w:szCs w:val="19"/>
        </w:rPr>
        <w:t xml:space="preserve"> </w:t>
      </w:r>
      <w:r w:rsidR="003B5414">
        <w:rPr>
          <w:rFonts w:cs="Arial"/>
          <w:bCs/>
          <w:szCs w:val="19"/>
        </w:rPr>
        <w:t>malały</w:t>
      </w:r>
      <w:r w:rsidR="003B5414" w:rsidRPr="00CF30BF">
        <w:rPr>
          <w:rFonts w:cs="Arial"/>
          <w:bCs/>
          <w:szCs w:val="19"/>
        </w:rPr>
        <w:t xml:space="preserve"> k</w:t>
      </w:r>
      <w:r w:rsidR="003B5414">
        <w:rPr>
          <w:rFonts w:cs="Arial"/>
          <w:bCs/>
          <w:szCs w:val="19"/>
        </w:rPr>
        <w:t>oszty uzyskania tych przychodów, które z</w:t>
      </w:r>
      <w:r>
        <w:rPr>
          <w:rFonts w:cs="Arial"/>
          <w:bCs/>
          <w:szCs w:val="19"/>
        </w:rPr>
        <w:t>mniejszyły</w:t>
      </w:r>
      <w:r w:rsidRPr="00CF30BF">
        <w:rPr>
          <w:rFonts w:cs="Arial"/>
          <w:bCs/>
          <w:szCs w:val="19"/>
        </w:rPr>
        <w:t xml:space="preserve"> się o </w:t>
      </w:r>
      <w:r>
        <w:rPr>
          <w:rFonts w:cs="Arial"/>
          <w:bCs/>
          <w:szCs w:val="19"/>
        </w:rPr>
        <w:t>4,0</w:t>
      </w:r>
      <w:r w:rsidRPr="00CF30BF">
        <w:rPr>
          <w:rFonts w:cs="Arial"/>
          <w:bCs/>
          <w:szCs w:val="19"/>
        </w:rPr>
        <w:t xml:space="preserve">% do </w:t>
      </w:r>
      <w:r w:rsidRPr="00CF30BF">
        <w:rPr>
          <w:rFonts w:cs="Arial"/>
          <w:bCs/>
          <w:szCs w:val="19"/>
        </w:rPr>
        <w:br/>
      </w:r>
      <w:r>
        <w:rPr>
          <w:rFonts w:cs="Arial"/>
          <w:bCs/>
          <w:szCs w:val="19"/>
        </w:rPr>
        <w:t>20347,9</w:t>
      </w:r>
      <w:r w:rsidRPr="00CF30BF">
        <w:rPr>
          <w:rFonts w:cs="Arial"/>
          <w:bCs/>
          <w:szCs w:val="19"/>
        </w:rPr>
        <w:t xml:space="preserve"> mln zł, co wpłynęło na </w:t>
      </w:r>
      <w:r>
        <w:rPr>
          <w:rFonts w:cs="Arial"/>
          <w:bCs/>
          <w:szCs w:val="19"/>
        </w:rPr>
        <w:t>spadek</w:t>
      </w:r>
      <w:r w:rsidRPr="00CF30BF">
        <w:rPr>
          <w:rFonts w:cs="Arial"/>
          <w:bCs/>
          <w:szCs w:val="19"/>
        </w:rPr>
        <w:t xml:space="preserve"> wskaźnika poziomu kosztów. Przychody netto ze sprzedaży produktów, towarów </w:t>
      </w:r>
      <w:r w:rsidRPr="00CF30BF">
        <w:rPr>
          <w:rFonts w:cs="Arial"/>
          <w:bCs/>
          <w:szCs w:val="19"/>
        </w:rPr>
        <w:br/>
        <w:t xml:space="preserve">i </w:t>
      </w:r>
      <w:r w:rsidRPr="007167D3">
        <w:rPr>
          <w:rFonts w:cs="Arial"/>
          <w:bCs/>
          <w:szCs w:val="19"/>
        </w:rPr>
        <w:t>materiałów b</w:t>
      </w:r>
      <w:r>
        <w:rPr>
          <w:rFonts w:cs="Arial"/>
          <w:bCs/>
          <w:szCs w:val="19"/>
        </w:rPr>
        <w:t>yły niższe niż przed rokiem o 4,1</w:t>
      </w:r>
      <w:r w:rsidRPr="007167D3">
        <w:rPr>
          <w:rFonts w:cs="Arial"/>
          <w:bCs/>
          <w:szCs w:val="19"/>
        </w:rPr>
        <w:t>%, natomiast kosz</w:t>
      </w:r>
      <w:r>
        <w:rPr>
          <w:rFonts w:cs="Arial"/>
          <w:bCs/>
          <w:szCs w:val="19"/>
        </w:rPr>
        <w:t>ty tej działalności zmalały o 3,9</w:t>
      </w:r>
      <w:r w:rsidRPr="007167D3">
        <w:rPr>
          <w:rFonts w:cs="Arial"/>
          <w:bCs/>
          <w:szCs w:val="19"/>
        </w:rPr>
        <w:t xml:space="preserve">%. W ujęciu wartościowym największy </w:t>
      </w:r>
      <w:r>
        <w:rPr>
          <w:rFonts w:cs="Arial"/>
          <w:bCs/>
          <w:szCs w:val="19"/>
        </w:rPr>
        <w:t>spadek</w:t>
      </w:r>
      <w:r w:rsidRPr="007167D3">
        <w:rPr>
          <w:rFonts w:cs="Arial"/>
          <w:bCs/>
          <w:szCs w:val="19"/>
        </w:rPr>
        <w:t xml:space="preserve"> przychodów netto ze sprzedaży produktów, towarów i materiałów notowano </w:t>
      </w:r>
      <w:r>
        <w:rPr>
          <w:rFonts w:cs="Arial"/>
          <w:bCs/>
          <w:szCs w:val="19"/>
        </w:rPr>
        <w:t>w handlu;</w:t>
      </w:r>
      <w:r w:rsidR="00C44416">
        <w:rPr>
          <w:rFonts w:cs="Arial"/>
          <w:bCs/>
          <w:szCs w:val="19"/>
        </w:rPr>
        <w:t xml:space="preserve"> </w:t>
      </w:r>
      <w:r>
        <w:rPr>
          <w:rFonts w:cs="Arial"/>
          <w:bCs/>
          <w:szCs w:val="19"/>
        </w:rPr>
        <w:t xml:space="preserve">naprawie pojazdów samochodowych oraz </w:t>
      </w:r>
      <w:r w:rsidRPr="007167D3">
        <w:rPr>
          <w:rFonts w:cs="Arial"/>
          <w:bCs/>
          <w:szCs w:val="19"/>
        </w:rPr>
        <w:t>górnictwie i wydobywaniu</w:t>
      </w:r>
      <w:r>
        <w:rPr>
          <w:rFonts w:cs="Arial"/>
          <w:bCs/>
          <w:szCs w:val="19"/>
        </w:rPr>
        <w:t>, natomiast wzrost</w:t>
      </w:r>
      <w:r w:rsidRPr="007167D3">
        <w:rPr>
          <w:rFonts w:cs="Arial"/>
          <w:bCs/>
          <w:szCs w:val="19"/>
        </w:rPr>
        <w:t xml:space="preserve"> w </w:t>
      </w:r>
      <w:r>
        <w:rPr>
          <w:rFonts w:cs="Arial"/>
          <w:bCs/>
          <w:szCs w:val="19"/>
        </w:rPr>
        <w:t>obsłudze rynku nieruchomości</w:t>
      </w:r>
      <w:r w:rsidRPr="007167D3">
        <w:rPr>
          <w:rFonts w:cs="Arial"/>
          <w:bCs/>
          <w:szCs w:val="19"/>
        </w:rPr>
        <w:t xml:space="preserve"> </w:t>
      </w:r>
      <w:r>
        <w:rPr>
          <w:rFonts w:cs="Arial"/>
          <w:bCs/>
          <w:szCs w:val="19"/>
        </w:rPr>
        <w:t>i</w:t>
      </w:r>
      <w:r w:rsidRPr="007167D3">
        <w:rPr>
          <w:rFonts w:cs="Arial"/>
          <w:bCs/>
          <w:szCs w:val="19"/>
        </w:rPr>
        <w:t xml:space="preserve"> budownictwie. </w:t>
      </w:r>
    </w:p>
    <w:p w:rsidR="00D67EC7" w:rsidRPr="00F92884" w:rsidRDefault="00D67EC7" w:rsidP="00D67EC7">
      <w:pPr>
        <w:rPr>
          <w:rFonts w:cs="Arial"/>
          <w:bCs/>
          <w:szCs w:val="19"/>
        </w:rPr>
      </w:pPr>
      <w:r w:rsidRPr="00F035C2">
        <w:rPr>
          <w:rFonts w:cs="Arial"/>
          <w:b/>
          <w:bCs/>
          <w:szCs w:val="19"/>
        </w:rPr>
        <w:t>Wynik finansowy ze sprzedaży produktów, towarów i materiałów</w:t>
      </w:r>
      <w:r w:rsidRPr="00F035C2">
        <w:rPr>
          <w:rFonts w:cs="Arial"/>
          <w:bCs/>
          <w:szCs w:val="19"/>
        </w:rPr>
        <w:t xml:space="preserve"> wyniósł </w:t>
      </w:r>
      <w:r>
        <w:rPr>
          <w:rFonts w:cs="Arial"/>
          <w:bCs/>
          <w:szCs w:val="19"/>
        </w:rPr>
        <w:t>1036,9</w:t>
      </w:r>
      <w:r w:rsidRPr="00F035C2">
        <w:rPr>
          <w:rFonts w:cs="Arial"/>
          <w:bCs/>
          <w:szCs w:val="19"/>
        </w:rPr>
        <w:t xml:space="preserve"> mln zł i był niższy o </w:t>
      </w:r>
      <w:r>
        <w:rPr>
          <w:rFonts w:cs="Arial"/>
          <w:bCs/>
          <w:szCs w:val="19"/>
        </w:rPr>
        <w:t>76,0</w:t>
      </w:r>
      <w:r w:rsidRPr="00F035C2">
        <w:rPr>
          <w:rFonts w:cs="Arial"/>
          <w:bCs/>
          <w:szCs w:val="19"/>
        </w:rPr>
        <w:t xml:space="preserve"> mln zł (o </w:t>
      </w:r>
      <w:r>
        <w:rPr>
          <w:rFonts w:cs="Arial"/>
          <w:bCs/>
          <w:szCs w:val="19"/>
        </w:rPr>
        <w:t>6,8</w:t>
      </w:r>
      <w:r w:rsidRPr="00F035C2">
        <w:rPr>
          <w:rFonts w:cs="Arial"/>
          <w:bCs/>
          <w:szCs w:val="19"/>
        </w:rPr>
        <w:t xml:space="preserve">%) niż w </w:t>
      </w:r>
      <w:r w:rsidR="003B5414">
        <w:rPr>
          <w:rFonts w:cs="Arial"/>
          <w:bCs/>
          <w:szCs w:val="19"/>
        </w:rPr>
        <w:t xml:space="preserve">I półroczu </w:t>
      </w:r>
      <w:r w:rsidRPr="00F035C2">
        <w:rPr>
          <w:rFonts w:cs="Arial"/>
          <w:bCs/>
          <w:szCs w:val="19"/>
        </w:rPr>
        <w:t xml:space="preserve">2019 r. Wynik na pozostałej działalności operacyjnej wzrósł o </w:t>
      </w:r>
      <w:r>
        <w:rPr>
          <w:rFonts w:cs="Arial"/>
          <w:bCs/>
          <w:szCs w:val="19"/>
        </w:rPr>
        <w:t>104,3</w:t>
      </w:r>
      <w:r w:rsidRPr="00F035C2">
        <w:rPr>
          <w:rFonts w:cs="Arial"/>
          <w:bCs/>
          <w:szCs w:val="19"/>
        </w:rPr>
        <w:t xml:space="preserve"> mln zł (o </w:t>
      </w:r>
      <w:r>
        <w:rPr>
          <w:rFonts w:cs="Arial"/>
          <w:bCs/>
          <w:szCs w:val="19"/>
        </w:rPr>
        <w:t>85,9</w:t>
      </w:r>
      <w:r w:rsidRPr="00F035C2">
        <w:rPr>
          <w:rFonts w:cs="Arial"/>
          <w:bCs/>
          <w:szCs w:val="19"/>
        </w:rPr>
        <w:t xml:space="preserve">%) do </w:t>
      </w:r>
      <w:r>
        <w:rPr>
          <w:rFonts w:cs="Arial"/>
          <w:bCs/>
          <w:szCs w:val="19"/>
        </w:rPr>
        <w:t>225,7</w:t>
      </w:r>
      <w:r w:rsidRPr="00F035C2">
        <w:rPr>
          <w:rFonts w:cs="Arial"/>
          <w:bCs/>
          <w:szCs w:val="19"/>
        </w:rPr>
        <w:t xml:space="preserve"> mln zł. </w:t>
      </w:r>
      <w:r w:rsidRPr="00FA3D98">
        <w:rPr>
          <w:rFonts w:cs="Arial"/>
          <w:bCs/>
          <w:szCs w:val="19"/>
        </w:rPr>
        <w:t xml:space="preserve">Wynik na operacjach finansowych spadł do minus </w:t>
      </w:r>
      <w:r>
        <w:rPr>
          <w:rFonts w:cs="Arial"/>
          <w:bCs/>
          <w:szCs w:val="19"/>
        </w:rPr>
        <w:t>70,3</w:t>
      </w:r>
      <w:r w:rsidRPr="00FA3D98">
        <w:rPr>
          <w:rFonts w:cs="Arial"/>
          <w:bCs/>
          <w:szCs w:val="19"/>
        </w:rPr>
        <w:t xml:space="preserve"> mln zł, podczas gdy r</w:t>
      </w:r>
      <w:r w:rsidR="003B5414">
        <w:rPr>
          <w:rFonts w:cs="Arial"/>
          <w:bCs/>
          <w:szCs w:val="19"/>
        </w:rPr>
        <w:t>ok wcześniej</w:t>
      </w:r>
      <w:r w:rsidRPr="00FA3D98">
        <w:rPr>
          <w:rFonts w:cs="Arial"/>
          <w:bCs/>
          <w:szCs w:val="19"/>
        </w:rPr>
        <w:t xml:space="preserve"> ukształtował się na poziomie minus </w:t>
      </w:r>
      <w:r>
        <w:rPr>
          <w:rFonts w:cs="Arial"/>
          <w:bCs/>
          <w:szCs w:val="19"/>
        </w:rPr>
        <w:t xml:space="preserve">53,4 </w:t>
      </w:r>
      <w:r w:rsidRPr="00FA3D98">
        <w:rPr>
          <w:rFonts w:cs="Arial"/>
          <w:bCs/>
          <w:szCs w:val="19"/>
        </w:rPr>
        <w:t>mln zł.</w:t>
      </w:r>
    </w:p>
    <w:p w:rsidR="00D67EC7" w:rsidRPr="00F035C2" w:rsidRDefault="00D67EC7" w:rsidP="00D67EC7">
      <w:pPr>
        <w:rPr>
          <w:rFonts w:cs="Arial"/>
          <w:bCs/>
          <w:szCs w:val="19"/>
        </w:rPr>
      </w:pPr>
      <w:r w:rsidRPr="00F035C2">
        <w:rPr>
          <w:rFonts w:cs="Arial"/>
          <w:b/>
          <w:bCs/>
          <w:szCs w:val="19"/>
        </w:rPr>
        <w:t>Wynik finansowy brutto</w:t>
      </w:r>
      <w:r w:rsidRPr="00F035C2">
        <w:rPr>
          <w:rFonts w:cs="Arial"/>
          <w:bCs/>
          <w:szCs w:val="19"/>
        </w:rPr>
        <w:t xml:space="preserve"> osiągnął wartość </w:t>
      </w:r>
      <w:r>
        <w:rPr>
          <w:rFonts w:cs="Arial"/>
          <w:bCs/>
          <w:szCs w:val="19"/>
        </w:rPr>
        <w:t>1192,3 mln zł i był wy</w:t>
      </w:r>
      <w:r w:rsidRPr="00F035C2">
        <w:rPr>
          <w:rFonts w:cs="Arial"/>
          <w:bCs/>
          <w:szCs w:val="19"/>
        </w:rPr>
        <w:t xml:space="preserve">ższy o </w:t>
      </w:r>
      <w:r>
        <w:rPr>
          <w:rFonts w:cs="Arial"/>
          <w:bCs/>
          <w:szCs w:val="19"/>
        </w:rPr>
        <w:t>11,4</w:t>
      </w:r>
      <w:r w:rsidRPr="00F035C2">
        <w:rPr>
          <w:rFonts w:cs="Arial"/>
          <w:bCs/>
          <w:szCs w:val="19"/>
        </w:rPr>
        <w:t xml:space="preserve"> mln zł (o </w:t>
      </w:r>
      <w:r>
        <w:rPr>
          <w:rFonts w:cs="Arial"/>
          <w:bCs/>
          <w:szCs w:val="19"/>
        </w:rPr>
        <w:t>1,0</w:t>
      </w:r>
      <w:r w:rsidRPr="00F035C2">
        <w:rPr>
          <w:rFonts w:cs="Arial"/>
          <w:bCs/>
          <w:szCs w:val="19"/>
        </w:rPr>
        <w:t xml:space="preserve">%) od uzyskanego w </w:t>
      </w:r>
      <w:r w:rsidR="003B5414">
        <w:rPr>
          <w:rFonts w:cs="Arial"/>
          <w:bCs/>
          <w:szCs w:val="19"/>
        </w:rPr>
        <w:t xml:space="preserve">I półroczu </w:t>
      </w:r>
      <w:r w:rsidRPr="00F035C2">
        <w:rPr>
          <w:rFonts w:cs="Arial"/>
          <w:bCs/>
          <w:szCs w:val="19"/>
        </w:rPr>
        <w:t xml:space="preserve">2019 r. Zwiększyła się relacja podatku dochodowego od osób prawnych i fizycznych do zysku brutto — z </w:t>
      </w:r>
      <w:r>
        <w:rPr>
          <w:rFonts w:cs="Arial"/>
          <w:bCs/>
          <w:szCs w:val="19"/>
        </w:rPr>
        <w:t>17,8</w:t>
      </w:r>
      <w:r w:rsidRPr="00F035C2">
        <w:rPr>
          <w:rFonts w:cs="Arial"/>
          <w:bCs/>
          <w:szCs w:val="19"/>
        </w:rPr>
        <w:t xml:space="preserve">% do </w:t>
      </w:r>
      <w:r>
        <w:rPr>
          <w:rFonts w:cs="Arial"/>
          <w:bCs/>
          <w:szCs w:val="19"/>
        </w:rPr>
        <w:t>19,7</w:t>
      </w:r>
      <w:r w:rsidRPr="00F035C2">
        <w:rPr>
          <w:rFonts w:cs="Arial"/>
          <w:bCs/>
          <w:szCs w:val="19"/>
        </w:rPr>
        <w:t xml:space="preserve">%. </w:t>
      </w:r>
    </w:p>
    <w:p w:rsidR="00D67EC7" w:rsidRPr="00F035C2" w:rsidRDefault="00D67EC7" w:rsidP="00D67EC7">
      <w:pPr>
        <w:rPr>
          <w:rFonts w:cs="Arial"/>
          <w:bCs/>
          <w:szCs w:val="19"/>
        </w:rPr>
      </w:pPr>
      <w:r w:rsidRPr="00F035C2">
        <w:rPr>
          <w:rFonts w:cs="Arial"/>
          <w:b/>
          <w:bCs/>
          <w:szCs w:val="19"/>
        </w:rPr>
        <w:t>Wynik finansowy netto</w:t>
      </w:r>
      <w:r w:rsidRPr="00F035C2">
        <w:rPr>
          <w:rFonts w:cs="Arial"/>
          <w:bCs/>
          <w:szCs w:val="19"/>
        </w:rPr>
        <w:t xml:space="preserve"> ukształtował się na poziomie </w:t>
      </w:r>
      <w:r>
        <w:rPr>
          <w:rFonts w:cs="Arial"/>
          <w:bCs/>
          <w:szCs w:val="19"/>
        </w:rPr>
        <w:t>957,2</w:t>
      </w:r>
      <w:r w:rsidRPr="00F035C2">
        <w:rPr>
          <w:rFonts w:cs="Arial"/>
          <w:bCs/>
          <w:szCs w:val="19"/>
        </w:rPr>
        <w:t xml:space="preserve"> mln zł i był niższy o </w:t>
      </w:r>
      <w:r>
        <w:rPr>
          <w:rFonts w:cs="Arial"/>
          <w:bCs/>
          <w:szCs w:val="19"/>
        </w:rPr>
        <w:t>13,3</w:t>
      </w:r>
      <w:r w:rsidRPr="00F035C2">
        <w:rPr>
          <w:rFonts w:cs="Arial"/>
          <w:bCs/>
          <w:szCs w:val="19"/>
        </w:rPr>
        <w:t xml:space="preserve"> mln zł (tj. o 1,4% w porównaniu z uzyskanym rok wcześniej); zysk netto zwiększył się o </w:t>
      </w:r>
      <w:r>
        <w:rPr>
          <w:rFonts w:cs="Arial"/>
          <w:bCs/>
          <w:szCs w:val="19"/>
        </w:rPr>
        <w:t>6,0</w:t>
      </w:r>
      <w:r w:rsidRPr="00F035C2">
        <w:rPr>
          <w:rFonts w:cs="Arial"/>
          <w:bCs/>
          <w:szCs w:val="19"/>
        </w:rPr>
        <w:t xml:space="preserve">%, a strata netto wzrosła o </w:t>
      </w:r>
      <w:r>
        <w:rPr>
          <w:rFonts w:cs="Arial"/>
          <w:bCs/>
          <w:szCs w:val="19"/>
        </w:rPr>
        <w:t>56,0</w:t>
      </w:r>
      <w:r w:rsidRPr="00F035C2">
        <w:rPr>
          <w:rFonts w:cs="Arial"/>
          <w:bCs/>
          <w:szCs w:val="19"/>
        </w:rPr>
        <w:t xml:space="preserve">%. </w:t>
      </w:r>
    </w:p>
    <w:p w:rsidR="00D67EC7" w:rsidRPr="00073F4A" w:rsidRDefault="00D67EC7" w:rsidP="00D67EC7">
      <w:pPr>
        <w:rPr>
          <w:rFonts w:cs="Arial"/>
          <w:bCs/>
          <w:szCs w:val="19"/>
        </w:rPr>
      </w:pPr>
      <w:r w:rsidRPr="00073F4A">
        <w:rPr>
          <w:rFonts w:cs="Arial"/>
          <w:bCs/>
          <w:szCs w:val="19"/>
        </w:rPr>
        <w:t xml:space="preserve">W </w:t>
      </w:r>
      <w:r w:rsidRPr="00F80E9B">
        <w:rPr>
          <w:rFonts w:cs="Arial"/>
          <w:bCs/>
          <w:szCs w:val="19"/>
        </w:rPr>
        <w:t xml:space="preserve">omawianym okresie zysk netto wykazało </w:t>
      </w:r>
      <w:r>
        <w:rPr>
          <w:rFonts w:cs="Arial"/>
          <w:bCs/>
          <w:szCs w:val="19"/>
        </w:rPr>
        <w:t>71,3</w:t>
      </w:r>
      <w:r w:rsidR="00F8306E">
        <w:rPr>
          <w:rFonts w:cs="Arial"/>
          <w:bCs/>
          <w:szCs w:val="19"/>
        </w:rPr>
        <w:t xml:space="preserve">% badanych przedsiębiorstw (rok wcześniej </w:t>
      </w:r>
      <w:r>
        <w:rPr>
          <w:rFonts w:cs="Arial"/>
          <w:bCs/>
          <w:szCs w:val="19"/>
        </w:rPr>
        <w:t xml:space="preserve"> – 76,9</w:t>
      </w:r>
      <w:r w:rsidRPr="00F80E9B">
        <w:rPr>
          <w:rFonts w:cs="Arial"/>
          <w:bCs/>
          <w:szCs w:val="19"/>
        </w:rPr>
        <w:t xml:space="preserve">%). </w:t>
      </w:r>
      <w:r>
        <w:rPr>
          <w:rFonts w:cs="Arial"/>
          <w:bCs/>
          <w:szCs w:val="19"/>
        </w:rPr>
        <w:t>Pomimo</w:t>
      </w:r>
      <w:r w:rsidR="00C44416">
        <w:rPr>
          <w:rFonts w:cs="Arial"/>
          <w:bCs/>
          <w:szCs w:val="19"/>
        </w:rPr>
        <w:t xml:space="preserve"> </w:t>
      </w:r>
      <w:r>
        <w:rPr>
          <w:rFonts w:cs="Arial"/>
          <w:bCs/>
          <w:szCs w:val="19"/>
        </w:rPr>
        <w:t>tego spadku u</w:t>
      </w:r>
      <w:r w:rsidRPr="00F80E9B">
        <w:rPr>
          <w:rFonts w:cs="Arial"/>
          <w:bCs/>
          <w:szCs w:val="19"/>
        </w:rPr>
        <w:t xml:space="preserve">dział przychodów przedsiębiorstw wykazujących zysk netto w ogólnej kwocie przychodów z całokształtu działalności </w:t>
      </w:r>
      <w:r>
        <w:rPr>
          <w:rFonts w:cs="Arial"/>
          <w:bCs/>
          <w:szCs w:val="19"/>
        </w:rPr>
        <w:t xml:space="preserve">zwiększył </w:t>
      </w:r>
      <w:r w:rsidRPr="00F80E9B">
        <w:rPr>
          <w:rFonts w:cs="Arial"/>
          <w:bCs/>
          <w:szCs w:val="19"/>
        </w:rPr>
        <w:t xml:space="preserve">się z </w:t>
      </w:r>
      <w:r>
        <w:rPr>
          <w:rFonts w:cs="Arial"/>
          <w:bCs/>
          <w:szCs w:val="19"/>
        </w:rPr>
        <w:t>81,4</w:t>
      </w:r>
      <w:r w:rsidRPr="00F80E9B">
        <w:rPr>
          <w:rFonts w:cs="Arial"/>
          <w:bCs/>
          <w:szCs w:val="19"/>
        </w:rPr>
        <w:t xml:space="preserve">% do </w:t>
      </w:r>
      <w:r>
        <w:rPr>
          <w:rFonts w:cs="Arial"/>
          <w:bCs/>
          <w:szCs w:val="19"/>
        </w:rPr>
        <w:t>84,2</w:t>
      </w:r>
      <w:r w:rsidRPr="00F80E9B">
        <w:rPr>
          <w:rFonts w:cs="Arial"/>
          <w:bCs/>
          <w:szCs w:val="19"/>
        </w:rPr>
        <w:t xml:space="preserve">%. W przetwórstwie przemysłowym zysk netto odnotowało </w:t>
      </w:r>
      <w:r>
        <w:rPr>
          <w:rFonts w:cs="Arial"/>
          <w:bCs/>
          <w:szCs w:val="19"/>
        </w:rPr>
        <w:t>72,0</w:t>
      </w:r>
      <w:r w:rsidRPr="00F80E9B">
        <w:rPr>
          <w:rFonts w:cs="Arial"/>
          <w:bCs/>
          <w:szCs w:val="19"/>
        </w:rPr>
        <w:t xml:space="preserve">% przedsiębiorstw </w:t>
      </w:r>
      <w:r w:rsidR="00F8306E">
        <w:rPr>
          <w:rFonts w:cs="Arial"/>
          <w:bCs/>
          <w:szCs w:val="19"/>
        </w:rPr>
        <w:t xml:space="preserve">(wobec </w:t>
      </w:r>
      <w:r>
        <w:rPr>
          <w:rFonts w:cs="Arial"/>
          <w:bCs/>
          <w:szCs w:val="19"/>
        </w:rPr>
        <w:t>82,8</w:t>
      </w:r>
      <w:r w:rsidR="00F8306E">
        <w:rPr>
          <w:rFonts w:cs="Arial"/>
          <w:bCs/>
          <w:szCs w:val="19"/>
        </w:rPr>
        <w:t>%</w:t>
      </w:r>
      <w:r w:rsidR="00F8306E" w:rsidRPr="00F8306E">
        <w:rPr>
          <w:rFonts w:cs="Arial"/>
          <w:bCs/>
          <w:szCs w:val="19"/>
        </w:rPr>
        <w:t xml:space="preserve"> </w:t>
      </w:r>
      <w:r w:rsidR="00F8306E">
        <w:rPr>
          <w:rFonts w:cs="Arial"/>
          <w:bCs/>
          <w:szCs w:val="19"/>
        </w:rPr>
        <w:t>przed rokiem</w:t>
      </w:r>
      <w:r w:rsidRPr="00073F4A">
        <w:rPr>
          <w:rFonts w:cs="Arial"/>
          <w:bCs/>
          <w:szCs w:val="19"/>
        </w:rPr>
        <w:t xml:space="preserve">), a udział uzyskanych przez nie przychodów w przychodach wszystkich podmiotów tej sekcji wyniósł </w:t>
      </w:r>
      <w:r>
        <w:rPr>
          <w:rFonts w:cs="Arial"/>
          <w:bCs/>
          <w:szCs w:val="19"/>
        </w:rPr>
        <w:t>79,6</w:t>
      </w:r>
      <w:r w:rsidRPr="00073F4A">
        <w:rPr>
          <w:rFonts w:cs="Arial"/>
          <w:bCs/>
          <w:szCs w:val="19"/>
        </w:rPr>
        <w:t xml:space="preserve">% (rok wcześniej </w:t>
      </w:r>
      <w:r w:rsidRPr="00F80E9B">
        <w:rPr>
          <w:rFonts w:cs="Arial"/>
          <w:bCs/>
          <w:szCs w:val="19"/>
        </w:rPr>
        <w:t xml:space="preserve">– </w:t>
      </w:r>
      <w:r>
        <w:rPr>
          <w:rFonts w:cs="Arial"/>
          <w:bCs/>
          <w:szCs w:val="19"/>
        </w:rPr>
        <w:t>80,7</w:t>
      </w:r>
      <w:r w:rsidRPr="00073F4A">
        <w:rPr>
          <w:rFonts w:cs="Arial"/>
          <w:bCs/>
          <w:szCs w:val="19"/>
        </w:rPr>
        <w:t>%).</w:t>
      </w:r>
    </w:p>
    <w:p w:rsidR="00D67EC7" w:rsidRPr="00F5363E" w:rsidRDefault="00EB687B" w:rsidP="00D67EC7">
      <w:pPr>
        <w:pageBreakBefore/>
        <w:spacing w:before="240"/>
        <w:jc w:val="both"/>
        <w:rPr>
          <w:rFonts w:cs="Arial"/>
          <w:b/>
          <w:spacing w:val="-2"/>
          <w:szCs w:val="19"/>
        </w:rPr>
      </w:pPr>
      <w:r>
        <w:rPr>
          <w:noProof/>
          <w:lang w:eastAsia="pl-PL"/>
        </w:rPr>
        <w:lastRenderedPageBreak/>
        <w:drawing>
          <wp:anchor distT="0" distB="0" distL="114300" distR="114300" simplePos="0" relativeHeight="251653120" behindDoc="0" locked="0" layoutInCell="1" allowOverlap="1">
            <wp:simplePos x="0" y="0"/>
            <wp:positionH relativeFrom="column">
              <wp:posOffset>0</wp:posOffset>
            </wp:positionH>
            <wp:positionV relativeFrom="paragraph">
              <wp:posOffset>314325</wp:posOffset>
            </wp:positionV>
            <wp:extent cx="6600825" cy="2790825"/>
            <wp:effectExtent l="0" t="0" r="0" b="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D67EC7" w:rsidRPr="00F5363E">
        <w:rPr>
          <w:rFonts w:cs="Arial"/>
          <w:b/>
          <w:spacing w:val="-2"/>
          <w:szCs w:val="19"/>
        </w:rPr>
        <w:t>Wykres 1</w:t>
      </w:r>
      <w:r w:rsidR="00662415">
        <w:rPr>
          <w:rFonts w:cs="Arial"/>
          <w:b/>
          <w:spacing w:val="-2"/>
          <w:szCs w:val="19"/>
        </w:rPr>
        <w:t>3</w:t>
      </w:r>
      <w:r w:rsidR="00D67EC7" w:rsidRPr="00F5363E">
        <w:rPr>
          <w:rFonts w:cs="Arial"/>
          <w:b/>
          <w:spacing w:val="-2"/>
          <w:szCs w:val="19"/>
        </w:rPr>
        <w:t>. Wskaźnik rentowności obrotu netto</w:t>
      </w:r>
      <w:r w:rsidR="00D67EC7" w:rsidRPr="000F7CF7">
        <w:rPr>
          <w:noProof/>
          <w:lang w:eastAsia="pl-PL"/>
        </w:rPr>
        <w:t xml:space="preserve"> </w:t>
      </w:r>
    </w:p>
    <w:p w:rsidR="00D67EC7" w:rsidRPr="000C70BE" w:rsidRDefault="00D67EC7" w:rsidP="00D67EC7">
      <w:pPr>
        <w:rPr>
          <w:rFonts w:cs="Arial"/>
          <w:bCs/>
          <w:szCs w:val="19"/>
        </w:rPr>
      </w:pPr>
      <w:r w:rsidRPr="000C70BE">
        <w:rPr>
          <w:rFonts w:cs="Arial"/>
          <w:bCs/>
          <w:szCs w:val="19"/>
        </w:rPr>
        <w:t xml:space="preserve">W badanych przedsiębiorstwach odnotowano </w:t>
      </w:r>
      <w:r>
        <w:rPr>
          <w:rFonts w:cs="Arial"/>
          <w:bCs/>
          <w:szCs w:val="19"/>
        </w:rPr>
        <w:t>poprawę</w:t>
      </w:r>
      <w:r w:rsidRPr="000C70BE">
        <w:rPr>
          <w:rFonts w:cs="Arial"/>
          <w:bCs/>
          <w:szCs w:val="19"/>
        </w:rPr>
        <w:t xml:space="preserve"> podstawowych </w:t>
      </w:r>
      <w:r w:rsidRPr="000C70BE">
        <w:rPr>
          <w:rFonts w:cs="Arial"/>
          <w:b/>
          <w:bCs/>
          <w:szCs w:val="19"/>
        </w:rPr>
        <w:t>wskaźników ekonomiczno-finansowych</w:t>
      </w:r>
      <w:r w:rsidRPr="000C70BE">
        <w:rPr>
          <w:rFonts w:cs="Arial"/>
          <w:bCs/>
          <w:szCs w:val="19"/>
        </w:rPr>
        <w:t xml:space="preserve">. W skali roku wskaźnik poziomu kosztów z całokształtu działalności </w:t>
      </w:r>
      <w:r>
        <w:rPr>
          <w:rFonts w:cs="Arial"/>
          <w:bCs/>
          <w:szCs w:val="19"/>
        </w:rPr>
        <w:t>zmalał</w:t>
      </w:r>
      <w:r w:rsidRPr="000C70BE">
        <w:rPr>
          <w:rFonts w:cs="Arial"/>
          <w:bCs/>
          <w:szCs w:val="19"/>
        </w:rPr>
        <w:t xml:space="preserve"> o 0,</w:t>
      </w:r>
      <w:r w:rsidR="00F8306E">
        <w:rPr>
          <w:rFonts w:cs="Arial"/>
          <w:bCs/>
          <w:szCs w:val="19"/>
        </w:rPr>
        <w:t>2</w:t>
      </w:r>
      <w:r>
        <w:rPr>
          <w:rFonts w:cs="Arial"/>
          <w:bCs/>
          <w:szCs w:val="19"/>
        </w:rPr>
        <w:t xml:space="preserve"> p.proc. Wzrosły natomiast w</w:t>
      </w:r>
      <w:r w:rsidRPr="000C70BE">
        <w:rPr>
          <w:rFonts w:cs="Arial"/>
          <w:bCs/>
          <w:szCs w:val="19"/>
        </w:rPr>
        <w:t xml:space="preserve">skaźniki rentowności obrotu brutto i netto </w:t>
      </w:r>
      <w:r>
        <w:rPr>
          <w:rFonts w:cs="Arial"/>
          <w:bCs/>
          <w:szCs w:val="19"/>
        </w:rPr>
        <w:t>(</w:t>
      </w:r>
      <w:r w:rsidRPr="000C70BE">
        <w:rPr>
          <w:rFonts w:cs="Arial"/>
          <w:bCs/>
          <w:szCs w:val="19"/>
        </w:rPr>
        <w:t xml:space="preserve">odpowiednio </w:t>
      </w:r>
      <w:r>
        <w:rPr>
          <w:rFonts w:cs="Arial"/>
          <w:bCs/>
          <w:szCs w:val="19"/>
        </w:rPr>
        <w:t>o 0,2</w:t>
      </w:r>
      <w:r w:rsidRPr="000C70BE">
        <w:rPr>
          <w:rFonts w:cs="Arial"/>
          <w:bCs/>
          <w:szCs w:val="19"/>
        </w:rPr>
        <w:t xml:space="preserve"> p.proc. i 0,</w:t>
      </w:r>
      <w:r>
        <w:rPr>
          <w:rFonts w:cs="Arial"/>
          <w:bCs/>
          <w:szCs w:val="19"/>
        </w:rPr>
        <w:t>1</w:t>
      </w:r>
      <w:r w:rsidRPr="000C70BE">
        <w:rPr>
          <w:rFonts w:cs="Arial"/>
          <w:bCs/>
          <w:szCs w:val="19"/>
        </w:rPr>
        <w:t xml:space="preserve"> p.proc.</w:t>
      </w:r>
      <w:r>
        <w:rPr>
          <w:rFonts w:cs="Arial"/>
          <w:bCs/>
          <w:szCs w:val="19"/>
        </w:rPr>
        <w:t>),</w:t>
      </w:r>
      <w:r w:rsidRPr="000C70BE">
        <w:rPr>
          <w:rFonts w:cs="Arial"/>
          <w:bCs/>
          <w:szCs w:val="19"/>
        </w:rPr>
        <w:t xml:space="preserve"> </w:t>
      </w:r>
      <w:r>
        <w:rPr>
          <w:rFonts w:cs="Arial"/>
          <w:bCs/>
          <w:szCs w:val="19"/>
        </w:rPr>
        <w:t xml:space="preserve">a także płynność finansowa </w:t>
      </w:r>
      <w:r w:rsidR="0034224E">
        <w:rPr>
          <w:rFonts w:cs="Arial"/>
          <w:bCs/>
          <w:szCs w:val="19"/>
        </w:rPr>
        <w:t>I oraz</w:t>
      </w:r>
      <w:r w:rsidRPr="000C70BE">
        <w:rPr>
          <w:rFonts w:cs="Arial"/>
          <w:bCs/>
          <w:szCs w:val="19"/>
        </w:rPr>
        <w:t xml:space="preserve"> II stopnia </w:t>
      </w:r>
      <w:r>
        <w:rPr>
          <w:rFonts w:cs="Arial"/>
          <w:bCs/>
          <w:szCs w:val="19"/>
        </w:rPr>
        <w:t>(</w:t>
      </w:r>
      <w:r w:rsidRPr="000C70BE">
        <w:rPr>
          <w:rFonts w:cs="Arial"/>
          <w:bCs/>
          <w:szCs w:val="19"/>
        </w:rPr>
        <w:t>kolejno o</w:t>
      </w:r>
      <w:r>
        <w:rPr>
          <w:rFonts w:cs="Arial"/>
          <w:bCs/>
          <w:szCs w:val="19"/>
        </w:rPr>
        <w:t> </w:t>
      </w:r>
      <w:r w:rsidRPr="000C70BE">
        <w:rPr>
          <w:rFonts w:cs="Arial"/>
          <w:bCs/>
          <w:szCs w:val="19"/>
        </w:rPr>
        <w:t>11,</w:t>
      </w:r>
      <w:r>
        <w:rPr>
          <w:rFonts w:cs="Arial"/>
          <w:bCs/>
          <w:szCs w:val="19"/>
        </w:rPr>
        <w:t>1</w:t>
      </w:r>
      <w:r w:rsidRPr="000C70BE">
        <w:rPr>
          <w:rFonts w:cs="Arial"/>
          <w:bCs/>
          <w:szCs w:val="19"/>
        </w:rPr>
        <w:t xml:space="preserve"> p.proc. oraz </w:t>
      </w:r>
      <w:r>
        <w:rPr>
          <w:rFonts w:cs="Arial"/>
          <w:bCs/>
          <w:szCs w:val="19"/>
        </w:rPr>
        <w:t>11,6</w:t>
      </w:r>
      <w:r w:rsidRPr="000C70BE">
        <w:rPr>
          <w:rFonts w:cs="Arial"/>
          <w:bCs/>
          <w:szCs w:val="19"/>
        </w:rPr>
        <w:t xml:space="preserve"> p.proc.</w:t>
      </w:r>
      <w:r>
        <w:rPr>
          <w:rFonts w:cs="Arial"/>
          <w:bCs/>
          <w:szCs w:val="19"/>
        </w:rPr>
        <w:t>).</w:t>
      </w:r>
      <w:r w:rsidRPr="000C70BE">
        <w:rPr>
          <w:rFonts w:cs="Arial"/>
          <w:bCs/>
          <w:szCs w:val="19"/>
        </w:rPr>
        <w:t xml:space="preserve"> </w:t>
      </w:r>
      <w:r>
        <w:rPr>
          <w:rFonts w:cs="Arial"/>
          <w:bCs/>
          <w:szCs w:val="19"/>
        </w:rPr>
        <w:t>Pogorszyła się jedynie r</w:t>
      </w:r>
      <w:r w:rsidRPr="000C70BE">
        <w:rPr>
          <w:rFonts w:cs="Arial"/>
          <w:bCs/>
          <w:szCs w:val="19"/>
        </w:rPr>
        <w:t xml:space="preserve">entowność ze sprzedaży produktów, towarów i materiałów </w:t>
      </w:r>
      <w:r>
        <w:rPr>
          <w:rFonts w:cs="Arial"/>
          <w:bCs/>
          <w:szCs w:val="19"/>
        </w:rPr>
        <w:t>– o 0,1</w:t>
      </w:r>
      <w:r w:rsidRPr="000C70BE">
        <w:rPr>
          <w:rFonts w:cs="Arial"/>
          <w:bCs/>
          <w:szCs w:val="19"/>
        </w:rPr>
        <w:t xml:space="preserve"> p.proc</w:t>
      </w:r>
      <w:r>
        <w:rPr>
          <w:rFonts w:cs="Arial"/>
          <w:bCs/>
          <w:szCs w:val="19"/>
        </w:rPr>
        <w:t>.</w:t>
      </w:r>
    </w:p>
    <w:p w:rsidR="00D67EC7" w:rsidRPr="00F5363E" w:rsidRDefault="00D67EC7" w:rsidP="00D67EC7">
      <w:pPr>
        <w:spacing w:before="480"/>
        <w:jc w:val="both"/>
        <w:rPr>
          <w:rFonts w:cs="Arial"/>
          <w:b/>
          <w:spacing w:val="-2"/>
          <w:szCs w:val="19"/>
        </w:rPr>
      </w:pPr>
      <w:r w:rsidRPr="000C70BE">
        <w:rPr>
          <w:rFonts w:cs="Arial"/>
          <w:b/>
          <w:spacing w:val="-2"/>
          <w:szCs w:val="19"/>
        </w:rPr>
        <w:t xml:space="preserve">Tablica 14. Podstawowe wskaźniki ekonomiczno-finansowe podmiotów objętych </w:t>
      </w:r>
      <w:r w:rsidRPr="00F5363E">
        <w:rPr>
          <w:rFonts w:cs="Arial"/>
          <w:b/>
          <w:spacing w:val="-2"/>
          <w:szCs w:val="19"/>
        </w:rPr>
        <w:t xml:space="preserve">badaniem </w:t>
      </w:r>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881"/>
        <w:gridCol w:w="2244"/>
        <w:gridCol w:w="2244"/>
      </w:tblGrid>
      <w:tr w:rsidR="00D67EC7" w:rsidRPr="00755440" w:rsidTr="00D67EC7">
        <w:tc>
          <w:tcPr>
            <w:tcW w:w="5881" w:type="dxa"/>
            <w:vMerge w:val="restart"/>
            <w:tcBorders>
              <w:left w:val="nil"/>
            </w:tcBorders>
            <w:vAlign w:val="center"/>
          </w:tcPr>
          <w:p w:rsidR="00D67EC7" w:rsidRPr="009906C0" w:rsidRDefault="00D67EC7" w:rsidP="00D67EC7">
            <w:pPr>
              <w:spacing w:before="40" w:after="40"/>
              <w:jc w:val="center"/>
              <w:rPr>
                <w:rFonts w:cs="Arial"/>
                <w:sz w:val="16"/>
                <w:szCs w:val="16"/>
              </w:rPr>
            </w:pPr>
            <w:r w:rsidRPr="009906C0">
              <w:rPr>
                <w:rFonts w:cs="Arial"/>
                <w:sz w:val="16"/>
                <w:szCs w:val="16"/>
              </w:rPr>
              <w:t>Wyszczególnienie</w:t>
            </w:r>
          </w:p>
        </w:tc>
        <w:tc>
          <w:tcPr>
            <w:tcW w:w="2244" w:type="dxa"/>
            <w:tcBorders>
              <w:bottom w:val="single" w:sz="4" w:space="0" w:color="7030A0"/>
            </w:tcBorders>
          </w:tcPr>
          <w:p w:rsidR="00D67EC7" w:rsidRPr="009906C0" w:rsidRDefault="00D67EC7" w:rsidP="00D67EC7">
            <w:pPr>
              <w:spacing w:before="40" w:after="40"/>
              <w:jc w:val="center"/>
              <w:rPr>
                <w:rFonts w:cs="Arial"/>
                <w:sz w:val="16"/>
                <w:szCs w:val="16"/>
              </w:rPr>
            </w:pPr>
            <w:r w:rsidRPr="009906C0">
              <w:rPr>
                <w:rFonts w:cs="Arial"/>
                <w:sz w:val="16"/>
                <w:szCs w:val="16"/>
              </w:rPr>
              <w:t>I–</w:t>
            </w:r>
            <w:r>
              <w:rPr>
                <w:rFonts w:cs="Arial"/>
                <w:sz w:val="16"/>
                <w:szCs w:val="16"/>
              </w:rPr>
              <w:t>VI</w:t>
            </w:r>
            <w:r w:rsidRPr="009906C0">
              <w:rPr>
                <w:rFonts w:cs="Arial"/>
                <w:sz w:val="16"/>
                <w:szCs w:val="16"/>
              </w:rPr>
              <w:t xml:space="preserve"> 201</w:t>
            </w:r>
            <w:r>
              <w:rPr>
                <w:rFonts w:cs="Arial"/>
                <w:sz w:val="16"/>
                <w:szCs w:val="16"/>
              </w:rPr>
              <w:t>9</w:t>
            </w:r>
          </w:p>
        </w:tc>
        <w:tc>
          <w:tcPr>
            <w:tcW w:w="2244" w:type="dxa"/>
            <w:tcBorders>
              <w:bottom w:val="single" w:sz="4" w:space="0" w:color="7030A0"/>
              <w:right w:val="nil"/>
            </w:tcBorders>
          </w:tcPr>
          <w:p w:rsidR="00D67EC7" w:rsidRPr="009906C0" w:rsidRDefault="00D67EC7" w:rsidP="00D67EC7">
            <w:pPr>
              <w:spacing w:before="40" w:after="40"/>
              <w:jc w:val="center"/>
              <w:rPr>
                <w:rFonts w:cs="Arial"/>
                <w:sz w:val="16"/>
                <w:szCs w:val="16"/>
              </w:rPr>
            </w:pPr>
            <w:r w:rsidRPr="009906C0">
              <w:rPr>
                <w:rFonts w:cs="Arial"/>
                <w:sz w:val="16"/>
                <w:szCs w:val="16"/>
              </w:rPr>
              <w:t>I–</w:t>
            </w:r>
            <w:r>
              <w:rPr>
                <w:rFonts w:cs="Arial"/>
                <w:sz w:val="16"/>
                <w:szCs w:val="16"/>
              </w:rPr>
              <w:t>VI</w:t>
            </w:r>
            <w:r w:rsidRPr="009906C0">
              <w:rPr>
                <w:rFonts w:cs="Arial"/>
                <w:sz w:val="16"/>
                <w:szCs w:val="16"/>
              </w:rPr>
              <w:t xml:space="preserve"> 20</w:t>
            </w:r>
            <w:r>
              <w:rPr>
                <w:rFonts w:cs="Arial"/>
                <w:sz w:val="16"/>
                <w:szCs w:val="16"/>
              </w:rPr>
              <w:t>20</w:t>
            </w:r>
          </w:p>
        </w:tc>
      </w:tr>
      <w:tr w:rsidR="00D67EC7" w:rsidRPr="00755440" w:rsidTr="00D67EC7">
        <w:tc>
          <w:tcPr>
            <w:tcW w:w="5881" w:type="dxa"/>
            <w:vMerge/>
            <w:tcBorders>
              <w:left w:val="nil"/>
            </w:tcBorders>
          </w:tcPr>
          <w:p w:rsidR="00D67EC7" w:rsidRPr="009906C0" w:rsidRDefault="00D67EC7" w:rsidP="00D67EC7">
            <w:pPr>
              <w:spacing w:before="40" w:after="40"/>
              <w:rPr>
                <w:rFonts w:cs="Arial"/>
                <w:sz w:val="16"/>
                <w:szCs w:val="16"/>
              </w:rPr>
            </w:pPr>
          </w:p>
        </w:tc>
        <w:tc>
          <w:tcPr>
            <w:tcW w:w="4488" w:type="dxa"/>
            <w:gridSpan w:val="2"/>
            <w:tcBorders>
              <w:right w:val="nil"/>
            </w:tcBorders>
          </w:tcPr>
          <w:p w:rsidR="00D67EC7" w:rsidRPr="009906C0" w:rsidRDefault="00D67EC7" w:rsidP="00D67EC7">
            <w:pPr>
              <w:spacing w:before="40" w:after="40"/>
              <w:jc w:val="center"/>
              <w:rPr>
                <w:rFonts w:cs="Arial"/>
                <w:sz w:val="16"/>
                <w:szCs w:val="16"/>
              </w:rPr>
            </w:pPr>
            <w:r w:rsidRPr="009906C0">
              <w:rPr>
                <w:rFonts w:cs="Arial"/>
                <w:sz w:val="16"/>
                <w:szCs w:val="16"/>
              </w:rPr>
              <w:t>w %</w:t>
            </w:r>
          </w:p>
        </w:tc>
      </w:tr>
      <w:tr w:rsidR="00D67EC7" w:rsidRPr="00755440" w:rsidTr="00D67EC7">
        <w:trPr>
          <w:trHeight w:val="178"/>
        </w:trPr>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poziomu kosztów</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94,7</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94,5</w:t>
            </w:r>
          </w:p>
        </w:tc>
      </w:tr>
      <w:tr w:rsidR="00D67EC7" w:rsidRPr="00755440" w:rsidTr="00D67EC7">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rentowności ze sprzedaży produktów, towarów i materiałów</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5,1</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5,0</w:t>
            </w:r>
          </w:p>
        </w:tc>
      </w:tr>
      <w:tr w:rsidR="00D67EC7" w:rsidRPr="00755440" w:rsidTr="00D67EC7">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rentowności obrotu brutto</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5,3</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5,5</w:t>
            </w:r>
          </w:p>
        </w:tc>
      </w:tr>
      <w:tr w:rsidR="00D67EC7" w:rsidRPr="00755440" w:rsidTr="00D67EC7">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rentowności obrotu netto</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4,3</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4,4</w:t>
            </w:r>
          </w:p>
        </w:tc>
      </w:tr>
      <w:tr w:rsidR="00D67EC7" w:rsidRPr="00755440" w:rsidTr="00D67EC7">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płynności finansowej I stopnia</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37,9</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49,0</w:t>
            </w:r>
          </w:p>
        </w:tc>
      </w:tr>
      <w:tr w:rsidR="00D67EC7" w:rsidRPr="00755440" w:rsidTr="00D67EC7">
        <w:tc>
          <w:tcPr>
            <w:tcW w:w="5881" w:type="dxa"/>
            <w:tcBorders>
              <w:left w:val="nil"/>
            </w:tcBorders>
          </w:tcPr>
          <w:p w:rsidR="00D67EC7" w:rsidRPr="009906C0" w:rsidRDefault="00D67EC7" w:rsidP="00D67EC7">
            <w:pPr>
              <w:tabs>
                <w:tab w:val="right" w:leader="dot" w:pos="5902"/>
              </w:tabs>
              <w:spacing w:before="60" w:after="60"/>
              <w:rPr>
                <w:rFonts w:cs="Arial"/>
                <w:sz w:val="16"/>
                <w:szCs w:val="16"/>
              </w:rPr>
            </w:pPr>
            <w:r w:rsidRPr="009906C0">
              <w:rPr>
                <w:rFonts w:cs="Arial"/>
                <w:sz w:val="16"/>
                <w:szCs w:val="16"/>
              </w:rPr>
              <w:t>Wskaźnik płynności finansowej II stopnia</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99,3</w:t>
            </w:r>
          </w:p>
        </w:tc>
        <w:tc>
          <w:tcPr>
            <w:tcW w:w="2244" w:type="dxa"/>
            <w:tcBorders>
              <w:right w:val="nil"/>
            </w:tcBorders>
            <w:vAlign w:val="center"/>
          </w:tcPr>
          <w:p w:rsidR="00D67EC7" w:rsidRPr="0042368E" w:rsidRDefault="00D67EC7" w:rsidP="00D67EC7">
            <w:pPr>
              <w:spacing w:before="60" w:after="60"/>
              <w:ind w:right="176"/>
              <w:jc w:val="right"/>
              <w:rPr>
                <w:rFonts w:cs="Arial"/>
                <w:sz w:val="16"/>
                <w:szCs w:val="16"/>
              </w:rPr>
            </w:pPr>
            <w:r>
              <w:rPr>
                <w:rFonts w:cs="Arial"/>
                <w:sz w:val="16"/>
                <w:szCs w:val="16"/>
              </w:rPr>
              <w:t>110,9</w:t>
            </w:r>
          </w:p>
        </w:tc>
      </w:tr>
    </w:tbl>
    <w:p w:rsidR="00D67EC7" w:rsidRDefault="00D67EC7" w:rsidP="00D67EC7">
      <w:pPr>
        <w:spacing w:before="0" w:after="0"/>
        <w:rPr>
          <w:rFonts w:cs="Arial"/>
          <w:bCs/>
          <w:szCs w:val="19"/>
        </w:rPr>
      </w:pPr>
    </w:p>
    <w:p w:rsidR="00D67EC7" w:rsidRPr="00322BA6" w:rsidRDefault="00D67EC7" w:rsidP="00D67EC7">
      <w:pPr>
        <w:spacing w:before="240"/>
        <w:rPr>
          <w:rFonts w:cs="Arial"/>
          <w:bCs/>
          <w:szCs w:val="19"/>
        </w:rPr>
      </w:pPr>
      <w:r w:rsidRPr="00322BA6">
        <w:rPr>
          <w:rFonts w:cs="Arial"/>
          <w:bCs/>
          <w:szCs w:val="19"/>
        </w:rPr>
        <w:t xml:space="preserve">W I </w:t>
      </w:r>
      <w:r>
        <w:rPr>
          <w:rFonts w:cs="Arial"/>
          <w:bCs/>
          <w:szCs w:val="19"/>
        </w:rPr>
        <w:t>półroczu</w:t>
      </w:r>
      <w:r w:rsidRPr="00322BA6">
        <w:rPr>
          <w:rFonts w:cs="Arial"/>
          <w:bCs/>
          <w:szCs w:val="19"/>
        </w:rPr>
        <w:t xml:space="preserve"> 2020 r. najbardziej rentown</w:t>
      </w:r>
      <w:r>
        <w:rPr>
          <w:rFonts w:cs="Arial"/>
          <w:bCs/>
          <w:szCs w:val="19"/>
        </w:rPr>
        <w:t>y</w:t>
      </w:r>
      <w:r w:rsidRPr="00322BA6">
        <w:rPr>
          <w:rFonts w:cs="Arial"/>
          <w:bCs/>
          <w:szCs w:val="19"/>
        </w:rPr>
        <w:t xml:space="preserve"> rodzaj działalności stanowiły sekcje: </w:t>
      </w:r>
      <w:r>
        <w:rPr>
          <w:rFonts w:cs="Arial"/>
          <w:bCs/>
          <w:szCs w:val="19"/>
        </w:rPr>
        <w:t>obsługa rynku nieruchomości (</w:t>
      </w:r>
      <w:r w:rsidRPr="00322BA6">
        <w:rPr>
          <w:rFonts w:cs="Arial"/>
          <w:bCs/>
          <w:szCs w:val="19"/>
        </w:rPr>
        <w:t>wskaźnik rentowności obrotu netto</w:t>
      </w:r>
      <w:r>
        <w:rPr>
          <w:rFonts w:cs="Arial"/>
          <w:bCs/>
          <w:szCs w:val="19"/>
        </w:rPr>
        <w:t xml:space="preserve"> 16,5%), budownictwo (6,4</w:t>
      </w:r>
      <w:r w:rsidRPr="00322BA6">
        <w:rPr>
          <w:rFonts w:cs="Arial"/>
          <w:bCs/>
          <w:szCs w:val="19"/>
        </w:rPr>
        <w:t xml:space="preserve">%) </w:t>
      </w:r>
      <w:r w:rsidR="00F8306E">
        <w:rPr>
          <w:rFonts w:cs="Arial"/>
          <w:bCs/>
          <w:szCs w:val="19"/>
        </w:rPr>
        <w:t>i</w:t>
      </w:r>
      <w:r w:rsidRPr="00322BA6">
        <w:rPr>
          <w:rFonts w:cs="Arial"/>
          <w:bCs/>
          <w:szCs w:val="19"/>
        </w:rPr>
        <w:t xml:space="preserve"> </w:t>
      </w:r>
      <w:r>
        <w:rPr>
          <w:rFonts w:cs="Arial"/>
          <w:bCs/>
          <w:szCs w:val="19"/>
        </w:rPr>
        <w:t xml:space="preserve">przetwórstwo przemysłowe </w:t>
      </w:r>
      <w:r w:rsidRPr="00322BA6">
        <w:rPr>
          <w:rFonts w:cs="Arial"/>
          <w:bCs/>
          <w:szCs w:val="19"/>
        </w:rPr>
        <w:t>(</w:t>
      </w:r>
      <w:r>
        <w:rPr>
          <w:rFonts w:cs="Arial"/>
          <w:bCs/>
          <w:szCs w:val="19"/>
        </w:rPr>
        <w:t>5,2</w:t>
      </w:r>
      <w:r w:rsidRPr="00322BA6">
        <w:rPr>
          <w:rFonts w:cs="Arial"/>
          <w:bCs/>
          <w:szCs w:val="19"/>
        </w:rPr>
        <w:t xml:space="preserve">%), a najmniej – informacja i komunikacja (minus </w:t>
      </w:r>
      <w:r>
        <w:rPr>
          <w:rFonts w:cs="Arial"/>
          <w:bCs/>
          <w:szCs w:val="19"/>
        </w:rPr>
        <w:t>20,5</w:t>
      </w:r>
      <w:r w:rsidRPr="00322BA6">
        <w:rPr>
          <w:rFonts w:cs="Arial"/>
          <w:bCs/>
          <w:szCs w:val="19"/>
        </w:rPr>
        <w:t xml:space="preserve">%), opieka zdrowotna i pomoc społeczna (minus </w:t>
      </w:r>
      <w:r>
        <w:rPr>
          <w:rFonts w:cs="Arial"/>
          <w:bCs/>
          <w:szCs w:val="19"/>
        </w:rPr>
        <w:t>10,8</w:t>
      </w:r>
      <w:r w:rsidRPr="00322BA6">
        <w:rPr>
          <w:rFonts w:cs="Arial"/>
          <w:bCs/>
          <w:szCs w:val="19"/>
        </w:rPr>
        <w:t xml:space="preserve">%) oraz </w:t>
      </w:r>
      <w:r>
        <w:rPr>
          <w:rFonts w:cs="Arial"/>
          <w:bCs/>
          <w:szCs w:val="19"/>
        </w:rPr>
        <w:t>zakwaterowanie i gastronomia</w:t>
      </w:r>
      <w:r w:rsidRPr="00322BA6">
        <w:rPr>
          <w:rFonts w:cs="Arial"/>
          <w:bCs/>
          <w:szCs w:val="19"/>
        </w:rPr>
        <w:t xml:space="preserve"> (minus </w:t>
      </w:r>
      <w:r>
        <w:rPr>
          <w:rFonts w:cs="Arial"/>
          <w:bCs/>
          <w:szCs w:val="19"/>
        </w:rPr>
        <w:t>7,1</w:t>
      </w:r>
      <w:r w:rsidRPr="00322BA6">
        <w:rPr>
          <w:rFonts w:cs="Arial"/>
          <w:bCs/>
          <w:szCs w:val="19"/>
        </w:rPr>
        <w:t xml:space="preserve">%). </w:t>
      </w:r>
    </w:p>
    <w:p w:rsidR="00D67EC7" w:rsidRPr="00683494" w:rsidRDefault="00D67EC7" w:rsidP="00D67EC7">
      <w:pPr>
        <w:rPr>
          <w:rFonts w:cs="Arial"/>
          <w:bCs/>
          <w:szCs w:val="19"/>
        </w:rPr>
      </w:pPr>
      <w:r w:rsidRPr="000B02C1">
        <w:rPr>
          <w:rFonts w:cs="Arial"/>
          <w:bCs/>
          <w:szCs w:val="19"/>
        </w:rPr>
        <w:t xml:space="preserve">Wartość </w:t>
      </w:r>
      <w:r w:rsidRPr="000B02C1">
        <w:rPr>
          <w:rFonts w:cs="Arial"/>
          <w:b/>
          <w:bCs/>
          <w:szCs w:val="19"/>
        </w:rPr>
        <w:t>aktywów obrotowych</w:t>
      </w:r>
      <w:r w:rsidRPr="000B02C1">
        <w:rPr>
          <w:rFonts w:cs="Arial"/>
          <w:bCs/>
          <w:szCs w:val="19"/>
        </w:rPr>
        <w:t xml:space="preserve"> badanych przedsiębiorstw na koniec </w:t>
      </w:r>
      <w:r>
        <w:rPr>
          <w:rFonts w:cs="Arial"/>
          <w:bCs/>
          <w:szCs w:val="19"/>
        </w:rPr>
        <w:t xml:space="preserve">czerwca </w:t>
      </w:r>
      <w:r w:rsidRPr="000B02C1">
        <w:rPr>
          <w:rFonts w:cs="Arial"/>
          <w:bCs/>
          <w:szCs w:val="19"/>
        </w:rPr>
        <w:t>2020 r.</w:t>
      </w:r>
      <w:r>
        <w:rPr>
          <w:rFonts w:cs="Arial"/>
          <w:bCs/>
          <w:szCs w:val="19"/>
        </w:rPr>
        <w:t xml:space="preserve"> </w:t>
      </w:r>
      <w:r w:rsidRPr="000B02C1">
        <w:rPr>
          <w:rFonts w:cs="Arial"/>
          <w:bCs/>
          <w:szCs w:val="19"/>
        </w:rPr>
        <w:t xml:space="preserve">wyniosła </w:t>
      </w:r>
      <w:r>
        <w:rPr>
          <w:rFonts w:eastAsia="Times New Roman" w:cs="Times New Roman"/>
          <w:szCs w:val="19"/>
          <w:lang w:eastAsia="pl-PL"/>
        </w:rPr>
        <w:t>17742,2</w:t>
      </w:r>
      <w:r w:rsidRPr="000B02C1">
        <w:rPr>
          <w:rFonts w:eastAsia="Times New Roman" w:cs="Times New Roman"/>
          <w:szCs w:val="19"/>
          <w:lang w:eastAsia="pl-PL"/>
        </w:rPr>
        <w:t xml:space="preserve"> </w:t>
      </w:r>
      <w:r w:rsidRPr="000B02C1">
        <w:rPr>
          <w:rFonts w:cs="Arial"/>
          <w:bCs/>
          <w:szCs w:val="19"/>
        </w:rPr>
        <w:t xml:space="preserve">mln zł i była wyższa </w:t>
      </w:r>
      <w:r w:rsidRPr="000B02C1">
        <w:rPr>
          <w:rFonts w:cs="Arial"/>
          <w:bCs/>
          <w:szCs w:val="19"/>
        </w:rPr>
        <w:br/>
        <w:t xml:space="preserve">o </w:t>
      </w:r>
      <w:r>
        <w:rPr>
          <w:rFonts w:cs="Arial"/>
          <w:bCs/>
          <w:szCs w:val="19"/>
        </w:rPr>
        <w:t>9,2</w:t>
      </w:r>
      <w:r w:rsidRPr="000B02C1">
        <w:rPr>
          <w:rFonts w:cs="Arial"/>
          <w:bCs/>
          <w:szCs w:val="19"/>
        </w:rPr>
        <w:t xml:space="preserve">% od stanu odnotowanego w końcu </w:t>
      </w:r>
      <w:r>
        <w:rPr>
          <w:rFonts w:cs="Arial"/>
          <w:bCs/>
          <w:szCs w:val="19"/>
        </w:rPr>
        <w:t xml:space="preserve">czerwca </w:t>
      </w:r>
      <w:r w:rsidRPr="000B02C1">
        <w:rPr>
          <w:rFonts w:cs="Arial"/>
          <w:bCs/>
          <w:szCs w:val="19"/>
        </w:rPr>
        <w:t>2019 r., przy czym odnotowano wzrost: inwestycji krótkoterminow</w:t>
      </w:r>
      <w:r>
        <w:rPr>
          <w:rFonts w:cs="Arial"/>
          <w:bCs/>
          <w:szCs w:val="19"/>
        </w:rPr>
        <w:t xml:space="preserve">ych – o 28,2%, </w:t>
      </w:r>
      <w:r w:rsidRPr="000B02C1">
        <w:rPr>
          <w:rFonts w:cs="Arial"/>
          <w:bCs/>
          <w:szCs w:val="19"/>
        </w:rPr>
        <w:t xml:space="preserve">krótkoterminowych rozliczeń międzyokresowych – o </w:t>
      </w:r>
      <w:r>
        <w:rPr>
          <w:rFonts w:cs="Arial"/>
          <w:bCs/>
          <w:szCs w:val="19"/>
        </w:rPr>
        <w:t>19,1</w:t>
      </w:r>
      <w:r w:rsidRPr="000B02C1">
        <w:rPr>
          <w:rFonts w:cs="Arial"/>
          <w:bCs/>
          <w:szCs w:val="19"/>
        </w:rPr>
        <w:t xml:space="preserve">%, </w:t>
      </w:r>
      <w:r>
        <w:rPr>
          <w:rFonts w:cs="Arial"/>
          <w:bCs/>
          <w:szCs w:val="19"/>
        </w:rPr>
        <w:t>zapasów – o 5,7% oraz spadek</w:t>
      </w:r>
      <w:r w:rsidRPr="000B02C1">
        <w:rPr>
          <w:rFonts w:cs="Arial"/>
          <w:bCs/>
          <w:szCs w:val="19"/>
        </w:rPr>
        <w:t xml:space="preserve"> należności krótkotermino</w:t>
      </w:r>
      <w:r w:rsidRPr="00683494">
        <w:rPr>
          <w:rFonts w:cs="Arial"/>
          <w:bCs/>
          <w:szCs w:val="19"/>
        </w:rPr>
        <w:t>wych – o</w:t>
      </w:r>
      <w:r>
        <w:rPr>
          <w:rFonts w:cs="Arial"/>
          <w:bCs/>
          <w:szCs w:val="19"/>
        </w:rPr>
        <w:t> </w:t>
      </w:r>
      <w:r w:rsidRPr="00683494">
        <w:rPr>
          <w:rFonts w:cs="Arial"/>
          <w:bCs/>
          <w:szCs w:val="19"/>
        </w:rPr>
        <w:t>0,</w:t>
      </w:r>
      <w:r>
        <w:rPr>
          <w:rFonts w:cs="Arial"/>
          <w:bCs/>
          <w:szCs w:val="19"/>
        </w:rPr>
        <w:t>2</w:t>
      </w:r>
      <w:r w:rsidRPr="00683494">
        <w:rPr>
          <w:rFonts w:cs="Arial"/>
          <w:bCs/>
          <w:szCs w:val="19"/>
        </w:rPr>
        <w:t>%.</w:t>
      </w:r>
    </w:p>
    <w:p w:rsidR="00D67EC7" w:rsidRPr="00A12D97" w:rsidRDefault="00D67EC7" w:rsidP="00D67EC7">
      <w:pPr>
        <w:rPr>
          <w:rFonts w:cs="Arial"/>
          <w:bCs/>
          <w:szCs w:val="19"/>
        </w:rPr>
      </w:pPr>
      <w:r w:rsidRPr="00683494">
        <w:rPr>
          <w:rFonts w:cs="Arial"/>
          <w:bCs/>
          <w:szCs w:val="19"/>
        </w:rPr>
        <w:t xml:space="preserve">W rzeczowej strukturze aktywów obrotowych zwiększyły się udziały inwestycji krótkoterminowych (z </w:t>
      </w:r>
      <w:r>
        <w:rPr>
          <w:rFonts w:cs="Arial"/>
          <w:bCs/>
          <w:szCs w:val="19"/>
        </w:rPr>
        <w:t>24,1% do 28,3</w:t>
      </w:r>
      <w:r w:rsidRPr="00683494">
        <w:rPr>
          <w:rFonts w:cs="Arial"/>
          <w:bCs/>
          <w:szCs w:val="19"/>
        </w:rPr>
        <w:t xml:space="preserve">%) oraz krótkoterminowych rozliczeń międzyokresowych (z </w:t>
      </w:r>
      <w:r>
        <w:rPr>
          <w:rFonts w:cs="Arial"/>
          <w:bCs/>
          <w:szCs w:val="19"/>
        </w:rPr>
        <w:t>3,1</w:t>
      </w:r>
      <w:r w:rsidRPr="00683494">
        <w:rPr>
          <w:rFonts w:cs="Arial"/>
          <w:bCs/>
          <w:szCs w:val="19"/>
        </w:rPr>
        <w:t>% do 3,</w:t>
      </w:r>
      <w:r>
        <w:rPr>
          <w:rFonts w:cs="Arial"/>
          <w:bCs/>
          <w:szCs w:val="19"/>
        </w:rPr>
        <w:t>4</w:t>
      </w:r>
      <w:r w:rsidRPr="00683494">
        <w:rPr>
          <w:rFonts w:cs="Arial"/>
          <w:bCs/>
          <w:szCs w:val="19"/>
        </w:rPr>
        <w:t>%), natomiast obniżyły się udziały należności krótkotermi</w:t>
      </w:r>
      <w:r w:rsidRPr="00A12D97">
        <w:rPr>
          <w:rFonts w:cs="Arial"/>
          <w:bCs/>
          <w:szCs w:val="19"/>
        </w:rPr>
        <w:t xml:space="preserve">nowych (z </w:t>
      </w:r>
      <w:r>
        <w:rPr>
          <w:rFonts w:cs="Arial"/>
          <w:bCs/>
          <w:szCs w:val="19"/>
        </w:rPr>
        <w:t>39,2</w:t>
      </w:r>
      <w:r w:rsidRPr="00A12D97">
        <w:rPr>
          <w:rFonts w:cs="Arial"/>
          <w:bCs/>
          <w:szCs w:val="19"/>
        </w:rPr>
        <w:t>% do 35,</w:t>
      </w:r>
      <w:r>
        <w:rPr>
          <w:rFonts w:cs="Arial"/>
          <w:bCs/>
          <w:szCs w:val="19"/>
        </w:rPr>
        <w:t>8</w:t>
      </w:r>
      <w:r w:rsidRPr="00A12D97">
        <w:rPr>
          <w:rFonts w:cs="Arial"/>
          <w:bCs/>
          <w:szCs w:val="19"/>
        </w:rPr>
        <w:t>%) i zapasów (z </w:t>
      </w:r>
      <w:r>
        <w:rPr>
          <w:rFonts w:cs="Arial"/>
          <w:bCs/>
          <w:szCs w:val="19"/>
        </w:rPr>
        <w:t>33,6</w:t>
      </w:r>
      <w:r w:rsidRPr="00A12D97">
        <w:rPr>
          <w:rFonts w:cs="Arial"/>
          <w:bCs/>
          <w:szCs w:val="19"/>
        </w:rPr>
        <w:t>% do 32,</w:t>
      </w:r>
      <w:r>
        <w:rPr>
          <w:rFonts w:cs="Arial"/>
          <w:bCs/>
          <w:szCs w:val="19"/>
        </w:rPr>
        <w:t>5</w:t>
      </w:r>
      <w:r w:rsidRPr="00A12D97">
        <w:rPr>
          <w:rFonts w:cs="Arial"/>
          <w:bCs/>
          <w:szCs w:val="19"/>
        </w:rPr>
        <w:t xml:space="preserve">%). </w:t>
      </w:r>
    </w:p>
    <w:p w:rsidR="00D67EC7" w:rsidRPr="00A12D97" w:rsidRDefault="00D67EC7" w:rsidP="00D67EC7">
      <w:pPr>
        <w:rPr>
          <w:rFonts w:cs="Arial"/>
          <w:bCs/>
          <w:szCs w:val="19"/>
        </w:rPr>
      </w:pPr>
      <w:r w:rsidRPr="00A12D97">
        <w:rPr>
          <w:rFonts w:cs="Arial"/>
          <w:bCs/>
          <w:szCs w:val="19"/>
        </w:rPr>
        <w:t xml:space="preserve">W strukturze zapasów zwiększył się udział produktów </w:t>
      </w:r>
      <w:r>
        <w:rPr>
          <w:rFonts w:cs="Arial"/>
          <w:bCs/>
          <w:szCs w:val="19"/>
        </w:rPr>
        <w:t>gotowych – o 3,1 p.proc. do 24,2% i</w:t>
      </w:r>
      <w:r w:rsidRPr="00A12D97">
        <w:rPr>
          <w:rFonts w:cs="Arial"/>
          <w:bCs/>
          <w:szCs w:val="19"/>
        </w:rPr>
        <w:t xml:space="preserve"> towarów – o </w:t>
      </w:r>
      <w:r>
        <w:rPr>
          <w:rFonts w:cs="Arial"/>
          <w:bCs/>
          <w:szCs w:val="19"/>
        </w:rPr>
        <w:t>0,8</w:t>
      </w:r>
      <w:r w:rsidRPr="00A12D97">
        <w:rPr>
          <w:rFonts w:cs="Arial"/>
          <w:bCs/>
          <w:szCs w:val="19"/>
        </w:rPr>
        <w:t xml:space="preserve"> p.proc. do </w:t>
      </w:r>
      <w:r>
        <w:rPr>
          <w:rFonts w:cs="Arial"/>
          <w:bCs/>
          <w:szCs w:val="19"/>
        </w:rPr>
        <w:t>20,8</w:t>
      </w:r>
      <w:r w:rsidRPr="00A12D97">
        <w:rPr>
          <w:rFonts w:cs="Arial"/>
          <w:bCs/>
          <w:szCs w:val="19"/>
        </w:rPr>
        <w:t xml:space="preserve">%, natomiast zmniejszyły się udziały: półproduktów i produktów w toku – o </w:t>
      </w:r>
      <w:r>
        <w:rPr>
          <w:rFonts w:cs="Arial"/>
          <w:bCs/>
          <w:szCs w:val="19"/>
        </w:rPr>
        <w:t>3,7</w:t>
      </w:r>
      <w:r w:rsidRPr="00A12D97">
        <w:rPr>
          <w:rFonts w:cs="Arial"/>
          <w:bCs/>
          <w:szCs w:val="19"/>
        </w:rPr>
        <w:t xml:space="preserve"> p.proc. do </w:t>
      </w:r>
      <w:r>
        <w:rPr>
          <w:rFonts w:cs="Arial"/>
          <w:bCs/>
          <w:szCs w:val="19"/>
        </w:rPr>
        <w:t>21,4</w:t>
      </w:r>
      <w:r w:rsidRPr="00A12D97">
        <w:rPr>
          <w:rFonts w:cs="Arial"/>
          <w:bCs/>
          <w:szCs w:val="19"/>
        </w:rPr>
        <w:t>%</w:t>
      </w:r>
      <w:r>
        <w:rPr>
          <w:rFonts w:cs="Arial"/>
          <w:bCs/>
          <w:szCs w:val="19"/>
        </w:rPr>
        <w:t xml:space="preserve"> i</w:t>
      </w:r>
      <w:r w:rsidRPr="00A12D97">
        <w:rPr>
          <w:rFonts w:cs="Arial"/>
          <w:bCs/>
          <w:szCs w:val="19"/>
        </w:rPr>
        <w:t xml:space="preserve"> materiałów – o </w:t>
      </w:r>
      <w:r>
        <w:rPr>
          <w:rFonts w:cs="Arial"/>
          <w:bCs/>
          <w:szCs w:val="19"/>
        </w:rPr>
        <w:t>2,0</w:t>
      </w:r>
      <w:r w:rsidRPr="00A12D97">
        <w:rPr>
          <w:rFonts w:cs="Arial"/>
          <w:bCs/>
          <w:szCs w:val="19"/>
        </w:rPr>
        <w:t xml:space="preserve"> p.proc. do 29,</w:t>
      </w:r>
      <w:r>
        <w:rPr>
          <w:rFonts w:cs="Arial"/>
          <w:bCs/>
          <w:szCs w:val="19"/>
        </w:rPr>
        <w:t>0</w:t>
      </w:r>
      <w:r w:rsidRPr="00A12D97">
        <w:rPr>
          <w:rFonts w:cs="Arial"/>
          <w:bCs/>
          <w:szCs w:val="19"/>
        </w:rPr>
        <w:t>%.</w:t>
      </w:r>
    </w:p>
    <w:p w:rsidR="00D67EC7" w:rsidRPr="00683494" w:rsidRDefault="00D67EC7" w:rsidP="00D67EC7">
      <w:pPr>
        <w:rPr>
          <w:rFonts w:cs="Arial"/>
          <w:bCs/>
          <w:szCs w:val="19"/>
        </w:rPr>
      </w:pPr>
      <w:r w:rsidRPr="00683494">
        <w:rPr>
          <w:rFonts w:cs="Arial"/>
          <w:bCs/>
          <w:szCs w:val="19"/>
        </w:rPr>
        <w:t xml:space="preserve">Aktywa obrotowe nadal finansowane były głównie zobowiązaniami krótkoterminowymi — relacja zobowiązań krótkoterminowych do aktywów obrotowych wyniosła </w:t>
      </w:r>
      <w:r>
        <w:rPr>
          <w:rFonts w:cs="Arial"/>
          <w:bCs/>
          <w:szCs w:val="19"/>
        </w:rPr>
        <w:t>57,8</w:t>
      </w:r>
      <w:r w:rsidRPr="00683494">
        <w:rPr>
          <w:rFonts w:cs="Arial"/>
          <w:bCs/>
          <w:szCs w:val="19"/>
        </w:rPr>
        <w:t xml:space="preserve">% wobec </w:t>
      </w:r>
      <w:r>
        <w:rPr>
          <w:rFonts w:cs="Arial"/>
          <w:bCs/>
          <w:szCs w:val="19"/>
        </w:rPr>
        <w:t>63,8</w:t>
      </w:r>
      <w:r w:rsidRPr="00683494">
        <w:rPr>
          <w:rFonts w:cs="Arial"/>
          <w:bCs/>
          <w:szCs w:val="19"/>
        </w:rPr>
        <w:t>% rok wcześniej.</w:t>
      </w:r>
    </w:p>
    <w:p w:rsidR="00D67EC7" w:rsidRPr="00A80012" w:rsidRDefault="00D67EC7" w:rsidP="00D67EC7">
      <w:pPr>
        <w:pageBreakBefore/>
        <w:rPr>
          <w:rFonts w:cs="Arial"/>
          <w:bCs/>
          <w:szCs w:val="19"/>
        </w:rPr>
      </w:pPr>
      <w:r w:rsidRPr="00A80012">
        <w:rPr>
          <w:rFonts w:cs="Arial"/>
          <w:b/>
          <w:bCs/>
          <w:szCs w:val="19"/>
        </w:rPr>
        <w:lastRenderedPageBreak/>
        <w:t>Zobowiązania długo- i krótkoterminowe</w:t>
      </w:r>
      <w:r w:rsidRPr="00A80012">
        <w:rPr>
          <w:rFonts w:cs="Arial"/>
          <w:bCs/>
          <w:szCs w:val="19"/>
        </w:rPr>
        <w:t xml:space="preserve"> (bez funduszy specjalnych) w końcu </w:t>
      </w:r>
      <w:r>
        <w:rPr>
          <w:rFonts w:cs="Arial"/>
          <w:bCs/>
          <w:szCs w:val="19"/>
        </w:rPr>
        <w:t xml:space="preserve">czerwca </w:t>
      </w:r>
      <w:r w:rsidRPr="00A80012">
        <w:rPr>
          <w:rFonts w:cs="Arial"/>
          <w:bCs/>
          <w:szCs w:val="19"/>
        </w:rPr>
        <w:t xml:space="preserve">2020 r. wyniosły </w:t>
      </w:r>
      <w:r>
        <w:rPr>
          <w:rFonts w:cs="Arial"/>
          <w:bCs/>
          <w:szCs w:val="19"/>
        </w:rPr>
        <w:t>17529,7</w:t>
      </w:r>
      <w:r w:rsidRPr="00A80012">
        <w:rPr>
          <w:rFonts w:cs="Arial"/>
          <w:bCs/>
          <w:szCs w:val="19"/>
        </w:rPr>
        <w:t xml:space="preserve"> mln zł i były o </w:t>
      </w:r>
      <w:r>
        <w:rPr>
          <w:rFonts w:cs="Arial"/>
          <w:bCs/>
          <w:szCs w:val="19"/>
        </w:rPr>
        <w:t>1,2</w:t>
      </w:r>
      <w:r w:rsidRPr="00A80012">
        <w:rPr>
          <w:rFonts w:cs="Arial"/>
          <w:bCs/>
          <w:szCs w:val="19"/>
        </w:rPr>
        <w:t xml:space="preserve">% wyższe niż przed rokiem. Zobowiązania długoterminowe stanowiły </w:t>
      </w:r>
      <w:r>
        <w:rPr>
          <w:rFonts w:cs="Arial"/>
          <w:bCs/>
          <w:szCs w:val="19"/>
        </w:rPr>
        <w:t>41,5</w:t>
      </w:r>
      <w:r w:rsidRPr="00A80012">
        <w:rPr>
          <w:rFonts w:cs="Arial"/>
          <w:bCs/>
          <w:szCs w:val="19"/>
        </w:rPr>
        <w:t xml:space="preserve">% ogółu zobowiązań (wobec </w:t>
      </w:r>
      <w:r>
        <w:rPr>
          <w:rFonts w:cs="Arial"/>
          <w:bCs/>
          <w:szCs w:val="19"/>
        </w:rPr>
        <w:t>40,2%</w:t>
      </w:r>
      <w:r w:rsidRPr="00A80012">
        <w:rPr>
          <w:rFonts w:cs="Arial"/>
          <w:bCs/>
          <w:szCs w:val="19"/>
        </w:rPr>
        <w:t xml:space="preserve"> na koniec I</w:t>
      </w:r>
      <w:r>
        <w:rPr>
          <w:rFonts w:cs="Arial"/>
          <w:bCs/>
          <w:szCs w:val="19"/>
        </w:rPr>
        <w:t>I</w:t>
      </w:r>
      <w:r w:rsidRPr="00A80012">
        <w:rPr>
          <w:rFonts w:cs="Arial"/>
          <w:bCs/>
          <w:szCs w:val="19"/>
        </w:rPr>
        <w:t xml:space="preserve"> kwartału 2019 r.). Wartość zobowiązań długoterminowych wyniosła </w:t>
      </w:r>
      <w:r>
        <w:rPr>
          <w:rFonts w:cs="Arial"/>
          <w:bCs/>
          <w:szCs w:val="19"/>
        </w:rPr>
        <w:t>7269,9</w:t>
      </w:r>
      <w:r w:rsidRPr="00A80012">
        <w:rPr>
          <w:rFonts w:cs="Arial"/>
          <w:bCs/>
          <w:szCs w:val="19"/>
        </w:rPr>
        <w:t xml:space="preserve"> mln zł i była o </w:t>
      </w:r>
      <w:r>
        <w:rPr>
          <w:rFonts w:cs="Arial"/>
          <w:bCs/>
          <w:szCs w:val="19"/>
        </w:rPr>
        <w:t>4,3</w:t>
      </w:r>
      <w:r w:rsidRPr="00A80012">
        <w:rPr>
          <w:rFonts w:cs="Arial"/>
          <w:bCs/>
          <w:szCs w:val="19"/>
        </w:rPr>
        <w:t xml:space="preserve">% wyższa niż rok wcześniej. Zobowiązania krótkoterminowe badanych przedsiębiorstw wyniosły </w:t>
      </w:r>
      <w:r>
        <w:rPr>
          <w:rFonts w:cs="Arial"/>
          <w:bCs/>
          <w:szCs w:val="19"/>
        </w:rPr>
        <w:t>10259,9</w:t>
      </w:r>
      <w:r w:rsidRPr="00A80012">
        <w:rPr>
          <w:rFonts w:cs="Arial"/>
          <w:bCs/>
          <w:szCs w:val="19"/>
        </w:rPr>
        <w:t xml:space="preserve"> mln zł i w </w:t>
      </w:r>
      <w:r>
        <w:rPr>
          <w:rFonts w:cs="Arial"/>
          <w:bCs/>
          <w:szCs w:val="19"/>
        </w:rPr>
        <w:t>skali roku zmniejszyły się o 1,0</w:t>
      </w:r>
      <w:r w:rsidRPr="00A80012">
        <w:rPr>
          <w:rFonts w:cs="Arial"/>
          <w:bCs/>
          <w:szCs w:val="19"/>
        </w:rPr>
        <w:t xml:space="preserve">%, w tym </w:t>
      </w:r>
      <w:r>
        <w:rPr>
          <w:rFonts w:cs="Arial"/>
          <w:bCs/>
          <w:szCs w:val="19"/>
        </w:rPr>
        <w:t xml:space="preserve">z tytułu </w:t>
      </w:r>
      <w:r w:rsidRPr="00A80012">
        <w:rPr>
          <w:rFonts w:cs="Arial"/>
          <w:bCs/>
          <w:szCs w:val="19"/>
        </w:rPr>
        <w:t>kredytów i pożyczek zwiększyły si</w:t>
      </w:r>
      <w:r>
        <w:rPr>
          <w:rFonts w:cs="Arial"/>
          <w:bCs/>
          <w:szCs w:val="19"/>
        </w:rPr>
        <w:t>ę o 10,7</w:t>
      </w:r>
      <w:r w:rsidRPr="00A80012">
        <w:rPr>
          <w:rFonts w:cs="Arial"/>
          <w:bCs/>
          <w:szCs w:val="19"/>
        </w:rPr>
        <w:t xml:space="preserve">%, z tytułu podatków, ceł, ubezpieczeń i innych świadczeń wzrosły o </w:t>
      </w:r>
      <w:r>
        <w:rPr>
          <w:rFonts w:cs="Arial"/>
          <w:bCs/>
          <w:szCs w:val="19"/>
        </w:rPr>
        <w:t>13,9</w:t>
      </w:r>
      <w:r w:rsidRPr="00A80012">
        <w:rPr>
          <w:rFonts w:cs="Arial"/>
          <w:bCs/>
          <w:szCs w:val="19"/>
        </w:rPr>
        <w:t xml:space="preserve">%, a z tytułu dostaw i usług – </w:t>
      </w:r>
      <w:r>
        <w:rPr>
          <w:rFonts w:cs="Arial"/>
          <w:bCs/>
          <w:szCs w:val="19"/>
        </w:rPr>
        <w:t xml:space="preserve">zmalały </w:t>
      </w:r>
      <w:r w:rsidRPr="00A80012">
        <w:rPr>
          <w:rFonts w:cs="Arial"/>
          <w:bCs/>
          <w:szCs w:val="19"/>
        </w:rPr>
        <w:t>o </w:t>
      </w:r>
      <w:r>
        <w:rPr>
          <w:rFonts w:cs="Arial"/>
          <w:bCs/>
          <w:szCs w:val="19"/>
        </w:rPr>
        <w:t>9,9</w:t>
      </w:r>
      <w:r w:rsidRPr="00A80012">
        <w:rPr>
          <w:rFonts w:cs="Arial"/>
          <w:bCs/>
          <w:szCs w:val="19"/>
        </w:rPr>
        <w:t xml:space="preserve">%. </w:t>
      </w:r>
    </w:p>
    <w:p w:rsidR="00D67EC7" w:rsidRDefault="00D67EC7" w:rsidP="00193961">
      <w:pPr>
        <w:rPr>
          <w:rFonts w:cs="Arial"/>
          <w:bCs/>
          <w:szCs w:val="19"/>
        </w:rPr>
      </w:pPr>
    </w:p>
    <w:p w:rsidR="007A4C9B" w:rsidRPr="00881EAF" w:rsidRDefault="007A4C9B" w:rsidP="007A4C9B">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WPŁYW PANDEMII COVID-19 NA DZIAŁALNOŚĆ SEKTORA PRZEDSIĘBIORSTW</w:t>
      </w:r>
    </w:p>
    <w:p w:rsidR="0061095C" w:rsidRPr="00746768" w:rsidRDefault="0061095C" w:rsidP="0061095C">
      <w:pPr>
        <w:rPr>
          <w:szCs w:val="19"/>
        </w:rPr>
      </w:pPr>
      <w:r w:rsidRPr="00746768">
        <w:rPr>
          <w:szCs w:val="19"/>
        </w:rPr>
        <w:t xml:space="preserve">W lipcu br. w województwie </w:t>
      </w:r>
      <w:r w:rsidR="007A4C9B" w:rsidRPr="00746768">
        <w:rPr>
          <w:szCs w:val="19"/>
        </w:rPr>
        <w:t>świętokrzyskim</w:t>
      </w:r>
      <w:r w:rsidRPr="00746768">
        <w:rPr>
          <w:szCs w:val="19"/>
        </w:rPr>
        <w:t xml:space="preserve"> 3,</w:t>
      </w:r>
      <w:r w:rsidR="00735D20" w:rsidRPr="00746768">
        <w:rPr>
          <w:szCs w:val="19"/>
        </w:rPr>
        <w:t>1</w:t>
      </w:r>
      <w:r w:rsidRPr="00746768">
        <w:rPr>
          <w:szCs w:val="19"/>
        </w:rPr>
        <w:t>% podmiotów gospodarczych, które złożyły meldunek DG1</w:t>
      </w:r>
      <w:r w:rsidRPr="00746768">
        <w:rPr>
          <w:rStyle w:val="Odwoanieprzypisudolnego"/>
          <w:szCs w:val="19"/>
        </w:rPr>
        <w:footnoteReference w:id="3"/>
      </w:r>
      <w:r w:rsidRPr="00746768">
        <w:rPr>
          <w:szCs w:val="19"/>
        </w:rPr>
        <w:t>, wskazało pandemię COVID-19 jako czynnik wywołujący istotne zmiany w prowadzeniu działalności gospodarczej</w:t>
      </w:r>
      <w:r w:rsidR="0012352B">
        <w:rPr>
          <w:szCs w:val="19"/>
        </w:rPr>
        <w:t>,</w:t>
      </w:r>
      <w:r w:rsidRPr="00746768">
        <w:rPr>
          <w:szCs w:val="19"/>
        </w:rPr>
        <w:t xml:space="preserve"> a odsetek ten od kwietnia br. (</w:t>
      </w:r>
      <w:r w:rsidR="00746768" w:rsidRPr="00746768">
        <w:rPr>
          <w:szCs w:val="19"/>
        </w:rPr>
        <w:t>8,1</w:t>
      </w:r>
      <w:r w:rsidRPr="00746768">
        <w:rPr>
          <w:szCs w:val="19"/>
        </w:rPr>
        <w:t xml:space="preserve">%) systematycznie malał. W kraju udział podmiotów doświadczających skutków COVID-19 </w:t>
      </w:r>
      <w:r w:rsidR="00EB5796">
        <w:rPr>
          <w:szCs w:val="19"/>
        </w:rPr>
        <w:t>również się zmniejszał</w:t>
      </w:r>
      <w:r w:rsidRPr="00746768">
        <w:rPr>
          <w:szCs w:val="19"/>
        </w:rPr>
        <w:t xml:space="preserve"> i wyniósł w lipcu 4,0% wobec 9,6% w kwietniu. Najwyższy odsetek jednostek, które raportowały zmiany spowodowane pandemią odnotowano w województwie podkarpackim (5,2%) i śląskim (5,0%), a najniższy w województwie podlaskim (3,0%).</w:t>
      </w:r>
    </w:p>
    <w:p w:rsidR="0061095C" w:rsidRPr="00832673" w:rsidRDefault="0061095C" w:rsidP="0061095C">
      <w:pPr>
        <w:spacing w:before="480"/>
        <w:rPr>
          <w:b/>
          <w:szCs w:val="19"/>
        </w:rPr>
      </w:pPr>
      <w:r>
        <w:rPr>
          <w:b/>
          <w:szCs w:val="19"/>
        </w:rPr>
        <w:t xml:space="preserve">Wykres </w:t>
      </w:r>
      <w:r w:rsidR="00662415">
        <w:rPr>
          <w:b/>
          <w:szCs w:val="19"/>
        </w:rPr>
        <w:t>14</w:t>
      </w:r>
      <w:r>
        <w:rPr>
          <w:b/>
          <w:szCs w:val="19"/>
        </w:rPr>
        <w:t xml:space="preserve">. </w:t>
      </w:r>
      <w:r w:rsidRPr="00832673">
        <w:rPr>
          <w:b/>
          <w:szCs w:val="19"/>
        </w:rPr>
        <w:t>Odsetek jednostek zgłaszających zmiany spowodowane COVID-19</w:t>
      </w:r>
    </w:p>
    <w:p w:rsidR="0061095C" w:rsidRPr="00832673" w:rsidRDefault="0051001B" w:rsidP="0061095C">
      <w:pPr>
        <w:spacing w:line="360" w:lineRule="auto"/>
        <w:jc w:val="both"/>
        <w:rPr>
          <w:szCs w:val="19"/>
        </w:rPr>
      </w:pPr>
      <w:r>
        <w:rPr>
          <w:noProof/>
          <w:lang w:eastAsia="pl-PL"/>
        </w:rPr>
        <w:drawing>
          <wp:inline distT="0" distB="0" distL="0" distR="0">
            <wp:extent cx="6629400" cy="1926077"/>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82404" w:rsidRPr="00F82404" w:rsidRDefault="00F82404" w:rsidP="003F0F1E">
      <w:pPr>
        <w:rPr>
          <w:szCs w:val="19"/>
        </w:rPr>
      </w:pPr>
      <w:r w:rsidRPr="00F82404">
        <w:rPr>
          <w:szCs w:val="19"/>
        </w:rPr>
        <w:t>W lipcu w województwie przedsiębiorstwa najczęściej sygnalizujące zmiany związane z pandemią COVID-19, podobnie jak w kraju, prowadziły działalność w zakresie zakwaterowania i gastronomii (odpowiednio 8,7% i 11,1%). Do sekcji, z których podmioty relatywnie często sygnalizowały zmiany spowodowane COVID-19 należa</w:t>
      </w:r>
      <w:r w:rsidR="00DD33CA">
        <w:rPr>
          <w:szCs w:val="19"/>
        </w:rPr>
        <w:t>ły</w:t>
      </w:r>
      <w:r w:rsidRPr="00F82404">
        <w:rPr>
          <w:szCs w:val="19"/>
        </w:rPr>
        <w:t xml:space="preserve"> również przetwórstwo przemysłowe</w:t>
      </w:r>
      <w:r w:rsidR="00DD33CA">
        <w:rPr>
          <w:szCs w:val="19"/>
        </w:rPr>
        <w:t xml:space="preserve"> oraz</w:t>
      </w:r>
      <w:r w:rsidRPr="00F82404">
        <w:rPr>
          <w:szCs w:val="19"/>
        </w:rPr>
        <w:t xml:space="preserve"> dostawa wody, gospodarowanie ściekami i odpadami; rekultywacja</w:t>
      </w:r>
      <w:r w:rsidR="00DD33CA">
        <w:rPr>
          <w:szCs w:val="19"/>
        </w:rPr>
        <w:t>.</w:t>
      </w:r>
    </w:p>
    <w:p w:rsidR="0061095C" w:rsidRPr="00832673" w:rsidRDefault="0061095C" w:rsidP="0087522E">
      <w:pPr>
        <w:spacing w:before="480"/>
        <w:ind w:left="993" w:hanging="993"/>
        <w:rPr>
          <w:b/>
          <w:szCs w:val="19"/>
        </w:rPr>
      </w:pPr>
      <w:r w:rsidRPr="00832673">
        <w:rPr>
          <w:b/>
          <w:szCs w:val="19"/>
        </w:rPr>
        <w:t xml:space="preserve">Wykres </w:t>
      </w:r>
      <w:r w:rsidR="00662415">
        <w:rPr>
          <w:b/>
          <w:szCs w:val="19"/>
        </w:rPr>
        <w:t>15</w:t>
      </w:r>
      <w:r w:rsidR="0087522E">
        <w:rPr>
          <w:b/>
          <w:szCs w:val="19"/>
        </w:rPr>
        <w:t>.</w:t>
      </w:r>
      <w:bookmarkStart w:id="0" w:name="_GoBack"/>
      <w:bookmarkEnd w:id="0"/>
      <w:r w:rsidRPr="00832673">
        <w:rPr>
          <w:b/>
          <w:szCs w:val="19"/>
        </w:rPr>
        <w:t xml:space="preserve"> Jednostki zgłaszające zmiany spowodowane COVID-19 według wybranych sekcji </w:t>
      </w:r>
      <w:r w:rsidR="00883B03">
        <w:rPr>
          <w:b/>
          <w:szCs w:val="19"/>
        </w:rPr>
        <w:br/>
      </w:r>
      <w:r w:rsidRPr="00832673">
        <w:rPr>
          <w:b/>
          <w:szCs w:val="19"/>
        </w:rPr>
        <w:t xml:space="preserve">w województwie </w:t>
      </w:r>
      <w:r w:rsidR="00F82404">
        <w:rPr>
          <w:b/>
          <w:szCs w:val="19"/>
        </w:rPr>
        <w:t>świętokrzy</w:t>
      </w:r>
      <w:r w:rsidR="00F82404" w:rsidRPr="00832673">
        <w:rPr>
          <w:b/>
          <w:szCs w:val="19"/>
        </w:rPr>
        <w:t>skim</w:t>
      </w:r>
    </w:p>
    <w:p w:rsidR="0061095C" w:rsidRPr="00832673" w:rsidRDefault="0051001B" w:rsidP="0061095C">
      <w:pPr>
        <w:spacing w:line="360" w:lineRule="auto"/>
        <w:jc w:val="both"/>
        <w:rPr>
          <w:szCs w:val="19"/>
        </w:rPr>
      </w:pPr>
      <w:r>
        <w:rPr>
          <w:noProof/>
          <w:lang w:eastAsia="pl-PL"/>
        </w:rPr>
        <w:drawing>
          <wp:inline distT="0" distB="0" distL="0" distR="0">
            <wp:extent cx="6619875" cy="2178996"/>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82404" w:rsidRPr="00F82404" w:rsidRDefault="00F82404" w:rsidP="00F82404">
      <w:pPr>
        <w:spacing w:before="480"/>
        <w:rPr>
          <w:szCs w:val="19"/>
        </w:rPr>
      </w:pPr>
      <w:r w:rsidRPr="00F82404">
        <w:rPr>
          <w:szCs w:val="19"/>
        </w:rPr>
        <w:lastRenderedPageBreak/>
        <w:t xml:space="preserve">Najczęściej jako przyczynę zmian w działalności gospodarczej związaną z COVID-19 wskazywano zmianę liczby zamówień. W lipcu w województwie spadek w tym zakresie wskazało 1,6% podmiotów (wobec 6,0% w kwietniu), a w kraju 1,2% (wobec 6,8%), natomiast wzrost  – 1,6% (wobec 0,5%), w kraju 1,3% (wobec 0,3%). Sekcją z największym udziałem spadku zamówień była w województwie dostawa wody, gospodarowanie ściekami i odpadami; rekultywacja (w kraju </w:t>
      </w:r>
      <w:r w:rsidR="00013AD3">
        <w:rPr>
          <w:szCs w:val="19"/>
        </w:rPr>
        <w:t>–</w:t>
      </w:r>
      <w:r w:rsidRPr="00F82404">
        <w:rPr>
          <w:szCs w:val="19"/>
        </w:rPr>
        <w:t xml:space="preserve"> przetwórstwo przemysłowe). W przypadku wzrostu zarówno w województwie</w:t>
      </w:r>
      <w:r w:rsidR="00CF5ECA">
        <w:rPr>
          <w:szCs w:val="19"/>
        </w:rPr>
        <w:t>,</w:t>
      </w:r>
      <w:r w:rsidRPr="00F82404">
        <w:rPr>
          <w:szCs w:val="19"/>
        </w:rPr>
        <w:t xml:space="preserve"> jak i kraju</w:t>
      </w:r>
      <w:r w:rsidR="00CF5ECA">
        <w:rPr>
          <w:szCs w:val="19"/>
        </w:rPr>
        <w:t>,</w:t>
      </w:r>
      <w:r w:rsidRPr="00F82404">
        <w:rPr>
          <w:szCs w:val="19"/>
        </w:rPr>
        <w:t xml:space="preserve"> najwyższym udziałem charakteryzowało się zakwaterowanie i gastronomia. </w:t>
      </w:r>
    </w:p>
    <w:p w:rsidR="00F82404" w:rsidRPr="00F82404" w:rsidRDefault="00F82404" w:rsidP="00F82404">
      <w:pPr>
        <w:spacing w:before="0"/>
        <w:rPr>
          <w:szCs w:val="19"/>
        </w:rPr>
      </w:pPr>
      <w:r w:rsidRPr="00F82404">
        <w:rPr>
          <w:szCs w:val="19"/>
        </w:rPr>
        <w:t>Zmiany w zakresie wymiaru etatów pracowników znalazły się na drugim miejscu wśród czynników determinujących działalność i wyniki przedsiębiorstw. W lipcu wskazało na nie 0,9% jednostek w województwie oraz 1,4% w kraju (w kwietniu odpowiednio 1,3% oraz 2,2%). Zgodnie z deklaracją przedsiębiorców kończy się przebywanie pracowników na tzw. postojowym. W lipcu dotyczyło ono 0,1% firm (w kraju – 0,2%).</w:t>
      </w:r>
    </w:p>
    <w:p w:rsidR="0061095C" w:rsidRPr="00832673" w:rsidRDefault="0061095C" w:rsidP="00F82404">
      <w:pPr>
        <w:spacing w:before="480"/>
        <w:rPr>
          <w:b/>
          <w:szCs w:val="19"/>
        </w:rPr>
      </w:pPr>
      <w:r w:rsidRPr="00832673">
        <w:rPr>
          <w:b/>
          <w:szCs w:val="19"/>
        </w:rPr>
        <w:t xml:space="preserve">Wykres </w:t>
      </w:r>
      <w:r w:rsidR="00662415">
        <w:rPr>
          <w:b/>
          <w:szCs w:val="19"/>
        </w:rPr>
        <w:t>16</w:t>
      </w:r>
      <w:r w:rsidRPr="00832673">
        <w:rPr>
          <w:b/>
          <w:szCs w:val="19"/>
        </w:rPr>
        <w:t xml:space="preserve"> Przyczyny* zmian w działalności gospodarczej spowodowanych COVID-19</w:t>
      </w:r>
    </w:p>
    <w:p w:rsidR="0061095C" w:rsidRPr="00832673" w:rsidRDefault="0051001B" w:rsidP="0061095C">
      <w:pPr>
        <w:spacing w:line="360" w:lineRule="auto"/>
        <w:jc w:val="both"/>
        <w:rPr>
          <w:szCs w:val="19"/>
        </w:rPr>
      </w:pPr>
      <w:r>
        <w:rPr>
          <w:noProof/>
          <w:lang w:eastAsia="pl-PL"/>
        </w:rPr>
        <w:drawing>
          <wp:inline distT="0" distB="0" distL="0" distR="0">
            <wp:extent cx="6600825" cy="270429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1095C" w:rsidRPr="00832673" w:rsidRDefault="0061095C" w:rsidP="0061095C">
      <w:pPr>
        <w:spacing w:line="360" w:lineRule="auto"/>
        <w:jc w:val="both"/>
        <w:rPr>
          <w:szCs w:val="19"/>
        </w:rPr>
      </w:pPr>
      <w:r w:rsidRPr="00832673">
        <w:rPr>
          <w:szCs w:val="19"/>
        </w:rPr>
        <w:t>* Respondenci mogli wskazać wiele przyczyn jednocześnie.</w:t>
      </w:r>
    </w:p>
    <w:p w:rsidR="00F82404" w:rsidRDefault="00F82404" w:rsidP="003F0F1E">
      <w:pPr>
        <w:spacing w:before="360" w:after="360"/>
        <w:rPr>
          <w:szCs w:val="19"/>
        </w:rPr>
      </w:pPr>
      <w:r w:rsidRPr="00F82404">
        <w:rPr>
          <w:szCs w:val="19"/>
        </w:rPr>
        <w:t>W lipcu w województwie nie wskazano pandemii COVID-19 jako przyczyny problemów z zaopatrzeniem od dostawców, zatorów płatniczych, zwolnień pracowników czy wstrzymania produkcji. Nie wystąpiły przypadki przejęcia czy wydzielenia przedsiębiorstwa (lub jego części). Wiele podmiotów wskazało jednak ogólnie na pandemię jako przyczynę wywołującą zmiany w prowadzeniu działalności gospodarczej, bez zaznaczania szczegółowego powodu.</w:t>
      </w:r>
    </w:p>
    <w:p w:rsidR="003F0F1E" w:rsidRPr="00F82404" w:rsidRDefault="003F0F1E" w:rsidP="00F82404">
      <w:pPr>
        <w:spacing w:before="360" w:after="360"/>
        <w:jc w:val="both"/>
        <w:rPr>
          <w:szCs w:val="19"/>
        </w:rPr>
      </w:pPr>
    </w:p>
    <w:p w:rsidR="000858BF" w:rsidRPr="00881EAF" w:rsidRDefault="000858BF" w:rsidP="003F0F1E">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PODMIOTY GOSPODARKI NARODOWEJ</w:t>
      </w:r>
    </w:p>
    <w:p w:rsidR="00193961" w:rsidRPr="007F1AFA" w:rsidRDefault="00193961" w:rsidP="00193961">
      <w:pPr>
        <w:autoSpaceDE w:val="0"/>
        <w:autoSpaceDN w:val="0"/>
        <w:adjustRightInd w:val="0"/>
        <w:rPr>
          <w:rFonts w:cs="FiraSans-Regular"/>
          <w:color w:val="000000" w:themeColor="text1"/>
          <w:szCs w:val="19"/>
        </w:rPr>
      </w:pPr>
      <w:r>
        <w:rPr>
          <w:rFonts w:cs="FiraSans-Regular"/>
          <w:color w:val="000000" w:themeColor="text1"/>
          <w:szCs w:val="19"/>
        </w:rPr>
        <w:t>Według stanu na koniec lipca</w:t>
      </w:r>
      <w:r w:rsidRPr="007F1AFA">
        <w:rPr>
          <w:rFonts w:cs="FiraSans-Regular"/>
          <w:color w:val="000000" w:themeColor="text1"/>
          <w:szCs w:val="19"/>
        </w:rPr>
        <w:t xml:space="preserve"> </w:t>
      </w:r>
      <w:r>
        <w:rPr>
          <w:rFonts w:cs="FiraSans-Regular"/>
          <w:color w:val="000000" w:themeColor="text1"/>
          <w:szCs w:val="19"/>
        </w:rPr>
        <w:t>br.</w:t>
      </w:r>
      <w:r w:rsidRPr="007F1AFA">
        <w:rPr>
          <w:rFonts w:cs="FiraSans-Regular"/>
          <w:color w:val="000000" w:themeColor="text1"/>
          <w:szCs w:val="19"/>
        </w:rPr>
        <w:t xml:space="preserve"> w rejestrze REGON wpisanych </w:t>
      </w:r>
      <w:r>
        <w:rPr>
          <w:rFonts w:cs="FiraSans-Regular"/>
          <w:szCs w:val="19"/>
        </w:rPr>
        <w:t>było 118424</w:t>
      </w:r>
      <w:r w:rsidRPr="007F1AFA">
        <w:rPr>
          <w:rFonts w:cs="FiraSans-Regular"/>
          <w:color w:val="000000" w:themeColor="text1"/>
          <w:szCs w:val="19"/>
        </w:rPr>
        <w:t xml:space="preserve"> </w:t>
      </w:r>
      <w:r>
        <w:rPr>
          <w:rFonts w:cs="FiraSans-Regular"/>
          <w:b/>
          <w:color w:val="000000" w:themeColor="text1"/>
          <w:szCs w:val="19"/>
        </w:rPr>
        <w:t>podmioty</w:t>
      </w:r>
      <w:r w:rsidRPr="00722FFF">
        <w:rPr>
          <w:rFonts w:cs="FiraSans-Regular"/>
          <w:b/>
          <w:color w:val="000000" w:themeColor="text1"/>
          <w:szCs w:val="19"/>
        </w:rPr>
        <w:t xml:space="preserve"> gospodarki narodowej</w:t>
      </w:r>
      <w:r w:rsidRPr="000C0BBA">
        <w:rPr>
          <w:rStyle w:val="Odwoanieprzypisudolnego"/>
          <w:rFonts w:cs="FiraSans-Regular"/>
          <w:color w:val="000000" w:themeColor="text1"/>
          <w:szCs w:val="19"/>
        </w:rPr>
        <w:footnoteReference w:id="4"/>
      </w:r>
      <w:r>
        <w:rPr>
          <w:rFonts w:cs="FiraSans-Regular"/>
          <w:color w:val="000000" w:themeColor="text1"/>
          <w:szCs w:val="19"/>
        </w:rPr>
        <w:t>, tj. o 2,2</w:t>
      </w:r>
      <w:r w:rsidRPr="007F1AFA">
        <w:rPr>
          <w:rFonts w:cs="FiraSans-Regular"/>
          <w:color w:val="000000" w:themeColor="text1"/>
          <w:szCs w:val="19"/>
        </w:rPr>
        <w:t xml:space="preserve">% więcej niż przed rokiem i </w:t>
      </w:r>
      <w:r w:rsidRPr="00164091">
        <w:rPr>
          <w:rFonts w:cs="FiraSans-Regular"/>
          <w:szCs w:val="19"/>
        </w:rPr>
        <w:t xml:space="preserve">o </w:t>
      </w:r>
      <w:r>
        <w:rPr>
          <w:rFonts w:cs="FiraSans-Regular"/>
          <w:szCs w:val="19"/>
        </w:rPr>
        <w:t>0,5</w:t>
      </w:r>
      <w:r w:rsidRPr="007F1AFA">
        <w:rPr>
          <w:rFonts w:cs="FiraSans-Regular"/>
          <w:color w:val="000000" w:themeColor="text1"/>
          <w:szCs w:val="19"/>
        </w:rPr>
        <w:t xml:space="preserve">% więcej </w:t>
      </w:r>
      <w:r>
        <w:rPr>
          <w:rFonts w:cs="FiraSans-Regular"/>
          <w:color w:val="000000" w:themeColor="text1"/>
          <w:szCs w:val="19"/>
        </w:rPr>
        <w:t>niż w końcu czerwca</w:t>
      </w:r>
      <w:r w:rsidRPr="007F1AFA">
        <w:rPr>
          <w:rFonts w:cs="FiraSans-Regular"/>
          <w:color w:val="000000" w:themeColor="text1"/>
          <w:szCs w:val="19"/>
        </w:rPr>
        <w:t xml:space="preserve"> br.</w:t>
      </w:r>
    </w:p>
    <w:p w:rsidR="00193961" w:rsidRDefault="00193961" w:rsidP="00193961">
      <w:pPr>
        <w:autoSpaceDE w:val="0"/>
        <w:autoSpaceDN w:val="0"/>
        <w:adjustRightInd w:val="0"/>
        <w:rPr>
          <w:rFonts w:cs="FiraSans-Regular"/>
          <w:color w:val="000000" w:themeColor="text1"/>
          <w:szCs w:val="19"/>
        </w:rPr>
      </w:pPr>
      <w:r w:rsidRPr="000B40E7">
        <w:rPr>
          <w:rFonts w:cs="FiraSans-Regular"/>
          <w:color w:val="000000" w:themeColor="text1"/>
          <w:szCs w:val="19"/>
        </w:rPr>
        <w:t xml:space="preserve">Liczba </w:t>
      </w:r>
      <w:r w:rsidRPr="00525BF2">
        <w:rPr>
          <w:rFonts w:cs="FiraSans-Regular"/>
          <w:color w:val="000000" w:themeColor="text1"/>
          <w:szCs w:val="19"/>
        </w:rPr>
        <w:t xml:space="preserve">zarejestrowanych </w:t>
      </w:r>
      <w:r w:rsidRPr="00722FFF">
        <w:rPr>
          <w:rFonts w:cs="FiraSans-Regular"/>
          <w:b/>
          <w:color w:val="000000" w:themeColor="text1"/>
          <w:szCs w:val="19"/>
        </w:rPr>
        <w:t>osób fizycznych</w:t>
      </w:r>
      <w:r w:rsidRPr="000B40E7">
        <w:rPr>
          <w:rFonts w:cs="FiraSans-Regular"/>
          <w:color w:val="000000" w:themeColor="text1"/>
          <w:szCs w:val="19"/>
        </w:rPr>
        <w:t xml:space="preserve"> prowadzących działa</w:t>
      </w:r>
      <w:r>
        <w:rPr>
          <w:rFonts w:cs="FiraSans-Regular"/>
          <w:color w:val="000000" w:themeColor="text1"/>
          <w:szCs w:val="19"/>
        </w:rPr>
        <w:t>lność gospodarczą wyniosła 90609</w:t>
      </w:r>
      <w:r w:rsidRPr="000B40E7">
        <w:rPr>
          <w:rFonts w:cs="FiraSans-Regular"/>
          <w:color w:val="000000" w:themeColor="text1"/>
          <w:szCs w:val="19"/>
        </w:rPr>
        <w:t xml:space="preserve"> i w porównaniu z analogicz</w:t>
      </w:r>
      <w:r>
        <w:rPr>
          <w:rFonts w:cs="FiraSans-Regular"/>
          <w:color w:val="000000" w:themeColor="text1"/>
          <w:szCs w:val="19"/>
        </w:rPr>
        <w:t>nym okresem ub. roku wzrosła o 2,1</w:t>
      </w:r>
      <w:r w:rsidRPr="000B40E7">
        <w:rPr>
          <w:rFonts w:cs="FiraSans-Regular"/>
          <w:color w:val="000000" w:themeColor="text1"/>
          <w:szCs w:val="19"/>
        </w:rPr>
        <w:t>%. Do</w:t>
      </w:r>
      <w:r>
        <w:rPr>
          <w:rFonts w:cs="FiraSans-Regular"/>
          <w:color w:val="000000" w:themeColor="text1"/>
          <w:szCs w:val="19"/>
        </w:rPr>
        <w:t xml:space="preserve"> rejestru REGON wpisanych było 15082 </w:t>
      </w:r>
      <w:r w:rsidRPr="00722FFF">
        <w:rPr>
          <w:rFonts w:cs="FiraSans-Regular"/>
          <w:b/>
          <w:color w:val="000000" w:themeColor="text1"/>
          <w:szCs w:val="19"/>
        </w:rPr>
        <w:t>spół</w:t>
      </w:r>
      <w:r>
        <w:rPr>
          <w:rFonts w:cs="FiraSans-Regular"/>
          <w:b/>
          <w:color w:val="000000" w:themeColor="text1"/>
          <w:szCs w:val="19"/>
        </w:rPr>
        <w:t>ki</w:t>
      </w:r>
      <w:r w:rsidRPr="008343C9">
        <w:rPr>
          <w:rFonts w:cs="FiraSans-Regular"/>
          <w:color w:val="000000" w:themeColor="text1"/>
          <w:szCs w:val="19"/>
        </w:rPr>
        <w:t>,</w:t>
      </w:r>
      <w:r>
        <w:rPr>
          <w:rFonts w:cs="FiraSans-Regular"/>
          <w:color w:val="000000" w:themeColor="text1"/>
          <w:szCs w:val="19"/>
        </w:rPr>
        <w:t xml:space="preserve"> w tym 7300 </w:t>
      </w:r>
      <w:r w:rsidRPr="000B40E7">
        <w:rPr>
          <w:rFonts w:cs="FiraSans-Regular"/>
          <w:color w:val="000000" w:themeColor="text1"/>
          <w:szCs w:val="19"/>
        </w:rPr>
        <w:t>spółek handlowych</w:t>
      </w:r>
      <w:r>
        <w:rPr>
          <w:rFonts w:cs="FiraSans-Regular"/>
          <w:color w:val="000000" w:themeColor="text1"/>
          <w:szCs w:val="19"/>
        </w:rPr>
        <w:t xml:space="preserve"> oraz 7716 spółek cywilnych.</w:t>
      </w:r>
      <w:r w:rsidRPr="000B40E7">
        <w:rPr>
          <w:rFonts w:cs="FiraSans-Regular"/>
          <w:color w:val="000000" w:themeColor="text1"/>
          <w:szCs w:val="19"/>
        </w:rPr>
        <w:t xml:space="preserve"> Liczba tych podmiotów wzrosła w </w:t>
      </w:r>
      <w:r>
        <w:rPr>
          <w:rFonts w:cs="FiraSans-Regular"/>
          <w:color w:val="000000" w:themeColor="text1"/>
          <w:szCs w:val="19"/>
        </w:rPr>
        <w:t>skali roku odpowiednio o 3,9</w:t>
      </w:r>
      <w:r w:rsidRPr="000B40E7">
        <w:rPr>
          <w:rFonts w:cs="FiraSans-Regular"/>
          <w:color w:val="000000" w:themeColor="text1"/>
          <w:szCs w:val="19"/>
        </w:rPr>
        <w:t>%</w:t>
      </w:r>
      <w:r>
        <w:rPr>
          <w:rFonts w:cs="FiraSans-Regular"/>
          <w:color w:val="000000" w:themeColor="text1"/>
          <w:szCs w:val="19"/>
        </w:rPr>
        <w:t>, 7,3% i 0,9%.</w:t>
      </w:r>
    </w:p>
    <w:p w:rsidR="00193961" w:rsidRPr="00F8127B" w:rsidRDefault="00193961" w:rsidP="00193961">
      <w:pPr>
        <w:autoSpaceDE w:val="0"/>
        <w:autoSpaceDN w:val="0"/>
        <w:adjustRightInd w:val="0"/>
        <w:rPr>
          <w:rFonts w:cs="FiraSans-Regular"/>
          <w:color w:val="000000" w:themeColor="text1"/>
          <w:szCs w:val="19"/>
        </w:rPr>
      </w:pPr>
      <w:r w:rsidRPr="00202FD5">
        <w:rPr>
          <w:rFonts w:cs="FiraSans-Regular"/>
          <w:color w:val="000000" w:themeColor="text1"/>
          <w:szCs w:val="19"/>
        </w:rPr>
        <w:t xml:space="preserve">Według </w:t>
      </w:r>
      <w:r w:rsidRPr="00DD25AB">
        <w:rPr>
          <w:rFonts w:cs="FiraSans-Regular"/>
          <w:b/>
          <w:color w:val="000000" w:themeColor="text1"/>
          <w:szCs w:val="19"/>
        </w:rPr>
        <w:t>przewidywanej liczby pracujących</w:t>
      </w:r>
      <w:r w:rsidRPr="00202FD5">
        <w:rPr>
          <w:rFonts w:cs="FiraSans-Regular"/>
          <w:color w:val="000000" w:themeColor="text1"/>
          <w:szCs w:val="19"/>
        </w:rPr>
        <w:t>,</w:t>
      </w:r>
      <w:r w:rsidRPr="002F1564">
        <w:rPr>
          <w:rFonts w:cs="FiraSans-Regular"/>
          <w:color w:val="000000" w:themeColor="text1"/>
          <w:szCs w:val="19"/>
        </w:rPr>
        <w:t xml:space="preserve"> przeważały podmioty o liczbie pracujących poniżej 10 osób</w:t>
      </w:r>
      <w:r>
        <w:rPr>
          <w:rFonts w:cs="FiraSans-Regular"/>
          <w:color w:val="000000" w:themeColor="text1"/>
          <w:szCs w:val="19"/>
        </w:rPr>
        <w:t xml:space="preserve"> (96,0</w:t>
      </w:r>
      <w:r w:rsidRPr="002F1564">
        <w:rPr>
          <w:rFonts w:cs="FiraSans-Regular"/>
          <w:color w:val="000000" w:themeColor="text1"/>
          <w:szCs w:val="19"/>
        </w:rPr>
        <w:t>% ogółu podmiotów</w:t>
      </w:r>
      <w:r>
        <w:rPr>
          <w:rFonts w:cs="FiraSans-Regular"/>
          <w:color w:val="000000" w:themeColor="text1"/>
          <w:szCs w:val="19"/>
        </w:rPr>
        <w:t xml:space="preserve"> zarejestrowanych w rejestrze REGON)</w:t>
      </w:r>
      <w:r w:rsidRPr="002F1564">
        <w:rPr>
          <w:rFonts w:cs="FiraSans-Regular"/>
          <w:color w:val="000000" w:themeColor="text1"/>
          <w:szCs w:val="19"/>
        </w:rPr>
        <w:t xml:space="preserve">. Udział podmiotów o przewidywanej liczbie pracujących 10-49 wyniósł </w:t>
      </w:r>
      <w:r>
        <w:rPr>
          <w:rFonts w:cs="FiraSans-Regular"/>
          <w:color w:val="000000" w:themeColor="text1"/>
          <w:szCs w:val="19"/>
        </w:rPr>
        <w:t>3,2</w:t>
      </w:r>
      <w:r w:rsidRPr="002F1564">
        <w:rPr>
          <w:rFonts w:cs="FiraSans-Regular"/>
          <w:color w:val="000000" w:themeColor="text1"/>
          <w:szCs w:val="19"/>
        </w:rPr>
        <w:t>%,</w:t>
      </w:r>
      <w:r>
        <w:rPr>
          <w:rFonts w:cs="FiraSans-Regular"/>
          <w:color w:val="000000" w:themeColor="text1"/>
          <w:szCs w:val="19"/>
        </w:rPr>
        <w:t xml:space="preserve"> a</w:t>
      </w:r>
      <w:r w:rsidRPr="002F1564">
        <w:rPr>
          <w:rFonts w:cs="FiraSans-Regular"/>
          <w:color w:val="000000" w:themeColor="text1"/>
          <w:szCs w:val="19"/>
        </w:rPr>
        <w:t xml:space="preserve"> podmioty powyżej 49 pracujących stanowiły </w:t>
      </w:r>
      <w:r>
        <w:rPr>
          <w:rFonts w:cs="FiraSans-Regular"/>
          <w:color w:val="000000" w:themeColor="text1"/>
          <w:szCs w:val="19"/>
        </w:rPr>
        <w:t xml:space="preserve">niespełna 1%. </w:t>
      </w:r>
      <w:r w:rsidRPr="002F1564">
        <w:rPr>
          <w:rFonts w:cs="FiraSans-Regular"/>
          <w:color w:val="000000" w:themeColor="text1"/>
          <w:szCs w:val="19"/>
        </w:rPr>
        <w:t>W</w:t>
      </w:r>
      <w:r>
        <w:rPr>
          <w:rFonts w:cs="FiraSans-Regular"/>
          <w:color w:val="000000" w:themeColor="text1"/>
          <w:szCs w:val="19"/>
        </w:rPr>
        <w:t> skali roku</w:t>
      </w:r>
      <w:r w:rsidRPr="002F1564">
        <w:rPr>
          <w:rFonts w:cs="FiraSans-Regular"/>
          <w:color w:val="000000" w:themeColor="text1"/>
          <w:szCs w:val="19"/>
        </w:rPr>
        <w:t xml:space="preserve"> wzrost liczby podmiotów wystąpił </w:t>
      </w:r>
      <w:r>
        <w:rPr>
          <w:rFonts w:cs="FiraSans-Regular"/>
          <w:color w:val="000000" w:themeColor="text1"/>
          <w:szCs w:val="19"/>
        </w:rPr>
        <w:t xml:space="preserve">jedynie </w:t>
      </w:r>
      <w:r w:rsidRPr="002F1564">
        <w:rPr>
          <w:rFonts w:cs="FiraSans-Regular"/>
          <w:color w:val="000000" w:themeColor="text1"/>
          <w:szCs w:val="19"/>
        </w:rPr>
        <w:t>w</w:t>
      </w:r>
      <w:r>
        <w:rPr>
          <w:rFonts w:cs="FiraSans-Regular"/>
          <w:color w:val="000000" w:themeColor="text1"/>
          <w:szCs w:val="19"/>
        </w:rPr>
        <w:t> </w:t>
      </w:r>
      <w:r w:rsidRPr="002F1564">
        <w:rPr>
          <w:rFonts w:cs="FiraSans-Regular"/>
          <w:color w:val="000000" w:themeColor="text1"/>
          <w:szCs w:val="19"/>
        </w:rPr>
        <w:t>przedziale liczby pracujących 0-9</w:t>
      </w:r>
      <w:r>
        <w:rPr>
          <w:rFonts w:cs="FiraSans-Regular"/>
          <w:color w:val="000000" w:themeColor="text1"/>
          <w:szCs w:val="19"/>
        </w:rPr>
        <w:t xml:space="preserve"> (o 2,5</w:t>
      </w:r>
      <w:r w:rsidRPr="002F1564">
        <w:rPr>
          <w:rFonts w:cs="FiraSans-Regular"/>
          <w:color w:val="000000" w:themeColor="text1"/>
          <w:szCs w:val="19"/>
        </w:rPr>
        <w:t>%</w:t>
      </w:r>
      <w:r>
        <w:rPr>
          <w:rFonts w:cs="FiraSans-Regular"/>
          <w:color w:val="000000" w:themeColor="text1"/>
          <w:szCs w:val="19"/>
        </w:rPr>
        <w:t>)</w:t>
      </w:r>
      <w:r w:rsidRPr="002F1564">
        <w:rPr>
          <w:rFonts w:cs="FiraSans-Regular"/>
          <w:color w:val="000000" w:themeColor="text1"/>
          <w:szCs w:val="19"/>
        </w:rPr>
        <w:t>.</w:t>
      </w:r>
    </w:p>
    <w:p w:rsidR="00193961" w:rsidRPr="00FA6F30" w:rsidRDefault="00193961" w:rsidP="00193961">
      <w:pPr>
        <w:autoSpaceDE w:val="0"/>
        <w:autoSpaceDN w:val="0"/>
        <w:adjustRightInd w:val="0"/>
        <w:rPr>
          <w:rFonts w:cs="FiraSans-Regular"/>
          <w:szCs w:val="19"/>
        </w:rPr>
      </w:pPr>
      <w:r w:rsidRPr="00FA6F30">
        <w:rPr>
          <w:rFonts w:cs="FiraSans-Regular"/>
          <w:szCs w:val="19"/>
        </w:rPr>
        <w:lastRenderedPageBreak/>
        <w:t>W analizowanym okresie największy wzrost liczby zarejestrowanych podmiotów, w relacji do lipca 2019 r., odnotowano w sekcjach: wytwarzanie i zaopatrywanie w energię elektryczną, gaz, parę wodną i gorącą wodę (o 44,6%),</w:t>
      </w:r>
      <w:r>
        <w:rPr>
          <w:rFonts w:cs="FiraSans-Regular"/>
          <w:szCs w:val="19"/>
        </w:rPr>
        <w:t xml:space="preserve"> dostawa wody; gospodarowanie ściekami i odpadami; rekultywacja (o 7,6%) oraz budow</w:t>
      </w:r>
      <w:r w:rsidRPr="00FA6F30">
        <w:rPr>
          <w:rFonts w:cs="FiraSans-Regular"/>
          <w:szCs w:val="19"/>
        </w:rPr>
        <w:t>nictwo (o 6,7%)</w:t>
      </w:r>
      <w:r>
        <w:rPr>
          <w:rFonts w:cs="FiraSans-Regular"/>
          <w:szCs w:val="19"/>
        </w:rPr>
        <w:t>.</w:t>
      </w:r>
    </w:p>
    <w:p w:rsidR="00193961" w:rsidRDefault="00193961" w:rsidP="00193961">
      <w:pPr>
        <w:autoSpaceDE w:val="0"/>
        <w:autoSpaceDN w:val="0"/>
        <w:adjustRightInd w:val="0"/>
        <w:rPr>
          <w:rFonts w:cs="FiraSans-Regular"/>
          <w:color w:val="000000" w:themeColor="text1"/>
          <w:szCs w:val="19"/>
        </w:rPr>
      </w:pPr>
      <w:r>
        <w:rPr>
          <w:rFonts w:cs="FiraSans-Regular"/>
          <w:color w:val="000000" w:themeColor="text1"/>
          <w:szCs w:val="19"/>
        </w:rPr>
        <w:t>W lipcu</w:t>
      </w:r>
      <w:r w:rsidRPr="007F1AFA">
        <w:rPr>
          <w:rFonts w:cs="FiraSans-Regular"/>
          <w:color w:val="000000" w:themeColor="text1"/>
          <w:szCs w:val="19"/>
        </w:rPr>
        <w:t xml:space="preserve"> br. do rejestru REGON </w:t>
      </w:r>
      <w:r>
        <w:rPr>
          <w:rFonts w:cs="FiraSans-Regular"/>
          <w:color w:val="000000" w:themeColor="text1"/>
          <w:szCs w:val="19"/>
        </w:rPr>
        <w:t xml:space="preserve">wpisano 894 </w:t>
      </w:r>
      <w:r>
        <w:rPr>
          <w:rFonts w:cs="FiraSans-Regular"/>
          <w:b/>
          <w:color w:val="000000" w:themeColor="text1"/>
          <w:szCs w:val="19"/>
        </w:rPr>
        <w:t>nowe</w:t>
      </w:r>
      <w:r w:rsidRPr="00BD3903">
        <w:rPr>
          <w:rFonts w:cs="FiraSans-Regular"/>
          <w:b/>
          <w:color w:val="000000" w:themeColor="text1"/>
          <w:szCs w:val="19"/>
        </w:rPr>
        <w:t xml:space="preserve"> podmiot</w:t>
      </w:r>
      <w:r>
        <w:rPr>
          <w:rFonts w:cs="FiraSans-Regular"/>
          <w:b/>
          <w:color w:val="000000" w:themeColor="text1"/>
          <w:szCs w:val="19"/>
        </w:rPr>
        <w:t>y</w:t>
      </w:r>
      <w:r>
        <w:rPr>
          <w:rFonts w:cs="FiraSans-Regular"/>
          <w:color w:val="000000" w:themeColor="text1"/>
          <w:szCs w:val="19"/>
        </w:rPr>
        <w:t>, tj. o 1,5% mniej</w:t>
      </w:r>
      <w:r w:rsidRPr="007F1AFA">
        <w:rPr>
          <w:rFonts w:cs="FiraSans-Regular"/>
          <w:color w:val="000000" w:themeColor="text1"/>
          <w:szCs w:val="19"/>
        </w:rPr>
        <w:t xml:space="preserve"> niż w </w:t>
      </w:r>
      <w:r>
        <w:rPr>
          <w:rFonts w:cs="FiraSans-Regular"/>
          <w:color w:val="000000" w:themeColor="text1"/>
          <w:szCs w:val="19"/>
        </w:rPr>
        <w:t>poprzednim m</w:t>
      </w:r>
      <w:r w:rsidRPr="007F1AFA">
        <w:rPr>
          <w:rFonts w:cs="FiraSans-Regular"/>
          <w:color w:val="000000" w:themeColor="text1"/>
          <w:szCs w:val="19"/>
        </w:rPr>
        <w:t xml:space="preserve">iesiącu. Wśród nowo zarejestrowanych </w:t>
      </w:r>
      <w:r>
        <w:rPr>
          <w:rFonts w:cs="FiraSans-Regular"/>
          <w:color w:val="000000" w:themeColor="text1"/>
          <w:szCs w:val="19"/>
        </w:rPr>
        <w:t>jednostek</w:t>
      </w:r>
      <w:r w:rsidRPr="007F1AFA">
        <w:rPr>
          <w:rFonts w:cs="FiraSans-Regular"/>
          <w:color w:val="000000" w:themeColor="text1"/>
          <w:szCs w:val="19"/>
        </w:rPr>
        <w:t xml:space="preserve"> przeważały osoby fizyczne prowadzące działalnoś</w:t>
      </w:r>
      <w:r>
        <w:rPr>
          <w:rFonts w:cs="FiraSans-Regular"/>
          <w:color w:val="000000" w:themeColor="text1"/>
          <w:szCs w:val="19"/>
        </w:rPr>
        <w:t>ć gospodarczą, których wpisano 804 (o</w:t>
      </w:r>
      <w:r w:rsidRPr="008A46CE">
        <w:rPr>
          <w:rFonts w:cs="Arial"/>
          <w:szCs w:val="19"/>
        </w:rPr>
        <w:t> </w:t>
      </w:r>
      <w:r>
        <w:rPr>
          <w:rFonts w:cs="FiraSans-Regular"/>
          <w:color w:val="000000" w:themeColor="text1"/>
          <w:szCs w:val="19"/>
        </w:rPr>
        <w:t>0,5% więcej niż w czerwcu br.</w:t>
      </w:r>
      <w:r w:rsidRPr="007F1AFA">
        <w:rPr>
          <w:rFonts w:cs="FiraSans-Regular"/>
          <w:color w:val="000000" w:themeColor="text1"/>
          <w:szCs w:val="19"/>
        </w:rPr>
        <w:t xml:space="preserve">). </w:t>
      </w:r>
      <w:r>
        <w:rPr>
          <w:rFonts w:cs="FiraSans-Regular"/>
          <w:color w:val="000000" w:themeColor="text1"/>
          <w:szCs w:val="19"/>
        </w:rPr>
        <w:t>Liczba</w:t>
      </w:r>
      <w:r w:rsidRPr="008D0044">
        <w:rPr>
          <w:rFonts w:cs="FiraSans-Regular"/>
          <w:color w:val="000000" w:themeColor="text1"/>
          <w:szCs w:val="19"/>
        </w:rPr>
        <w:t xml:space="preserve"> nowo zarejestrowanych spółek </w:t>
      </w:r>
      <w:r>
        <w:rPr>
          <w:rFonts w:cs="FiraSans-Regular"/>
          <w:color w:val="000000" w:themeColor="text1"/>
          <w:szCs w:val="19"/>
        </w:rPr>
        <w:t>handlowych</w:t>
      </w:r>
      <w:r w:rsidRPr="008D0044">
        <w:rPr>
          <w:rFonts w:cs="FiraSans-Regular"/>
          <w:color w:val="000000" w:themeColor="text1"/>
          <w:szCs w:val="19"/>
        </w:rPr>
        <w:t xml:space="preserve"> </w:t>
      </w:r>
      <w:r>
        <w:rPr>
          <w:rFonts w:cs="FiraSans-Regular"/>
          <w:color w:val="000000" w:themeColor="text1"/>
          <w:szCs w:val="19"/>
        </w:rPr>
        <w:t>(52 spółki w lipcu br.) była mniejsza o</w:t>
      </w:r>
      <w:r w:rsidRPr="008A46CE">
        <w:rPr>
          <w:rFonts w:cs="Arial"/>
          <w:szCs w:val="19"/>
        </w:rPr>
        <w:t> </w:t>
      </w:r>
      <w:r>
        <w:rPr>
          <w:rFonts w:cs="FiraSans-Regular"/>
          <w:color w:val="000000" w:themeColor="text1"/>
          <w:szCs w:val="19"/>
        </w:rPr>
        <w:t>16,1</w:t>
      </w:r>
      <w:r w:rsidRPr="008D0044">
        <w:rPr>
          <w:rFonts w:cs="FiraSans-Regular"/>
          <w:color w:val="000000" w:themeColor="text1"/>
          <w:szCs w:val="19"/>
        </w:rPr>
        <w:t>%</w:t>
      </w:r>
      <w:r>
        <w:rPr>
          <w:rFonts w:cs="FiraSans-Regular"/>
          <w:color w:val="000000" w:themeColor="text1"/>
          <w:szCs w:val="19"/>
        </w:rPr>
        <w:t xml:space="preserve"> od notowanej w czerwcu br.</w:t>
      </w:r>
      <w:r w:rsidRPr="008D0044">
        <w:rPr>
          <w:rFonts w:cs="FiraSans-Regular"/>
          <w:color w:val="000000" w:themeColor="text1"/>
          <w:szCs w:val="19"/>
        </w:rPr>
        <w:t xml:space="preserve">, </w:t>
      </w:r>
      <w:r>
        <w:rPr>
          <w:rFonts w:cs="FiraSans-Regular"/>
          <w:color w:val="000000" w:themeColor="text1"/>
          <w:szCs w:val="19"/>
        </w:rPr>
        <w:t>w tym spółek z ograniczoną odpowiedzialnością (39 spółek zarejestrowanych w lipcu br.) – o 31,6%.</w:t>
      </w:r>
    </w:p>
    <w:p w:rsidR="00640387" w:rsidRPr="007F1AFA" w:rsidRDefault="00193961" w:rsidP="00193961">
      <w:pPr>
        <w:autoSpaceDE w:val="0"/>
        <w:autoSpaceDN w:val="0"/>
        <w:adjustRightInd w:val="0"/>
        <w:rPr>
          <w:rFonts w:cs="FiraSans-Regular"/>
          <w:color w:val="000000" w:themeColor="text1"/>
          <w:szCs w:val="19"/>
        </w:rPr>
      </w:pPr>
      <w:r>
        <w:rPr>
          <w:rFonts w:cs="FiraSans-Regular"/>
          <w:color w:val="000000" w:themeColor="text1"/>
          <w:szCs w:val="19"/>
        </w:rPr>
        <w:t>W lipcu</w:t>
      </w:r>
      <w:r w:rsidRPr="007F1AFA">
        <w:rPr>
          <w:rFonts w:cs="FiraSans-Regular"/>
          <w:color w:val="000000" w:themeColor="text1"/>
          <w:szCs w:val="19"/>
        </w:rPr>
        <w:t xml:space="preserve"> br. </w:t>
      </w:r>
      <w:r w:rsidRPr="00E9000B">
        <w:rPr>
          <w:rFonts w:cs="FiraSans-Regular"/>
          <w:b/>
          <w:color w:val="000000" w:themeColor="text1"/>
          <w:szCs w:val="19"/>
        </w:rPr>
        <w:t>wykreślono</w:t>
      </w:r>
      <w:r>
        <w:rPr>
          <w:rFonts w:cs="FiraSans-Regular"/>
          <w:color w:val="000000" w:themeColor="text1"/>
          <w:szCs w:val="19"/>
        </w:rPr>
        <w:t xml:space="preserve"> z rejestru REGON 269 podmiotów (o 14,6</w:t>
      </w:r>
      <w:r w:rsidRPr="007F1AFA">
        <w:rPr>
          <w:rFonts w:cs="FiraSans-Regular"/>
          <w:color w:val="000000" w:themeColor="text1"/>
          <w:szCs w:val="19"/>
        </w:rPr>
        <w:t xml:space="preserve">% </w:t>
      </w:r>
      <w:r>
        <w:rPr>
          <w:rFonts w:cs="FiraSans-Regular"/>
          <w:color w:val="000000" w:themeColor="text1"/>
          <w:szCs w:val="19"/>
        </w:rPr>
        <w:t>mniej niż przed miesiącem), w tym 244 osoby</w:t>
      </w:r>
      <w:r w:rsidRPr="007F1AFA">
        <w:rPr>
          <w:rFonts w:cs="FiraSans-Regular"/>
          <w:color w:val="000000" w:themeColor="text1"/>
          <w:szCs w:val="19"/>
        </w:rPr>
        <w:t xml:space="preserve"> fizycz</w:t>
      </w:r>
      <w:r>
        <w:rPr>
          <w:rFonts w:cs="FiraSans-Regular"/>
          <w:color w:val="000000" w:themeColor="text1"/>
          <w:szCs w:val="19"/>
        </w:rPr>
        <w:t>ne</w:t>
      </w:r>
      <w:r w:rsidRPr="007F1AFA">
        <w:rPr>
          <w:rFonts w:cs="FiraSans-Regular"/>
          <w:color w:val="000000" w:themeColor="text1"/>
          <w:szCs w:val="19"/>
        </w:rPr>
        <w:t xml:space="preserve"> pro</w:t>
      </w:r>
      <w:r>
        <w:rPr>
          <w:rFonts w:cs="FiraSans-Regular"/>
          <w:color w:val="000000" w:themeColor="text1"/>
          <w:szCs w:val="19"/>
        </w:rPr>
        <w:t>wadzące</w:t>
      </w:r>
      <w:r w:rsidRPr="007F1AFA">
        <w:rPr>
          <w:rFonts w:cs="FiraSans-Regular"/>
          <w:color w:val="000000" w:themeColor="text1"/>
          <w:szCs w:val="19"/>
        </w:rPr>
        <w:t xml:space="preserve"> działalność gospodarczą</w:t>
      </w:r>
      <w:r>
        <w:rPr>
          <w:rFonts w:cs="FiraSans-Regular"/>
          <w:color w:val="000000" w:themeColor="text1"/>
          <w:szCs w:val="19"/>
        </w:rPr>
        <w:t xml:space="preserve"> (odpowiednio o 8,6% mniej)</w:t>
      </w:r>
      <w:r w:rsidRPr="007F1AFA">
        <w:rPr>
          <w:rFonts w:cs="FiraSans-Regular"/>
          <w:color w:val="000000" w:themeColor="text1"/>
          <w:szCs w:val="19"/>
        </w:rPr>
        <w:t>.</w:t>
      </w:r>
    </w:p>
    <w:p w:rsidR="00640387" w:rsidRDefault="00640387" w:rsidP="00640387">
      <w:pPr>
        <w:autoSpaceDE w:val="0"/>
        <w:autoSpaceDN w:val="0"/>
        <w:adjustRightInd w:val="0"/>
        <w:spacing w:after="0" w:line="240" w:lineRule="auto"/>
        <w:jc w:val="both"/>
        <w:rPr>
          <w:b/>
          <w:bCs/>
          <w:color w:val="512197"/>
          <w:szCs w:val="19"/>
        </w:rPr>
      </w:pPr>
    </w:p>
    <w:p w:rsidR="00640387" w:rsidRDefault="00640387" w:rsidP="00640387">
      <w:pPr>
        <w:autoSpaceDE w:val="0"/>
        <w:autoSpaceDN w:val="0"/>
        <w:adjustRightInd w:val="0"/>
        <w:spacing w:after="0" w:line="240" w:lineRule="auto"/>
        <w:ind w:left="1021" w:hanging="1021"/>
        <w:rPr>
          <w:b/>
          <w:bCs/>
          <w:szCs w:val="19"/>
        </w:rPr>
      </w:pPr>
      <w:r>
        <w:rPr>
          <w:b/>
          <w:bCs/>
          <w:szCs w:val="19"/>
        </w:rPr>
        <w:t>Wykres</w:t>
      </w:r>
      <w:r w:rsidRPr="00FD5BDA">
        <w:rPr>
          <w:b/>
          <w:bCs/>
          <w:szCs w:val="19"/>
        </w:rPr>
        <w:t xml:space="preserve"> </w:t>
      </w:r>
      <w:r>
        <w:rPr>
          <w:b/>
          <w:bCs/>
          <w:szCs w:val="19"/>
        </w:rPr>
        <w:t>1</w:t>
      </w:r>
      <w:r w:rsidR="00662415">
        <w:rPr>
          <w:b/>
          <w:bCs/>
          <w:szCs w:val="19"/>
        </w:rPr>
        <w:t>7</w:t>
      </w:r>
      <w:r>
        <w:rPr>
          <w:b/>
          <w:bCs/>
          <w:szCs w:val="19"/>
        </w:rPr>
        <w:t xml:space="preserve">. </w:t>
      </w:r>
      <w:r w:rsidRPr="00FD5BDA">
        <w:rPr>
          <w:b/>
          <w:bCs/>
          <w:szCs w:val="19"/>
        </w:rPr>
        <w:t>Podmioty gospodarki narodowej nowo zarejestrowane i wy</w:t>
      </w:r>
      <w:r>
        <w:rPr>
          <w:b/>
          <w:bCs/>
          <w:szCs w:val="19"/>
        </w:rPr>
        <w:t>reje</w:t>
      </w:r>
      <w:r w:rsidR="00496651">
        <w:rPr>
          <w:b/>
          <w:bCs/>
          <w:szCs w:val="19"/>
        </w:rPr>
        <w:t>st</w:t>
      </w:r>
      <w:r w:rsidR="00193961">
        <w:rPr>
          <w:b/>
          <w:bCs/>
          <w:szCs w:val="19"/>
        </w:rPr>
        <w:t>rowane według powiatów w lipcu</w:t>
      </w:r>
      <w:r w:rsidR="00496651">
        <w:rPr>
          <w:b/>
          <w:bCs/>
          <w:szCs w:val="19"/>
        </w:rPr>
        <w:t xml:space="preserve"> </w:t>
      </w:r>
      <w:r>
        <w:rPr>
          <w:b/>
          <w:bCs/>
          <w:szCs w:val="19"/>
        </w:rPr>
        <w:t>2020 r.</w:t>
      </w:r>
    </w:p>
    <w:p w:rsidR="00640387" w:rsidRDefault="002147D8" w:rsidP="00640387">
      <w:pPr>
        <w:autoSpaceDE w:val="0"/>
        <w:autoSpaceDN w:val="0"/>
        <w:adjustRightInd w:val="0"/>
        <w:spacing w:after="0" w:line="240" w:lineRule="auto"/>
        <w:rPr>
          <w:b/>
          <w:bCs/>
          <w:szCs w:val="19"/>
        </w:rPr>
      </w:pPr>
      <w:r>
        <w:rPr>
          <w:noProof/>
          <w:lang w:eastAsia="pl-PL"/>
        </w:rPr>
        <w:drawing>
          <wp:inline distT="0" distB="0" distL="0" distR="0">
            <wp:extent cx="6645910" cy="4416358"/>
            <wp:effectExtent l="0" t="0" r="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96651" w:rsidRDefault="00496651" w:rsidP="00236945">
      <w:pPr>
        <w:autoSpaceDE w:val="0"/>
        <w:autoSpaceDN w:val="0"/>
        <w:adjustRightInd w:val="0"/>
        <w:jc w:val="both"/>
        <w:rPr>
          <w:rFonts w:cs="FiraSans-Regular"/>
          <w:color w:val="000000" w:themeColor="text1"/>
          <w:szCs w:val="19"/>
        </w:rPr>
      </w:pPr>
    </w:p>
    <w:p w:rsidR="00640387" w:rsidRDefault="00CB5EF2" w:rsidP="00F75DD0">
      <w:pPr>
        <w:autoSpaceDE w:val="0"/>
        <w:autoSpaceDN w:val="0"/>
        <w:adjustRightInd w:val="0"/>
        <w:rPr>
          <w:rFonts w:cs="FiraSans-Regular"/>
          <w:color w:val="000000" w:themeColor="text1"/>
          <w:szCs w:val="19"/>
        </w:rPr>
      </w:pPr>
      <w:r>
        <w:rPr>
          <w:rFonts w:cs="FiraSans-Regular"/>
          <w:color w:val="000000" w:themeColor="text1"/>
          <w:szCs w:val="19"/>
        </w:rPr>
        <w:t>Według stanu na koniec lipca</w:t>
      </w:r>
      <w:r w:rsidRPr="007F1AFA">
        <w:rPr>
          <w:rFonts w:cs="FiraSans-Regular"/>
          <w:color w:val="000000" w:themeColor="text1"/>
          <w:szCs w:val="19"/>
        </w:rPr>
        <w:t xml:space="preserve"> br. </w:t>
      </w:r>
      <w:r>
        <w:rPr>
          <w:rFonts w:cs="FiraSans-Regular"/>
          <w:color w:val="000000" w:themeColor="text1"/>
          <w:szCs w:val="19"/>
        </w:rPr>
        <w:t>w rejestrze REGON 11808</w:t>
      </w:r>
      <w:r w:rsidRPr="007F1AFA">
        <w:rPr>
          <w:rFonts w:cs="FiraSans-Regular"/>
          <w:color w:val="000000" w:themeColor="text1"/>
          <w:szCs w:val="19"/>
        </w:rPr>
        <w:t xml:space="preserve"> podmiotów </w:t>
      </w:r>
      <w:r w:rsidRPr="008374A8">
        <w:rPr>
          <w:rFonts w:cs="FiraSans-Regular"/>
          <w:color w:val="000000" w:themeColor="text1"/>
          <w:szCs w:val="19"/>
        </w:rPr>
        <w:t xml:space="preserve">miało </w:t>
      </w:r>
      <w:r w:rsidRPr="00C43F71">
        <w:rPr>
          <w:rFonts w:cs="FiraSans-Regular"/>
          <w:b/>
          <w:color w:val="000000" w:themeColor="text1"/>
          <w:szCs w:val="19"/>
        </w:rPr>
        <w:t>zawieszoną działalność</w:t>
      </w:r>
      <w:r>
        <w:rPr>
          <w:rFonts w:cs="FiraSans-Regular"/>
          <w:color w:val="000000" w:themeColor="text1"/>
          <w:szCs w:val="19"/>
        </w:rPr>
        <w:t xml:space="preserve"> (o 2,2% mniej</w:t>
      </w:r>
      <w:r w:rsidRPr="007F1AFA">
        <w:rPr>
          <w:rFonts w:cs="FiraSans-Regular"/>
          <w:color w:val="000000" w:themeColor="text1"/>
          <w:szCs w:val="19"/>
        </w:rPr>
        <w:t xml:space="preserve">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w:t>
      </w:r>
      <w:r>
        <w:rPr>
          <w:rFonts w:cs="FiraSans-Regular"/>
          <w:color w:val="000000" w:themeColor="text1"/>
          <w:szCs w:val="19"/>
        </w:rPr>
        <w:t xml:space="preserve"> (95,9</w:t>
      </w:r>
      <w:r w:rsidRPr="007F1AFA">
        <w:rPr>
          <w:rFonts w:cs="FiraSans-Regular"/>
          <w:color w:val="000000" w:themeColor="text1"/>
          <w:szCs w:val="19"/>
        </w:rPr>
        <w:t>%</w:t>
      </w:r>
      <w:r>
        <w:rPr>
          <w:rFonts w:cs="FiraSans-Regular"/>
          <w:color w:val="000000" w:themeColor="text1"/>
          <w:szCs w:val="19"/>
        </w:rPr>
        <w:t xml:space="preserve"> ogółu podmiotów z zawieszoną działalnością, wobec 96,0% w czerwcu br.</w:t>
      </w:r>
      <w:r w:rsidRPr="007F1AFA">
        <w:rPr>
          <w:rFonts w:cs="FiraSans-Regular"/>
          <w:color w:val="000000" w:themeColor="text1"/>
          <w:szCs w:val="19"/>
        </w:rPr>
        <w:t>).</w:t>
      </w:r>
      <w:r w:rsidR="00640387" w:rsidRPr="007F1AFA">
        <w:rPr>
          <w:rFonts w:cs="FiraSans-Regular"/>
          <w:color w:val="000000" w:themeColor="text1"/>
          <w:szCs w:val="19"/>
        </w:rPr>
        <w:t xml:space="preserve"> </w:t>
      </w:r>
    </w:p>
    <w:p w:rsidR="00640387" w:rsidRPr="008374A8" w:rsidRDefault="00640387" w:rsidP="00640387">
      <w:pPr>
        <w:autoSpaceDE w:val="0"/>
        <w:autoSpaceDN w:val="0"/>
        <w:adjustRightInd w:val="0"/>
        <w:jc w:val="both"/>
        <w:rPr>
          <w:rFonts w:cs="FiraSans-Regular"/>
          <w:szCs w:val="19"/>
        </w:rPr>
      </w:pPr>
    </w:p>
    <w:p w:rsidR="00640387" w:rsidRPr="003C18E4" w:rsidRDefault="00640387" w:rsidP="00742FB6">
      <w:pPr>
        <w:pageBreakBefore/>
        <w:autoSpaceDE w:val="0"/>
        <w:autoSpaceDN w:val="0"/>
        <w:adjustRightInd w:val="0"/>
        <w:spacing w:after="0" w:line="240" w:lineRule="auto"/>
        <w:jc w:val="both"/>
        <w:rPr>
          <w:b/>
          <w:bCs/>
          <w:szCs w:val="19"/>
        </w:rPr>
      </w:pPr>
      <w:r w:rsidRPr="003C18E4">
        <w:rPr>
          <w:b/>
          <w:bCs/>
          <w:szCs w:val="19"/>
        </w:rPr>
        <w:lastRenderedPageBreak/>
        <w:t>Mapa</w:t>
      </w:r>
      <w:r>
        <w:rPr>
          <w:b/>
          <w:bCs/>
          <w:szCs w:val="19"/>
        </w:rPr>
        <w:t xml:space="preserve"> 2. </w:t>
      </w:r>
      <w:r w:rsidRPr="003C18E4">
        <w:rPr>
          <w:b/>
          <w:bCs/>
          <w:szCs w:val="19"/>
        </w:rPr>
        <w:t xml:space="preserve">Podmioty gospodarki narodowej z zawieszoną działalnością </w:t>
      </w:r>
      <w:r w:rsidR="00CB5EF2">
        <w:rPr>
          <w:b/>
          <w:bCs/>
          <w:szCs w:val="19"/>
        </w:rPr>
        <w:t xml:space="preserve">według powiatów w lipcu </w:t>
      </w:r>
      <w:r>
        <w:rPr>
          <w:b/>
          <w:bCs/>
          <w:szCs w:val="19"/>
        </w:rPr>
        <w:t>2020 r.</w:t>
      </w:r>
    </w:p>
    <w:p w:rsidR="00640387" w:rsidRPr="008F2F01" w:rsidRDefault="00640387" w:rsidP="008F2F01">
      <w:pPr>
        <w:autoSpaceDE w:val="0"/>
        <w:autoSpaceDN w:val="0"/>
        <w:adjustRightInd w:val="0"/>
        <w:spacing w:before="0" w:after="0"/>
        <w:ind w:firstLine="709"/>
        <w:jc w:val="both"/>
        <w:rPr>
          <w:rFonts w:cs="FiraSans-Bold"/>
          <w:bCs/>
          <w:szCs w:val="19"/>
        </w:rPr>
      </w:pPr>
      <w:r w:rsidRPr="008F2F01">
        <w:rPr>
          <w:rFonts w:cs="FiraSans-Bold"/>
          <w:bCs/>
          <w:szCs w:val="19"/>
        </w:rPr>
        <w:t>Stan w końcu miesiąca</w:t>
      </w:r>
    </w:p>
    <w:p w:rsidR="000858BF" w:rsidRPr="003B059D" w:rsidRDefault="000858BF" w:rsidP="000858BF">
      <w:pPr>
        <w:pStyle w:val="Legendawykresupolski"/>
        <w:ind w:left="708"/>
        <w:rPr>
          <w:rFonts w:ascii="Fira Sans" w:hAnsi="Fira Sans"/>
          <w:i/>
          <w:szCs w:val="16"/>
        </w:rPr>
      </w:pPr>
    </w:p>
    <w:p w:rsidR="000858BF" w:rsidRPr="007F1AFA" w:rsidRDefault="002B0FDD" w:rsidP="008F2F01">
      <w:pPr>
        <w:autoSpaceDE w:val="0"/>
        <w:autoSpaceDN w:val="0"/>
        <w:adjustRightInd w:val="0"/>
        <w:spacing w:after="0" w:line="240" w:lineRule="auto"/>
        <w:rPr>
          <w:rFonts w:cs="FiraSans-Regular"/>
          <w:color w:val="000000" w:themeColor="text1"/>
          <w:szCs w:val="19"/>
        </w:rPr>
      </w:pPr>
      <w:r>
        <w:rPr>
          <w:rFonts w:cs="FiraSans-Regular"/>
          <w:noProof/>
          <w:color w:val="000000" w:themeColor="text1"/>
          <w:szCs w:val="19"/>
          <w:lang w:eastAsia="pl-PL"/>
        </w:rPr>
        <w:drawing>
          <wp:inline distT="0" distB="0" distL="0" distR="0">
            <wp:extent cx="6516000" cy="3487291"/>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mioty_gospodarki_narodowej.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16000" cy="3487291"/>
                    </a:xfrm>
                    <a:prstGeom prst="rect">
                      <a:avLst/>
                    </a:prstGeom>
                  </pic:spPr>
                </pic:pic>
              </a:graphicData>
            </a:graphic>
          </wp:inline>
        </w:drawing>
      </w:r>
    </w:p>
    <w:p w:rsidR="00742FB6" w:rsidRPr="00EC65F2" w:rsidRDefault="00742FB6" w:rsidP="00742FB6">
      <w:pPr>
        <w:rPr>
          <w:shd w:val="clear" w:color="auto" w:fill="FFFFFF"/>
        </w:rPr>
      </w:pPr>
    </w:p>
    <w:p w:rsidR="00827E8E" w:rsidRPr="00893663" w:rsidRDefault="00827E8E" w:rsidP="00827E8E"/>
    <w:p w:rsidR="000858BF" w:rsidRPr="00881EAF" w:rsidRDefault="000858BF" w:rsidP="00742FB6">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KONIUNKTURA GOSPODARCZA</w:t>
      </w:r>
    </w:p>
    <w:p w:rsidR="00D92A69" w:rsidRDefault="00D92A69" w:rsidP="008F2F01">
      <w:pPr>
        <w:pStyle w:val="tytuwykresu"/>
        <w:spacing w:before="120"/>
        <w:jc w:val="both"/>
        <w:rPr>
          <w:rFonts w:eastAsia="Times New Roman" w:cs="Times New Roman"/>
          <w:b w:val="0"/>
          <w:szCs w:val="19"/>
          <w:lang w:eastAsia="pl-PL"/>
        </w:rPr>
      </w:pPr>
      <w:r w:rsidRPr="00D92A69">
        <w:rPr>
          <w:rFonts w:eastAsia="Times New Roman" w:cs="Times New Roman"/>
          <w:b w:val="0"/>
          <w:szCs w:val="19"/>
          <w:lang w:eastAsia="pl-PL"/>
        </w:rPr>
        <w:t>W większości badanych obszarów przedsiębiorcy w sierpniu br. oceniają koniunkturę mniej pesymistycznie niż w lipcu br. Największy wzrost ocen w tym zakresie odnotowano w sekcji transport i gospodarka magazynowa, największy spadek – w sekcji informacja i komunikacja.</w:t>
      </w:r>
    </w:p>
    <w:p w:rsidR="008F2F01" w:rsidRPr="003508DD" w:rsidRDefault="008F2F01" w:rsidP="008F2F01">
      <w:pPr>
        <w:pStyle w:val="tytuwykresu"/>
        <w:spacing w:before="120"/>
        <w:jc w:val="both"/>
        <w:rPr>
          <w:rFonts w:ascii="Fira Sans SemiBold" w:hAnsi="Fira Sans SemiBold"/>
          <w:b w:val="0"/>
        </w:rPr>
      </w:pPr>
      <w:r w:rsidRPr="003508DD">
        <w:rPr>
          <w:rFonts w:ascii="Fira Sans SemiBold" w:hAnsi="Fira Sans SemiBold"/>
          <w:b w:val="0"/>
        </w:rPr>
        <w:t xml:space="preserve">Wykres </w:t>
      </w:r>
      <w:r>
        <w:rPr>
          <w:rFonts w:ascii="Fira Sans SemiBold" w:hAnsi="Fira Sans SemiBold"/>
          <w:b w:val="0"/>
        </w:rPr>
        <w:t>1</w:t>
      </w:r>
      <w:r w:rsidR="00662415">
        <w:rPr>
          <w:rFonts w:ascii="Fira Sans SemiBold" w:hAnsi="Fira Sans SemiBold"/>
          <w:b w:val="0"/>
        </w:rPr>
        <w:t>8</w:t>
      </w:r>
      <w:r>
        <w:rPr>
          <w:rFonts w:ascii="Fira Sans SemiBold" w:hAnsi="Fira Sans SemiBold"/>
          <w:b w:val="0"/>
        </w:rPr>
        <w:t>.</w:t>
      </w:r>
      <w:r w:rsidRPr="003508DD">
        <w:rPr>
          <w:rFonts w:ascii="Fira Sans SemiBold" w:hAnsi="Fira Sans SemiBold"/>
          <w:b w:val="0"/>
        </w:rPr>
        <w:t xml:space="preserve"> Wskaźniki ogólnego klimatu koniunktury według rodzaju działalności (sekcje i działy PKD 2007)</w:t>
      </w:r>
    </w:p>
    <w:p w:rsidR="008F2F01" w:rsidRDefault="0037219E" w:rsidP="003F46D1">
      <w:pPr>
        <w:pStyle w:val="tytuwykresu"/>
        <w:spacing w:before="120"/>
        <w:jc w:val="both"/>
        <w:rPr>
          <w:rFonts w:eastAsia="Times New Roman" w:cs="Times New Roman"/>
          <w:b w:val="0"/>
          <w:szCs w:val="19"/>
          <w:lang w:eastAsia="pl-PL"/>
        </w:rPr>
      </w:pPr>
      <w:r>
        <w:rPr>
          <w:noProof/>
          <w:lang w:eastAsia="pl-PL"/>
        </w:rPr>
        <w:drawing>
          <wp:anchor distT="0" distB="0" distL="114300" distR="114300" simplePos="0" relativeHeight="251654144" behindDoc="0" locked="0" layoutInCell="1" allowOverlap="1">
            <wp:simplePos x="0" y="0"/>
            <wp:positionH relativeFrom="margin">
              <wp:posOffset>0</wp:posOffset>
            </wp:positionH>
            <wp:positionV relativeFrom="margin">
              <wp:posOffset>5885180</wp:posOffset>
            </wp:positionV>
            <wp:extent cx="6234430" cy="339153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34430" cy="3391535"/>
                    </a:xfrm>
                    <a:prstGeom prst="rect">
                      <a:avLst/>
                    </a:prstGeom>
                  </pic:spPr>
                </pic:pic>
              </a:graphicData>
            </a:graphic>
          </wp:anchor>
        </w:drawing>
      </w:r>
    </w:p>
    <w:p w:rsidR="008F2F01" w:rsidRDefault="008F2F01" w:rsidP="003F46D1">
      <w:pPr>
        <w:pStyle w:val="tytuwykresu"/>
        <w:spacing w:before="120"/>
        <w:jc w:val="both"/>
        <w:rPr>
          <w:rFonts w:eastAsia="Times New Roman" w:cs="Times New Roman"/>
          <w:b w:val="0"/>
          <w:szCs w:val="19"/>
          <w:lang w:eastAsia="pl-PL"/>
        </w:rPr>
      </w:pPr>
    </w:p>
    <w:p w:rsidR="00FD5567"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9157FE" w:rsidRPr="003508DD" w:rsidRDefault="009157FE" w:rsidP="00F75DD0">
      <w:pPr>
        <w:rPr>
          <w:rFonts w:ascii="Fira Sans SemiBold" w:hAnsi="Fira Sans SemiBold"/>
          <w:color w:val="000000"/>
          <w:szCs w:val="19"/>
        </w:rPr>
      </w:pPr>
      <w:r w:rsidRPr="003508DD">
        <w:rPr>
          <w:rFonts w:ascii="Fira Sans SemiBold" w:hAnsi="Fira Sans SemiBold" w:cs="FiraSans-Bold"/>
          <w:bCs/>
          <w:szCs w:val="19"/>
        </w:rPr>
        <w:lastRenderedPageBreak/>
        <w:t xml:space="preserve">Wyniki badania dot. wpływu pandemii </w:t>
      </w:r>
      <w:proofErr w:type="spellStart"/>
      <w:r w:rsidRPr="003508DD">
        <w:rPr>
          <w:rFonts w:ascii="Fira Sans SemiBold" w:hAnsi="Fira Sans SemiBold" w:cs="FiraSans-Bold"/>
          <w:bCs/>
          <w:szCs w:val="19"/>
        </w:rPr>
        <w:t>koronawirusa</w:t>
      </w:r>
      <w:proofErr w:type="spellEnd"/>
      <w:r w:rsidRPr="003508DD">
        <w:rPr>
          <w:rFonts w:ascii="Fira Sans SemiBold" w:hAnsi="Fira Sans SemiBold" w:cs="FiraSans-Bold"/>
          <w:bCs/>
          <w:szCs w:val="19"/>
        </w:rPr>
        <w:t xml:space="preserve"> SARS-CoV-2 na koniunkturę gospodarczą</w:t>
      </w:r>
      <w:r w:rsidRPr="003508DD">
        <w:rPr>
          <w:rStyle w:val="Odwoanieprzypisudolnego"/>
          <w:rFonts w:ascii="Fira Sans SemiBold" w:hAnsi="Fira Sans SemiBold"/>
          <w:szCs w:val="19"/>
        </w:rPr>
        <w:footnoteReference w:id="5"/>
      </w:r>
      <w:r w:rsidRPr="003508DD">
        <w:rPr>
          <w:rFonts w:ascii="Fira Sans SemiBold" w:hAnsi="Fira Sans SemiBold"/>
          <w:color w:val="000000"/>
          <w:szCs w:val="19"/>
        </w:rPr>
        <w:t xml:space="preserve">  </w:t>
      </w:r>
    </w:p>
    <w:p w:rsidR="007A1D40" w:rsidRDefault="008C34E7" w:rsidP="00F75DD0">
      <w:pPr>
        <w:pStyle w:val="Default"/>
        <w:spacing w:before="120" w:after="120" w:line="240" w:lineRule="exact"/>
        <w:rPr>
          <w:rFonts w:ascii="Fira Sans" w:hAnsi="Fira Sans"/>
          <w:color w:val="auto"/>
          <w:sz w:val="19"/>
          <w:szCs w:val="19"/>
        </w:rPr>
      </w:pPr>
      <w:r w:rsidRPr="001A7F4A">
        <w:rPr>
          <w:rFonts w:ascii="Fira Sans" w:hAnsi="Fira Sans"/>
          <w:color w:val="auto"/>
          <w:sz w:val="19"/>
          <w:szCs w:val="19"/>
        </w:rPr>
        <w:t xml:space="preserve">W </w:t>
      </w:r>
      <w:r w:rsidR="00045D91">
        <w:rPr>
          <w:rFonts w:ascii="Fira Sans" w:hAnsi="Fira Sans"/>
          <w:color w:val="auto"/>
          <w:sz w:val="19"/>
          <w:szCs w:val="19"/>
        </w:rPr>
        <w:t>sierpniu</w:t>
      </w:r>
      <w:r w:rsidRPr="001A7F4A">
        <w:rPr>
          <w:rFonts w:ascii="Fira Sans" w:hAnsi="Fira Sans"/>
          <w:color w:val="auto"/>
          <w:sz w:val="19"/>
          <w:szCs w:val="19"/>
        </w:rPr>
        <w:t xml:space="preserve"> 2020 r. największe zagrożenie pandemia stwarzała w </w:t>
      </w:r>
      <w:r w:rsidR="008B0674">
        <w:rPr>
          <w:rFonts w:ascii="Fira Sans" w:hAnsi="Fira Sans"/>
          <w:color w:val="auto"/>
          <w:sz w:val="19"/>
          <w:szCs w:val="19"/>
        </w:rPr>
        <w:t>handlu hurtowym, w którym dla</w:t>
      </w:r>
      <w:r w:rsidRPr="001A7F4A">
        <w:rPr>
          <w:rFonts w:ascii="Fira Sans" w:hAnsi="Fira Sans"/>
          <w:color w:val="auto"/>
          <w:sz w:val="19"/>
          <w:szCs w:val="19"/>
        </w:rPr>
        <w:t xml:space="preserve"> </w:t>
      </w:r>
      <w:r w:rsidR="008B0674">
        <w:rPr>
          <w:rFonts w:ascii="Fira Sans" w:hAnsi="Fira Sans"/>
          <w:color w:val="auto"/>
          <w:sz w:val="19"/>
          <w:szCs w:val="19"/>
        </w:rPr>
        <w:t>13,1%</w:t>
      </w:r>
      <w:r w:rsidR="00641B59">
        <w:rPr>
          <w:rFonts w:ascii="Fira Sans" w:hAnsi="Fira Sans"/>
          <w:color w:val="auto"/>
          <w:sz w:val="19"/>
          <w:szCs w:val="19"/>
        </w:rPr>
        <w:t xml:space="preserve"> </w:t>
      </w:r>
      <w:r w:rsidRPr="004463D9">
        <w:rPr>
          <w:rFonts w:ascii="Fira Sans" w:hAnsi="Fira Sans"/>
          <w:color w:val="auto"/>
          <w:sz w:val="19"/>
          <w:szCs w:val="19"/>
        </w:rPr>
        <w:t xml:space="preserve">przedsiębiorstw </w:t>
      </w:r>
      <w:r w:rsidR="0026187D">
        <w:rPr>
          <w:rFonts w:ascii="Fira Sans" w:hAnsi="Fira Sans"/>
          <w:color w:val="auto"/>
          <w:sz w:val="19"/>
          <w:szCs w:val="19"/>
        </w:rPr>
        <w:t xml:space="preserve">była </w:t>
      </w:r>
      <w:r w:rsidR="008B0674">
        <w:rPr>
          <w:rFonts w:ascii="Fira Sans" w:hAnsi="Fira Sans"/>
          <w:color w:val="auto"/>
          <w:sz w:val="19"/>
          <w:szCs w:val="19"/>
        </w:rPr>
        <w:t>zagrożenie</w:t>
      </w:r>
      <w:r w:rsidR="0026187D">
        <w:rPr>
          <w:rFonts w:ascii="Fira Sans" w:hAnsi="Fira Sans"/>
          <w:color w:val="auto"/>
          <w:sz w:val="19"/>
          <w:szCs w:val="19"/>
        </w:rPr>
        <w:t>m</w:t>
      </w:r>
      <w:r w:rsidR="008B0674">
        <w:rPr>
          <w:rFonts w:ascii="Fira Sans" w:hAnsi="Fira Sans"/>
          <w:color w:val="auto"/>
          <w:sz w:val="19"/>
          <w:szCs w:val="19"/>
        </w:rPr>
        <w:t xml:space="preserve"> stabilności</w:t>
      </w:r>
      <w:r w:rsidR="007A1D40">
        <w:rPr>
          <w:rFonts w:ascii="Fira Sans" w:hAnsi="Fira Sans"/>
          <w:color w:val="auto"/>
          <w:sz w:val="19"/>
          <w:szCs w:val="19"/>
        </w:rPr>
        <w:t>,</w:t>
      </w:r>
      <w:r w:rsidR="008B0674">
        <w:rPr>
          <w:rFonts w:ascii="Fira Sans" w:hAnsi="Fira Sans"/>
          <w:color w:val="auto"/>
          <w:sz w:val="19"/>
          <w:szCs w:val="19"/>
        </w:rPr>
        <w:t xml:space="preserve"> a dla kolejnych 23,9% -</w:t>
      </w:r>
      <w:r w:rsidR="008B0674" w:rsidRPr="001A7F4A">
        <w:rPr>
          <w:rFonts w:ascii="Fira Sans" w:hAnsi="Fira Sans"/>
          <w:color w:val="auto"/>
          <w:sz w:val="19"/>
          <w:szCs w:val="19"/>
        </w:rPr>
        <w:t xml:space="preserve"> </w:t>
      </w:r>
      <w:r w:rsidR="0026187D">
        <w:rPr>
          <w:rFonts w:ascii="Fira Sans" w:hAnsi="Fira Sans"/>
          <w:color w:val="auto"/>
          <w:sz w:val="19"/>
          <w:szCs w:val="19"/>
        </w:rPr>
        <w:t xml:space="preserve">stanowiła </w:t>
      </w:r>
      <w:r w:rsidRPr="001A7F4A">
        <w:rPr>
          <w:rFonts w:ascii="Fira Sans" w:hAnsi="Fira Sans"/>
          <w:color w:val="auto"/>
          <w:sz w:val="19"/>
          <w:szCs w:val="19"/>
        </w:rPr>
        <w:t xml:space="preserve">poważne zagrożenie. </w:t>
      </w:r>
      <w:r w:rsidR="008B0674">
        <w:rPr>
          <w:rFonts w:ascii="Fira Sans" w:hAnsi="Fira Sans"/>
          <w:color w:val="auto"/>
          <w:sz w:val="19"/>
          <w:szCs w:val="19"/>
        </w:rPr>
        <w:t xml:space="preserve">Pandemia była również istotnym problemem w firmach budowlanych. Stanowiła </w:t>
      </w:r>
      <w:r w:rsidR="007A1D40">
        <w:rPr>
          <w:rFonts w:ascii="Fira Sans" w:hAnsi="Fira Sans"/>
          <w:color w:val="auto"/>
          <w:sz w:val="19"/>
          <w:szCs w:val="19"/>
        </w:rPr>
        <w:t>poważne zagrożenie dla 46,3% przedsiębiorstw specjalizujących się w</w:t>
      </w:r>
      <w:r w:rsidR="003F0F1E">
        <w:rPr>
          <w:rFonts w:ascii="Fira Sans" w:hAnsi="Fira Sans"/>
          <w:color w:val="auto"/>
          <w:sz w:val="19"/>
          <w:szCs w:val="19"/>
        </w:rPr>
        <w:t> </w:t>
      </w:r>
      <w:r w:rsidR="007A1D40">
        <w:rPr>
          <w:rFonts w:ascii="Fira Sans" w:hAnsi="Fira Sans"/>
          <w:color w:val="auto"/>
          <w:sz w:val="19"/>
          <w:szCs w:val="19"/>
        </w:rPr>
        <w:t xml:space="preserve">takiej działalności. </w:t>
      </w:r>
      <w:r w:rsidRPr="001A7F4A">
        <w:rPr>
          <w:rFonts w:ascii="Fira Sans" w:hAnsi="Fira Sans"/>
          <w:color w:val="auto"/>
          <w:sz w:val="19"/>
          <w:szCs w:val="19"/>
        </w:rPr>
        <w:t>Najmniejszy wpływ miała</w:t>
      </w:r>
      <w:r w:rsidR="007A1D40">
        <w:rPr>
          <w:rFonts w:ascii="Fira Sans" w:hAnsi="Fira Sans"/>
          <w:color w:val="auto"/>
          <w:sz w:val="19"/>
          <w:szCs w:val="19"/>
        </w:rPr>
        <w:t xml:space="preserve"> </w:t>
      </w:r>
      <w:r w:rsidRPr="001A7F4A">
        <w:rPr>
          <w:rFonts w:ascii="Fira Sans" w:hAnsi="Fira Sans"/>
          <w:color w:val="auto"/>
          <w:sz w:val="19"/>
          <w:szCs w:val="19"/>
        </w:rPr>
        <w:t xml:space="preserve">natomiast na firmy zajmujące się </w:t>
      </w:r>
      <w:r w:rsidR="008B0674">
        <w:rPr>
          <w:rFonts w:ascii="Fira Sans" w:hAnsi="Fira Sans"/>
          <w:color w:val="auto"/>
          <w:sz w:val="19"/>
          <w:szCs w:val="19"/>
        </w:rPr>
        <w:t>usługami</w:t>
      </w:r>
      <w:r w:rsidR="0026187D">
        <w:rPr>
          <w:rFonts w:ascii="Fira Sans" w:hAnsi="Fira Sans"/>
          <w:color w:val="auto"/>
          <w:sz w:val="19"/>
          <w:szCs w:val="19"/>
        </w:rPr>
        <w:t>, spośród których</w:t>
      </w:r>
      <w:r w:rsidRPr="001A7F4A">
        <w:rPr>
          <w:rFonts w:ascii="Fira Sans" w:hAnsi="Fira Sans"/>
          <w:color w:val="auto"/>
          <w:sz w:val="19"/>
          <w:szCs w:val="19"/>
        </w:rPr>
        <w:t xml:space="preserve"> </w:t>
      </w:r>
      <w:r w:rsidR="008B0674">
        <w:rPr>
          <w:rFonts w:ascii="Fira Sans" w:hAnsi="Fira Sans"/>
          <w:color w:val="auto"/>
          <w:sz w:val="19"/>
          <w:szCs w:val="19"/>
        </w:rPr>
        <w:t>88,3</w:t>
      </w:r>
      <w:r>
        <w:rPr>
          <w:rFonts w:ascii="Fira Sans" w:hAnsi="Fira Sans"/>
          <w:color w:val="auto"/>
          <w:sz w:val="19"/>
          <w:szCs w:val="19"/>
        </w:rPr>
        <w:t xml:space="preserve">% określiło wpływ pandemii </w:t>
      </w:r>
      <w:r w:rsidRPr="001A7F4A">
        <w:rPr>
          <w:rFonts w:ascii="Fira Sans" w:hAnsi="Fira Sans"/>
          <w:color w:val="auto"/>
          <w:sz w:val="19"/>
          <w:szCs w:val="19"/>
        </w:rPr>
        <w:t xml:space="preserve">jako nieznaczny. </w:t>
      </w:r>
    </w:p>
    <w:p w:rsidR="009157FE" w:rsidRPr="00015300" w:rsidRDefault="009157FE" w:rsidP="00F75DD0">
      <w:pPr>
        <w:pStyle w:val="Default"/>
        <w:spacing w:before="120" w:after="120" w:line="240" w:lineRule="exact"/>
        <w:rPr>
          <w:rFonts w:ascii="Fira Sans" w:eastAsiaTheme="minorHAnsi" w:hAnsi="Fira Sans" w:cs="Fira Sans"/>
          <w:i/>
          <w:color w:val="auto"/>
          <w:sz w:val="19"/>
          <w:szCs w:val="19"/>
          <w:lang w:eastAsia="en-US"/>
        </w:rPr>
      </w:pPr>
      <w:r w:rsidRPr="00015300">
        <w:rPr>
          <w:rFonts w:ascii="Fira Sans" w:eastAsiaTheme="minorHAnsi" w:hAnsi="Fira Sans" w:cs="Fira Sans"/>
          <w:i/>
          <w:color w:val="auto"/>
          <w:sz w:val="19"/>
          <w:szCs w:val="19"/>
          <w:lang w:eastAsia="en-US"/>
        </w:rPr>
        <w:t>Pyt. 1. Negatywne skutki pandemii „</w:t>
      </w:r>
      <w:proofErr w:type="spellStart"/>
      <w:r w:rsidRPr="00015300">
        <w:rPr>
          <w:rFonts w:ascii="Fira Sans" w:eastAsiaTheme="minorHAnsi" w:hAnsi="Fira Sans" w:cs="Fira Sans"/>
          <w:i/>
          <w:color w:val="auto"/>
          <w:sz w:val="19"/>
          <w:szCs w:val="19"/>
          <w:lang w:eastAsia="en-US"/>
        </w:rPr>
        <w:t>koronawirusa</w:t>
      </w:r>
      <w:proofErr w:type="spellEnd"/>
      <w:r w:rsidRPr="00015300">
        <w:rPr>
          <w:rFonts w:ascii="Fira Sans" w:eastAsiaTheme="minorHAnsi" w:hAnsi="Fira Sans" w:cs="Fira Sans"/>
          <w:i/>
          <w:color w:val="auto"/>
          <w:sz w:val="19"/>
          <w:szCs w:val="19"/>
          <w:lang w:eastAsia="en-US"/>
        </w:rPr>
        <w:t xml:space="preserve">” i jej konsekwencje dla prowadzonej przez Państwa firmę działalności gospodarczej były (w </w:t>
      </w:r>
      <w:r w:rsidR="00454349">
        <w:rPr>
          <w:rFonts w:ascii="Fira Sans" w:eastAsiaTheme="minorHAnsi" w:hAnsi="Fira Sans" w:cs="Fira Sans"/>
          <w:i/>
          <w:color w:val="auto"/>
          <w:sz w:val="19"/>
          <w:szCs w:val="19"/>
          <w:lang w:eastAsia="en-US"/>
        </w:rPr>
        <w:t>lipcu</w:t>
      </w:r>
      <w:r w:rsidRPr="00015300">
        <w:rPr>
          <w:rFonts w:ascii="Fira Sans" w:eastAsiaTheme="minorHAnsi" w:hAnsi="Fira Sans" w:cs="Fira Sans"/>
          <w:i/>
          <w:color w:val="auto"/>
          <w:sz w:val="19"/>
          <w:szCs w:val="19"/>
          <w:lang w:eastAsia="en-US"/>
        </w:rPr>
        <w:t xml:space="preserve">) i będą (w </w:t>
      </w:r>
      <w:r w:rsidR="00454349">
        <w:rPr>
          <w:rFonts w:ascii="Fira Sans" w:eastAsiaTheme="minorHAnsi" w:hAnsi="Fira Sans" w:cs="Fira Sans"/>
          <w:i/>
          <w:color w:val="auto"/>
          <w:sz w:val="19"/>
          <w:szCs w:val="19"/>
          <w:lang w:eastAsia="en-US"/>
        </w:rPr>
        <w:t>sierpniu</w:t>
      </w:r>
      <w:r w:rsidRPr="00015300">
        <w:rPr>
          <w:rFonts w:ascii="Fira Sans" w:eastAsiaTheme="minorHAnsi" w:hAnsi="Fira Sans" w:cs="Fira Sans"/>
          <w:i/>
          <w:color w:val="auto"/>
          <w:sz w:val="19"/>
          <w:szCs w:val="19"/>
          <w:lang w:eastAsia="en-US"/>
        </w:rPr>
        <w:t>):</w:t>
      </w:r>
    </w:p>
    <w:p w:rsidR="009157FE" w:rsidRDefault="003F0F1E" w:rsidP="009157FE">
      <w:pPr>
        <w:autoSpaceDE w:val="0"/>
        <w:autoSpaceDN w:val="0"/>
        <w:adjustRightInd w:val="0"/>
        <w:spacing w:after="0" w:line="240" w:lineRule="auto"/>
        <w:jc w:val="center"/>
        <w:rPr>
          <w:rFonts w:cs="FiraSans-Bold"/>
          <w:bCs/>
          <w:szCs w:val="19"/>
        </w:rPr>
      </w:pPr>
      <w:r>
        <w:rPr>
          <w:noProof/>
          <w:lang w:eastAsia="pl-PL"/>
        </w:rPr>
        <w:drawing>
          <wp:inline distT="0" distB="0" distL="0" distR="0">
            <wp:extent cx="6076950" cy="3762375"/>
            <wp:effectExtent l="0" t="0" r="0" b="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157FE" w:rsidRDefault="009157FE" w:rsidP="009157FE">
      <w:pPr>
        <w:autoSpaceDE w:val="0"/>
        <w:autoSpaceDN w:val="0"/>
        <w:adjustRightInd w:val="0"/>
        <w:spacing w:after="0" w:line="240" w:lineRule="auto"/>
        <w:jc w:val="center"/>
        <w:rPr>
          <w:rFonts w:cs="FiraSans-Bold"/>
          <w:bCs/>
          <w:szCs w:val="19"/>
        </w:rPr>
      </w:pPr>
    </w:p>
    <w:p w:rsidR="00D4326B" w:rsidRDefault="00DD4FEC" w:rsidP="00AC7572">
      <w:pPr>
        <w:autoSpaceDE w:val="0"/>
        <w:autoSpaceDN w:val="0"/>
        <w:adjustRightInd w:val="0"/>
        <w:spacing w:line="240" w:lineRule="auto"/>
        <w:rPr>
          <w:rFonts w:cs="Fira Sans"/>
          <w:szCs w:val="19"/>
        </w:rPr>
      </w:pPr>
      <w:r w:rsidRPr="009F2A6C">
        <w:rPr>
          <w:rFonts w:ascii="Fira Sans SemiBold" w:hAnsi="Fira Sans SemiBold" w:cs="Fira Sans"/>
          <w:szCs w:val="19"/>
        </w:rPr>
        <w:t>Z pomocy</w:t>
      </w:r>
      <w:r w:rsidR="00D4326B" w:rsidRPr="009F2A6C">
        <w:rPr>
          <w:rFonts w:ascii="Fira Sans SemiBold" w:hAnsi="Fira Sans SemiBold" w:cs="Fira Sans"/>
          <w:szCs w:val="19"/>
        </w:rPr>
        <w:t xml:space="preserve"> i ułatwie</w:t>
      </w:r>
      <w:r w:rsidRPr="009F2A6C">
        <w:rPr>
          <w:rFonts w:ascii="Fira Sans SemiBold" w:hAnsi="Fira Sans SemiBold" w:cs="Fira Sans"/>
          <w:szCs w:val="19"/>
        </w:rPr>
        <w:t>ń</w:t>
      </w:r>
      <w:r w:rsidR="00D4326B" w:rsidRPr="009F2A6C">
        <w:rPr>
          <w:rFonts w:ascii="Fira Sans SemiBold" w:hAnsi="Fira Sans SemiBold" w:cs="Fira Sans"/>
          <w:szCs w:val="19"/>
        </w:rPr>
        <w:t xml:space="preserve"> </w:t>
      </w:r>
      <w:r w:rsidRPr="009F2A6C">
        <w:rPr>
          <w:rFonts w:ascii="Fira Sans SemiBold" w:hAnsi="Fira Sans SemiBold" w:cs="Fira Sans"/>
          <w:szCs w:val="19"/>
        </w:rPr>
        <w:t xml:space="preserve">dostępnych </w:t>
      </w:r>
      <w:r w:rsidR="00D4326B" w:rsidRPr="009F2A6C">
        <w:rPr>
          <w:rFonts w:ascii="Fira Sans SemiBold" w:hAnsi="Fira Sans SemiBold" w:cs="Fira Sans"/>
          <w:szCs w:val="19"/>
        </w:rPr>
        <w:t>w ramach tzw. Tarczy antykryzysowej</w:t>
      </w:r>
      <w:r w:rsidR="00D4326B">
        <w:rPr>
          <w:rFonts w:cs="Fira Sans"/>
          <w:szCs w:val="19"/>
        </w:rPr>
        <w:t xml:space="preserve"> </w:t>
      </w:r>
      <w:r>
        <w:rPr>
          <w:rFonts w:cs="Fira Sans"/>
          <w:szCs w:val="19"/>
        </w:rPr>
        <w:t>relatywnie najczęściej korzystano w budownictwie</w:t>
      </w:r>
      <w:r w:rsidR="007354EF">
        <w:rPr>
          <w:rFonts w:cs="Fira Sans"/>
          <w:szCs w:val="19"/>
        </w:rPr>
        <w:t>.</w:t>
      </w:r>
      <w:r>
        <w:rPr>
          <w:rFonts w:cs="Fira Sans"/>
          <w:szCs w:val="19"/>
        </w:rPr>
        <w:t xml:space="preserve"> Spośród przedsiębiorstw specjalizujących się w tej działalności</w:t>
      </w:r>
      <w:r w:rsidR="007354EF">
        <w:rPr>
          <w:rFonts w:cs="Fira Sans"/>
          <w:szCs w:val="19"/>
        </w:rPr>
        <w:t>,</w:t>
      </w:r>
      <w:r>
        <w:rPr>
          <w:rFonts w:cs="Fira Sans"/>
          <w:szCs w:val="19"/>
        </w:rPr>
        <w:t xml:space="preserve"> wszystkie zadeklarowały</w:t>
      </w:r>
      <w:r w:rsidR="0026187D">
        <w:rPr>
          <w:rFonts w:cs="Fira Sans"/>
          <w:szCs w:val="19"/>
        </w:rPr>
        <w:t xml:space="preserve">, </w:t>
      </w:r>
      <w:r w:rsidR="007354EF">
        <w:rPr>
          <w:rFonts w:cs="Fira Sans"/>
          <w:szCs w:val="19"/>
        </w:rPr>
        <w:t>ż</w:t>
      </w:r>
      <w:r w:rsidR="0026187D">
        <w:rPr>
          <w:rFonts w:cs="Fira Sans"/>
          <w:szCs w:val="19"/>
        </w:rPr>
        <w:t>e skorzystały</w:t>
      </w:r>
      <w:r>
        <w:rPr>
          <w:rFonts w:cs="Fira Sans"/>
          <w:szCs w:val="19"/>
        </w:rPr>
        <w:t xml:space="preserve"> z tej możliwości. Najwyższy odsetek </w:t>
      </w:r>
      <w:r w:rsidRPr="00DD4FEC">
        <w:rPr>
          <w:rFonts w:cs="Fira Sans"/>
          <w:szCs w:val="19"/>
        </w:rPr>
        <w:t>firm</w:t>
      </w:r>
      <w:r>
        <w:rPr>
          <w:rFonts w:cs="Fira Sans"/>
          <w:szCs w:val="19"/>
        </w:rPr>
        <w:t xml:space="preserve"> nie korzystających z żadnej</w:t>
      </w:r>
      <w:r w:rsidRPr="00DD4FEC">
        <w:rPr>
          <w:rFonts w:cs="Fira Sans"/>
          <w:szCs w:val="19"/>
        </w:rPr>
        <w:t xml:space="preserve"> form</w:t>
      </w:r>
      <w:r>
        <w:rPr>
          <w:rFonts w:cs="Fira Sans"/>
          <w:szCs w:val="19"/>
        </w:rPr>
        <w:t>y</w:t>
      </w:r>
      <w:r w:rsidRPr="00DD4FEC">
        <w:rPr>
          <w:rFonts w:cs="Fira Sans"/>
          <w:szCs w:val="19"/>
        </w:rPr>
        <w:t xml:space="preserve"> pomocy </w:t>
      </w:r>
      <w:r>
        <w:rPr>
          <w:rFonts w:cs="Fira Sans"/>
          <w:szCs w:val="19"/>
        </w:rPr>
        <w:t xml:space="preserve">odnotowano natomiast w przetwórstwie przemysłowym (40,5%). </w:t>
      </w:r>
    </w:p>
    <w:p w:rsidR="00910160" w:rsidRPr="00A93727" w:rsidRDefault="00A93727" w:rsidP="00AC7572">
      <w:pPr>
        <w:autoSpaceDE w:val="0"/>
        <w:autoSpaceDN w:val="0"/>
        <w:adjustRightInd w:val="0"/>
        <w:spacing w:line="240" w:lineRule="auto"/>
        <w:rPr>
          <w:rFonts w:cs="FiraSans-Bold"/>
          <w:bCs/>
          <w:szCs w:val="19"/>
        </w:rPr>
      </w:pPr>
      <w:r>
        <w:rPr>
          <w:rFonts w:cs="Fira Sans"/>
          <w:szCs w:val="19"/>
        </w:rPr>
        <w:t xml:space="preserve">Spośród </w:t>
      </w:r>
      <w:r w:rsidR="00DD4FEC">
        <w:rPr>
          <w:rFonts w:cs="Fira Sans"/>
          <w:szCs w:val="19"/>
        </w:rPr>
        <w:t>dostępnych form pomocy i ułatwień</w:t>
      </w:r>
      <w:r w:rsidR="007354EF">
        <w:rPr>
          <w:rFonts w:cs="Fira Sans"/>
          <w:szCs w:val="19"/>
        </w:rPr>
        <w:t>,</w:t>
      </w:r>
      <w:r w:rsidR="00DD4FEC" w:rsidRPr="00DD4FEC">
        <w:rPr>
          <w:rFonts w:cs="Fira Sans"/>
          <w:szCs w:val="19"/>
        </w:rPr>
        <w:t xml:space="preserve"> </w:t>
      </w:r>
      <w:r>
        <w:rPr>
          <w:rFonts w:cs="Fira Sans"/>
          <w:szCs w:val="19"/>
        </w:rPr>
        <w:t>przedsiębiorstw</w:t>
      </w:r>
      <w:r w:rsidR="00DD4FEC">
        <w:rPr>
          <w:rFonts w:cs="Fira Sans"/>
          <w:szCs w:val="19"/>
        </w:rPr>
        <w:t>a</w:t>
      </w:r>
      <w:r>
        <w:rPr>
          <w:rFonts w:cs="Fira Sans"/>
          <w:szCs w:val="19"/>
        </w:rPr>
        <w:t xml:space="preserve"> najczęściej korzystały ze zwolnień i odroczeń</w:t>
      </w:r>
      <w:r w:rsidRPr="00A93727">
        <w:rPr>
          <w:rFonts w:cs="Fira Sans"/>
          <w:szCs w:val="19"/>
        </w:rPr>
        <w:t xml:space="preserve"> z tytułu płatności podatków oraz składek ZUS</w:t>
      </w:r>
      <w:r w:rsidR="00DD4FEC">
        <w:rPr>
          <w:rFonts w:cs="Fira Sans"/>
          <w:szCs w:val="19"/>
        </w:rPr>
        <w:t>, a n</w:t>
      </w:r>
      <w:r>
        <w:rPr>
          <w:rFonts w:cs="Fira Sans"/>
          <w:szCs w:val="19"/>
        </w:rPr>
        <w:t>ajwyższy odsetek firm korzystających z udogodnień tego typu odnotowano w</w:t>
      </w:r>
      <w:r w:rsidR="003F0F1E">
        <w:rPr>
          <w:rFonts w:cs="Fira Sans"/>
          <w:szCs w:val="19"/>
        </w:rPr>
        <w:t> </w:t>
      </w:r>
      <w:r>
        <w:rPr>
          <w:rFonts w:cs="Fira Sans"/>
          <w:szCs w:val="19"/>
        </w:rPr>
        <w:t>budownictwie (78,3%). P</w:t>
      </w:r>
      <w:r w:rsidRPr="00A93727">
        <w:rPr>
          <w:rFonts w:cs="Fira Sans"/>
          <w:szCs w:val="19"/>
        </w:rPr>
        <w:t>ożycz</w:t>
      </w:r>
      <w:r>
        <w:rPr>
          <w:rFonts w:cs="Fira Sans"/>
          <w:szCs w:val="19"/>
        </w:rPr>
        <w:t>ki, subwencje i inna</w:t>
      </w:r>
      <w:r w:rsidRPr="00A93727">
        <w:rPr>
          <w:rFonts w:cs="Fira Sans"/>
          <w:szCs w:val="19"/>
        </w:rPr>
        <w:t xml:space="preserve"> pomoc</w:t>
      </w:r>
      <w:r>
        <w:rPr>
          <w:rFonts w:cs="Fira Sans"/>
          <w:szCs w:val="19"/>
        </w:rPr>
        <w:t xml:space="preserve"> finansowa wykorzystywan</w:t>
      </w:r>
      <w:r w:rsidR="00D4326B">
        <w:rPr>
          <w:rFonts w:cs="Fira Sans"/>
          <w:szCs w:val="19"/>
        </w:rPr>
        <w:t>e</w:t>
      </w:r>
      <w:r>
        <w:rPr>
          <w:rFonts w:cs="Fira Sans"/>
          <w:szCs w:val="19"/>
        </w:rPr>
        <w:t xml:space="preserve"> był</w:t>
      </w:r>
      <w:r w:rsidR="00DD4FEC">
        <w:rPr>
          <w:rFonts w:cs="Fira Sans"/>
          <w:szCs w:val="19"/>
        </w:rPr>
        <w:t>y</w:t>
      </w:r>
      <w:r>
        <w:rPr>
          <w:rFonts w:cs="Fira Sans"/>
          <w:szCs w:val="19"/>
        </w:rPr>
        <w:t xml:space="preserve"> najczęściej w usługach (66,6%), a dopłaty do wynagrodzeń – w handlu detalicznym (63,2%). </w:t>
      </w:r>
      <w:r w:rsidR="00AC7572">
        <w:rPr>
          <w:rFonts w:cs="Fira Sans"/>
          <w:szCs w:val="19"/>
        </w:rPr>
        <w:t xml:space="preserve">Pozostałe </w:t>
      </w:r>
      <w:r w:rsidR="00AC7572" w:rsidRPr="00AC7572">
        <w:rPr>
          <w:rFonts w:cs="Fira Sans"/>
          <w:szCs w:val="19"/>
        </w:rPr>
        <w:t>form</w:t>
      </w:r>
      <w:r w:rsidR="00AC7572">
        <w:rPr>
          <w:rFonts w:cs="Fira Sans"/>
          <w:szCs w:val="19"/>
        </w:rPr>
        <w:t>y</w:t>
      </w:r>
      <w:r w:rsidR="00AC7572" w:rsidRPr="00AC7572">
        <w:rPr>
          <w:rFonts w:cs="Fira Sans"/>
          <w:szCs w:val="19"/>
        </w:rPr>
        <w:t xml:space="preserve"> pomocy </w:t>
      </w:r>
      <w:r w:rsidR="00AC7572">
        <w:rPr>
          <w:rFonts w:cs="Fira Sans"/>
          <w:szCs w:val="19"/>
        </w:rPr>
        <w:t xml:space="preserve">stosowane były </w:t>
      </w:r>
      <w:r w:rsidR="00D4326B">
        <w:rPr>
          <w:rFonts w:cs="Fira Sans"/>
          <w:szCs w:val="19"/>
        </w:rPr>
        <w:t>tylko w</w:t>
      </w:r>
      <w:r w:rsidR="003F0F1E">
        <w:rPr>
          <w:rFonts w:cs="Fira Sans"/>
          <w:szCs w:val="19"/>
        </w:rPr>
        <w:t> </w:t>
      </w:r>
      <w:r w:rsidR="00D4326B">
        <w:rPr>
          <w:rFonts w:cs="Fira Sans"/>
          <w:szCs w:val="19"/>
        </w:rPr>
        <w:t>niektórych rodzajach działalności</w:t>
      </w:r>
      <w:r w:rsidR="00AC7572">
        <w:rPr>
          <w:rFonts w:cs="Fira Sans"/>
          <w:szCs w:val="19"/>
        </w:rPr>
        <w:t>. Ze świadczenia</w:t>
      </w:r>
      <w:r w:rsidRPr="00A93727">
        <w:rPr>
          <w:rFonts w:cs="Fira Sans"/>
          <w:szCs w:val="19"/>
        </w:rPr>
        <w:t xml:space="preserve"> postojowe</w:t>
      </w:r>
      <w:r w:rsidR="00AC7572">
        <w:rPr>
          <w:rFonts w:cs="Fira Sans"/>
          <w:szCs w:val="19"/>
        </w:rPr>
        <w:t>go</w:t>
      </w:r>
      <w:r w:rsidRPr="00A93727">
        <w:rPr>
          <w:rFonts w:cs="Fira Sans"/>
          <w:szCs w:val="19"/>
        </w:rPr>
        <w:t xml:space="preserve"> dla osób prowadzących działalność gospodarczą</w:t>
      </w:r>
      <w:r w:rsidR="00AC7572">
        <w:rPr>
          <w:rFonts w:cs="Fira Sans"/>
          <w:szCs w:val="19"/>
        </w:rPr>
        <w:t xml:space="preserve"> korzystano głównie w budownictwie (38,9%),</w:t>
      </w:r>
      <w:r w:rsidR="00AC7572" w:rsidRPr="00AC7572">
        <w:t xml:space="preserve"> </w:t>
      </w:r>
      <w:r w:rsidR="00AC7572">
        <w:t xml:space="preserve">z </w:t>
      </w:r>
      <w:r w:rsidR="00AC7572">
        <w:rPr>
          <w:rFonts w:cs="Fira Sans"/>
          <w:szCs w:val="19"/>
        </w:rPr>
        <w:t>ułatwień i uproszczeń</w:t>
      </w:r>
      <w:r w:rsidR="00AC7572" w:rsidRPr="00AC7572">
        <w:rPr>
          <w:rFonts w:cs="Fira Sans"/>
          <w:szCs w:val="19"/>
        </w:rPr>
        <w:t xml:space="preserve"> zarządzania wewnątrz przedsiębiorstwa</w:t>
      </w:r>
      <w:r w:rsidR="00AC7572">
        <w:rPr>
          <w:rFonts w:cs="Fira Sans"/>
          <w:szCs w:val="19"/>
        </w:rPr>
        <w:t xml:space="preserve"> – w handlu detalicznym i przetwórstwie przemysłowym (odpowiednio 18,9% i 18,7%), a z ułatwień</w:t>
      </w:r>
      <w:r w:rsidR="00AC7572" w:rsidRPr="00AC7572">
        <w:rPr>
          <w:rFonts w:cs="Fira Sans"/>
          <w:szCs w:val="19"/>
        </w:rPr>
        <w:t xml:space="preserve"> i uproszcze</w:t>
      </w:r>
      <w:r w:rsidR="00AC7572">
        <w:rPr>
          <w:rFonts w:cs="Fira Sans"/>
          <w:szCs w:val="19"/>
        </w:rPr>
        <w:t>ń procedur administracyjnych – w przetwórstwie przemysłowym (9,4%)</w:t>
      </w:r>
      <w:r w:rsidR="00D4326B">
        <w:rPr>
          <w:rFonts w:cs="Fira Sans"/>
          <w:szCs w:val="19"/>
        </w:rPr>
        <w:t xml:space="preserve">. </w:t>
      </w:r>
    </w:p>
    <w:p w:rsidR="009157FE" w:rsidRDefault="009157FE" w:rsidP="003F0F1E">
      <w:pPr>
        <w:pStyle w:val="Default"/>
        <w:pageBreakBefore/>
        <w:rPr>
          <w:rFonts w:ascii="Fira Sans" w:eastAsiaTheme="minorHAnsi" w:hAnsi="Fira Sans" w:cs="Fira Sans"/>
          <w:i/>
          <w:color w:val="auto"/>
          <w:sz w:val="19"/>
          <w:szCs w:val="19"/>
          <w:lang w:eastAsia="en-US"/>
        </w:rPr>
      </w:pPr>
      <w:r w:rsidRPr="002C0ABA">
        <w:rPr>
          <w:rFonts w:ascii="Fira Sans" w:eastAsiaTheme="minorHAnsi" w:hAnsi="Fira Sans" w:cs="Fira Sans"/>
          <w:i/>
          <w:color w:val="auto"/>
          <w:sz w:val="19"/>
          <w:szCs w:val="19"/>
          <w:lang w:eastAsia="en-US"/>
        </w:rPr>
        <w:lastRenderedPageBreak/>
        <w:t xml:space="preserve">Pyt. 2. </w:t>
      </w:r>
      <w:r w:rsidR="007A1D40" w:rsidRPr="007A1D40">
        <w:rPr>
          <w:rFonts w:ascii="Fira Sans" w:eastAsiaTheme="minorHAnsi" w:hAnsi="Fira Sans" w:cs="Fira Sans"/>
          <w:i/>
          <w:color w:val="auto"/>
          <w:sz w:val="19"/>
          <w:szCs w:val="19"/>
          <w:lang w:eastAsia="en-US"/>
        </w:rPr>
        <w:t>Z jakich form pomocy i ułatwień w ramach tzw. Tarczy antykryzysowej do tej pory korzystała Państwa firma?</w:t>
      </w:r>
      <w:r w:rsidR="00EB4E87" w:rsidRPr="00EB4E87">
        <w:rPr>
          <w:rFonts w:ascii="Fira Sans" w:eastAsiaTheme="minorHAnsi" w:hAnsi="Fira Sans" w:cs="Fira Sans"/>
          <w:i/>
          <w:color w:val="auto"/>
          <w:sz w:val="19"/>
          <w:szCs w:val="19"/>
          <w:lang w:eastAsia="en-US"/>
        </w:rPr>
        <w:t>:</w:t>
      </w:r>
      <w:r w:rsidR="00545B20" w:rsidRPr="00545B20">
        <w:rPr>
          <w:noProof/>
        </w:rPr>
        <w:t xml:space="preserve"> </w:t>
      </w:r>
    </w:p>
    <w:p w:rsidR="009157FE" w:rsidRDefault="003F0F1E" w:rsidP="009157FE">
      <w:pPr>
        <w:autoSpaceDE w:val="0"/>
        <w:autoSpaceDN w:val="0"/>
        <w:adjustRightInd w:val="0"/>
        <w:spacing w:after="0" w:line="240" w:lineRule="auto"/>
        <w:jc w:val="center"/>
        <w:rPr>
          <w:rFonts w:cs="FiraSans-Bold"/>
          <w:bCs/>
          <w:i/>
          <w:szCs w:val="19"/>
        </w:rPr>
      </w:pPr>
      <w:r>
        <w:rPr>
          <w:rFonts w:cs="FiraSans-Bold"/>
          <w:bCs/>
          <w:i/>
          <w:noProof/>
          <w:szCs w:val="19"/>
          <w:lang w:eastAsia="pl-PL"/>
        </w:rPr>
        <w:drawing>
          <wp:inline distT="0" distB="0" distL="0" distR="0">
            <wp:extent cx="6464821" cy="2971806"/>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ytanie 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64821" cy="2971806"/>
                    </a:xfrm>
                    <a:prstGeom prst="rect">
                      <a:avLst/>
                    </a:prstGeom>
                  </pic:spPr>
                </pic:pic>
              </a:graphicData>
            </a:graphic>
          </wp:inline>
        </w:drawing>
      </w:r>
    </w:p>
    <w:p w:rsidR="009157FE" w:rsidRDefault="008C34E7" w:rsidP="003F0F1E">
      <w:pPr>
        <w:autoSpaceDE w:val="0"/>
        <w:autoSpaceDN w:val="0"/>
        <w:adjustRightInd w:val="0"/>
        <w:rPr>
          <w:rFonts w:cs="Fira Sans"/>
          <w:szCs w:val="19"/>
        </w:rPr>
      </w:pPr>
      <w:r w:rsidRPr="00963EFC">
        <w:rPr>
          <w:rFonts w:cs="Fira Sans"/>
          <w:szCs w:val="19"/>
        </w:rPr>
        <w:t>Wśród prezentowanych rodzajów działalności</w:t>
      </w:r>
      <w:r w:rsidR="007354EF">
        <w:rPr>
          <w:rFonts w:cs="Fira Sans"/>
          <w:szCs w:val="19"/>
        </w:rPr>
        <w:t>,</w:t>
      </w:r>
      <w:r w:rsidRPr="00963EFC">
        <w:rPr>
          <w:rFonts w:cs="Fira Sans"/>
          <w:szCs w:val="19"/>
        </w:rPr>
        <w:t xml:space="preserve"> w</w:t>
      </w:r>
      <w:r w:rsidR="00244001">
        <w:rPr>
          <w:rFonts w:cs="Fira Sans"/>
          <w:szCs w:val="19"/>
        </w:rPr>
        <w:t xml:space="preserve"> sierpniu</w:t>
      </w:r>
      <w:r>
        <w:rPr>
          <w:rFonts w:cs="Fira Sans"/>
          <w:szCs w:val="19"/>
        </w:rPr>
        <w:t xml:space="preserve"> 2020 r.</w:t>
      </w:r>
      <w:r w:rsidR="007354EF">
        <w:rPr>
          <w:rFonts w:cs="Fira Sans"/>
          <w:szCs w:val="19"/>
        </w:rPr>
        <w:t>,</w:t>
      </w:r>
      <w:r>
        <w:rPr>
          <w:rFonts w:cs="Fira Sans"/>
          <w:szCs w:val="19"/>
        </w:rPr>
        <w:t xml:space="preserve"> </w:t>
      </w:r>
      <w:r>
        <w:rPr>
          <w:rFonts w:ascii="Fira Sans SemiBold" w:hAnsi="Fira Sans SemiBold" w:cs="Fira Sans"/>
          <w:szCs w:val="19"/>
        </w:rPr>
        <w:t>praca</w:t>
      </w:r>
      <w:r w:rsidRPr="00963EFC">
        <w:rPr>
          <w:rFonts w:ascii="Fira Sans SemiBold" w:hAnsi="Fira Sans SemiBold" w:cs="Fira Sans"/>
          <w:szCs w:val="19"/>
        </w:rPr>
        <w:t xml:space="preserve"> zdaln</w:t>
      </w:r>
      <w:r>
        <w:rPr>
          <w:rFonts w:ascii="Fira Sans SemiBold" w:hAnsi="Fira Sans SemiBold" w:cs="Fira Sans"/>
          <w:szCs w:val="19"/>
        </w:rPr>
        <w:t>a i zbliżone formy</w:t>
      </w:r>
      <w:r w:rsidRPr="00963EFC">
        <w:rPr>
          <w:rFonts w:ascii="Fira Sans SemiBold" w:hAnsi="Fira Sans SemiBold" w:cs="Fira Sans"/>
          <w:szCs w:val="19"/>
        </w:rPr>
        <w:t xml:space="preserve"> pracy</w:t>
      </w:r>
      <w:r w:rsidRPr="00963EFC">
        <w:rPr>
          <w:rFonts w:cs="Fira Sans"/>
          <w:szCs w:val="19"/>
        </w:rPr>
        <w:t xml:space="preserve"> </w:t>
      </w:r>
      <w:r>
        <w:rPr>
          <w:rFonts w:cs="Fira Sans"/>
          <w:szCs w:val="19"/>
        </w:rPr>
        <w:t xml:space="preserve">w </w:t>
      </w:r>
      <w:r w:rsidRPr="00963EFC">
        <w:rPr>
          <w:rFonts w:cs="Fira Sans"/>
          <w:szCs w:val="19"/>
        </w:rPr>
        <w:t xml:space="preserve">najwyższym stopniu </w:t>
      </w:r>
      <w:r>
        <w:rPr>
          <w:rFonts w:cs="Fira Sans"/>
          <w:szCs w:val="19"/>
        </w:rPr>
        <w:t>obejmie zatrudnionych</w:t>
      </w:r>
      <w:r w:rsidRPr="00963EFC">
        <w:rPr>
          <w:rFonts w:cs="Fira Sans"/>
          <w:szCs w:val="19"/>
        </w:rPr>
        <w:t xml:space="preserve"> w </w:t>
      </w:r>
      <w:r>
        <w:rPr>
          <w:rFonts w:cs="Fira Sans"/>
          <w:szCs w:val="19"/>
        </w:rPr>
        <w:t xml:space="preserve">usługach, przy czym ich odsetek w porównaniu z miesiącem poprzednim </w:t>
      </w:r>
      <w:r w:rsidR="00244001">
        <w:rPr>
          <w:rFonts w:cs="Fira Sans"/>
          <w:szCs w:val="19"/>
        </w:rPr>
        <w:t>nie zmieni się</w:t>
      </w:r>
      <w:r>
        <w:rPr>
          <w:rFonts w:cs="Fira Sans"/>
          <w:szCs w:val="19"/>
        </w:rPr>
        <w:t xml:space="preserve"> </w:t>
      </w:r>
      <w:r w:rsidR="00244001">
        <w:rPr>
          <w:rFonts w:cs="Fira Sans"/>
          <w:szCs w:val="19"/>
        </w:rPr>
        <w:t>(21,0%)</w:t>
      </w:r>
      <w:r w:rsidRPr="00963EFC">
        <w:rPr>
          <w:rFonts w:cs="Fira Sans"/>
          <w:szCs w:val="19"/>
        </w:rPr>
        <w:t>.</w:t>
      </w:r>
      <w:r w:rsidRPr="00963EFC">
        <w:rPr>
          <w:szCs w:val="19"/>
        </w:rPr>
        <w:t xml:space="preserve"> </w:t>
      </w:r>
      <w:r w:rsidR="0026187D" w:rsidRPr="0026187D">
        <w:rPr>
          <w:rFonts w:ascii="Fira Sans SemiBold" w:hAnsi="Fira Sans SemiBold"/>
          <w:szCs w:val="19"/>
        </w:rPr>
        <w:t>N</w:t>
      </w:r>
      <w:r w:rsidRPr="0026187D">
        <w:rPr>
          <w:rFonts w:ascii="Fira Sans SemiBold" w:hAnsi="Fira Sans SemiBold" w:cs="Fira Sans"/>
          <w:szCs w:val="19"/>
        </w:rPr>
        <w:t>ieo</w:t>
      </w:r>
      <w:r w:rsidRPr="00963EFC">
        <w:rPr>
          <w:rFonts w:ascii="Fira Sans SemiBold" w:hAnsi="Fira Sans SemiBold" w:cs="Fira Sans"/>
          <w:szCs w:val="19"/>
        </w:rPr>
        <w:t>becnoś</w:t>
      </w:r>
      <w:r>
        <w:rPr>
          <w:rFonts w:ascii="Fira Sans SemiBold" w:hAnsi="Fira Sans SemiBold" w:cs="Fira Sans"/>
          <w:szCs w:val="19"/>
        </w:rPr>
        <w:t>ci</w:t>
      </w:r>
      <w:r w:rsidRPr="00963EFC">
        <w:rPr>
          <w:rFonts w:ascii="Fira Sans SemiBold" w:hAnsi="Fira Sans SemiBold" w:cs="Fira Sans"/>
          <w:szCs w:val="19"/>
        </w:rPr>
        <w:t xml:space="preserve"> pracowników</w:t>
      </w:r>
      <w:r w:rsidRPr="00963EFC">
        <w:rPr>
          <w:rFonts w:cs="Fira Sans"/>
          <w:szCs w:val="19"/>
        </w:rPr>
        <w:t xml:space="preserve"> </w:t>
      </w:r>
      <w:r w:rsidRPr="009F2A6C">
        <w:rPr>
          <w:rFonts w:ascii="Fira Sans SemiBold" w:hAnsi="Fira Sans SemiBold" w:cs="Fira Sans"/>
          <w:szCs w:val="19"/>
        </w:rPr>
        <w:t>wynikając</w:t>
      </w:r>
      <w:r w:rsidR="0026187D" w:rsidRPr="009F2A6C">
        <w:rPr>
          <w:rFonts w:ascii="Fira Sans SemiBold" w:hAnsi="Fira Sans SemiBold" w:cs="Fira Sans"/>
          <w:szCs w:val="19"/>
        </w:rPr>
        <w:t>e</w:t>
      </w:r>
      <w:r w:rsidRPr="009F2A6C">
        <w:rPr>
          <w:rFonts w:ascii="Fira Sans SemiBold" w:hAnsi="Fira Sans SemiBold" w:cs="Fira Sans"/>
          <w:szCs w:val="19"/>
        </w:rPr>
        <w:t xml:space="preserve"> z nieplanowanych urlopów, opieki nad dziećmi, członkami rodzin</w:t>
      </w:r>
      <w:r w:rsidRPr="00963EFC">
        <w:rPr>
          <w:rFonts w:cs="Fira Sans"/>
          <w:szCs w:val="19"/>
        </w:rPr>
        <w:t xml:space="preserve"> itp.</w:t>
      </w:r>
      <w:r w:rsidRPr="00112739">
        <w:rPr>
          <w:rFonts w:cs="Fira Sans"/>
          <w:szCs w:val="19"/>
        </w:rPr>
        <w:t xml:space="preserve"> </w:t>
      </w:r>
      <w:r w:rsidR="0026187D">
        <w:rPr>
          <w:rFonts w:cs="Fira Sans"/>
          <w:szCs w:val="19"/>
        </w:rPr>
        <w:t>najczęściej przewidywali</w:t>
      </w:r>
      <w:r>
        <w:rPr>
          <w:rFonts w:cs="Fira Sans"/>
          <w:szCs w:val="19"/>
        </w:rPr>
        <w:t xml:space="preserve"> p</w:t>
      </w:r>
      <w:r w:rsidRPr="00963EFC">
        <w:rPr>
          <w:rFonts w:cs="Fira Sans"/>
          <w:szCs w:val="19"/>
        </w:rPr>
        <w:t xml:space="preserve">rzedstawiciele działalności związanych z </w:t>
      </w:r>
      <w:r>
        <w:rPr>
          <w:rFonts w:cs="Fira Sans"/>
          <w:szCs w:val="19"/>
        </w:rPr>
        <w:t>budownictwem</w:t>
      </w:r>
      <w:r w:rsidR="0026187D">
        <w:rPr>
          <w:rFonts w:cs="Fira Sans"/>
          <w:szCs w:val="19"/>
        </w:rPr>
        <w:t xml:space="preserve">. Jest to jedyny rodzaj działalności, </w:t>
      </w:r>
      <w:r w:rsidR="005F582B">
        <w:rPr>
          <w:rFonts w:cs="Fira Sans"/>
          <w:szCs w:val="19"/>
        </w:rPr>
        <w:t xml:space="preserve">w </w:t>
      </w:r>
      <w:r w:rsidR="009F2A6C">
        <w:rPr>
          <w:rFonts w:cs="Fira Sans"/>
          <w:szCs w:val="19"/>
        </w:rPr>
        <w:t>któr</w:t>
      </w:r>
      <w:r w:rsidR="007354EF">
        <w:rPr>
          <w:rFonts w:cs="Fira Sans"/>
          <w:szCs w:val="19"/>
        </w:rPr>
        <w:t>y</w:t>
      </w:r>
      <w:r w:rsidR="005F582B">
        <w:rPr>
          <w:rFonts w:cs="Fira Sans"/>
          <w:szCs w:val="19"/>
        </w:rPr>
        <w:t>m</w:t>
      </w:r>
      <w:r w:rsidR="009F2A6C">
        <w:rPr>
          <w:rFonts w:cs="Fira Sans"/>
          <w:szCs w:val="19"/>
        </w:rPr>
        <w:t xml:space="preserve"> podobnie jak przed miesiącem przewiduje 1</w:t>
      </w:r>
      <w:r w:rsidR="00244001">
        <w:rPr>
          <w:rFonts w:cs="Fira Sans"/>
          <w:szCs w:val="19"/>
        </w:rPr>
        <w:t>0,3%</w:t>
      </w:r>
      <w:r w:rsidR="009F2A6C">
        <w:rPr>
          <w:rFonts w:cs="Fira Sans"/>
          <w:szCs w:val="19"/>
        </w:rPr>
        <w:t xml:space="preserve"> przedsiębiorstw</w:t>
      </w:r>
      <w:r>
        <w:rPr>
          <w:rFonts w:cs="Fira Sans"/>
          <w:szCs w:val="19"/>
        </w:rPr>
        <w:t xml:space="preserve">. </w:t>
      </w:r>
      <w:r w:rsidR="00244001">
        <w:rPr>
          <w:rFonts w:cs="Fira Sans"/>
          <w:b/>
          <w:szCs w:val="19"/>
        </w:rPr>
        <w:t>B</w:t>
      </w:r>
      <w:r w:rsidRPr="008C34E7">
        <w:rPr>
          <w:rFonts w:cs="Fira Sans"/>
          <w:b/>
          <w:szCs w:val="19"/>
        </w:rPr>
        <w:t>raku pracowników z uwagi na kwarantannę lub inne ograniczenia</w:t>
      </w:r>
      <w:r w:rsidR="00244001" w:rsidRPr="00244001">
        <w:rPr>
          <w:rFonts w:cs="Fira Sans"/>
          <w:szCs w:val="19"/>
        </w:rPr>
        <w:t xml:space="preserve"> </w:t>
      </w:r>
      <w:r w:rsidR="00244001">
        <w:rPr>
          <w:rFonts w:cs="Fira Sans"/>
          <w:szCs w:val="19"/>
        </w:rPr>
        <w:t>najczęściej spodziewają się natomiast firmy specjalizujące się w handlu detalicznym. W sierpniu oczekuje go 2,2% z nich</w:t>
      </w:r>
      <w:r w:rsidR="00BA7AF0">
        <w:rPr>
          <w:rFonts w:cs="Fira Sans"/>
          <w:szCs w:val="19"/>
        </w:rPr>
        <w:t xml:space="preserve">, podczas gdy przed miesiącem taka sytuacja nie objęła żadnej firmy </w:t>
      </w:r>
      <w:r w:rsidR="009F2A6C">
        <w:rPr>
          <w:rFonts w:cs="Fira Sans"/>
          <w:szCs w:val="19"/>
        </w:rPr>
        <w:t>prowadzącej taką działalność</w:t>
      </w:r>
      <w:r w:rsidR="00BA7AF0">
        <w:rPr>
          <w:rFonts w:cs="Fira Sans"/>
          <w:szCs w:val="19"/>
        </w:rPr>
        <w:t>.</w:t>
      </w:r>
    </w:p>
    <w:p w:rsidR="003F0F1E" w:rsidRPr="00963EFC" w:rsidRDefault="003F0F1E" w:rsidP="003F0F1E">
      <w:pPr>
        <w:autoSpaceDE w:val="0"/>
        <w:autoSpaceDN w:val="0"/>
        <w:adjustRightInd w:val="0"/>
        <w:rPr>
          <w:rFonts w:cs="Fira Sans"/>
          <w:szCs w:val="19"/>
        </w:rPr>
      </w:pPr>
    </w:p>
    <w:p w:rsidR="009157FE" w:rsidRDefault="009157FE" w:rsidP="009157FE">
      <w:pPr>
        <w:autoSpaceDE w:val="0"/>
        <w:autoSpaceDN w:val="0"/>
        <w:adjustRightInd w:val="0"/>
        <w:rPr>
          <w:rFonts w:cs="FiraSans-Bold"/>
          <w:bCs/>
          <w:i/>
          <w:szCs w:val="19"/>
        </w:rPr>
      </w:pPr>
      <w:r w:rsidRPr="00147C94">
        <w:rPr>
          <w:rFonts w:cs="FiraSans-Bold"/>
          <w:bCs/>
          <w:i/>
          <w:szCs w:val="19"/>
        </w:rPr>
        <w:t xml:space="preserve">Pyt. 3. Proszę podać szacunkowo, jaki procent pracowników Państwa firmy (niezależnie od rodzaju umowy: o pracę, cywilnoprawną, pracowników samozatrudnionych, stażystów, agentów itp.) objęła (w </w:t>
      </w:r>
      <w:r w:rsidR="00711FAA">
        <w:rPr>
          <w:rFonts w:cs="FiraSans-Bold"/>
          <w:bCs/>
          <w:i/>
          <w:szCs w:val="19"/>
        </w:rPr>
        <w:t>lipcu</w:t>
      </w:r>
      <w:r w:rsidRPr="00147C94">
        <w:rPr>
          <w:rFonts w:cs="FiraSans-Bold"/>
          <w:bCs/>
          <w:i/>
          <w:szCs w:val="19"/>
        </w:rPr>
        <w:t xml:space="preserve">) i obejmie (w </w:t>
      </w:r>
      <w:r w:rsidR="00711FAA">
        <w:rPr>
          <w:rFonts w:cs="FiraSans-Bold"/>
          <w:bCs/>
          <w:i/>
          <w:szCs w:val="19"/>
        </w:rPr>
        <w:t>sierpniu</w:t>
      </w:r>
      <w:r w:rsidRPr="00147C94">
        <w:rPr>
          <w:rFonts w:cs="FiraSans-Bold"/>
          <w:bCs/>
          <w:i/>
          <w:szCs w:val="19"/>
        </w:rPr>
        <w:t>) każda z</w:t>
      </w:r>
      <w:r w:rsidR="00CA18EC">
        <w:rPr>
          <w:rFonts w:cs="FiraSans-Bold"/>
          <w:bCs/>
          <w:i/>
          <w:szCs w:val="19"/>
        </w:rPr>
        <w:t> </w:t>
      </w:r>
      <w:r w:rsidRPr="00147C94">
        <w:rPr>
          <w:rFonts w:cs="FiraSans-Bold"/>
          <w:bCs/>
          <w:i/>
          <w:szCs w:val="19"/>
        </w:rPr>
        <w:t>po</w:t>
      </w:r>
      <w:r w:rsidR="00CA18EC">
        <w:rPr>
          <w:rFonts w:cs="FiraSans-Bold"/>
          <w:bCs/>
          <w:i/>
          <w:noProof/>
          <w:szCs w:val="19"/>
          <w:lang w:eastAsia="pl-PL"/>
        </w:rPr>
        <w:drawing>
          <wp:anchor distT="0" distB="0" distL="114300" distR="114300" simplePos="0" relativeHeight="251659264" behindDoc="0" locked="0" layoutInCell="1" allowOverlap="1">
            <wp:simplePos x="0" y="0"/>
            <wp:positionH relativeFrom="margin">
              <wp:posOffset>194513</wp:posOffset>
            </wp:positionH>
            <wp:positionV relativeFrom="margin">
              <wp:posOffset>5428021</wp:posOffset>
            </wp:positionV>
            <wp:extent cx="5808345" cy="3340100"/>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08345" cy="3340100"/>
                    </a:xfrm>
                    <a:prstGeom prst="rect">
                      <a:avLst/>
                    </a:prstGeom>
                  </pic:spPr>
                </pic:pic>
              </a:graphicData>
            </a:graphic>
          </wp:anchor>
        </w:drawing>
      </w:r>
      <w:r w:rsidRPr="00147C94">
        <w:rPr>
          <w:rFonts w:cs="FiraSans-Bold"/>
          <w:bCs/>
          <w:i/>
          <w:szCs w:val="19"/>
        </w:rPr>
        <w:t>niższych sytuacji:</w:t>
      </w:r>
    </w:p>
    <w:p w:rsidR="009157FE" w:rsidRPr="00963EFC" w:rsidRDefault="008C34E7" w:rsidP="00F75DD0">
      <w:pPr>
        <w:pStyle w:val="Default"/>
        <w:spacing w:before="120" w:after="120" w:line="240" w:lineRule="exact"/>
        <w:rPr>
          <w:rFonts w:ascii="Fira Sans" w:hAnsi="Fira Sans"/>
          <w:color w:val="auto"/>
          <w:sz w:val="19"/>
          <w:szCs w:val="19"/>
        </w:rPr>
      </w:pPr>
      <w:r w:rsidRPr="00963EFC">
        <w:rPr>
          <w:rFonts w:ascii="Fira Sans" w:hAnsi="Fira Sans"/>
          <w:color w:val="auto"/>
          <w:sz w:val="19"/>
          <w:szCs w:val="19"/>
        </w:rPr>
        <w:t xml:space="preserve">W </w:t>
      </w:r>
      <w:r w:rsidR="005A0768">
        <w:rPr>
          <w:rFonts w:ascii="Fira Sans" w:hAnsi="Fira Sans"/>
          <w:color w:val="auto"/>
          <w:sz w:val="19"/>
          <w:szCs w:val="19"/>
        </w:rPr>
        <w:t>sierpniu</w:t>
      </w:r>
      <w:r w:rsidRPr="00963EFC">
        <w:rPr>
          <w:rFonts w:ascii="Fira Sans" w:hAnsi="Fira Sans"/>
          <w:color w:val="auto"/>
          <w:sz w:val="19"/>
          <w:szCs w:val="19"/>
        </w:rPr>
        <w:t xml:space="preserve"> przedsiębiorcy z prezentowanych obszarów działalności gospodarczej przewidywali</w:t>
      </w:r>
      <w:r>
        <w:rPr>
          <w:rFonts w:ascii="Fira Sans" w:hAnsi="Fira Sans"/>
          <w:color w:val="auto"/>
          <w:sz w:val="19"/>
          <w:szCs w:val="19"/>
        </w:rPr>
        <w:t xml:space="preserve"> </w:t>
      </w:r>
      <w:r w:rsidRPr="00963EFC">
        <w:rPr>
          <w:rFonts w:ascii="Fira Sans" w:hAnsi="Fira Sans"/>
          <w:color w:val="auto"/>
          <w:sz w:val="19"/>
          <w:szCs w:val="19"/>
        </w:rPr>
        <w:t xml:space="preserve">spadek </w:t>
      </w:r>
      <w:r w:rsidRPr="00963EFC">
        <w:rPr>
          <w:rFonts w:ascii="Fira Sans SemiBold" w:hAnsi="Fira Sans SemiBold"/>
          <w:color w:val="auto"/>
          <w:sz w:val="19"/>
          <w:szCs w:val="19"/>
        </w:rPr>
        <w:t>zamówień</w:t>
      </w:r>
      <w:r>
        <w:rPr>
          <w:rFonts w:ascii="Fira Sans SemiBold" w:hAnsi="Fira Sans SemiBold"/>
          <w:color w:val="auto"/>
          <w:sz w:val="19"/>
          <w:szCs w:val="19"/>
        </w:rPr>
        <w:t xml:space="preserve"> </w:t>
      </w:r>
      <w:r w:rsidRPr="00963EFC">
        <w:rPr>
          <w:rFonts w:ascii="Fira Sans" w:hAnsi="Fira Sans"/>
          <w:color w:val="auto"/>
          <w:sz w:val="19"/>
          <w:szCs w:val="19"/>
        </w:rPr>
        <w:t>(zarówno tych składanych u d</w:t>
      </w:r>
      <w:r w:rsidR="00711FAA">
        <w:rPr>
          <w:rFonts w:ascii="Fira Sans" w:hAnsi="Fira Sans"/>
          <w:color w:val="auto"/>
          <w:sz w:val="19"/>
          <w:szCs w:val="19"/>
        </w:rPr>
        <w:t xml:space="preserve">ostawców, jak </w:t>
      </w:r>
      <w:r w:rsidR="009F2A6C">
        <w:rPr>
          <w:rFonts w:ascii="Fira Sans" w:hAnsi="Fira Sans"/>
          <w:color w:val="auto"/>
          <w:sz w:val="19"/>
          <w:szCs w:val="19"/>
        </w:rPr>
        <w:t xml:space="preserve">i przez klientów). Największy będzie </w:t>
      </w:r>
      <w:r w:rsidR="00711FAA">
        <w:rPr>
          <w:rFonts w:ascii="Fira Sans" w:hAnsi="Fira Sans"/>
          <w:color w:val="auto"/>
          <w:sz w:val="19"/>
          <w:szCs w:val="19"/>
        </w:rPr>
        <w:t>on w budownictwie i handlu hurtowym, choć jego skala nieznacznie się zmniejszy w porównaniu z lipcem</w:t>
      </w:r>
      <w:r>
        <w:rPr>
          <w:rFonts w:ascii="Fira Sans" w:hAnsi="Fira Sans"/>
          <w:color w:val="auto"/>
          <w:sz w:val="19"/>
          <w:szCs w:val="19"/>
        </w:rPr>
        <w:t>.</w:t>
      </w:r>
    </w:p>
    <w:p w:rsidR="009157FE" w:rsidRPr="00781319" w:rsidRDefault="009157FE" w:rsidP="009157FE">
      <w:pPr>
        <w:autoSpaceDE w:val="0"/>
        <w:autoSpaceDN w:val="0"/>
        <w:adjustRightInd w:val="0"/>
        <w:rPr>
          <w:rFonts w:cs="FiraSans-Bold"/>
          <w:bCs/>
          <w:i/>
          <w:szCs w:val="19"/>
        </w:rPr>
      </w:pPr>
      <w:r w:rsidRPr="00781319">
        <w:rPr>
          <w:rFonts w:cs="FiraSans-Bold"/>
          <w:bCs/>
          <w:i/>
          <w:szCs w:val="19"/>
        </w:rPr>
        <w:lastRenderedPageBreak/>
        <w:t xml:space="preserve">Pyt. 4-5. Jaka była (w </w:t>
      </w:r>
      <w:r w:rsidR="00711FAA">
        <w:rPr>
          <w:rFonts w:cs="FiraSans-Bold"/>
          <w:bCs/>
          <w:i/>
          <w:szCs w:val="19"/>
        </w:rPr>
        <w:t>lipcu</w:t>
      </w:r>
      <w:r w:rsidRPr="00781319">
        <w:rPr>
          <w:rFonts w:cs="FiraSans-Bold"/>
          <w:bCs/>
          <w:i/>
          <w:szCs w:val="19"/>
        </w:rPr>
        <w:t xml:space="preserve">) i będzie (w </w:t>
      </w:r>
      <w:r w:rsidR="00711FAA">
        <w:rPr>
          <w:rFonts w:cs="FiraSans-Bold"/>
          <w:bCs/>
          <w:i/>
          <w:szCs w:val="19"/>
        </w:rPr>
        <w:t>sierpniu</w:t>
      </w:r>
      <w:r w:rsidRPr="00781319">
        <w:rPr>
          <w:rFonts w:cs="FiraSans-Bold"/>
          <w:bCs/>
          <w:i/>
          <w:szCs w:val="19"/>
        </w:rPr>
        <w:t>) szacunkowa (w procentach) zmiana zamówień na półprodukty, surowce, towary lub usługi itp. składanych przez Państwa firmę u dostawców i składanych w Państwa firmie przez klientów?</w:t>
      </w:r>
    </w:p>
    <w:p w:rsidR="009157FE" w:rsidRDefault="00F32A1B" w:rsidP="009157FE">
      <w:pPr>
        <w:pStyle w:val="Default"/>
        <w:jc w:val="both"/>
        <w:rPr>
          <w:sz w:val="19"/>
          <w:szCs w:val="19"/>
        </w:rPr>
      </w:pPr>
      <w:r>
        <w:rPr>
          <w:noProof/>
          <w:sz w:val="19"/>
          <w:szCs w:val="19"/>
        </w:rPr>
        <w:drawing>
          <wp:inline distT="0" distB="0" distL="0" distR="0">
            <wp:extent cx="5907033" cy="2581660"/>
            <wp:effectExtent l="0" t="0" r="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ytanie 4-5.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07033" cy="2581660"/>
                    </a:xfrm>
                    <a:prstGeom prst="rect">
                      <a:avLst/>
                    </a:prstGeom>
                  </pic:spPr>
                </pic:pic>
              </a:graphicData>
            </a:graphic>
          </wp:inline>
        </w:drawing>
      </w:r>
    </w:p>
    <w:p w:rsidR="00F32A1B" w:rsidRDefault="00F32A1B" w:rsidP="009157FE">
      <w:pPr>
        <w:pStyle w:val="Default"/>
        <w:jc w:val="both"/>
        <w:rPr>
          <w:sz w:val="19"/>
          <w:szCs w:val="19"/>
        </w:rPr>
      </w:pPr>
    </w:p>
    <w:p w:rsidR="00F32A1B" w:rsidRDefault="00F32A1B" w:rsidP="009157FE">
      <w:pPr>
        <w:pStyle w:val="Default"/>
        <w:jc w:val="both"/>
        <w:rPr>
          <w:sz w:val="19"/>
          <w:szCs w:val="19"/>
        </w:rPr>
      </w:pPr>
    </w:p>
    <w:p w:rsidR="009157FE" w:rsidRPr="00CD7794" w:rsidRDefault="008C34E7" w:rsidP="003F0F1E">
      <w:pPr>
        <w:pStyle w:val="Default"/>
        <w:spacing w:before="120" w:after="120" w:line="240" w:lineRule="exact"/>
        <w:rPr>
          <w:rFonts w:ascii="Fira Sans" w:hAnsi="Fira Sans"/>
          <w:color w:val="auto"/>
          <w:sz w:val="19"/>
          <w:szCs w:val="19"/>
        </w:rPr>
      </w:pPr>
      <w:r w:rsidRPr="00CD7794">
        <w:rPr>
          <w:rFonts w:ascii="Fira Sans" w:hAnsi="Fira Sans"/>
          <w:color w:val="auto"/>
          <w:sz w:val="19"/>
          <w:szCs w:val="19"/>
        </w:rPr>
        <w:t xml:space="preserve">Spośród prezentowanych obszarów, </w:t>
      </w:r>
      <w:r>
        <w:rPr>
          <w:rFonts w:ascii="Fira Sans" w:hAnsi="Fira Sans"/>
          <w:color w:val="auto"/>
          <w:sz w:val="19"/>
          <w:szCs w:val="19"/>
        </w:rPr>
        <w:t xml:space="preserve">w przypadku utrzymania </w:t>
      </w:r>
      <w:r w:rsidRPr="00965D2B">
        <w:rPr>
          <w:rFonts w:ascii="Fira Sans" w:hAnsi="Fira Sans"/>
          <w:color w:val="auto"/>
          <w:sz w:val="19"/>
          <w:szCs w:val="19"/>
        </w:rPr>
        <w:t>bieżąc</w:t>
      </w:r>
      <w:r>
        <w:rPr>
          <w:rFonts w:ascii="Fira Sans" w:hAnsi="Fira Sans"/>
          <w:color w:val="auto"/>
          <w:sz w:val="19"/>
          <w:szCs w:val="19"/>
        </w:rPr>
        <w:t>ych działań powziętych</w:t>
      </w:r>
      <w:r w:rsidRPr="00965D2B">
        <w:rPr>
          <w:rFonts w:ascii="Fira Sans" w:hAnsi="Fira Sans"/>
          <w:color w:val="auto"/>
          <w:sz w:val="19"/>
          <w:szCs w:val="19"/>
        </w:rPr>
        <w:t xml:space="preserve"> w celu zwalczania </w:t>
      </w:r>
      <w:proofErr w:type="spellStart"/>
      <w:r w:rsidRPr="00965D2B">
        <w:rPr>
          <w:rFonts w:ascii="Fira Sans" w:hAnsi="Fira Sans"/>
          <w:color w:val="auto"/>
          <w:sz w:val="19"/>
          <w:szCs w:val="19"/>
        </w:rPr>
        <w:t>koronawirusa</w:t>
      </w:r>
      <w:proofErr w:type="spellEnd"/>
      <w:r>
        <w:rPr>
          <w:rFonts w:ascii="Fira Sans" w:hAnsi="Fira Sans"/>
          <w:color w:val="auto"/>
          <w:sz w:val="19"/>
          <w:szCs w:val="19"/>
        </w:rPr>
        <w:t>,</w:t>
      </w:r>
      <w:r w:rsidRPr="00965D2B">
        <w:rPr>
          <w:rFonts w:ascii="Fira Sans" w:hAnsi="Fira Sans"/>
          <w:color w:val="auto"/>
          <w:sz w:val="19"/>
          <w:szCs w:val="19"/>
        </w:rPr>
        <w:t xml:space="preserve"> </w:t>
      </w:r>
      <w:r>
        <w:rPr>
          <w:rFonts w:ascii="Fira Sans" w:hAnsi="Fira Sans"/>
          <w:color w:val="auto"/>
          <w:sz w:val="19"/>
          <w:szCs w:val="19"/>
        </w:rPr>
        <w:t>najdłużej byłyby w stanie przetrwać p</w:t>
      </w:r>
      <w:r w:rsidR="00F62B61">
        <w:rPr>
          <w:rFonts w:ascii="Fira Sans" w:hAnsi="Fira Sans"/>
          <w:color w:val="auto"/>
          <w:sz w:val="19"/>
          <w:szCs w:val="19"/>
        </w:rPr>
        <w:t>rzedsiębiorstwa przetwórstwa przemysłowego</w:t>
      </w:r>
      <w:r w:rsidR="009F2A6C">
        <w:rPr>
          <w:rFonts w:ascii="Fira Sans" w:hAnsi="Fira Sans"/>
          <w:color w:val="auto"/>
          <w:sz w:val="19"/>
          <w:szCs w:val="19"/>
        </w:rPr>
        <w:t xml:space="preserve"> i </w:t>
      </w:r>
      <w:r w:rsidR="00F62B61">
        <w:rPr>
          <w:rFonts w:ascii="Fira Sans" w:hAnsi="Fira Sans"/>
          <w:color w:val="auto"/>
          <w:sz w:val="19"/>
          <w:szCs w:val="19"/>
        </w:rPr>
        <w:t>handlu detalicznego</w:t>
      </w:r>
      <w:r>
        <w:rPr>
          <w:rFonts w:ascii="Fira Sans" w:hAnsi="Fira Sans"/>
          <w:color w:val="auto"/>
          <w:sz w:val="19"/>
          <w:szCs w:val="19"/>
        </w:rPr>
        <w:t>.</w:t>
      </w:r>
      <w:r w:rsidRPr="00CD7794">
        <w:rPr>
          <w:rFonts w:ascii="Fira Sans" w:hAnsi="Fira Sans"/>
          <w:color w:val="auto"/>
          <w:sz w:val="19"/>
          <w:szCs w:val="19"/>
        </w:rPr>
        <w:t xml:space="preserve"> </w:t>
      </w:r>
      <w:r>
        <w:rPr>
          <w:rFonts w:ascii="Fira Sans" w:hAnsi="Fira Sans"/>
          <w:color w:val="auto"/>
          <w:sz w:val="19"/>
          <w:szCs w:val="19"/>
        </w:rPr>
        <w:t>Spośród nich swoją zdolność przetrwania na powyżej 6 miesięcy</w:t>
      </w:r>
      <w:r w:rsidR="00CD3545">
        <w:rPr>
          <w:rFonts w:ascii="Fira Sans" w:hAnsi="Fira Sans"/>
          <w:color w:val="auto"/>
          <w:sz w:val="19"/>
          <w:szCs w:val="19"/>
        </w:rPr>
        <w:t xml:space="preserve"> oceniało odpowiednio 40,0% i 43,4%</w:t>
      </w:r>
      <w:r w:rsidR="009F2A6C">
        <w:rPr>
          <w:rFonts w:ascii="Fira Sans" w:hAnsi="Fira Sans"/>
          <w:color w:val="auto"/>
          <w:sz w:val="19"/>
          <w:szCs w:val="19"/>
        </w:rPr>
        <w:t xml:space="preserve"> badanych</w:t>
      </w:r>
      <w:r w:rsidR="00CD3545">
        <w:rPr>
          <w:rFonts w:ascii="Fira Sans" w:hAnsi="Fira Sans"/>
          <w:color w:val="auto"/>
          <w:sz w:val="19"/>
          <w:szCs w:val="19"/>
        </w:rPr>
        <w:t>.</w:t>
      </w:r>
      <w:r>
        <w:rPr>
          <w:rFonts w:ascii="Fira Sans" w:hAnsi="Fira Sans"/>
          <w:color w:val="auto"/>
          <w:sz w:val="19"/>
          <w:szCs w:val="19"/>
        </w:rPr>
        <w:t xml:space="preserve"> Na największe trudności w tym zakresie wskazywały przedsiębiorstwa bud</w:t>
      </w:r>
      <w:r w:rsidR="00F62B61">
        <w:rPr>
          <w:rFonts w:ascii="Fira Sans" w:hAnsi="Fira Sans"/>
          <w:color w:val="auto"/>
          <w:sz w:val="19"/>
          <w:szCs w:val="19"/>
        </w:rPr>
        <w:t>owlane, spośród których prawie 71</w:t>
      </w:r>
      <w:r>
        <w:rPr>
          <w:rFonts w:ascii="Fira Sans" w:hAnsi="Fira Sans"/>
          <w:color w:val="auto"/>
          <w:sz w:val="19"/>
          <w:szCs w:val="19"/>
        </w:rPr>
        <w:t>%</w:t>
      </w:r>
      <w:r w:rsidRPr="00F4695E">
        <w:rPr>
          <w:rFonts w:ascii="Fira Sans" w:hAnsi="Fira Sans"/>
          <w:color w:val="auto"/>
          <w:sz w:val="19"/>
          <w:szCs w:val="19"/>
        </w:rPr>
        <w:t xml:space="preserve"> </w:t>
      </w:r>
      <w:r>
        <w:rPr>
          <w:rFonts w:ascii="Fira Sans" w:hAnsi="Fira Sans"/>
          <w:color w:val="auto"/>
          <w:sz w:val="19"/>
          <w:szCs w:val="19"/>
        </w:rPr>
        <w:t>nie byłoby w stanie przetrwać dłużej niż 3 miesiące.</w:t>
      </w: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9157FE" w:rsidRPr="00633BDE" w:rsidRDefault="009157FE" w:rsidP="009157FE">
      <w:pPr>
        <w:autoSpaceDE w:val="0"/>
        <w:autoSpaceDN w:val="0"/>
        <w:adjustRightInd w:val="0"/>
        <w:rPr>
          <w:rFonts w:cs="FiraSans-Bold"/>
          <w:bCs/>
          <w:i/>
          <w:szCs w:val="19"/>
        </w:rPr>
      </w:pPr>
      <w:r w:rsidRPr="00633BDE">
        <w:rPr>
          <w:rFonts w:cs="FiraSans-Bold"/>
          <w:bCs/>
          <w:i/>
          <w:szCs w:val="19"/>
        </w:rPr>
        <w:t xml:space="preserve">Pyt. 6. </w:t>
      </w:r>
      <w:r w:rsidR="00EB4E87" w:rsidRPr="00EB4E87">
        <w:rPr>
          <w:rFonts w:cs="FiraSans-Bold"/>
          <w:bCs/>
          <w:i/>
          <w:szCs w:val="19"/>
        </w:rPr>
        <w:t xml:space="preserve">Jeżeli bieżące działania i ograniczenia powzięte w celu zwalczania </w:t>
      </w:r>
      <w:proofErr w:type="spellStart"/>
      <w:r w:rsidR="00EB4E87" w:rsidRPr="00EB4E87">
        <w:rPr>
          <w:rFonts w:cs="FiraSans-Bold"/>
          <w:bCs/>
          <w:i/>
          <w:szCs w:val="19"/>
        </w:rPr>
        <w:t>koronawirusa</w:t>
      </w:r>
      <w:proofErr w:type="spellEnd"/>
      <w:r w:rsidR="00EB4E87" w:rsidRPr="00EB4E87">
        <w:rPr>
          <w:rFonts w:cs="FiraSans-Bold"/>
          <w:bCs/>
          <w:i/>
          <w:szCs w:val="19"/>
        </w:rPr>
        <w:t xml:space="preserve"> przez władze państwowe w Polsce (ale także wynikające z działań innych krajów, np. w zakresie ruchu granicznego) funkcjonujące w momencie wypełnienia ankiety utrzymywałyby się przez dłuższy czas, ile miesięcy Państwa przedsiębiorstwo byłoby w stanie przetrwać?</w:t>
      </w:r>
    </w:p>
    <w:p w:rsidR="009157FE" w:rsidRDefault="00F32A1B" w:rsidP="00910160">
      <w:pPr>
        <w:autoSpaceDE w:val="0"/>
        <w:autoSpaceDN w:val="0"/>
        <w:adjustRightInd w:val="0"/>
        <w:spacing w:after="0" w:line="240" w:lineRule="auto"/>
        <w:rPr>
          <w:noProof/>
          <w:lang w:eastAsia="pl-PL"/>
        </w:rPr>
      </w:pPr>
      <w:r>
        <w:rPr>
          <w:noProof/>
          <w:lang w:eastAsia="pl-PL"/>
        </w:rPr>
        <w:drawing>
          <wp:inline distT="0" distB="0" distL="0" distR="0">
            <wp:extent cx="5727201" cy="2398780"/>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ytanie 6.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7201" cy="2398780"/>
                    </a:xfrm>
                    <a:prstGeom prst="rect">
                      <a:avLst/>
                    </a:prstGeom>
                  </pic:spPr>
                </pic:pic>
              </a:graphicData>
            </a:graphic>
          </wp:inline>
        </w:drawing>
      </w:r>
    </w:p>
    <w:p w:rsidR="00F32A1B" w:rsidRDefault="00F32A1B" w:rsidP="009157FE">
      <w:pPr>
        <w:autoSpaceDE w:val="0"/>
        <w:autoSpaceDN w:val="0"/>
        <w:adjustRightInd w:val="0"/>
        <w:spacing w:after="0" w:line="240" w:lineRule="auto"/>
        <w:jc w:val="center"/>
        <w:rPr>
          <w:rFonts w:cs="Fira Sans"/>
          <w:color w:val="000000"/>
          <w:szCs w:val="19"/>
        </w:rPr>
      </w:pPr>
    </w:p>
    <w:p w:rsidR="009157FE" w:rsidRPr="006961BC" w:rsidRDefault="00885268" w:rsidP="00F75DD0">
      <w:pPr>
        <w:autoSpaceDE w:val="0"/>
        <w:autoSpaceDN w:val="0"/>
        <w:adjustRightInd w:val="0"/>
        <w:rPr>
          <w:rFonts w:cs="Fira Sans"/>
          <w:szCs w:val="19"/>
        </w:rPr>
      </w:pPr>
      <w:r>
        <w:rPr>
          <w:rFonts w:cs="Fira Sans"/>
          <w:szCs w:val="19"/>
        </w:rPr>
        <w:t>Przedsiębiorstwa niezależnie od rodzaju prowadzonej działalności</w:t>
      </w:r>
      <w:r w:rsidR="00775D86">
        <w:rPr>
          <w:rFonts w:cs="Fira Sans"/>
          <w:szCs w:val="19"/>
        </w:rPr>
        <w:t xml:space="preserve"> w 2020 r.</w:t>
      </w:r>
      <w:r>
        <w:rPr>
          <w:rFonts w:cs="Fira Sans"/>
          <w:szCs w:val="19"/>
        </w:rPr>
        <w:t xml:space="preserve"> przewidują mniejsze </w:t>
      </w:r>
      <w:r w:rsidRPr="009F2A6C">
        <w:rPr>
          <w:rFonts w:ascii="Fira Sans SemiBold" w:hAnsi="Fira Sans SemiBold" w:cs="Fira Sans"/>
          <w:szCs w:val="19"/>
        </w:rPr>
        <w:t>inwestycje</w:t>
      </w:r>
      <w:r>
        <w:rPr>
          <w:rFonts w:cs="Fira Sans"/>
          <w:szCs w:val="19"/>
        </w:rPr>
        <w:t xml:space="preserve"> niż przed rokiem</w:t>
      </w:r>
      <w:r w:rsidR="00775D86">
        <w:rPr>
          <w:rFonts w:cs="Fira Sans"/>
          <w:szCs w:val="19"/>
        </w:rPr>
        <w:t xml:space="preserve">. Największy spadek spodziewany jest przy tym w budownictwie (o 31,9%), a najmniejszy – w handlu detalicznym </w:t>
      </w:r>
      <w:r w:rsidR="00775D86">
        <w:rPr>
          <w:rFonts w:cs="Fira Sans"/>
          <w:szCs w:val="19"/>
        </w:rPr>
        <w:br/>
        <w:t xml:space="preserve">(o 9,4%). </w:t>
      </w:r>
    </w:p>
    <w:p w:rsidR="009157FE" w:rsidRDefault="009157FE" w:rsidP="003F0F1E">
      <w:pPr>
        <w:pageBreakBefore/>
        <w:autoSpaceDE w:val="0"/>
        <w:autoSpaceDN w:val="0"/>
        <w:adjustRightInd w:val="0"/>
        <w:rPr>
          <w:rFonts w:cs="FiraSans-Bold"/>
          <w:bCs/>
          <w:i/>
          <w:spacing w:val="-2"/>
          <w:szCs w:val="19"/>
        </w:rPr>
      </w:pPr>
      <w:r w:rsidRPr="001D2C74">
        <w:rPr>
          <w:rFonts w:cs="FiraSans-Bold"/>
          <w:bCs/>
          <w:i/>
          <w:spacing w:val="-2"/>
          <w:szCs w:val="19"/>
        </w:rPr>
        <w:lastRenderedPageBreak/>
        <w:t xml:space="preserve">Pyt. 7. </w:t>
      </w:r>
      <w:r w:rsidR="00885268">
        <w:rPr>
          <w:rFonts w:cs="FiraSans-Bold"/>
          <w:bCs/>
          <w:i/>
          <w:spacing w:val="-2"/>
          <w:szCs w:val="19"/>
        </w:rPr>
        <w:t>J</w:t>
      </w:r>
      <w:r w:rsidR="00885268" w:rsidRPr="00885268">
        <w:rPr>
          <w:rFonts w:cs="FiraSans-Bold"/>
          <w:bCs/>
          <w:i/>
          <w:spacing w:val="-2"/>
          <w:szCs w:val="19"/>
        </w:rPr>
        <w:t>akie są Państwa aktualne przewidywania, co do poziomu inwestycji Państwa firmy w 2020 r. w odniesieniu do inwestycji zrealizowanych w 2019 r.</w:t>
      </w:r>
      <w:r w:rsidRPr="001D2C74">
        <w:rPr>
          <w:rFonts w:cs="FiraSans-Bold"/>
          <w:bCs/>
          <w:i/>
          <w:spacing w:val="-2"/>
          <w:szCs w:val="19"/>
        </w:rPr>
        <w:t>?</w:t>
      </w:r>
    </w:p>
    <w:p w:rsidR="009157FE" w:rsidRDefault="00902AE9" w:rsidP="00F32A1B">
      <w:pPr>
        <w:autoSpaceDE w:val="0"/>
        <w:autoSpaceDN w:val="0"/>
        <w:adjustRightInd w:val="0"/>
        <w:spacing w:after="0" w:line="240" w:lineRule="auto"/>
        <w:rPr>
          <w:noProof/>
          <w:lang w:eastAsia="pl-PL"/>
        </w:rPr>
      </w:pPr>
      <w:r>
        <w:rPr>
          <w:noProof/>
          <w:lang w:eastAsia="pl-PL"/>
        </w:rPr>
        <w:drawing>
          <wp:inline distT="0" distB="0" distL="0" distR="0">
            <wp:extent cx="6614809" cy="2743200"/>
            <wp:effectExtent l="0" t="0" r="0" b="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02AE9" w:rsidRDefault="00902AE9" w:rsidP="00F32A1B">
      <w:pPr>
        <w:autoSpaceDE w:val="0"/>
        <w:autoSpaceDN w:val="0"/>
        <w:adjustRightInd w:val="0"/>
        <w:spacing w:after="0" w:line="240" w:lineRule="auto"/>
        <w:rPr>
          <w:noProof/>
          <w:lang w:eastAsia="pl-PL"/>
        </w:rPr>
      </w:pPr>
    </w:p>
    <w:p w:rsidR="00902AE9" w:rsidRDefault="00902AE9" w:rsidP="00F32A1B">
      <w:pPr>
        <w:autoSpaceDE w:val="0"/>
        <w:autoSpaceDN w:val="0"/>
        <w:adjustRightInd w:val="0"/>
        <w:spacing w:after="0" w:line="240" w:lineRule="auto"/>
        <w:rPr>
          <w:noProof/>
          <w:lang w:eastAsia="pl-PL"/>
        </w:rPr>
      </w:pPr>
    </w:p>
    <w:p w:rsidR="00902AE9" w:rsidRDefault="00902AE9" w:rsidP="00F32A1B">
      <w:pPr>
        <w:autoSpaceDE w:val="0"/>
        <w:autoSpaceDN w:val="0"/>
        <w:adjustRightInd w:val="0"/>
        <w:spacing w:after="0" w:line="240" w:lineRule="auto"/>
        <w:rPr>
          <w:rFonts w:cs="FiraSans-Bold"/>
          <w:bCs/>
          <w:szCs w:val="19"/>
        </w:rPr>
      </w:pPr>
    </w:p>
    <w:p w:rsidR="00F32A1B" w:rsidRDefault="00F32A1B" w:rsidP="009157FE">
      <w:pPr>
        <w:autoSpaceDE w:val="0"/>
        <w:autoSpaceDN w:val="0"/>
        <w:adjustRightInd w:val="0"/>
        <w:spacing w:after="0" w:line="240" w:lineRule="auto"/>
        <w:ind w:left="708"/>
        <w:jc w:val="center"/>
        <w:rPr>
          <w:rFonts w:cs="FiraSans-Bold"/>
          <w:bCs/>
          <w:szCs w:val="19"/>
        </w:rPr>
      </w:pPr>
    </w:p>
    <w:p w:rsidR="009157FE" w:rsidRDefault="009157FE" w:rsidP="009157FE">
      <w:pPr>
        <w:rPr>
          <w:color w:val="BFBFBF" w:themeColor="background1" w:themeShade="BF"/>
        </w:rPr>
      </w:pPr>
    </w:p>
    <w:p w:rsidR="000858BF" w:rsidRDefault="004E1C18" w:rsidP="000858BF">
      <w:pPr>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znajdują się na stronie</w:t>
      </w:r>
      <w:r w:rsidR="000D0D48">
        <w:rPr>
          <w:rFonts w:cs="Arial"/>
          <w:bCs/>
          <w:szCs w:val="19"/>
        </w:rPr>
        <w:t xml:space="preserve"> </w:t>
      </w:r>
      <w:hyperlink r:id="rId42" w:history="1">
        <w:r w:rsidRPr="001C3428">
          <w:rPr>
            <w:rStyle w:val="Hipercze"/>
            <w:rFonts w:cs="Arial"/>
            <w:bCs/>
            <w:szCs w:val="19"/>
          </w:rPr>
          <w:t>https://zielonagora.stat.gov.pl/osrodki/osrodek-badan-koniunktury/obk-dane/</w:t>
        </w:r>
      </w:hyperlink>
      <w:r w:rsidRPr="004E1C18">
        <w:rPr>
          <w:rFonts w:cs="Arial"/>
          <w:bCs/>
          <w:szCs w:val="19"/>
        </w:rPr>
        <w:t>.</w:t>
      </w:r>
    </w:p>
    <w:p w:rsidR="000858BF" w:rsidRPr="00351B54" w:rsidRDefault="000858BF" w:rsidP="000858BF">
      <w:pPr>
        <w:rPr>
          <w:rFonts w:cs="Arial"/>
          <w:bCs/>
          <w:szCs w:val="19"/>
        </w:rPr>
      </w:pPr>
    </w:p>
    <w:p w:rsidR="000858BF" w:rsidRPr="00881EAF" w:rsidRDefault="000858BF" w:rsidP="000858BF">
      <w:pPr>
        <w:sectPr w:rsidR="000858BF" w:rsidRPr="00881EAF" w:rsidSect="00B63E54">
          <w:headerReference w:type="default" r:id="rId43"/>
          <w:footerReference w:type="default" r:id="rId44"/>
          <w:pgSz w:w="11906" w:h="16838" w:code="9"/>
          <w:pgMar w:top="720" w:right="720" w:bottom="851" w:left="720" w:header="170" w:footer="284" w:gutter="0"/>
          <w:paperSrc w:first="7"/>
          <w:cols w:space="708"/>
          <w:docGrid w:linePitch="360"/>
        </w:sectPr>
      </w:pPr>
    </w:p>
    <w:p w:rsidR="00284CE4" w:rsidRPr="00FD0BC6" w:rsidRDefault="00284CE4" w:rsidP="00284CE4">
      <w:pPr>
        <w:pStyle w:val="TytuTablicy"/>
        <w:rPr>
          <w:rFonts w:ascii="Fira Sans" w:hAnsi="Fira Sans"/>
          <w:sz w:val="19"/>
          <w:szCs w:val="19"/>
        </w:rPr>
      </w:pPr>
      <w:r w:rsidRPr="00FD0BC6">
        <w:rPr>
          <w:rFonts w:ascii="Fira Sans" w:hAnsi="Fira Sans"/>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5"/>
        <w:gridCol w:w="321"/>
        <w:gridCol w:w="909"/>
        <w:gridCol w:w="910"/>
        <w:gridCol w:w="910"/>
        <w:gridCol w:w="909"/>
        <w:gridCol w:w="909"/>
        <w:gridCol w:w="909"/>
        <w:gridCol w:w="909"/>
        <w:gridCol w:w="909"/>
        <w:gridCol w:w="909"/>
        <w:gridCol w:w="909"/>
        <w:gridCol w:w="909"/>
        <w:gridCol w:w="909"/>
      </w:tblGrid>
      <w:tr w:rsidR="00284CE4" w:rsidTr="002056CF">
        <w:trPr>
          <w:trHeight w:val="758"/>
          <w:tblHeader/>
        </w:trPr>
        <w:tc>
          <w:tcPr>
            <w:tcW w:w="4586"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E16F29">
              <w:rPr>
                <w:rFonts w:ascii="Fira Sans" w:hAnsi="Fira Sans"/>
                <w:sz w:val="16"/>
                <w:szCs w:val="16"/>
              </w:rPr>
              <w:t>9</w:t>
            </w:r>
            <w:r w:rsidRPr="00FD0BC6">
              <w:rPr>
                <w:rFonts w:ascii="Fira Sans" w:hAnsi="Fira Sans"/>
                <w:sz w:val="16"/>
                <w:szCs w:val="16"/>
              </w:rPr>
              <w:t xml:space="preserve"> r.</w:t>
            </w:r>
          </w:p>
          <w:p w:rsidR="00284CE4" w:rsidRPr="00FD0BC6" w:rsidRDefault="00284CE4" w:rsidP="00E16F29">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20</w:t>
            </w:r>
            <w:r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80108A" w:rsidRDefault="00284CE4" w:rsidP="00F65F8F">
            <w:pPr>
              <w:pStyle w:val="Gwka"/>
              <w:rPr>
                <w:rFonts w:ascii="Fira Sans" w:hAnsi="Fira Sans"/>
                <w:sz w:val="16"/>
                <w:szCs w:val="16"/>
              </w:rPr>
            </w:pPr>
            <w:r w:rsidRPr="0080108A">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2056CF">
        <w:trPr>
          <w:trHeight w:val="104"/>
        </w:trPr>
        <w:tc>
          <w:tcPr>
            <w:tcW w:w="4265" w:type="dxa"/>
            <w:tcBorders>
              <w:bottom w:val="nil"/>
              <w:right w:val="nil"/>
            </w:tcBorders>
            <w:shd w:val="clear" w:color="auto" w:fill="auto"/>
          </w:tcPr>
          <w:p w:rsidR="00284CE4" w:rsidRPr="00FD0BC6" w:rsidRDefault="00284CE4" w:rsidP="00F65F8F">
            <w:pPr>
              <w:rPr>
                <w:rFonts w:cs="Arial"/>
                <w:sz w:val="16"/>
                <w:szCs w:val="16"/>
              </w:rPr>
            </w:pPr>
          </w:p>
        </w:tc>
        <w:tc>
          <w:tcPr>
            <w:tcW w:w="321" w:type="dxa"/>
            <w:tcBorders>
              <w:left w:val="nil"/>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Gwka"/>
              <w:rPr>
                <w:rFonts w:ascii="Fira Sans" w:hAnsi="Fira Sans"/>
                <w:sz w:val="16"/>
                <w:szCs w:val="16"/>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BE3E03" w:rsidRDefault="00284CE4" w:rsidP="00BE3E03">
            <w:pPr>
              <w:pStyle w:val="Gwka"/>
              <w:rPr>
                <w:rFonts w:ascii="Fira Sans" w:hAnsi="Fira Sans"/>
                <w:sz w:val="16"/>
                <w:szCs w:val="16"/>
              </w:rPr>
            </w:pPr>
          </w:p>
        </w:tc>
        <w:tc>
          <w:tcPr>
            <w:tcW w:w="909" w:type="dxa"/>
            <w:tcBorders>
              <w:bottom w:val="nil"/>
            </w:tcBorders>
            <w:shd w:val="clear" w:color="auto" w:fill="DFC9EF"/>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80108A"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r>
      <w:tr w:rsidR="00E16F29" w:rsidRPr="006271C2" w:rsidTr="002056CF">
        <w:tc>
          <w:tcPr>
            <w:tcW w:w="4265" w:type="dxa"/>
            <w:vMerge w:val="restart"/>
            <w:tcBorders>
              <w:top w:val="nil"/>
              <w:right w:val="nil"/>
            </w:tcBorders>
            <w:shd w:val="clear" w:color="auto" w:fill="auto"/>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21" w:type="dxa"/>
            <w:tcBorders>
              <w:top w:val="nil"/>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126,7</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126,7</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126,2</w:t>
            </w:r>
          </w:p>
        </w:tc>
        <w:tc>
          <w:tcPr>
            <w:tcW w:w="909" w:type="dxa"/>
            <w:tcBorders>
              <w:top w:val="nil"/>
            </w:tcBorders>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126,5</w:t>
            </w:r>
          </w:p>
        </w:tc>
        <w:tc>
          <w:tcPr>
            <w:tcW w:w="909" w:type="dxa"/>
            <w:tcBorders>
              <w:top w:val="nil"/>
            </w:tcBorders>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09" w:type="dxa"/>
            <w:tcBorders>
              <w:top w:val="nil"/>
            </w:tcBorders>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123,9</w:t>
            </w:r>
          </w:p>
        </w:tc>
      </w:tr>
      <w:tr w:rsidR="00E16F29" w:rsidTr="002056CF">
        <w:tc>
          <w:tcPr>
            <w:tcW w:w="4265" w:type="dxa"/>
            <w:vMerge/>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123,9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126,3</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125,4</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122,8</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121,4</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121,9</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122,8</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102,4</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100,3</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98,5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99,5</w:t>
            </w:r>
          </w:p>
        </w:tc>
      </w:tr>
      <w:tr w:rsidR="00E16F29" w:rsidTr="002056CF">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100,1</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101,9</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Pr>
                <w:rFonts w:ascii="Fira Sans" w:hAnsi="Fira Sans"/>
              </w:rPr>
              <w:t>99,3</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Pr>
                <w:rFonts w:ascii="Fira Sans" w:hAnsi="Fira Sans"/>
              </w:rPr>
              <w:t>98,0</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98,9</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100,4</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100,8</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102,7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102,8</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100,1</w:t>
            </w: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97,9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99,7</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99,0</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97,2</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96,3</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96,3</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97,0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rPr>
          <w:trHeight w:val="296"/>
        </w:trPr>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Bezrobotni zarejestrowani</w:t>
            </w:r>
            <w:r w:rsidRPr="00FD0BC6">
              <w:rPr>
                <w:rFonts w:ascii="Fira Sans" w:hAnsi="Fira Sans"/>
                <w:i/>
                <w:color w:val="000000"/>
                <w:vertAlign w:val="superscript"/>
              </w:rPr>
              <w:t xml:space="preserve"> b</w:t>
            </w:r>
            <w:r w:rsidRPr="00FD0BC6">
              <w:rPr>
                <w:rFonts w:ascii="Fira Sans" w:hAnsi="Fira Sans"/>
              </w:rPr>
              <w:t xml:space="preserve"> (w tys. osób)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47,0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46,1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44,5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41,6</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40,6</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41,1</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42,0</w:t>
            </w: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44,6</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44,2</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43,0</w:t>
            </w:r>
          </w:p>
        </w:tc>
        <w:tc>
          <w:tcPr>
            <w:tcW w:w="909" w:type="dxa"/>
            <w:shd w:val="clear" w:color="auto" w:fill="auto"/>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44,6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45,5</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45,8</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45,9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c>
          <w:tcPr>
            <w:tcW w:w="4265" w:type="dxa"/>
            <w:tcBorders>
              <w:right w:val="nil"/>
            </w:tcBorders>
            <w:shd w:val="clear" w:color="auto" w:fill="auto"/>
            <w:vAlign w:val="bottom"/>
          </w:tcPr>
          <w:p w:rsidR="00E16F29" w:rsidRPr="000C3FAA" w:rsidRDefault="00E16F29" w:rsidP="000C3FAA">
            <w:pPr>
              <w:pStyle w:val="Gwka"/>
              <w:jc w:val="left"/>
              <w:rPr>
                <w:rFonts w:ascii="Fira Sans" w:hAnsi="Fira Sans"/>
                <w:color w:val="000000"/>
                <w:sz w:val="16"/>
              </w:rPr>
            </w:pPr>
            <w:r w:rsidRPr="000C3FAA">
              <w:rPr>
                <w:rFonts w:ascii="Fira Sans" w:hAnsi="Fira Sans"/>
                <w:sz w:val="16"/>
              </w:rPr>
              <w:t>Stopa bezrobocia</w:t>
            </w:r>
            <w:r w:rsidRPr="000C3FAA">
              <w:rPr>
                <w:rFonts w:ascii="Fira Sans" w:hAnsi="Fira Sans"/>
                <w:i/>
                <w:color w:val="000000"/>
                <w:sz w:val="16"/>
                <w:vertAlign w:val="superscript"/>
              </w:rPr>
              <w:t xml:space="preserve"> </w:t>
            </w:r>
            <w:proofErr w:type="spellStart"/>
            <w:r w:rsidRPr="000C3FAA">
              <w:rPr>
                <w:rFonts w:ascii="Fira Sans" w:hAnsi="Fira Sans"/>
                <w:i/>
                <w:color w:val="000000"/>
                <w:sz w:val="16"/>
                <w:vertAlign w:val="superscript"/>
              </w:rPr>
              <w:t>bc</w:t>
            </w:r>
            <w:proofErr w:type="spellEnd"/>
            <w:r w:rsidRPr="000C3FAA">
              <w:rPr>
                <w:rFonts w:ascii="Fira Sans" w:hAnsi="Fira Sans"/>
                <w:color w:val="000000"/>
                <w:sz w:val="16"/>
              </w:rPr>
              <w:t xml:space="preserve"> </w:t>
            </w:r>
            <w:r w:rsidRPr="000C3FAA">
              <w:rPr>
                <w:rFonts w:ascii="Fira Sans" w:hAnsi="Fira Sans"/>
                <w:sz w:val="16"/>
              </w:rPr>
              <w:t>(w %)</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8,6</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7,6</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7,9</w:t>
            </w: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8,3</w:t>
            </w:r>
          </w:p>
        </w:tc>
        <w:tc>
          <w:tcPr>
            <w:tcW w:w="910" w:type="dxa"/>
            <w:shd w:val="clear" w:color="auto" w:fill="auto"/>
            <w:vAlign w:val="bottom"/>
          </w:tcPr>
          <w:p w:rsidR="00E16F29" w:rsidRPr="00FD0BC6" w:rsidRDefault="00705BA6" w:rsidP="00E16F29">
            <w:pPr>
              <w:pStyle w:val="wartocibezgwiazdek"/>
              <w:spacing w:before="100" w:line="288" w:lineRule="auto"/>
              <w:rPr>
                <w:rFonts w:ascii="Fira Sans" w:hAnsi="Fira Sans"/>
              </w:rPr>
            </w:pPr>
            <w:r>
              <w:rPr>
                <w:rFonts w:ascii="Fira Sans" w:hAnsi="Fira Sans"/>
              </w:rPr>
              <w:t>8,3</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8,5</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8,6</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8,6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3083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3452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2934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2765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3047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2637</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2229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2125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2438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1754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1679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720</w:t>
            </w: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1998</w:t>
            </w:r>
          </w:p>
        </w:tc>
        <w:tc>
          <w:tcPr>
            <w:tcW w:w="910" w:type="dxa"/>
            <w:shd w:val="clear" w:color="auto" w:fill="auto"/>
            <w:vAlign w:val="bottom"/>
          </w:tcPr>
          <w:p w:rsidR="00E16F29" w:rsidRPr="00FD0BC6" w:rsidRDefault="00006B39" w:rsidP="00006B39">
            <w:pPr>
              <w:pStyle w:val="wartocibezgwiazdek"/>
              <w:spacing w:before="100" w:line="288" w:lineRule="auto"/>
              <w:rPr>
                <w:rFonts w:ascii="Fira Sans" w:hAnsi="Fira Sans"/>
              </w:rPr>
            </w:pPr>
            <w:r>
              <w:rPr>
                <w:rFonts w:ascii="Fira Sans" w:hAnsi="Fira Sans"/>
              </w:rPr>
              <w:t>3141</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1533</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729</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1202</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1641</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2340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Liczba bezrobotnych na 1 ofertę pracy</w:t>
            </w:r>
            <w:r w:rsidRPr="00FD0BC6">
              <w:rPr>
                <w:rFonts w:ascii="Fira Sans" w:hAnsi="Fira Sans"/>
                <w:i/>
                <w:vertAlign w:val="superscript"/>
              </w:rPr>
              <w:t xml:space="preserve"> 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17</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21</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53</w:t>
            </w:r>
          </w:p>
        </w:tc>
      </w:tr>
      <w:tr w:rsidR="00E16F29" w:rsidTr="002056CF">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28</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24</w:t>
            </w:r>
          </w:p>
        </w:tc>
        <w:tc>
          <w:tcPr>
            <w:tcW w:w="910" w:type="dxa"/>
            <w:shd w:val="clear" w:color="auto" w:fill="auto"/>
            <w:vAlign w:val="bottom"/>
          </w:tcPr>
          <w:p w:rsidR="00E16F29" w:rsidRPr="00FD0BC6" w:rsidRDefault="00516589" w:rsidP="00E16F29">
            <w:pPr>
              <w:pStyle w:val="wartocibezgwiazdek"/>
              <w:spacing w:before="100" w:line="288" w:lineRule="auto"/>
              <w:rPr>
                <w:rFonts w:ascii="Fira Sans" w:hAnsi="Fira Sans"/>
              </w:rPr>
            </w:pPr>
            <w:r>
              <w:rPr>
                <w:rFonts w:ascii="Fira Sans" w:hAnsi="Fira Sans"/>
              </w:rPr>
              <w:t>31</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36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37</w:t>
            </w:r>
          </w:p>
        </w:tc>
        <w:tc>
          <w:tcPr>
            <w:tcW w:w="909" w:type="dxa"/>
            <w:shd w:val="clear" w:color="auto" w:fill="auto"/>
            <w:vAlign w:val="bottom"/>
          </w:tcPr>
          <w:p w:rsidR="00E16F29" w:rsidRPr="00BE3E03" w:rsidRDefault="00722254" w:rsidP="00E16F29">
            <w:pPr>
              <w:pStyle w:val="Gwka"/>
              <w:spacing w:before="100" w:after="0" w:line="288" w:lineRule="auto"/>
              <w:jc w:val="right"/>
              <w:rPr>
                <w:rFonts w:ascii="Fira Sans" w:hAnsi="Fira Sans"/>
                <w:sz w:val="16"/>
                <w:szCs w:val="16"/>
              </w:rPr>
            </w:pPr>
            <w:r>
              <w:rPr>
                <w:rFonts w:ascii="Fira Sans" w:hAnsi="Fira Sans"/>
                <w:sz w:val="16"/>
                <w:szCs w:val="16"/>
              </w:rPr>
              <w:t>29</w:t>
            </w:r>
          </w:p>
        </w:tc>
        <w:tc>
          <w:tcPr>
            <w:tcW w:w="909" w:type="dxa"/>
            <w:shd w:val="clear" w:color="auto" w:fill="DFC9EF"/>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3E1019" w:rsidTr="002056CF">
        <w:tc>
          <w:tcPr>
            <w:tcW w:w="4265" w:type="dxa"/>
            <w:vMerge w:val="restart"/>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4166,</w:t>
            </w:r>
            <w:r w:rsidRPr="00B523F2">
              <w:rPr>
                <w:rFonts w:ascii="Fira Sans" w:hAnsi="Fira Sans"/>
                <w:sz w:val="16"/>
                <w:szCs w:val="16"/>
              </w:rPr>
              <w:t>64</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501987">
              <w:rPr>
                <w:rFonts w:ascii="Fira Sans" w:hAnsi="Fira Sans"/>
              </w:rPr>
              <w:t>4069,87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7C300C">
              <w:rPr>
                <w:rFonts w:ascii="Fira Sans" w:hAnsi="Fira Sans"/>
              </w:rPr>
              <w:t>4253</w:t>
            </w:r>
            <w:r>
              <w:rPr>
                <w:rFonts w:ascii="Fira Sans" w:hAnsi="Fira Sans"/>
              </w:rPr>
              <w:t>,</w:t>
            </w:r>
            <w:r w:rsidRPr="007C300C">
              <w:rPr>
                <w:rFonts w:ascii="Fira Sans" w:hAnsi="Fira Sans"/>
              </w:rPr>
              <w:t>18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4323,</w:t>
            </w:r>
            <w:r w:rsidRPr="00C061CE">
              <w:rPr>
                <w:rFonts w:ascii="Fira Sans" w:hAnsi="Fira Sans"/>
              </w:rPr>
              <w:t>12</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4339,49</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4239,</w:t>
            </w:r>
            <w:r w:rsidRPr="00D92AD3">
              <w:rPr>
                <w:rFonts w:ascii="Fira Sans" w:hAnsi="Fira Sans"/>
                <w:sz w:val="16"/>
                <w:szCs w:val="16"/>
              </w:rPr>
              <w:t>74</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4425</w:t>
            </w:r>
            <w:r>
              <w:rPr>
                <w:rFonts w:ascii="Fira Sans" w:hAnsi="Fira Sans"/>
              </w:rPr>
              <w:t>,</w:t>
            </w:r>
            <w:r w:rsidRPr="00F37E45">
              <w:rPr>
                <w:rFonts w:ascii="Fira Sans" w:hAnsi="Fira Sans"/>
              </w:rPr>
              <w:t>12</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4305,</w:t>
            </w:r>
            <w:r w:rsidRPr="005574D4">
              <w:rPr>
                <w:rFonts w:ascii="Fira Sans" w:hAnsi="Fira Sans"/>
              </w:rPr>
              <w:t>95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4287,</w:t>
            </w:r>
            <w:r w:rsidRPr="00F07E78">
              <w:rPr>
                <w:rFonts w:ascii="Fira Sans" w:hAnsi="Fira Sans"/>
              </w:rPr>
              <w:t>90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4414</w:t>
            </w:r>
            <w:r>
              <w:rPr>
                <w:rFonts w:ascii="Fira Sans" w:hAnsi="Fira Sans"/>
              </w:rPr>
              <w:t>,</w:t>
            </w:r>
            <w:r w:rsidRPr="006F6CE7">
              <w:rPr>
                <w:rFonts w:ascii="Fira Sans" w:hAnsi="Fira Sans"/>
              </w:rPr>
              <w:t>67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4464,60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4560,</w:t>
            </w:r>
            <w:r w:rsidRPr="00771D24">
              <w:rPr>
                <w:rFonts w:ascii="Fira Sans" w:hAnsi="Fira Sans"/>
              </w:rPr>
              <w:t>77</w:t>
            </w:r>
          </w:p>
        </w:tc>
      </w:tr>
      <w:tr w:rsidR="003E1019" w:rsidTr="002056CF">
        <w:tc>
          <w:tcPr>
            <w:tcW w:w="4265" w:type="dxa"/>
            <w:vMerge/>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4465,</w:t>
            </w:r>
            <w:r w:rsidRPr="004D7B0F">
              <w:rPr>
                <w:rFonts w:ascii="Fira Sans" w:hAnsi="Fira Sans"/>
                <w:sz w:val="16"/>
                <w:szCs w:val="16"/>
              </w:rPr>
              <w:t>39</w:t>
            </w:r>
          </w:p>
        </w:tc>
        <w:tc>
          <w:tcPr>
            <w:tcW w:w="910" w:type="dxa"/>
            <w:shd w:val="clear" w:color="auto" w:fill="auto"/>
            <w:vAlign w:val="bottom"/>
          </w:tcPr>
          <w:p w:rsidR="003E1019" w:rsidRPr="00FD0BC6" w:rsidRDefault="0096566D" w:rsidP="003E1019">
            <w:pPr>
              <w:pStyle w:val="wartocibezgwiazdek"/>
              <w:spacing w:before="100" w:line="288" w:lineRule="auto"/>
              <w:rPr>
                <w:rFonts w:ascii="Fira Sans" w:hAnsi="Fira Sans"/>
              </w:rPr>
            </w:pPr>
            <w:r>
              <w:rPr>
                <w:rFonts w:ascii="Fira Sans" w:hAnsi="Fira Sans"/>
              </w:rPr>
              <w:t>4423,62</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4453,</w:t>
            </w:r>
            <w:r w:rsidRPr="00ED0910">
              <w:rPr>
                <w:rFonts w:ascii="Fira Sans" w:hAnsi="Fira Sans"/>
              </w:rPr>
              <w:t>60</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4284,</w:t>
            </w:r>
            <w:r w:rsidRPr="00FD7333">
              <w:rPr>
                <w:rFonts w:ascii="Fira Sans" w:hAnsi="Fira Sans"/>
              </w:rPr>
              <w:t>14</w:t>
            </w:r>
          </w:p>
        </w:tc>
        <w:tc>
          <w:tcPr>
            <w:tcW w:w="909" w:type="dxa"/>
            <w:shd w:val="clear" w:color="auto" w:fill="auto"/>
            <w:vAlign w:val="bottom"/>
          </w:tcPr>
          <w:p w:rsidR="003E1019" w:rsidRPr="001A7285" w:rsidRDefault="001A7285" w:rsidP="003E1019">
            <w:pPr>
              <w:pStyle w:val="wartocibezgwiazdek"/>
              <w:spacing w:before="100" w:line="288" w:lineRule="auto"/>
              <w:rPr>
                <w:rFonts w:ascii="Fira Sans" w:hAnsi="Fira Sans"/>
              </w:rPr>
            </w:pPr>
            <w:r w:rsidRPr="001A7285">
              <w:rPr>
                <w:rFonts w:ascii="Fira Sans" w:hAnsi="Fira Sans"/>
              </w:rPr>
              <w:t>4321,32</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4301,</w:t>
            </w:r>
            <w:r w:rsidRPr="00214F84">
              <w:rPr>
                <w:rFonts w:ascii="Fira Sans" w:hAnsi="Fira Sans"/>
                <w:sz w:val="16"/>
                <w:szCs w:val="16"/>
              </w:rPr>
              <w:t>37</w:t>
            </w:r>
          </w:p>
        </w:tc>
        <w:tc>
          <w:tcPr>
            <w:tcW w:w="909" w:type="dxa"/>
            <w:shd w:val="clear" w:color="auto" w:fill="DFC9EF"/>
            <w:vAlign w:val="bottom"/>
          </w:tcPr>
          <w:p w:rsidR="003E1019" w:rsidRPr="00FD0BC6" w:rsidRDefault="002915AD" w:rsidP="003E1019">
            <w:pPr>
              <w:pStyle w:val="wartocibezgwiazdek"/>
              <w:spacing w:before="100" w:line="288" w:lineRule="auto"/>
              <w:rPr>
                <w:rFonts w:ascii="Fira Sans" w:hAnsi="Fira Sans"/>
              </w:rPr>
            </w:pPr>
            <w:r>
              <w:rPr>
                <w:rFonts w:ascii="Fira Sans" w:hAnsi="Fira Sans"/>
              </w:rPr>
              <w:t>4588,</w:t>
            </w:r>
            <w:r w:rsidR="001579E8" w:rsidRPr="001579E8">
              <w:rPr>
                <w:rFonts w:ascii="Fira Sans" w:hAnsi="Fira Sans"/>
              </w:rPr>
              <w:t>49</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2056CF">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sidRPr="002C6EF3">
              <w:rPr>
                <w:rFonts w:ascii="Fira Sans" w:hAnsi="Fira Sans"/>
                <w:sz w:val="16"/>
                <w:szCs w:val="16"/>
              </w:rPr>
              <w:t>97</w:t>
            </w:r>
            <w:r>
              <w:rPr>
                <w:rFonts w:ascii="Fira Sans" w:hAnsi="Fira Sans"/>
                <w:sz w:val="16"/>
                <w:szCs w:val="16"/>
              </w:rPr>
              <w:t>,</w:t>
            </w:r>
            <w:r w:rsidRPr="002C6EF3">
              <w:rPr>
                <w:rFonts w:ascii="Fira Sans" w:hAnsi="Fira Sans"/>
                <w:sz w:val="16"/>
                <w:szCs w:val="16"/>
              </w:rPr>
              <w:t>8</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97,7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w:t>
            </w:r>
            <w:r w:rsidRPr="00C061CE">
              <w:rPr>
                <w:rFonts w:ascii="Fira Sans" w:hAnsi="Fira Sans"/>
              </w:rPr>
              <w:t>6</w:t>
            </w:r>
          </w:p>
        </w:tc>
        <w:tc>
          <w:tcPr>
            <w:tcW w:w="909" w:type="dxa"/>
            <w:shd w:val="clear" w:color="auto" w:fill="auto"/>
            <w:vAlign w:val="bottom"/>
          </w:tcPr>
          <w:p w:rsidR="003E1019" w:rsidRPr="001A7285" w:rsidRDefault="003E1019"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D92AD3">
              <w:rPr>
                <w:rFonts w:ascii="Fira Sans" w:hAnsi="Fira Sans"/>
                <w:sz w:val="16"/>
                <w:szCs w:val="16"/>
              </w:rPr>
              <w:t>7</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104</w:t>
            </w:r>
            <w:r>
              <w:rPr>
                <w:rFonts w:ascii="Fira Sans" w:hAnsi="Fira Sans"/>
              </w:rPr>
              <w:t>,4</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97,</w:t>
            </w:r>
            <w:r w:rsidRPr="005574D4">
              <w:rPr>
                <w:rFonts w:ascii="Fira Sans" w:hAnsi="Fira Sans"/>
              </w:rPr>
              <w:t>3</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99,</w:t>
            </w:r>
            <w:r w:rsidRPr="00F07E78">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103</w:t>
            </w:r>
            <w:r>
              <w:rPr>
                <w:rFonts w:ascii="Fira Sans" w:hAnsi="Fira Sans"/>
              </w:rPr>
              <w:t>,</w:t>
            </w:r>
            <w:r w:rsidRPr="006F6CE7">
              <w:rPr>
                <w:rFonts w:ascii="Fira Sans" w:hAnsi="Fira Sans"/>
              </w:rPr>
              <w:t>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102,</w:t>
            </w:r>
            <w:r w:rsidRPr="00771D24">
              <w:rPr>
                <w:rFonts w:ascii="Fira Sans" w:hAnsi="Fira Sans"/>
              </w:rPr>
              <w:t>2</w:t>
            </w:r>
          </w:p>
        </w:tc>
      </w:tr>
      <w:tr w:rsidR="003E1019" w:rsidTr="002056CF">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4D7B0F">
              <w:rPr>
                <w:rFonts w:ascii="Fira Sans" w:hAnsi="Fira Sans"/>
                <w:sz w:val="16"/>
                <w:szCs w:val="16"/>
              </w:rPr>
              <w:t>9</w:t>
            </w:r>
          </w:p>
        </w:tc>
        <w:tc>
          <w:tcPr>
            <w:tcW w:w="910" w:type="dxa"/>
            <w:shd w:val="clear" w:color="auto" w:fill="auto"/>
            <w:vAlign w:val="bottom"/>
          </w:tcPr>
          <w:p w:rsidR="003E1019" w:rsidRPr="00FD0BC6" w:rsidRDefault="0096566D" w:rsidP="00482C4A">
            <w:pPr>
              <w:pStyle w:val="wartocibezgwiazdek"/>
              <w:spacing w:before="100" w:line="288" w:lineRule="auto"/>
              <w:rPr>
                <w:rFonts w:ascii="Fira Sans" w:hAnsi="Fira Sans"/>
              </w:rPr>
            </w:pPr>
            <w:r>
              <w:rPr>
                <w:rFonts w:ascii="Fira Sans" w:hAnsi="Fira Sans"/>
              </w:rPr>
              <w:t>99,1</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100,</w:t>
            </w:r>
            <w:r w:rsidRPr="00ED0910">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96,</w:t>
            </w:r>
            <w:r w:rsidRPr="00FD7333">
              <w:rPr>
                <w:rFonts w:ascii="Fira Sans" w:hAnsi="Fira Sans"/>
              </w:rPr>
              <w:t>2</w:t>
            </w:r>
          </w:p>
        </w:tc>
        <w:tc>
          <w:tcPr>
            <w:tcW w:w="909" w:type="dxa"/>
            <w:shd w:val="clear" w:color="auto" w:fill="auto"/>
            <w:vAlign w:val="bottom"/>
          </w:tcPr>
          <w:p w:rsidR="003E1019" w:rsidRPr="001A7285" w:rsidRDefault="001A7285"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100,9</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99,</w:t>
            </w:r>
            <w:r w:rsidRPr="00214F84">
              <w:rPr>
                <w:rFonts w:ascii="Fira Sans" w:hAnsi="Fira Sans"/>
                <w:sz w:val="16"/>
                <w:szCs w:val="16"/>
              </w:rPr>
              <w:t>5</w:t>
            </w:r>
          </w:p>
        </w:tc>
        <w:tc>
          <w:tcPr>
            <w:tcW w:w="909" w:type="dxa"/>
            <w:shd w:val="clear" w:color="auto" w:fill="DFC9EF"/>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106,7</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2056CF">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108,</w:t>
            </w:r>
            <w:r w:rsidRPr="002C6EF3">
              <w:rPr>
                <w:rFonts w:ascii="Fira Sans" w:hAnsi="Fira Sans"/>
                <w:sz w:val="16"/>
                <w:szCs w:val="16"/>
              </w:rPr>
              <w:t>9</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501987">
              <w:rPr>
                <w:rFonts w:ascii="Fira Sans" w:hAnsi="Fira Sans"/>
              </w:rPr>
              <w:t>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C061CE">
              <w:rPr>
                <w:rFonts w:ascii="Fira Sans" w:hAnsi="Fira Sans"/>
              </w:rPr>
              <w:t>107</w:t>
            </w:r>
            <w:r>
              <w:rPr>
                <w:rFonts w:ascii="Fira Sans" w:hAnsi="Fira Sans"/>
              </w:rPr>
              <w:t>,</w:t>
            </w:r>
            <w:r w:rsidRPr="00C061CE">
              <w:rPr>
                <w:rFonts w:ascii="Fira Sans" w:hAnsi="Fira Sans"/>
              </w:rPr>
              <w:t>4</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107,4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106,</w:t>
            </w:r>
            <w:r w:rsidRPr="00D92AD3">
              <w:rPr>
                <w:rFonts w:ascii="Fira Sans" w:hAnsi="Fira Sans"/>
                <w:sz w:val="16"/>
                <w:szCs w:val="16"/>
              </w:rPr>
              <w:t>7</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106</w:t>
            </w:r>
            <w:r>
              <w:rPr>
                <w:rFonts w:ascii="Fira Sans" w:hAnsi="Fira Sans"/>
              </w:rPr>
              <w:t>,</w:t>
            </w:r>
            <w:r w:rsidRPr="00F37E45">
              <w:rPr>
                <w:rFonts w:ascii="Fira Sans" w:hAnsi="Fira Sans"/>
              </w:rPr>
              <w:t>8</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105,</w:t>
            </w:r>
            <w:r w:rsidRPr="00746591">
              <w:rPr>
                <w:rFonts w:ascii="Fira Sans" w:hAnsi="Fira Sans"/>
              </w:rPr>
              <w:t>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106,</w:t>
            </w:r>
            <w:r w:rsidRPr="00F07E78">
              <w:rPr>
                <w:rFonts w:ascii="Fira Sans" w:hAnsi="Fira Sans"/>
              </w:rPr>
              <w:t xml:space="preserve">9  </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6F6CE7">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107,</w:t>
            </w:r>
            <w:r w:rsidRPr="00771D24">
              <w:rPr>
                <w:rFonts w:ascii="Fira Sans" w:hAnsi="Fira Sans"/>
              </w:rPr>
              <w:t>1</w:t>
            </w:r>
          </w:p>
        </w:tc>
      </w:tr>
      <w:tr w:rsidR="003E1019" w:rsidTr="002056CF">
        <w:tc>
          <w:tcPr>
            <w:tcW w:w="4265" w:type="dxa"/>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sidRPr="004D7B0F">
              <w:rPr>
                <w:rFonts w:ascii="Fira Sans" w:hAnsi="Fira Sans"/>
                <w:sz w:val="16"/>
                <w:szCs w:val="16"/>
              </w:rPr>
              <w:t>107,2</w:t>
            </w:r>
          </w:p>
        </w:tc>
        <w:tc>
          <w:tcPr>
            <w:tcW w:w="910" w:type="dxa"/>
            <w:shd w:val="clear" w:color="auto" w:fill="auto"/>
            <w:vAlign w:val="bottom"/>
          </w:tcPr>
          <w:p w:rsidR="003E1019" w:rsidRPr="00FD0BC6" w:rsidRDefault="00482C4A" w:rsidP="0096566D">
            <w:pPr>
              <w:pStyle w:val="wartocibezgwiazdek"/>
              <w:spacing w:before="100" w:line="288" w:lineRule="auto"/>
              <w:rPr>
                <w:rFonts w:ascii="Fira Sans" w:hAnsi="Fira Sans"/>
              </w:rPr>
            </w:pPr>
            <w:r>
              <w:rPr>
                <w:rFonts w:ascii="Fira Sans" w:hAnsi="Fira Sans"/>
              </w:rPr>
              <w:t>10</w:t>
            </w:r>
            <w:r w:rsidR="0096566D">
              <w:rPr>
                <w:rFonts w:ascii="Fira Sans" w:hAnsi="Fira Sans"/>
              </w:rPr>
              <w:t>8,7</w:t>
            </w:r>
          </w:p>
        </w:tc>
        <w:tc>
          <w:tcPr>
            <w:tcW w:w="910" w:type="dxa"/>
            <w:shd w:val="clear" w:color="auto" w:fill="auto"/>
            <w:vAlign w:val="bottom"/>
          </w:tcPr>
          <w:p w:rsidR="003E1019" w:rsidRPr="00FD0BC6" w:rsidRDefault="004F1ED7" w:rsidP="003E1019">
            <w:pPr>
              <w:pStyle w:val="wartocibezgwiazdek"/>
              <w:spacing w:before="100" w:line="288" w:lineRule="auto"/>
              <w:rPr>
                <w:rFonts w:ascii="Fira Sans" w:hAnsi="Fira Sans"/>
              </w:rPr>
            </w:pPr>
            <w:r>
              <w:rPr>
                <w:rFonts w:ascii="Fira Sans" w:hAnsi="Fira Sans"/>
              </w:rPr>
              <w:t>104,</w:t>
            </w:r>
            <w:r w:rsidRPr="004F1ED7">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sidRPr="00FD7333">
              <w:rPr>
                <w:rFonts w:ascii="Fira Sans" w:hAnsi="Fira Sans"/>
              </w:rPr>
              <w:t>99,1</w:t>
            </w:r>
          </w:p>
        </w:tc>
        <w:tc>
          <w:tcPr>
            <w:tcW w:w="909" w:type="dxa"/>
            <w:shd w:val="clear" w:color="auto" w:fill="auto"/>
            <w:vAlign w:val="bottom"/>
          </w:tcPr>
          <w:p w:rsidR="003E1019" w:rsidRPr="001A7285" w:rsidRDefault="00411CC8" w:rsidP="003E1019">
            <w:pPr>
              <w:pStyle w:val="wartocibezgwiazdek"/>
              <w:spacing w:before="100" w:line="288" w:lineRule="auto"/>
              <w:rPr>
                <w:rFonts w:ascii="Fira Sans" w:hAnsi="Fira Sans"/>
              </w:rPr>
            </w:pPr>
            <w:r>
              <w:rPr>
                <w:rFonts w:ascii="Fira Sans" w:hAnsi="Fira Sans"/>
              </w:rPr>
              <w:t>99,6</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101,</w:t>
            </w:r>
            <w:r w:rsidRPr="00214F84">
              <w:rPr>
                <w:rFonts w:ascii="Fira Sans" w:hAnsi="Fira Sans"/>
                <w:sz w:val="16"/>
                <w:szCs w:val="16"/>
              </w:rPr>
              <w:t>5</w:t>
            </w:r>
          </w:p>
        </w:tc>
        <w:tc>
          <w:tcPr>
            <w:tcW w:w="909" w:type="dxa"/>
            <w:shd w:val="clear" w:color="auto" w:fill="DFC9EF"/>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103,7</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2056CF">
        <w:tc>
          <w:tcPr>
            <w:tcW w:w="4265" w:type="dxa"/>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2056CF">
        <w:tc>
          <w:tcPr>
            <w:tcW w:w="4265" w:type="dxa"/>
            <w:tcBorders>
              <w:right w:val="nil"/>
            </w:tcBorders>
            <w:shd w:val="clear" w:color="auto" w:fill="auto"/>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towarów i usług konsumpcyjnych</w:t>
            </w:r>
            <w:r w:rsidRPr="00FD0BC6">
              <w:rPr>
                <w:rFonts w:ascii="Fira Sans" w:hAnsi="Fira Sans"/>
                <w:vertAlign w:val="superscript"/>
              </w:rPr>
              <w:t xml:space="preserve"> </w:t>
            </w:r>
            <w:r w:rsidRPr="00FD0BC6">
              <w:rPr>
                <w:rFonts w:ascii="Fira Sans" w:hAnsi="Fira Sans"/>
                <w:i/>
                <w:vertAlign w:val="superscript"/>
              </w:rPr>
              <w:t>d</w:t>
            </w:r>
            <w:r w:rsidRPr="00FD0BC6">
              <w:rPr>
                <w:rFonts w:ascii="Fira Sans" w:hAnsi="Fira Sans"/>
              </w:rPr>
              <w:t>:</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RPr="00D14F84" w:rsidTr="002056CF">
        <w:tc>
          <w:tcPr>
            <w:tcW w:w="4265" w:type="dxa"/>
            <w:tcBorders>
              <w:right w:val="nil"/>
            </w:tcBorders>
            <w:shd w:val="clear" w:color="auto" w:fill="auto"/>
          </w:tcPr>
          <w:p w:rsidR="003E1019" w:rsidRPr="00FD0BC6" w:rsidRDefault="003E1019" w:rsidP="003E1019">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r>
              <w:rPr>
                <w:rFonts w:ascii="Fira Sans" w:hAnsi="Fira Sans"/>
                <w:b/>
                <w:sz w:val="16"/>
                <w:szCs w:val="16"/>
              </w:rPr>
              <w:t>.</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3E1019" w:rsidRPr="004D0B4B" w:rsidRDefault="003E1019" w:rsidP="003E1019">
            <w:pPr>
              <w:pStyle w:val="wartocibezgwiazdek"/>
              <w:spacing w:before="100" w:line="288" w:lineRule="auto"/>
              <w:rPr>
                <w:rFonts w:ascii="Fira Sans" w:hAnsi="Fira Sans"/>
              </w:rPr>
            </w:pPr>
            <w:r w:rsidRPr="004D0B4B">
              <w:rPr>
                <w:rFonts w:ascii="Fira Sans" w:hAnsi="Fira Sans"/>
              </w:rPr>
              <w:t>101,2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3E1019" w:rsidRPr="006E4C13" w:rsidRDefault="003E1019" w:rsidP="003E1019">
            <w:pPr>
              <w:pStyle w:val="Gwka"/>
              <w:spacing w:before="100" w:after="0" w:line="288" w:lineRule="auto"/>
              <w:jc w:val="right"/>
              <w:rPr>
                <w:rFonts w:ascii="Fira Sans" w:hAnsi="Fira Sans"/>
                <w:sz w:val="16"/>
                <w:szCs w:val="16"/>
              </w:rPr>
            </w:pPr>
            <w:r w:rsidRPr="006E4C13">
              <w:rPr>
                <w:rFonts w:ascii="Fira Sans" w:hAnsi="Fira Sans"/>
                <w:sz w:val="16"/>
                <w:szCs w:val="16"/>
              </w:rPr>
              <w:t>102,5</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r w:rsidRPr="00E652A5">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0D34D3" w:rsidRDefault="003E1019" w:rsidP="003E1019">
            <w:pPr>
              <w:pStyle w:val="wartocibezgwiazdek"/>
              <w:spacing w:before="100" w:line="288" w:lineRule="auto"/>
              <w:rPr>
                <w:rFonts w:ascii="Fira Sans" w:hAnsi="Fira Sans"/>
              </w:rPr>
            </w:pPr>
            <w:r w:rsidRPr="000D34D3">
              <w:rPr>
                <w:rFonts w:ascii="Fira Sans" w:hAnsi="Fira Sans"/>
              </w:rPr>
              <w:t>103,0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D14F84" w:rsidRDefault="009267CC" w:rsidP="00D14F84">
            <w:pPr>
              <w:pStyle w:val="wartocibezgwiazdek"/>
              <w:spacing w:before="100" w:line="288" w:lineRule="auto"/>
              <w:rPr>
                <w:rFonts w:ascii="Fira Sans" w:hAnsi="Fira Sans"/>
              </w:rPr>
            </w:pPr>
            <w:r>
              <w:rPr>
                <w:rFonts w:ascii="Fira Sans" w:hAnsi="Fira Sans"/>
              </w:rPr>
              <w:t>10</w:t>
            </w:r>
            <w:r w:rsidR="00D14F84" w:rsidRPr="00D14F84">
              <w:rPr>
                <w:rFonts w:ascii="Fira Sans" w:hAnsi="Fira Sans"/>
              </w:rPr>
              <w:t>3,1</w:t>
            </w:r>
          </w:p>
        </w:tc>
      </w:tr>
      <w:tr w:rsidR="00D14F84" w:rsidTr="002056CF">
        <w:tc>
          <w:tcPr>
            <w:tcW w:w="4265" w:type="dxa"/>
            <w:tcBorders>
              <w:right w:val="nil"/>
            </w:tcBorders>
            <w:shd w:val="clear" w:color="auto" w:fill="auto"/>
          </w:tcPr>
          <w:p w:rsidR="00D14F84" w:rsidRPr="00FD0BC6" w:rsidRDefault="00D14F84" w:rsidP="00D14F84">
            <w:pPr>
              <w:pStyle w:val="Boczek"/>
              <w:tabs>
                <w:tab w:val="right" w:leader="dot" w:pos="4248"/>
              </w:tabs>
              <w:spacing w:before="100" w:line="288" w:lineRule="auto"/>
              <w:rPr>
                <w:rFonts w:ascii="Fira Sans" w:hAnsi="Fira Sans"/>
              </w:rPr>
            </w:pPr>
          </w:p>
        </w:tc>
        <w:tc>
          <w:tcPr>
            <w:tcW w:w="321" w:type="dxa"/>
            <w:tcBorders>
              <w:left w:val="nil"/>
            </w:tcBorders>
            <w:shd w:val="clear" w:color="auto" w:fill="auto"/>
          </w:tcPr>
          <w:p w:rsidR="00D14F84" w:rsidRPr="00FD0BC6" w:rsidRDefault="00D14F84" w:rsidP="00D14F84">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D14F84" w:rsidRPr="00FD0BC6" w:rsidRDefault="00D14F84" w:rsidP="00D14F84">
            <w:pPr>
              <w:pStyle w:val="Gwka"/>
              <w:spacing w:before="100" w:after="0" w:line="288" w:lineRule="auto"/>
              <w:jc w:val="right"/>
              <w:rPr>
                <w:rFonts w:ascii="Fira Sans" w:hAnsi="Fira Sans"/>
                <w:b/>
                <w:sz w:val="16"/>
                <w:szCs w:val="16"/>
              </w:rPr>
            </w:pPr>
            <w:r w:rsidRPr="00320C2A">
              <w:rPr>
                <w:rFonts w:ascii="Fira Sans" w:hAnsi="Fira Sans"/>
                <w:b/>
                <w:sz w:val="16"/>
                <w:szCs w:val="16"/>
              </w:rPr>
              <w:t>.</w:t>
            </w:r>
          </w:p>
        </w:tc>
        <w:tc>
          <w:tcPr>
            <w:tcW w:w="910"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D14F84" w:rsidRPr="00DE6771" w:rsidRDefault="00DE6771" w:rsidP="00D14F84">
            <w:pPr>
              <w:pStyle w:val="wartocibezgwiazdek"/>
              <w:spacing w:before="100" w:line="288" w:lineRule="auto"/>
              <w:rPr>
                <w:rFonts w:ascii="Fira Sans" w:hAnsi="Fira Sans"/>
              </w:rPr>
            </w:pPr>
            <w:r>
              <w:rPr>
                <w:rFonts w:ascii="Fira Sans" w:hAnsi="Fira Sans"/>
              </w:rPr>
              <w:t>105,3</w:t>
            </w:r>
          </w:p>
        </w:tc>
        <w:tc>
          <w:tcPr>
            <w:tcW w:w="909" w:type="dxa"/>
            <w:shd w:val="clear" w:color="auto" w:fill="auto"/>
            <w:vAlign w:val="bottom"/>
          </w:tcPr>
          <w:p w:rsidR="00D14F84" w:rsidRPr="00FD0BC6" w:rsidRDefault="00DA547E" w:rsidP="00D14F84">
            <w:pPr>
              <w:pStyle w:val="wartocibezgwiazdek"/>
              <w:spacing w:before="100" w:line="288" w:lineRule="auto"/>
              <w:rPr>
                <w:rFonts w:ascii="Fira Sans" w:hAnsi="Fira Sans"/>
                <w:b/>
              </w:rPr>
            </w:pPr>
            <w:r w:rsidRPr="00DA547E">
              <w:rPr>
                <w:rFonts w:ascii="Fira Sans" w:hAnsi="Fira Sans"/>
                <w:b/>
              </w:rPr>
              <w:t>.</w:t>
            </w:r>
          </w:p>
        </w:tc>
        <w:tc>
          <w:tcPr>
            <w:tcW w:w="909" w:type="dxa"/>
            <w:shd w:val="clear" w:color="auto" w:fill="auto"/>
            <w:vAlign w:val="bottom"/>
          </w:tcPr>
          <w:p w:rsidR="00D14F84" w:rsidRPr="00FD0BC6" w:rsidRDefault="00D82CCE" w:rsidP="00D14F84">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D14F84" w:rsidRPr="001877CF" w:rsidRDefault="001877CF" w:rsidP="00D14F84">
            <w:pPr>
              <w:pStyle w:val="Gwka"/>
              <w:spacing w:before="100" w:after="0" w:line="288" w:lineRule="auto"/>
              <w:jc w:val="right"/>
              <w:rPr>
                <w:rFonts w:ascii="Fira Sans" w:hAnsi="Fira Sans"/>
                <w:b/>
                <w:sz w:val="16"/>
                <w:szCs w:val="16"/>
              </w:rPr>
            </w:pPr>
            <w:r w:rsidRPr="001877CF">
              <w:rPr>
                <w:rFonts w:ascii="Fira Sans" w:hAnsi="Fira Sans"/>
                <w:b/>
                <w:sz w:val="16"/>
                <w:szCs w:val="16"/>
              </w:rPr>
              <w:t>.</w:t>
            </w:r>
          </w:p>
        </w:tc>
        <w:tc>
          <w:tcPr>
            <w:tcW w:w="909" w:type="dxa"/>
            <w:shd w:val="clear" w:color="auto" w:fill="DFC9EF"/>
            <w:vAlign w:val="bottom"/>
          </w:tcPr>
          <w:p w:rsidR="00D14F84" w:rsidRPr="00FD0BC6" w:rsidRDefault="00474D3F" w:rsidP="00D14F84">
            <w:pPr>
              <w:pStyle w:val="wartocibezgwiazdek"/>
              <w:spacing w:before="100" w:line="288" w:lineRule="auto"/>
              <w:rPr>
                <w:rFonts w:ascii="Fira Sans" w:hAnsi="Fira Sans"/>
                <w:b/>
              </w:rPr>
            </w:pPr>
            <w:r w:rsidRPr="00474D3F">
              <w:rPr>
                <w:rFonts w:ascii="Fira Sans" w:hAnsi="Fira Sans"/>
                <w:b/>
              </w:rPr>
              <w:t>.</w:t>
            </w: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0D34D3" w:rsidRDefault="00D14F84" w:rsidP="00D14F84">
            <w:pPr>
              <w:pStyle w:val="wartocibezgwiazdek"/>
              <w:spacing w:before="100" w:line="288" w:lineRule="auto"/>
              <w:rPr>
                <w:rFonts w:ascii="Fira Sans" w:hAnsi="Fira Sans"/>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r>
    </w:tbl>
    <w:p w:rsidR="00284CE4" w:rsidRPr="00FD0BC6" w:rsidRDefault="00284CE4" w:rsidP="00284CE4">
      <w:pPr>
        <w:pStyle w:val="Notka"/>
        <w:spacing w:before="120"/>
        <w:rPr>
          <w:rFonts w:ascii="Fira Sans" w:hAnsi="Fira Sans"/>
        </w:rPr>
      </w:pPr>
      <w:r w:rsidRPr="00214A14">
        <w:rPr>
          <w:rFonts w:ascii="Fira Sans" w:hAnsi="Fira Sans"/>
          <w:i/>
          <w:vertAlign w:val="superscript"/>
        </w:rPr>
        <w:t>a</w:t>
      </w:r>
      <w:r w:rsidRPr="00FD0BC6">
        <w:rPr>
          <w:rFonts w:ascii="Fira Sans" w:hAnsi="Fira Sans"/>
        </w:rPr>
        <w:t xml:space="preserve"> W przedsiębiorstwach, w których liczba pracujących przekracza 9 osób. </w:t>
      </w:r>
      <w:r w:rsidRPr="00214A14">
        <w:rPr>
          <w:rFonts w:ascii="Fira Sans" w:hAnsi="Fira Sans"/>
          <w:i/>
          <w:vertAlign w:val="superscript"/>
        </w:rPr>
        <w:t>b</w:t>
      </w:r>
      <w:r w:rsidRPr="00FD0BC6">
        <w:rPr>
          <w:rFonts w:ascii="Fira Sans" w:hAnsi="Fira Sans"/>
        </w:rPr>
        <w:t xml:space="preserve"> Stan w końcu okresu. </w:t>
      </w:r>
      <w:r w:rsidRPr="00DD684A">
        <w:rPr>
          <w:rFonts w:ascii="Fira Sans" w:hAnsi="Fira Sans"/>
          <w:i/>
          <w:vertAlign w:val="superscript"/>
        </w:rPr>
        <w:t>c</w:t>
      </w:r>
      <w:r w:rsidRPr="00FD0BC6">
        <w:rPr>
          <w:rFonts w:ascii="Fira Sans" w:hAnsi="Fira Sans"/>
        </w:rPr>
        <w:t xml:space="preserve"> Udział zarejestrowanych bezrobotnych w cywilnej ludności aktywnej zawodowo, szacowanej na koniec każdego miesiąca. </w:t>
      </w:r>
      <w:r w:rsidRPr="00DD684A">
        <w:rPr>
          <w:rFonts w:ascii="Fira Sans" w:hAnsi="Fira Sans"/>
          <w:i/>
          <w:vertAlign w:val="superscript"/>
        </w:rPr>
        <w:t>d</w:t>
      </w:r>
      <w:r w:rsidRPr="00FD0BC6">
        <w:rPr>
          <w:rFonts w:ascii="Fira Sans" w:hAnsi="Fira Sans"/>
        </w:rPr>
        <w:t xml:space="preserve"> W kwartale.</w:t>
      </w:r>
    </w:p>
    <w:p w:rsidR="00284CE4" w:rsidRPr="00FD0BC6" w:rsidRDefault="00284CE4" w:rsidP="00284CE4">
      <w:pPr>
        <w:pStyle w:val="TytuTablicy"/>
        <w:ind w:left="0" w:firstLine="0"/>
        <w:rPr>
          <w:rFonts w:ascii="Fira Sans" w:hAnsi="Fira Sans"/>
          <w:sz w:val="19"/>
          <w:szCs w:val="19"/>
        </w:rPr>
      </w:pPr>
      <w: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Tr="002056CF">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5E29CF">
              <w:rPr>
                <w:rFonts w:ascii="Fira Sans" w:hAnsi="Fira Sans"/>
                <w:sz w:val="16"/>
                <w:szCs w:val="16"/>
              </w:rPr>
              <w:t>9</w:t>
            </w:r>
            <w:r w:rsidRPr="00FD0BC6">
              <w:rPr>
                <w:rFonts w:ascii="Fira Sans" w:hAnsi="Fira Sans"/>
                <w:sz w:val="16"/>
                <w:szCs w:val="16"/>
              </w:rPr>
              <w:t xml:space="preserve"> r.</w:t>
            </w:r>
          </w:p>
          <w:p w:rsidR="00284CE4" w:rsidRPr="00FD0BC6" w:rsidRDefault="005E29CF" w:rsidP="00F65F8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2056CF">
        <w:tc>
          <w:tcPr>
            <w:tcW w:w="4266" w:type="dxa"/>
            <w:tcBorders>
              <w:bottom w:val="nil"/>
              <w:right w:val="nil"/>
            </w:tcBorders>
            <w:shd w:val="clear" w:color="auto" w:fill="auto"/>
          </w:tcPr>
          <w:p w:rsidR="00284CE4" w:rsidRPr="00FD0BC6" w:rsidRDefault="00284CE4" w:rsidP="00F65F8F">
            <w:pPr>
              <w:spacing w:before="20" w:after="20" w:line="240" w:lineRule="auto"/>
              <w:rPr>
                <w:rFonts w:cs="Arial"/>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284CE4" w:rsidTr="002056CF">
        <w:tc>
          <w:tcPr>
            <w:tcW w:w="4266" w:type="dxa"/>
            <w:tcBorders>
              <w:top w:val="nil"/>
              <w:right w:val="nil"/>
            </w:tcBorders>
            <w:shd w:val="clear" w:color="auto" w:fill="auto"/>
          </w:tcPr>
          <w:p w:rsidR="00284CE4" w:rsidRPr="00FD0BC6" w:rsidRDefault="00284CE4" w:rsidP="00F65F8F">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2" w:type="dxa"/>
            <w:tcBorders>
              <w:top w:val="nil"/>
              <w:left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DFC9EF"/>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r>
      <w:tr w:rsidR="00284CE4" w:rsidTr="002056CF">
        <w:tc>
          <w:tcPr>
            <w:tcW w:w="4266" w:type="dxa"/>
            <w:tcBorders>
              <w:right w:val="nil"/>
            </w:tcBorders>
            <w:shd w:val="clear" w:color="auto" w:fill="auto"/>
          </w:tcPr>
          <w:p w:rsidR="00284CE4" w:rsidRPr="00FD0BC6" w:rsidRDefault="00284CE4" w:rsidP="00F65F8F">
            <w:pPr>
              <w:pStyle w:val="Boczek2"/>
              <w:tabs>
                <w:tab w:val="right" w:leader="dot" w:pos="4248"/>
              </w:tabs>
              <w:spacing w:before="100"/>
              <w:rPr>
                <w:rFonts w:ascii="Fira Sans" w:hAnsi="Fira Sans"/>
              </w:rPr>
            </w:pPr>
            <w:r w:rsidRPr="00FD0BC6">
              <w:rPr>
                <w:rFonts w:ascii="Fira Sans" w:hAnsi="Fira Sans"/>
              </w:rPr>
              <w:t>skupu ziarna zbóż:</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101,1</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color w:val="auto"/>
              </w:rPr>
            </w:pPr>
            <w:r>
              <w:rPr>
                <w:rFonts w:ascii="Fira Sans" w:hAnsi="Fira Sans"/>
                <w:color w:val="auto"/>
              </w:rPr>
              <w:t>97,2</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97,3</w:t>
            </w:r>
          </w:p>
        </w:tc>
        <w:tc>
          <w:tcPr>
            <w:tcW w:w="909" w:type="dxa"/>
            <w:shd w:val="clear" w:color="auto" w:fill="DFC9EF"/>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102,8</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103,6</w:t>
            </w:r>
          </w:p>
        </w:tc>
      </w:tr>
      <w:tr w:rsidR="00095C99" w:rsidTr="002056CF">
        <w:tc>
          <w:tcPr>
            <w:tcW w:w="4266" w:type="dxa"/>
            <w:tcBorders>
              <w:right w:val="nil"/>
            </w:tcBorders>
            <w:shd w:val="clear" w:color="auto" w:fill="auto"/>
          </w:tcPr>
          <w:p w:rsidR="00095C99" w:rsidRPr="00FD0BC6" w:rsidRDefault="00095C99" w:rsidP="00095C99">
            <w:pPr>
              <w:pStyle w:val="Boczek"/>
              <w:tabs>
                <w:tab w:val="right" w:leader="dot" w:pos="4248"/>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101,2</w:t>
            </w:r>
          </w:p>
        </w:tc>
        <w:tc>
          <w:tcPr>
            <w:tcW w:w="909" w:type="dxa"/>
            <w:shd w:val="clear" w:color="auto" w:fill="auto"/>
            <w:vAlign w:val="bottom"/>
          </w:tcPr>
          <w:p w:rsidR="00095C99" w:rsidRPr="00FD0BC6" w:rsidRDefault="00F45E6A" w:rsidP="00095C99">
            <w:pPr>
              <w:pStyle w:val="Wartoci"/>
              <w:tabs>
                <w:tab w:val="right" w:leader="dot" w:pos="4105"/>
              </w:tabs>
              <w:spacing w:before="100"/>
              <w:ind w:right="51"/>
              <w:rPr>
                <w:rFonts w:ascii="Fira Sans" w:hAnsi="Fira Sans"/>
                <w:color w:val="auto"/>
              </w:rPr>
            </w:pPr>
            <w:r>
              <w:rPr>
                <w:rFonts w:ascii="Fira Sans" w:hAnsi="Fira Sans"/>
                <w:color w:val="auto"/>
              </w:rPr>
              <w:t>105,5</w:t>
            </w:r>
          </w:p>
        </w:tc>
        <w:tc>
          <w:tcPr>
            <w:tcW w:w="909" w:type="dxa"/>
            <w:shd w:val="clear" w:color="auto" w:fill="auto"/>
            <w:vAlign w:val="bottom"/>
          </w:tcPr>
          <w:p w:rsidR="00095C99" w:rsidRPr="00FD0BC6" w:rsidRDefault="008F569A" w:rsidP="00095C99">
            <w:pPr>
              <w:pStyle w:val="Wartoci"/>
              <w:tabs>
                <w:tab w:val="right" w:leader="dot" w:pos="4105"/>
              </w:tabs>
              <w:spacing w:before="100"/>
              <w:ind w:right="51"/>
              <w:rPr>
                <w:rFonts w:ascii="Fira Sans" w:hAnsi="Fira Sans"/>
              </w:rPr>
            </w:pPr>
            <w:r>
              <w:rPr>
                <w:rFonts w:ascii="Fira Sans" w:hAnsi="Fira Sans"/>
              </w:rPr>
              <w:t>111,3</w:t>
            </w:r>
          </w:p>
        </w:tc>
        <w:tc>
          <w:tcPr>
            <w:tcW w:w="909" w:type="dxa"/>
            <w:shd w:val="clear" w:color="auto" w:fill="auto"/>
            <w:vAlign w:val="bottom"/>
          </w:tcPr>
          <w:p w:rsidR="00095C99" w:rsidRPr="00FD0BC6" w:rsidRDefault="003A751B" w:rsidP="00095C99">
            <w:pPr>
              <w:pStyle w:val="Wartoci"/>
              <w:tabs>
                <w:tab w:val="right" w:leader="dot" w:pos="4105"/>
              </w:tabs>
              <w:spacing w:before="100"/>
              <w:ind w:right="51"/>
              <w:rPr>
                <w:rFonts w:ascii="Fira Sans" w:hAnsi="Fira Sans"/>
              </w:rPr>
            </w:pPr>
            <w:r>
              <w:rPr>
                <w:rFonts w:ascii="Fira Sans" w:hAnsi="Fira Sans"/>
              </w:rPr>
              <w:t>91,1</w:t>
            </w:r>
          </w:p>
        </w:tc>
        <w:tc>
          <w:tcPr>
            <w:tcW w:w="909" w:type="dxa"/>
            <w:shd w:val="clear" w:color="auto" w:fill="DFC9EF"/>
            <w:vAlign w:val="bottom"/>
          </w:tcPr>
          <w:p w:rsidR="00095C99" w:rsidRPr="00FD0BC6" w:rsidRDefault="00E65EFC" w:rsidP="00095C99">
            <w:pPr>
              <w:pStyle w:val="Wartoci"/>
              <w:tabs>
                <w:tab w:val="right" w:leader="dot" w:pos="4105"/>
              </w:tabs>
              <w:spacing w:before="100"/>
              <w:ind w:right="51"/>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r>
              <w:rPr>
                <w:rFonts w:ascii="Fira Sans" w:hAnsi="Fira Sans"/>
                <w:snapToGrid w:val="0"/>
                <w:color w:val="auto"/>
              </w:rPr>
              <w:t>119,2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115,9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113,1</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99,6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84,4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78,9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81,8</w:t>
            </w:r>
          </w:p>
        </w:tc>
      </w:tr>
      <w:tr w:rsidR="00095C99" w:rsidTr="002056CF">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85,3</w:t>
            </w:r>
          </w:p>
        </w:tc>
        <w:tc>
          <w:tcPr>
            <w:tcW w:w="909" w:type="dxa"/>
            <w:shd w:val="clear" w:color="auto" w:fill="auto"/>
            <w:vAlign w:val="bottom"/>
          </w:tcPr>
          <w:p w:rsidR="00095C99" w:rsidRPr="00FD0BC6" w:rsidRDefault="00F45E6A" w:rsidP="00095C99">
            <w:pPr>
              <w:pStyle w:val="wartocibezgwiazdek"/>
              <w:spacing w:before="100"/>
              <w:rPr>
                <w:rFonts w:ascii="Fira Sans" w:hAnsi="Fira Sans"/>
                <w:snapToGrid w:val="0"/>
                <w:color w:val="auto"/>
              </w:rPr>
            </w:pPr>
            <w:r>
              <w:rPr>
                <w:rFonts w:ascii="Fira Sans" w:hAnsi="Fira Sans"/>
                <w:snapToGrid w:val="0"/>
                <w:color w:val="auto"/>
              </w:rPr>
              <w:t>92,5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snapToGrid w:val="0"/>
              </w:rPr>
            </w:pPr>
            <w:r>
              <w:rPr>
                <w:rFonts w:ascii="Fira Sans" w:hAnsi="Fira Sans"/>
                <w:snapToGrid w:val="0"/>
              </w:rPr>
              <w:t>104,0</w:t>
            </w:r>
          </w:p>
        </w:tc>
        <w:tc>
          <w:tcPr>
            <w:tcW w:w="909" w:type="dxa"/>
            <w:shd w:val="clear" w:color="auto" w:fill="auto"/>
            <w:vAlign w:val="bottom"/>
          </w:tcPr>
          <w:p w:rsidR="00095C99" w:rsidRPr="00FD0BC6" w:rsidRDefault="003A751B" w:rsidP="00095C99">
            <w:pPr>
              <w:pStyle w:val="wartocibezgwiazdek"/>
              <w:spacing w:before="100"/>
              <w:rPr>
                <w:rFonts w:ascii="Fira Sans" w:hAnsi="Fira Sans"/>
                <w:snapToGrid w:val="0"/>
              </w:rPr>
            </w:pPr>
            <w:r>
              <w:rPr>
                <w:rFonts w:ascii="Fira Sans" w:hAnsi="Fira Sans"/>
                <w:snapToGrid w:val="0"/>
              </w:rPr>
              <w:t>97,4</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snapToGrid w:val="0"/>
              </w:rPr>
            </w:pPr>
            <w:r>
              <w:rPr>
                <w:rFonts w:ascii="Fira Sans" w:hAnsi="Fira Sans"/>
                <w:snapToGrid w:val="0"/>
              </w:rPr>
              <w:t>103,6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2056CF">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2056CF">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103,8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96,1</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102,2</w:t>
            </w:r>
          </w:p>
        </w:tc>
      </w:tr>
      <w:tr w:rsidR="00095C99" w:rsidTr="002056CF">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95,6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99,6</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rPr>
            </w:pPr>
            <w:r>
              <w:rPr>
                <w:rFonts w:ascii="Fira Sans" w:hAnsi="Fira Sans"/>
              </w:rPr>
              <w:t>95,9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95,3</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88,8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90,6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92,4</w:t>
            </w:r>
          </w:p>
        </w:tc>
      </w:tr>
      <w:tr w:rsidR="00095C99" w:rsidTr="002056CF">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89,3</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94,2</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97,7</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106,8</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107,4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105,3</w:t>
            </w:r>
          </w:p>
        </w:tc>
      </w:tr>
      <w:tr w:rsidR="00095C99" w:rsidTr="002056CF">
        <w:trPr>
          <w:trHeight w:val="156"/>
        </w:trPr>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93,6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87,0</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109,2</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rPr>
            </w:pPr>
            <w:r>
              <w:rPr>
                <w:rFonts w:ascii="Fira Sans" w:hAnsi="Fira Sans"/>
              </w:rPr>
              <w:t>90,0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2056CF">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97,1</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127,8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125,7</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121,9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116,5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134,3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143,0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153,2</w:t>
            </w:r>
          </w:p>
        </w:tc>
      </w:tr>
      <w:tr w:rsidR="00095C99" w:rsidTr="002056CF">
        <w:tc>
          <w:tcPr>
            <w:tcW w:w="4266" w:type="dxa"/>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148,6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141,6</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97,2</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rPr>
            </w:pPr>
            <w:r>
              <w:rPr>
                <w:rFonts w:ascii="Fira Sans" w:hAnsi="Fira Sans"/>
              </w:rPr>
              <w:t>89,3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2056CF">
        <w:tc>
          <w:tcPr>
            <w:tcW w:w="4266" w:type="dxa"/>
            <w:vMerge w:val="restart"/>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skupu </w:t>
            </w:r>
            <w:r w:rsidRPr="00FD0BC6">
              <w:rPr>
                <w:rFonts w:ascii="Fira Sans" w:hAnsi="Fira Sans"/>
                <w:i/>
                <w:color w:val="000000"/>
                <w:vertAlign w:val="superscript"/>
              </w:rPr>
              <w:t>a</w:t>
            </w:r>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7,6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w:t>
            </w:r>
          </w:p>
        </w:tc>
      </w:tr>
      <w:tr w:rsidR="00095C99" w:rsidTr="002056CF">
        <w:tc>
          <w:tcPr>
            <w:tcW w:w="4266" w:type="dxa"/>
            <w:vMerge/>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w:t>
            </w:r>
          </w:p>
        </w:tc>
        <w:tc>
          <w:tcPr>
            <w:tcW w:w="909" w:type="dxa"/>
            <w:shd w:val="clear" w:color="auto" w:fill="auto"/>
            <w:vAlign w:val="bottom"/>
          </w:tcPr>
          <w:p w:rsidR="00095C99" w:rsidRPr="00846387" w:rsidRDefault="00846387" w:rsidP="00095C99">
            <w:pPr>
              <w:pStyle w:val="wartocibezgwiazdek"/>
              <w:spacing w:before="100"/>
              <w:rPr>
                <w:rFonts w:ascii="Fira Sans" w:hAnsi="Fira Sans"/>
                <w:b/>
                <w:color w:val="auto"/>
              </w:rPr>
            </w:pPr>
            <w:r w:rsidRPr="00846387">
              <w:rPr>
                <w:rFonts w:ascii="Fira Sans" w:hAnsi="Fira Sans"/>
                <w:b/>
                <w:color w:val="auto"/>
              </w:rPr>
              <w:t>.</w:t>
            </w:r>
          </w:p>
        </w:tc>
        <w:tc>
          <w:tcPr>
            <w:tcW w:w="909" w:type="dxa"/>
            <w:shd w:val="clear" w:color="auto" w:fill="auto"/>
            <w:vAlign w:val="bottom"/>
          </w:tcPr>
          <w:p w:rsidR="00095C99" w:rsidRPr="00FD0BC6" w:rsidRDefault="00AB5860"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DFC9EF"/>
            <w:vAlign w:val="bottom"/>
          </w:tcPr>
          <w:p w:rsidR="00095C99" w:rsidRPr="00FD0BC6" w:rsidRDefault="00E65EFC" w:rsidP="00095C99">
            <w:pPr>
              <w:pStyle w:val="wartocibezgwiazdek"/>
              <w:spacing w:before="100"/>
              <w:rPr>
                <w:rFonts w:ascii="Fira Sans" w:hAnsi="Fira Sans"/>
              </w:rPr>
            </w:pPr>
            <w:r>
              <w:rPr>
                <w:rFonts w:ascii="Fira Sans" w:hAnsi="Fira Sans"/>
              </w:rPr>
              <w:t>7,9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C85945" w:rsidTr="002056CF">
        <w:tc>
          <w:tcPr>
            <w:tcW w:w="4266" w:type="dxa"/>
            <w:tcBorders>
              <w:right w:val="nil"/>
            </w:tcBorders>
            <w:shd w:val="clear" w:color="auto" w:fill="auto"/>
          </w:tcPr>
          <w:p w:rsidR="00C85945" w:rsidRPr="00FD0BC6" w:rsidRDefault="00C85945" w:rsidP="00C85945">
            <w:pPr>
              <w:pStyle w:val="Wartoci"/>
              <w:spacing w:before="100"/>
              <w:jc w:val="left"/>
              <w:rPr>
                <w:rFonts w:ascii="Fira Sans" w:hAnsi="Fira Sans"/>
              </w:rPr>
            </w:pPr>
            <w:r w:rsidRPr="00FD0BC6">
              <w:rPr>
                <w:rFonts w:ascii="Fira Sans" w:hAnsi="Fira Sans"/>
              </w:rPr>
              <w:t>Produkcja sprzedana przemysłu</w:t>
            </w:r>
            <w:r w:rsidRPr="00FD0BC6">
              <w:rPr>
                <w:rFonts w:ascii="Fira Sans" w:hAnsi="Fira Sans"/>
                <w:vertAlign w:val="superscript"/>
              </w:rPr>
              <w:t xml:space="preserve"> </w:t>
            </w:r>
            <w:r w:rsidRPr="00FD0BC6">
              <w:rPr>
                <w:rFonts w:ascii="Fira Sans" w:hAnsi="Fira Sans"/>
                <w:i/>
                <w:vertAlign w:val="superscript"/>
              </w:rPr>
              <w:t>b</w:t>
            </w:r>
            <w:r w:rsidRPr="00FD0BC6">
              <w:rPr>
                <w:rFonts w:ascii="Fira Sans" w:hAnsi="Fira Sans"/>
              </w:rPr>
              <w:t xml:space="preserve"> (w cenach stałych):</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2056CF">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94,2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94,3</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108,7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116,7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96,5</w:t>
            </w:r>
          </w:p>
        </w:tc>
      </w:tr>
      <w:tr w:rsidR="00C85945" w:rsidTr="002056CF">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4155E3">
            <w:pPr>
              <w:pStyle w:val="Wartoci"/>
              <w:spacing w:before="100"/>
              <w:ind w:right="51"/>
              <w:rPr>
                <w:rFonts w:ascii="Fira Sans" w:hAnsi="Fira Sans"/>
              </w:rPr>
            </w:pPr>
            <w:r>
              <w:rPr>
                <w:rFonts w:ascii="Fira Sans" w:hAnsi="Fira Sans"/>
              </w:rPr>
              <w:t>89,</w:t>
            </w:r>
            <w:r w:rsidR="004155E3">
              <w:rPr>
                <w:rFonts w:ascii="Fira Sans" w:hAnsi="Fira Sans"/>
              </w:rPr>
              <w:t>9</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102,5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115,7</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77,5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w:t>
            </w:r>
            <w:r w:rsidR="00A52F5C">
              <w:rPr>
                <w:rFonts w:ascii="Fira Sans" w:hAnsi="Fira Sans"/>
              </w:rPr>
              <w:t>07,2</w:t>
            </w:r>
          </w:p>
        </w:tc>
        <w:tc>
          <w:tcPr>
            <w:tcW w:w="909" w:type="dxa"/>
            <w:shd w:val="clear" w:color="auto" w:fill="auto"/>
            <w:vAlign w:val="bottom"/>
          </w:tcPr>
          <w:p w:rsidR="00A52F5C" w:rsidRPr="00FD0BC6" w:rsidRDefault="00A52F5C" w:rsidP="00A52F5C">
            <w:pPr>
              <w:pStyle w:val="wartocibezgwiazdek"/>
              <w:spacing w:before="100"/>
              <w:rPr>
                <w:rFonts w:ascii="Fira Sans" w:hAnsi="Fira Sans"/>
              </w:rPr>
            </w:pPr>
            <w:r>
              <w:rPr>
                <w:rFonts w:ascii="Fira Sans" w:hAnsi="Fira Sans"/>
              </w:rPr>
              <w:t>110,0*</w:t>
            </w:r>
          </w:p>
        </w:tc>
        <w:tc>
          <w:tcPr>
            <w:tcW w:w="909" w:type="dxa"/>
            <w:shd w:val="clear" w:color="auto" w:fill="DFC9EF"/>
            <w:vAlign w:val="bottom"/>
          </w:tcPr>
          <w:p w:rsidR="00C85945" w:rsidRPr="00FD0BC6" w:rsidRDefault="00A52F5C" w:rsidP="00C85945">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2056CF">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102,9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112,8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96,8</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111,3</w:t>
            </w:r>
          </w:p>
        </w:tc>
      </w:tr>
      <w:tr w:rsidR="00C85945" w:rsidTr="002056CF">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9B3E5A" w:rsidP="004155E3">
            <w:pPr>
              <w:pStyle w:val="Wartoci"/>
              <w:spacing w:before="100"/>
              <w:ind w:right="51"/>
              <w:rPr>
                <w:rFonts w:ascii="Fira Sans" w:hAnsi="Fira Sans"/>
              </w:rPr>
            </w:pPr>
            <w:r>
              <w:rPr>
                <w:rFonts w:ascii="Fira Sans" w:hAnsi="Fira Sans"/>
              </w:rPr>
              <w:t>10</w:t>
            </w:r>
            <w:r w:rsidR="004155E3">
              <w:rPr>
                <w:rFonts w:ascii="Fira Sans" w:hAnsi="Fira Sans"/>
              </w:rPr>
              <w:t>6</w:t>
            </w:r>
            <w:r>
              <w:rPr>
                <w:rFonts w:ascii="Fira Sans" w:hAnsi="Fira Sans"/>
              </w:rPr>
              <w:t>,2</w:t>
            </w:r>
          </w:p>
        </w:tc>
        <w:tc>
          <w:tcPr>
            <w:tcW w:w="909" w:type="dxa"/>
            <w:shd w:val="clear" w:color="auto" w:fill="auto"/>
            <w:vAlign w:val="bottom"/>
          </w:tcPr>
          <w:p w:rsidR="00C85945" w:rsidRPr="00FD0BC6" w:rsidRDefault="004155E3" w:rsidP="005B4EB4">
            <w:pPr>
              <w:pStyle w:val="wartocibezgwiazdek"/>
              <w:spacing w:before="100"/>
              <w:rPr>
                <w:rFonts w:ascii="Fira Sans" w:hAnsi="Fira Sans"/>
              </w:rPr>
            </w:pPr>
            <w:r>
              <w:rPr>
                <w:rFonts w:ascii="Fira Sans" w:hAnsi="Fira Sans"/>
              </w:rPr>
              <w:t>100,</w:t>
            </w:r>
            <w:r w:rsidR="001548E2">
              <w:rPr>
                <w:rFonts w:ascii="Fira Sans" w:hAnsi="Fira Sans"/>
              </w:rPr>
              <w:t>5</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w:t>
            </w:r>
            <w:r w:rsidR="00DB4981">
              <w:rPr>
                <w:rFonts w:ascii="Fira Sans" w:hAnsi="Fira Sans"/>
              </w:rPr>
              <w:t>04,3</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85,5</w:t>
            </w:r>
          </w:p>
        </w:tc>
        <w:tc>
          <w:tcPr>
            <w:tcW w:w="909" w:type="dxa"/>
            <w:shd w:val="clear" w:color="auto" w:fill="auto"/>
            <w:vAlign w:val="bottom"/>
          </w:tcPr>
          <w:p w:rsidR="00C85945" w:rsidRPr="00FD0BC6" w:rsidRDefault="00DB4981" w:rsidP="00A52F5C">
            <w:pPr>
              <w:pStyle w:val="wartocibezgwiazdek"/>
              <w:spacing w:before="100"/>
              <w:rPr>
                <w:rFonts w:ascii="Fira Sans" w:hAnsi="Fira Sans"/>
              </w:rPr>
            </w:pPr>
            <w:r>
              <w:rPr>
                <w:rFonts w:ascii="Fira Sans" w:hAnsi="Fira Sans"/>
              </w:rPr>
              <w:t>87,</w:t>
            </w:r>
            <w:r w:rsidR="00250198">
              <w:rPr>
                <w:rFonts w:ascii="Fira Sans" w:hAnsi="Fira Sans"/>
              </w:rPr>
              <w:t>9</w:t>
            </w:r>
          </w:p>
        </w:tc>
        <w:tc>
          <w:tcPr>
            <w:tcW w:w="909" w:type="dxa"/>
            <w:shd w:val="clear" w:color="auto" w:fill="auto"/>
            <w:vAlign w:val="bottom"/>
          </w:tcPr>
          <w:p w:rsidR="00C85945" w:rsidRPr="00FD0BC6" w:rsidRDefault="00250198" w:rsidP="00C85945">
            <w:pPr>
              <w:pStyle w:val="wartocibezgwiazdek"/>
              <w:spacing w:before="100"/>
              <w:rPr>
                <w:rFonts w:ascii="Fira Sans" w:hAnsi="Fira Sans"/>
              </w:rPr>
            </w:pPr>
            <w:r>
              <w:rPr>
                <w:rFonts w:ascii="Fira Sans" w:hAnsi="Fira Sans"/>
              </w:rPr>
              <w:t>1</w:t>
            </w:r>
            <w:r w:rsidR="00A52F5C">
              <w:rPr>
                <w:rFonts w:ascii="Fira Sans" w:hAnsi="Fira Sans"/>
              </w:rPr>
              <w:t>02,5*</w:t>
            </w:r>
          </w:p>
        </w:tc>
        <w:tc>
          <w:tcPr>
            <w:tcW w:w="909" w:type="dxa"/>
            <w:shd w:val="clear" w:color="auto" w:fill="DFC9EF"/>
            <w:vAlign w:val="bottom"/>
          </w:tcPr>
          <w:p w:rsidR="00C85945" w:rsidRPr="00FD0BC6" w:rsidRDefault="00A52F5C" w:rsidP="00C85945">
            <w:pPr>
              <w:pStyle w:val="wartocibezgwiazdek"/>
              <w:spacing w:before="100"/>
              <w:rPr>
                <w:rFonts w:ascii="Fira Sans" w:hAnsi="Fira Sans"/>
              </w:rPr>
            </w:pPr>
            <w:r>
              <w:rPr>
                <w:rFonts w:ascii="Fira Sans" w:hAnsi="Fira Sans"/>
              </w:rPr>
              <w:t>94,8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2056CF">
        <w:tc>
          <w:tcPr>
            <w:tcW w:w="4588" w:type="dxa"/>
            <w:gridSpan w:val="2"/>
            <w:shd w:val="clear" w:color="auto" w:fill="auto"/>
          </w:tcPr>
          <w:p w:rsidR="00C85945" w:rsidRPr="00FD0BC6" w:rsidRDefault="00C85945" w:rsidP="00C85945">
            <w:pPr>
              <w:pStyle w:val="Wartoci"/>
              <w:spacing w:before="130"/>
              <w:jc w:val="left"/>
              <w:rPr>
                <w:rFonts w:ascii="Fira Sans" w:hAnsi="Fira Sans"/>
              </w:rPr>
            </w:pPr>
            <w:r w:rsidRPr="00FD0BC6">
              <w:rPr>
                <w:rFonts w:ascii="Fira Sans" w:hAnsi="Fira Sans"/>
              </w:rPr>
              <w:t>Produkcja budowlano-montażowa</w:t>
            </w:r>
            <w:r w:rsidRPr="00FD0BC6">
              <w:rPr>
                <w:rFonts w:ascii="Fira Sans" w:hAnsi="Fira Sans"/>
                <w:i/>
                <w:vertAlign w:val="superscript"/>
              </w:rPr>
              <w:t xml:space="preserve"> b</w:t>
            </w:r>
            <w:r w:rsidRPr="00FD0BC6">
              <w:rPr>
                <w:rFonts w:ascii="Fira Sans" w:hAnsi="Fira Sans"/>
              </w:rPr>
              <w:t xml:space="preserve"> (w cenach bieżących):</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2056CF">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50,6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114,5</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85,9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119,0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142,9</w:t>
            </w:r>
          </w:p>
        </w:tc>
      </w:tr>
      <w:tr w:rsidR="00C85945" w:rsidTr="002056CF">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39,0</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120,3</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183,3</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73,4</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101,6</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113,3</w:t>
            </w:r>
          </w:p>
        </w:tc>
        <w:tc>
          <w:tcPr>
            <w:tcW w:w="909" w:type="dxa"/>
            <w:shd w:val="clear" w:color="auto" w:fill="DFC9EF"/>
            <w:vAlign w:val="bottom"/>
          </w:tcPr>
          <w:p w:rsidR="00C85945" w:rsidRPr="00FD0BC6" w:rsidRDefault="00A52F5C"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2056CF">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175,7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109,7</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103,3</w:t>
            </w:r>
          </w:p>
        </w:tc>
      </w:tr>
      <w:tr w:rsidR="00C85945" w:rsidTr="002056CF">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79,6</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91,1</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107,7</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109,4</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108,3</w:t>
            </w:r>
          </w:p>
        </w:tc>
        <w:tc>
          <w:tcPr>
            <w:tcW w:w="909" w:type="dxa"/>
            <w:shd w:val="clear" w:color="auto" w:fill="DFC9EF"/>
            <w:vAlign w:val="bottom"/>
          </w:tcPr>
          <w:p w:rsidR="00C85945" w:rsidRPr="00FD0BC6" w:rsidRDefault="00A52F5C" w:rsidP="00C85945">
            <w:pPr>
              <w:pStyle w:val="wartocibezgwiazdek"/>
              <w:spacing w:before="100"/>
              <w:rPr>
                <w:rFonts w:ascii="Fira Sans" w:hAnsi="Fira Sans"/>
              </w:rPr>
            </w:pPr>
            <w:r>
              <w:rPr>
                <w:rFonts w:ascii="Fira Sans" w:hAnsi="Fira Sans"/>
              </w:rPr>
              <w:t>107,3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DD684A">
        <w:rPr>
          <w:rFonts w:ascii="Fira Sans" w:hAnsi="Fira Sans"/>
          <w:i/>
          <w:vertAlign w:val="superscript"/>
        </w:rPr>
        <w:t>b</w:t>
      </w:r>
      <w:r w:rsidRPr="00FD0BC6">
        <w:rPr>
          <w:rFonts w:ascii="Fira Sans" w:hAnsi="Fira Sans"/>
        </w:rPr>
        <w:t xml:space="preserve"> W przedsiębiorstwach, w których liczba pracujących przekracza 9 osób. </w:t>
      </w:r>
    </w:p>
    <w:p w:rsidR="00284CE4" w:rsidRPr="00FD0BC6" w:rsidRDefault="00284CE4" w:rsidP="00284CE4">
      <w:pPr>
        <w:pStyle w:val="TytuTablicy"/>
        <w:ind w:left="0" w:firstLine="0"/>
        <w:rPr>
          <w:rFonts w:ascii="Fira Sans" w:hAnsi="Fira Sans"/>
          <w:sz w:val="19"/>
          <w:szCs w:val="19"/>
        </w:rPr>
      </w:pPr>
      <w:r>
        <w:rPr>
          <w:sz w:val="24"/>
        </w:rP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RPr="00FD0BC6" w:rsidTr="002056CF">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EB0C80" w:rsidP="00F65F8F">
            <w:pPr>
              <w:pStyle w:val="Gwka"/>
              <w:rPr>
                <w:rFonts w:ascii="Fira Sans" w:hAnsi="Fira Sans"/>
                <w:sz w:val="16"/>
                <w:szCs w:val="16"/>
              </w:rPr>
            </w:pPr>
            <w:r>
              <w:rPr>
                <w:rFonts w:ascii="Fira Sans" w:hAnsi="Fira Sans"/>
                <w:sz w:val="16"/>
                <w:szCs w:val="16"/>
              </w:rPr>
              <w:t>A – 2019</w:t>
            </w:r>
            <w:r w:rsidR="00284CE4" w:rsidRPr="00FD0BC6">
              <w:rPr>
                <w:rFonts w:ascii="Fira Sans" w:hAnsi="Fira Sans"/>
                <w:sz w:val="16"/>
                <w:szCs w:val="16"/>
              </w:rPr>
              <w:t xml:space="preserve"> r.</w:t>
            </w:r>
          </w:p>
          <w:p w:rsidR="00284CE4" w:rsidRPr="00FD0BC6" w:rsidRDefault="00EB0C80" w:rsidP="005E29C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RPr="00FD0BC6" w:rsidTr="002056CF">
        <w:trPr>
          <w:trHeight w:val="112"/>
        </w:trPr>
        <w:tc>
          <w:tcPr>
            <w:tcW w:w="4266" w:type="dxa"/>
            <w:tcBorders>
              <w:bottom w:val="nil"/>
              <w:right w:val="nil"/>
            </w:tcBorders>
            <w:shd w:val="clear" w:color="auto" w:fill="auto"/>
          </w:tcPr>
          <w:p w:rsidR="00284CE4" w:rsidRPr="00FD0BC6" w:rsidRDefault="00284CE4" w:rsidP="00F65F8F">
            <w:pPr>
              <w:spacing w:before="20" w:after="20" w:line="240" w:lineRule="auto"/>
              <w:rPr>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EB0C80" w:rsidRPr="00FD0BC6" w:rsidTr="002056CF">
        <w:tc>
          <w:tcPr>
            <w:tcW w:w="4266" w:type="dxa"/>
            <w:tcBorders>
              <w:top w:val="nil"/>
              <w:right w:val="nil"/>
            </w:tcBorders>
            <w:shd w:val="clear" w:color="auto" w:fill="auto"/>
          </w:tcPr>
          <w:p w:rsidR="00EB0C80" w:rsidRPr="00FD0BC6" w:rsidRDefault="00EB0C80" w:rsidP="00EB0C80">
            <w:pPr>
              <w:pStyle w:val="Boczek"/>
              <w:rPr>
                <w:rFonts w:ascii="Fira Sans" w:hAnsi="Fira Sans"/>
              </w:rPr>
            </w:pPr>
            <w:r w:rsidRPr="00FD0BC6">
              <w:rPr>
                <w:rFonts w:ascii="Fira Sans" w:hAnsi="Fira Sans"/>
              </w:rPr>
              <w:t>Mieszkania oddane do użytkowania (od początku roku)</w:t>
            </w:r>
          </w:p>
        </w:tc>
        <w:tc>
          <w:tcPr>
            <w:tcW w:w="322" w:type="dxa"/>
            <w:tcBorders>
              <w:top w:val="nil"/>
              <w:left w:val="nil"/>
            </w:tcBorders>
            <w:shd w:val="clear" w:color="auto" w:fill="auto"/>
            <w:vAlign w:val="bottom"/>
          </w:tcPr>
          <w:p w:rsidR="00EB0C80" w:rsidRPr="00FD0BC6" w:rsidRDefault="00EB0C80" w:rsidP="00EB0C80">
            <w:pPr>
              <w:pStyle w:val="Wartoci"/>
              <w:tabs>
                <w:tab w:val="right" w:leader="dot" w:pos="4105"/>
              </w:tabs>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359</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697</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895</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1138</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1458</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1</w:t>
            </w:r>
            <w:r w:rsidR="004A45C6">
              <w:rPr>
                <w:rFonts w:ascii="Fira Sans" w:hAnsi="Fira Sans"/>
                <w:color w:val="auto"/>
              </w:rPr>
              <w:t>718</w:t>
            </w:r>
          </w:p>
        </w:tc>
        <w:tc>
          <w:tcPr>
            <w:tcW w:w="909" w:type="dxa"/>
            <w:tcBorders>
              <w:top w:val="nil"/>
            </w:tcBorders>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w:t>
            </w:r>
            <w:r w:rsidR="004A45C6">
              <w:rPr>
                <w:rFonts w:ascii="Fira Sans" w:hAnsi="Fira Sans"/>
                <w:color w:val="auto"/>
              </w:rPr>
              <w:t>092</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23</w:t>
            </w:r>
            <w:r w:rsidR="004A45C6">
              <w:rPr>
                <w:rFonts w:ascii="Fira Sans" w:hAnsi="Fira Sans"/>
                <w:color w:val="auto"/>
              </w:rPr>
              <w:t>97</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26</w:t>
            </w:r>
            <w:r w:rsidR="004A45C6">
              <w:rPr>
                <w:rFonts w:ascii="Fira Sans" w:hAnsi="Fira Sans"/>
                <w:color w:val="auto"/>
              </w:rPr>
              <w:t>91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30</w:t>
            </w:r>
            <w:r w:rsidR="004A45C6">
              <w:rPr>
                <w:rFonts w:ascii="Fira Sans" w:hAnsi="Fira Sans"/>
                <w:color w:val="auto"/>
              </w:rPr>
              <w:t>70</w:t>
            </w:r>
          </w:p>
        </w:tc>
        <w:tc>
          <w:tcPr>
            <w:tcW w:w="909" w:type="dxa"/>
            <w:tcBorders>
              <w:top w:val="nil"/>
            </w:tcBorders>
            <w:shd w:val="clear" w:color="auto" w:fill="auto"/>
            <w:vAlign w:val="bottom"/>
          </w:tcPr>
          <w:p w:rsidR="009951E7" w:rsidRPr="00FD0BC6" w:rsidRDefault="00AA30F0" w:rsidP="00EE4B56">
            <w:pPr>
              <w:pStyle w:val="wartocibezgwiazdek"/>
              <w:spacing w:before="100"/>
              <w:rPr>
                <w:rFonts w:ascii="Fira Sans" w:hAnsi="Fira Sans"/>
                <w:color w:val="auto"/>
              </w:rPr>
            </w:pPr>
            <w:r>
              <w:rPr>
                <w:rFonts w:ascii="Fira Sans" w:hAnsi="Fira Sans"/>
                <w:color w:val="auto"/>
              </w:rPr>
              <w:t>3</w:t>
            </w:r>
            <w:r w:rsidR="004A45C6">
              <w:rPr>
                <w:rFonts w:ascii="Fira Sans" w:hAnsi="Fira Sans"/>
                <w:color w:val="auto"/>
              </w:rPr>
              <w:t>301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38</w:t>
            </w:r>
            <w:r w:rsidR="004A45C6">
              <w:rPr>
                <w:rFonts w:ascii="Fira Sans" w:hAnsi="Fira Sans"/>
                <w:color w:val="auto"/>
              </w:rPr>
              <w:t>88</w:t>
            </w:r>
          </w:p>
        </w:tc>
      </w:tr>
      <w:tr w:rsidR="00284CE4" w:rsidRPr="00FD0BC6" w:rsidTr="002056CF">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440</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636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804</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1105</w:t>
            </w:r>
          </w:p>
        </w:tc>
        <w:tc>
          <w:tcPr>
            <w:tcW w:w="909" w:type="dxa"/>
            <w:shd w:val="clear" w:color="auto" w:fill="auto"/>
            <w:vAlign w:val="bottom"/>
          </w:tcPr>
          <w:p w:rsidR="00284CE4" w:rsidRPr="00FD0BC6" w:rsidRDefault="004A45C6" w:rsidP="00F65F8F">
            <w:pPr>
              <w:pStyle w:val="wartocibezgwiazdek"/>
              <w:spacing w:before="100"/>
              <w:rPr>
                <w:rFonts w:ascii="Fira Sans" w:hAnsi="Fira Sans"/>
                <w:color w:val="auto"/>
              </w:rPr>
            </w:pPr>
            <w:r>
              <w:rPr>
                <w:rFonts w:ascii="Fira Sans" w:hAnsi="Fira Sans"/>
                <w:color w:val="auto"/>
              </w:rPr>
              <w:t>1399</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1996</w:t>
            </w:r>
          </w:p>
        </w:tc>
        <w:tc>
          <w:tcPr>
            <w:tcW w:w="909" w:type="dxa"/>
            <w:shd w:val="clear" w:color="auto" w:fill="DFC9EF"/>
            <w:vAlign w:val="bottom"/>
          </w:tcPr>
          <w:p w:rsidR="00284CE4" w:rsidRPr="00FD0BC6" w:rsidRDefault="007D688F" w:rsidP="00F65F8F">
            <w:pPr>
              <w:pStyle w:val="wartocibezgwiazdek"/>
              <w:spacing w:before="100"/>
              <w:rPr>
                <w:rFonts w:ascii="Fira Sans" w:hAnsi="Fira Sans"/>
                <w:color w:val="auto"/>
              </w:rPr>
            </w:pPr>
            <w:r>
              <w:rPr>
                <w:rFonts w:ascii="Fira Sans" w:hAnsi="Fira Sans"/>
                <w:color w:val="auto"/>
              </w:rPr>
              <w:t>2518</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EB0C80" w:rsidRPr="00FD0BC6" w:rsidTr="002056CF">
        <w:tc>
          <w:tcPr>
            <w:tcW w:w="4266" w:type="dxa"/>
            <w:tcBorders>
              <w:right w:val="nil"/>
            </w:tcBorders>
            <w:shd w:val="clear" w:color="auto" w:fill="auto"/>
          </w:tcPr>
          <w:p w:rsidR="00EB0C80" w:rsidRPr="00FD0BC6" w:rsidRDefault="00EB0C80" w:rsidP="00EB0C80">
            <w:pPr>
              <w:pStyle w:val="Boczek"/>
              <w:spacing w:before="100"/>
              <w:rPr>
                <w:rFonts w:ascii="Fira Sans" w:hAnsi="Fira Sans"/>
              </w:rPr>
            </w:pPr>
            <w:r w:rsidRPr="00FD0BC6">
              <w:rPr>
                <w:rFonts w:ascii="Fira Sans" w:hAnsi="Fira Sans"/>
              </w:rPr>
              <w:t>analogiczny okres poprzedniego roku = 100</w:t>
            </w:r>
            <w:r w:rsidRPr="00FD0BC6">
              <w:rPr>
                <w:rFonts w:ascii="Fira Sans" w:hAnsi="Fira Sans"/>
              </w:rPr>
              <w:tab/>
            </w:r>
          </w:p>
        </w:tc>
        <w:tc>
          <w:tcPr>
            <w:tcW w:w="322" w:type="dxa"/>
            <w:tcBorders>
              <w:left w:val="nil"/>
            </w:tcBorders>
            <w:shd w:val="clear" w:color="auto" w:fill="auto"/>
            <w:vAlign w:val="bottom"/>
          </w:tcPr>
          <w:p w:rsidR="00EB0C80" w:rsidRPr="00FD0BC6" w:rsidRDefault="00EB0C80" w:rsidP="00EB0C80">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86,0</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91,9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99,1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98,7</w:t>
            </w:r>
          </w:p>
        </w:tc>
        <w:tc>
          <w:tcPr>
            <w:tcW w:w="909" w:type="dxa"/>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101,1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106,9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111,8</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117,4</w:t>
            </w:r>
          </w:p>
        </w:tc>
      </w:tr>
      <w:tr w:rsidR="00284CE4" w:rsidRPr="00FD0BC6" w:rsidTr="002056CF">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122,6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91,2</w:t>
            </w:r>
          </w:p>
        </w:tc>
        <w:tc>
          <w:tcPr>
            <w:tcW w:w="909" w:type="dxa"/>
            <w:shd w:val="clear" w:color="auto" w:fill="auto"/>
            <w:vAlign w:val="bottom"/>
          </w:tcPr>
          <w:p w:rsidR="00284CE4" w:rsidRPr="00FD0BC6" w:rsidRDefault="004A45C6" w:rsidP="00F65F8F">
            <w:pPr>
              <w:pStyle w:val="wartocibezgwiazdek"/>
              <w:spacing w:before="100"/>
              <w:rPr>
                <w:rFonts w:ascii="Fira Sans" w:hAnsi="Fira Sans"/>
                <w:color w:val="auto"/>
              </w:rPr>
            </w:pPr>
            <w:r>
              <w:rPr>
                <w:rFonts w:ascii="Fira Sans" w:hAnsi="Fira Sans"/>
                <w:color w:val="auto"/>
              </w:rPr>
              <w:t>89,8</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97,1</w:t>
            </w:r>
          </w:p>
        </w:tc>
        <w:tc>
          <w:tcPr>
            <w:tcW w:w="909" w:type="dxa"/>
            <w:shd w:val="clear" w:color="auto" w:fill="auto"/>
            <w:vAlign w:val="bottom"/>
          </w:tcPr>
          <w:p w:rsidR="00284CE4" w:rsidRPr="00FD0BC6" w:rsidRDefault="004A45C6" w:rsidP="00F65F8F">
            <w:pPr>
              <w:pStyle w:val="wartocibezgwiazdek"/>
              <w:spacing w:before="100"/>
              <w:rPr>
                <w:rFonts w:ascii="Fira Sans" w:hAnsi="Fira Sans"/>
                <w:color w:val="auto"/>
              </w:rPr>
            </w:pPr>
            <w:r>
              <w:rPr>
                <w:rFonts w:ascii="Fira Sans" w:hAnsi="Fira Sans"/>
                <w:color w:val="auto"/>
              </w:rPr>
              <w:t>96,0</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116,2</w:t>
            </w:r>
          </w:p>
        </w:tc>
        <w:tc>
          <w:tcPr>
            <w:tcW w:w="909" w:type="dxa"/>
            <w:shd w:val="clear" w:color="auto" w:fill="DFC9EF"/>
            <w:vAlign w:val="bottom"/>
          </w:tcPr>
          <w:p w:rsidR="00284CE4" w:rsidRPr="00FD0BC6" w:rsidRDefault="007D688F" w:rsidP="00F65F8F">
            <w:pPr>
              <w:pStyle w:val="wartocibezgwiazdek"/>
              <w:spacing w:before="100"/>
              <w:rPr>
                <w:rFonts w:ascii="Fira Sans" w:hAnsi="Fira Sans"/>
                <w:color w:val="auto"/>
              </w:rPr>
            </w:pPr>
            <w:r>
              <w:rPr>
                <w:rFonts w:ascii="Fira Sans" w:hAnsi="Fira Sans"/>
                <w:color w:val="auto"/>
              </w:rPr>
              <w:t>120,4</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284CE4" w:rsidRPr="00FD0BC6" w:rsidTr="002056CF">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r w:rsidRPr="00FD0BC6">
              <w:rPr>
                <w:rFonts w:ascii="Fira Sans" w:hAnsi="Fira Sans"/>
              </w:rPr>
              <w:t>Sprzedaż detaliczna towarów</w:t>
            </w:r>
            <w:r w:rsidRPr="00FD0BC6">
              <w:rPr>
                <w:rFonts w:ascii="Fira Sans" w:hAnsi="Fira Sans"/>
                <w:i/>
                <w:vertAlign w:val="superscript"/>
              </w:rPr>
              <w:t xml:space="preserve"> a</w:t>
            </w:r>
            <w:r w:rsidRPr="00FD0BC6">
              <w:rPr>
                <w:rFonts w:ascii="Fira Sans" w:hAnsi="Fira Sans"/>
              </w:rPr>
              <w:t xml:space="preserve"> (w cenach bieżących):</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858BF" w:rsidRPr="00FD0BC6" w:rsidTr="002056CF">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84,1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110,6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102,7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104,2</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106,9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103,2</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93,7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88,6</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111,1</w:t>
            </w:r>
          </w:p>
        </w:tc>
      </w:tr>
      <w:tr w:rsidR="000858BF" w:rsidRPr="00FD0BC6" w:rsidTr="002056CF">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vAlign w:val="bottom"/>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80,9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84,2</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105,6</w:t>
            </w:r>
          </w:p>
        </w:tc>
        <w:tc>
          <w:tcPr>
            <w:tcW w:w="909" w:type="dxa"/>
            <w:shd w:val="clear" w:color="auto" w:fill="DFC9EF"/>
            <w:vAlign w:val="bottom"/>
          </w:tcPr>
          <w:p w:rsidR="000858BF" w:rsidRPr="00FD0BC6" w:rsidRDefault="00CB5EF2" w:rsidP="000858BF">
            <w:pPr>
              <w:pStyle w:val="wartocibezgwiazdek"/>
              <w:spacing w:before="100"/>
              <w:rPr>
                <w:rFonts w:ascii="Fira Sans" w:hAnsi="Fira Sans"/>
              </w:rPr>
            </w:pPr>
            <w:r>
              <w:rPr>
                <w:rFonts w:ascii="Fira Sans" w:hAnsi="Fira Sans"/>
              </w:rPr>
              <w:t>116,3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0858BF" w:rsidRPr="00FD0BC6" w:rsidTr="002056CF">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97,2</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105,8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107,1</w:t>
            </w:r>
          </w:p>
        </w:tc>
      </w:tr>
      <w:tr w:rsidR="000858BF" w:rsidRPr="00FD0BC6" w:rsidTr="002056CF">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82,1</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93,8</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95,0</w:t>
            </w:r>
          </w:p>
        </w:tc>
        <w:tc>
          <w:tcPr>
            <w:tcW w:w="909" w:type="dxa"/>
            <w:shd w:val="clear" w:color="auto" w:fill="DFC9EF"/>
            <w:vAlign w:val="bottom"/>
          </w:tcPr>
          <w:p w:rsidR="000858BF" w:rsidRPr="00FD0BC6" w:rsidRDefault="00CB5EF2" w:rsidP="000858BF">
            <w:pPr>
              <w:pStyle w:val="wartocibezgwiazdek"/>
              <w:spacing w:before="100"/>
              <w:rPr>
                <w:rFonts w:ascii="Fira Sans" w:hAnsi="Fira Sans"/>
              </w:rPr>
            </w:pPr>
            <w:r>
              <w:rPr>
                <w:rFonts w:ascii="Fira Sans" w:hAnsi="Fira Sans"/>
              </w:rPr>
              <w:t>103,4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284CE4" w:rsidRPr="00FD0BC6" w:rsidTr="002056CF">
        <w:tc>
          <w:tcPr>
            <w:tcW w:w="4588" w:type="dxa"/>
            <w:gridSpan w:val="2"/>
            <w:shd w:val="clear" w:color="auto" w:fill="auto"/>
          </w:tcPr>
          <w:p w:rsidR="00284CE4" w:rsidRPr="00FD0BC6" w:rsidRDefault="00284CE4" w:rsidP="00F65F8F">
            <w:pPr>
              <w:pStyle w:val="Boczek"/>
              <w:spacing w:before="100"/>
              <w:rPr>
                <w:rFonts w:ascii="Fira Sans" w:hAnsi="Fira Sans"/>
              </w:rPr>
            </w:pPr>
            <w:r w:rsidRPr="00FD0BC6">
              <w:rPr>
                <w:rFonts w:ascii="Fira Sans" w:hAnsi="Fira Sans"/>
              </w:rPr>
              <w:t>Wskaźnik rentowności obrotu w przedsiębiorstwach</w:t>
            </w:r>
            <w:r w:rsidRPr="00FD0BC6">
              <w:rPr>
                <w:rFonts w:ascii="Fira Sans" w:hAnsi="Fira Sans"/>
                <w:i/>
                <w:vertAlign w:val="superscript"/>
              </w:rPr>
              <w:t xml:space="preserve"> b</w:t>
            </w:r>
            <w:r w:rsidRPr="00FD0BC6">
              <w:rPr>
                <w:rFonts w:ascii="Fira Sans" w:hAnsi="Fira Sans"/>
              </w:rPr>
              <w:t>:</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r>
      <w:tr w:rsidR="00CA6FE7" w:rsidRPr="00FD0BC6" w:rsidTr="002056CF">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brutto</w:t>
            </w:r>
            <w:r w:rsidRPr="00FD0BC6">
              <w:rPr>
                <w:rFonts w:ascii="Fira Sans" w:hAnsi="Fira Sans"/>
                <w:i/>
                <w:vertAlign w:val="superscript"/>
              </w:rPr>
              <w:t xml:space="preserve"> c</w:t>
            </w:r>
            <w:r w:rsidRPr="00FD0BC6">
              <w:rPr>
                <w:rFonts w:ascii="Fira Sans" w:hAnsi="Fira Sans"/>
                <w:i/>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5,6</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5,3</w:t>
            </w:r>
          </w:p>
        </w:tc>
        <w:tc>
          <w:tcPr>
            <w:tcW w:w="909" w:type="dxa"/>
            <w:shd w:val="clear" w:color="auto" w:fill="DFC9EF"/>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5,0</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4,6</w:t>
            </w:r>
          </w:p>
        </w:tc>
      </w:tr>
      <w:tr w:rsidR="00CA6FE7" w:rsidRPr="00FD0BC6" w:rsidTr="002056CF">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5,3</w:t>
            </w:r>
          </w:p>
        </w:tc>
        <w:tc>
          <w:tcPr>
            <w:tcW w:w="909" w:type="dxa"/>
            <w:shd w:val="clear" w:color="auto" w:fill="auto"/>
            <w:vAlign w:val="bottom"/>
          </w:tcPr>
          <w:p w:rsidR="00CA6FE7" w:rsidRPr="009048E9"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5,5</w:t>
            </w:r>
          </w:p>
        </w:tc>
        <w:tc>
          <w:tcPr>
            <w:tcW w:w="909" w:type="dxa"/>
            <w:shd w:val="clear" w:color="auto" w:fill="DFC9EF"/>
            <w:vAlign w:val="bottom"/>
          </w:tcPr>
          <w:p w:rsidR="00CA6FE7" w:rsidRPr="00FD0BC6"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B67B45" w:rsidRDefault="00CA6FE7" w:rsidP="001E70D0">
            <w:pPr>
              <w:pStyle w:val="Wartoci"/>
              <w:spacing w:before="100"/>
              <w:ind w:right="51"/>
              <w:rPr>
                <w:rFonts w:ascii="Fira Sans" w:hAnsi="Fira Sans"/>
              </w:rPr>
            </w:pPr>
          </w:p>
        </w:tc>
      </w:tr>
      <w:tr w:rsidR="00CA6FE7" w:rsidRPr="00FD0BC6" w:rsidTr="002056CF">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netto</w:t>
            </w:r>
            <w:r w:rsidRPr="00FD0BC6">
              <w:rPr>
                <w:rFonts w:ascii="Fira Sans" w:hAnsi="Fira Sans"/>
                <w:i/>
                <w:color w:val="000000"/>
                <w:vertAlign w:val="superscript"/>
              </w:rPr>
              <w:t xml:space="preserve"> d</w:t>
            </w:r>
            <w:r w:rsidRPr="00FD0BC6">
              <w:rPr>
                <w:rFonts w:ascii="Fira Sans" w:hAnsi="Fira Sans"/>
                <w:color w:val="000000"/>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4,8</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4,3</w:t>
            </w:r>
          </w:p>
        </w:tc>
        <w:tc>
          <w:tcPr>
            <w:tcW w:w="909" w:type="dxa"/>
            <w:shd w:val="clear" w:color="auto" w:fill="DFC9EF"/>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4,1</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3,6</w:t>
            </w:r>
          </w:p>
        </w:tc>
      </w:tr>
      <w:tr w:rsidR="00CA6FE7" w:rsidRPr="00033961" w:rsidTr="002056CF">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4,1</w:t>
            </w:r>
          </w:p>
        </w:tc>
        <w:tc>
          <w:tcPr>
            <w:tcW w:w="909" w:type="dxa"/>
            <w:shd w:val="clear" w:color="auto" w:fill="auto"/>
            <w:vAlign w:val="bottom"/>
          </w:tcPr>
          <w:p w:rsidR="00CA6FE7" w:rsidRPr="00A27288"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4,4</w:t>
            </w:r>
          </w:p>
        </w:tc>
        <w:tc>
          <w:tcPr>
            <w:tcW w:w="909" w:type="dxa"/>
            <w:shd w:val="clear" w:color="auto" w:fill="DFC9EF"/>
            <w:vAlign w:val="bottom"/>
          </w:tcPr>
          <w:p w:rsidR="00CA6FE7" w:rsidRPr="00A27288"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971098" w:rsidRDefault="00CA6FE7" w:rsidP="001E70D0">
            <w:pPr>
              <w:pStyle w:val="Wartoci"/>
              <w:spacing w:before="100"/>
              <w:ind w:right="51"/>
              <w:rPr>
                <w:rFonts w:ascii="Fira Sans" w:hAnsi="Fira Sans"/>
              </w:rPr>
            </w:pPr>
          </w:p>
        </w:tc>
      </w:tr>
      <w:tr w:rsidR="00CA6FE7" w:rsidRPr="00971098" w:rsidTr="002056CF">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Nakłady inwestycyjne przedsiębiorstw</w:t>
            </w:r>
            <w:r w:rsidRPr="00FD0BC6">
              <w:rPr>
                <w:rFonts w:ascii="Fira Sans" w:hAnsi="Fira Sans"/>
                <w:i/>
                <w:vertAlign w:val="superscript"/>
              </w:rPr>
              <w:t xml:space="preserve"> b</w:t>
            </w:r>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314804</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658732</w:t>
            </w:r>
          </w:p>
        </w:tc>
        <w:tc>
          <w:tcPr>
            <w:tcW w:w="909" w:type="dxa"/>
            <w:shd w:val="clear" w:color="auto" w:fill="DFC9EF"/>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1038486</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1E70D0">
            <w:pPr>
              <w:pStyle w:val="Wartoci"/>
              <w:spacing w:before="100"/>
              <w:ind w:right="51"/>
              <w:rPr>
                <w:rFonts w:ascii="Fira Sans" w:hAnsi="Fira Sans"/>
              </w:rPr>
            </w:pPr>
            <w:r w:rsidRPr="00BF45E9">
              <w:rPr>
                <w:rFonts w:ascii="Fira Sans" w:hAnsi="Fira Sans"/>
              </w:rPr>
              <w:t>1610683</w:t>
            </w:r>
          </w:p>
        </w:tc>
      </w:tr>
      <w:tr w:rsidR="00CA6FE7" w:rsidRPr="00FD0BC6" w:rsidTr="002056CF">
        <w:tc>
          <w:tcPr>
            <w:tcW w:w="4266" w:type="dxa"/>
            <w:vMerge/>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5B4EB4" w:rsidP="001E70D0">
            <w:pPr>
              <w:pStyle w:val="wartocibezgwiazdek"/>
              <w:spacing w:before="100"/>
              <w:rPr>
                <w:rFonts w:ascii="Fira Sans" w:hAnsi="Fira Sans"/>
              </w:rPr>
            </w:pPr>
            <w:r>
              <w:rPr>
                <w:rFonts w:ascii="Fira Sans" w:hAnsi="Fira Sans"/>
              </w:rPr>
              <w:t>322257</w:t>
            </w:r>
          </w:p>
        </w:tc>
        <w:tc>
          <w:tcPr>
            <w:tcW w:w="909" w:type="dxa"/>
            <w:shd w:val="clear" w:color="auto" w:fill="auto"/>
            <w:vAlign w:val="bottom"/>
          </w:tcPr>
          <w:p w:rsidR="00CA6FE7" w:rsidRPr="00E25B4B" w:rsidRDefault="005B4EB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3B778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1E70D0">
            <w:pPr>
              <w:pStyle w:val="wartocibezgwiazdek"/>
              <w:spacing w:before="100"/>
              <w:rPr>
                <w:rFonts w:ascii="Fira Sans" w:hAnsi="Fira Sans"/>
              </w:rPr>
            </w:pPr>
            <w:r w:rsidRPr="00317153">
              <w:rPr>
                <w:rFonts w:ascii="Fira Sans" w:hAnsi="Fira Sans"/>
              </w:rPr>
              <w:t>712588</w:t>
            </w:r>
          </w:p>
        </w:tc>
        <w:tc>
          <w:tcPr>
            <w:tcW w:w="909" w:type="dxa"/>
            <w:shd w:val="clear" w:color="auto" w:fill="DFC9EF"/>
            <w:vAlign w:val="bottom"/>
          </w:tcPr>
          <w:p w:rsidR="00CA6FE7" w:rsidRPr="00E25B4B" w:rsidRDefault="00317153"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BA2224" w:rsidRDefault="00CA6FE7" w:rsidP="001E70D0">
            <w:pPr>
              <w:pStyle w:val="Wartoci"/>
              <w:spacing w:before="100"/>
              <w:ind w:right="51"/>
              <w:rPr>
                <w:rFonts w:ascii="Fira Sans" w:hAnsi="Fira Sans"/>
              </w:rPr>
            </w:pPr>
          </w:p>
        </w:tc>
      </w:tr>
      <w:tr w:rsidR="00CA6FE7" w:rsidRPr="00BA2224" w:rsidTr="002056CF">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analogiczny okres poprzedniego roku = 100 (ceny bieżące)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142,8</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124,9</w:t>
            </w:r>
          </w:p>
        </w:tc>
        <w:tc>
          <w:tcPr>
            <w:tcW w:w="909" w:type="dxa"/>
            <w:shd w:val="clear" w:color="auto" w:fill="DFC9EF"/>
            <w:vAlign w:val="bottom"/>
          </w:tcPr>
          <w:p w:rsidR="00CA6FE7" w:rsidRPr="00BA3127" w:rsidRDefault="00CA6FE7"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BF45E9">
            <w:pPr>
              <w:pStyle w:val="Wartoci"/>
              <w:spacing w:before="100"/>
              <w:ind w:right="51"/>
              <w:rPr>
                <w:rFonts w:ascii="Fira Sans" w:hAnsi="Fira Sans"/>
              </w:rPr>
            </w:pPr>
            <w:r w:rsidRPr="00BF45E9">
              <w:rPr>
                <w:rFonts w:ascii="Fira Sans" w:hAnsi="Fira Sans"/>
              </w:rPr>
              <w:t>111,9</w:t>
            </w:r>
          </w:p>
        </w:tc>
      </w:tr>
      <w:tr w:rsidR="00CA6FE7" w:rsidRPr="00FD0BC6" w:rsidTr="002056CF">
        <w:tc>
          <w:tcPr>
            <w:tcW w:w="4266" w:type="dxa"/>
            <w:vMerge/>
            <w:tcBorders>
              <w:right w:val="nil"/>
            </w:tcBorders>
            <w:shd w:val="clear" w:color="auto" w:fill="auto"/>
          </w:tcPr>
          <w:p w:rsidR="00CA6FE7" w:rsidRPr="00FD0BC6" w:rsidRDefault="00CA6FE7" w:rsidP="00F65F8F">
            <w:pPr>
              <w:pStyle w:val="Boczek"/>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5B4EB4" w:rsidP="005B4EB4">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A6FE7" w:rsidRPr="00E25B4B" w:rsidRDefault="00CC2106"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D82CCE"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F65F8F">
            <w:pPr>
              <w:pStyle w:val="wartocibezgwiazdek"/>
              <w:spacing w:before="100"/>
              <w:rPr>
                <w:rFonts w:ascii="Fira Sans" w:hAnsi="Fira Sans"/>
              </w:rPr>
            </w:pPr>
            <w:r w:rsidRPr="00317153">
              <w:rPr>
                <w:rFonts w:ascii="Fira Sans" w:hAnsi="Fira Sans"/>
              </w:rPr>
              <w:t>108,2</w:t>
            </w:r>
          </w:p>
        </w:tc>
        <w:tc>
          <w:tcPr>
            <w:tcW w:w="909" w:type="dxa"/>
            <w:shd w:val="clear" w:color="auto" w:fill="DFC9EF"/>
            <w:vAlign w:val="bottom"/>
          </w:tcPr>
          <w:p w:rsidR="00CA6FE7" w:rsidRPr="00BA3127" w:rsidRDefault="00317153" w:rsidP="00F65F8F">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F65F8F">
            <w:pPr>
              <w:pStyle w:val="wartocibezgwiazdek"/>
              <w:spacing w:before="100"/>
              <w:rPr>
                <w:rFonts w:ascii="Fira Sans" w:hAnsi="Fira Sans"/>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r>
      <w:tr w:rsidR="00C2113E" w:rsidRPr="00FD0BC6" w:rsidTr="002056CF">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r w:rsidRPr="00FD0BC6">
              <w:rPr>
                <w:rFonts w:ascii="Fira Sans" w:hAnsi="Fira Sans"/>
              </w:rPr>
              <w:t>Podmioty gospodarki narodowej</w:t>
            </w:r>
            <w:r w:rsidRPr="00FD0BC6">
              <w:rPr>
                <w:rFonts w:ascii="Fira Sans" w:hAnsi="Fira Sans"/>
                <w:i/>
                <w:vertAlign w:val="superscript"/>
              </w:rPr>
              <w:t xml:space="preserve"> e</w:t>
            </w:r>
            <w:r w:rsidRPr="00FD0BC6">
              <w:rPr>
                <w:rFonts w:ascii="Fira Sans" w:hAnsi="Fira Sans"/>
              </w:rPr>
              <w:t xml:space="preserve"> w rejestrze REGON (stan w końcu okresu)</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113778</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114092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114352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114650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115203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115602</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115869</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116132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116316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116600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116773</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116493</w:t>
            </w:r>
          </w:p>
        </w:tc>
      </w:tr>
      <w:tr w:rsidR="00C2113E" w:rsidRPr="00FD0BC6" w:rsidTr="002056CF">
        <w:tc>
          <w:tcPr>
            <w:tcW w:w="4266" w:type="dxa"/>
            <w:tcBorders>
              <w:right w:val="nil"/>
            </w:tcBorders>
            <w:shd w:val="clear" w:color="auto" w:fill="auto"/>
          </w:tcPr>
          <w:p w:rsidR="00C2113E" w:rsidRPr="00FD0BC6" w:rsidRDefault="00C2113E" w:rsidP="00C2113E">
            <w:pPr>
              <w:pStyle w:val="Boczek"/>
              <w:tabs>
                <w:tab w:val="right" w:leader="dot" w:pos="4253"/>
              </w:tabs>
              <w:spacing w:before="100"/>
              <w:ind w:left="34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116306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116474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sidRPr="00CA5AC0">
              <w:rPr>
                <w:rFonts w:ascii="Fira Sans" w:hAnsi="Fira Sans"/>
              </w:rPr>
              <w:t>116796</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117206</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117818</w:t>
            </w:r>
          </w:p>
        </w:tc>
        <w:tc>
          <w:tcPr>
            <w:tcW w:w="909" w:type="dxa"/>
            <w:shd w:val="clear" w:color="auto" w:fill="DFC9EF"/>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118424</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2056CF">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r w:rsidRPr="00FD0BC6">
              <w:rPr>
                <w:rFonts w:ascii="Fira Sans" w:hAnsi="Fira Sans"/>
              </w:rPr>
              <w:t>w tym spółki handlowe</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6589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6664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6707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6747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6770</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6804</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6841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6851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6917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6956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6996</w:t>
            </w:r>
          </w:p>
        </w:tc>
      </w:tr>
      <w:tr w:rsidR="00C2113E" w:rsidRPr="00FD0BC6" w:rsidTr="002056CF">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7040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7112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7155</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7181</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7204</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7261</w:t>
            </w:r>
          </w:p>
        </w:tc>
        <w:tc>
          <w:tcPr>
            <w:tcW w:w="909" w:type="dxa"/>
            <w:shd w:val="clear" w:color="auto" w:fill="DFC9EF"/>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7300</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2056CF">
        <w:tc>
          <w:tcPr>
            <w:tcW w:w="4266" w:type="dxa"/>
            <w:tcBorders>
              <w:right w:val="nil"/>
            </w:tcBorders>
            <w:shd w:val="clear" w:color="auto" w:fill="auto"/>
          </w:tcPr>
          <w:p w:rsidR="00C2113E" w:rsidRPr="00FD0BC6" w:rsidRDefault="00C2113E" w:rsidP="00C2113E">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527</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525</w:t>
            </w:r>
          </w:p>
        </w:tc>
      </w:tr>
      <w:tr w:rsidR="00C2113E" w:rsidRPr="00FD0BC6" w:rsidTr="002056CF">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536</w:t>
            </w:r>
          </w:p>
        </w:tc>
        <w:tc>
          <w:tcPr>
            <w:tcW w:w="909" w:type="dxa"/>
            <w:shd w:val="clear" w:color="auto" w:fill="auto"/>
            <w:vAlign w:val="bottom"/>
          </w:tcPr>
          <w:p w:rsidR="00C2113E" w:rsidRPr="00FD0BC6" w:rsidRDefault="00527ACB"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541</w:t>
            </w:r>
          </w:p>
        </w:tc>
        <w:tc>
          <w:tcPr>
            <w:tcW w:w="909" w:type="dxa"/>
            <w:shd w:val="clear" w:color="auto" w:fill="DFC9EF"/>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543</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W przedsiębiorstwach, w których liczba pracujących przekracza 9 osób. </w:t>
      </w:r>
      <w:r w:rsidRPr="00DD684A">
        <w:rPr>
          <w:rFonts w:ascii="Fira Sans" w:hAnsi="Fira Sans"/>
          <w:i/>
          <w:vertAlign w:val="superscript"/>
        </w:rPr>
        <w:t>b</w:t>
      </w:r>
      <w:r w:rsidRPr="00FD0BC6">
        <w:rPr>
          <w:rFonts w:ascii="Fira Sans" w:hAnsi="Fira Sans"/>
        </w:rPr>
        <w:t xml:space="preserve"> W przedsiębiorstwach, w których liczba pracujących przekracza 49 osób; dane są prezentowane narastająco. </w:t>
      </w:r>
      <w:r w:rsidRPr="00DD684A">
        <w:rPr>
          <w:rFonts w:ascii="Fira Sans" w:hAnsi="Fira Sans"/>
          <w:i/>
          <w:vertAlign w:val="superscript"/>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DD684A">
        <w:rPr>
          <w:rFonts w:ascii="Fira Sans" w:hAnsi="Fira Sans"/>
          <w:i/>
          <w:vertAlign w:val="superscript"/>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DD684A">
        <w:rPr>
          <w:rFonts w:ascii="Fira Sans" w:hAnsi="Fira Sans"/>
          <w:i/>
          <w:vertAlign w:val="superscript"/>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rsidR="00284CE4" w:rsidRDefault="00284CE4"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sectPr w:rsidR="00C610D6" w:rsidSect="002C0678">
          <w:headerReference w:type="default" r:id="rId45"/>
          <w:footerReference w:type="default" r:id="rId46"/>
          <w:pgSz w:w="16838" w:h="11906" w:orient="landscape"/>
          <w:pgMar w:top="720" w:right="720" w:bottom="720" w:left="720" w:header="170" w:footer="284" w:gutter="0"/>
          <w:paperSrc w:first="7"/>
          <w:cols w:space="708"/>
          <w:docGrid w:linePitch="360"/>
        </w:sectPr>
      </w:pPr>
    </w:p>
    <w:p w:rsidR="00C610D6" w:rsidRDefault="00C610D6" w:rsidP="00C610D6">
      <w:pPr>
        <w:pageBreakBefore/>
      </w:pPr>
      <w:r>
        <w:lastRenderedPageBreak/>
        <w:t xml:space="preserve">W przypadku cytowania danych Głównego Urzędu Statystycznego prosimy o zamieszczenie informacji: „Źródło danych GUS”, a </w:t>
      </w:r>
      <w:r w:rsidR="00E60947" w:rsidRPr="001570E3">
        <w:t>w</w:t>
      </w:r>
      <w:r w:rsidR="001B47CA">
        <w:t xml:space="preserve"> </w:t>
      </w:r>
      <w:r>
        <w:t>przypadku publikowania obliczeń dokonanych na danych opublikowanych przez GUS prosimy o zamieszczenie informacji: „Opracowanie własne na podstawie danych GUS”.</w:t>
      </w:r>
    </w:p>
    <w:p w:rsidR="00C610D6" w:rsidRDefault="00C610D6" w:rsidP="00C610D6"/>
    <w:p w:rsidR="00C610D6" w:rsidRDefault="00C610D6" w:rsidP="00C610D6">
      <w:pPr>
        <w:rPr>
          <w:sz w:val="18"/>
        </w:rPr>
      </w:pPr>
    </w:p>
    <w:tbl>
      <w:tblPr>
        <w:tblpPr w:leftFromText="141" w:rightFromText="141" w:vertAnchor="text" w:horzAnchor="margin" w:tblpY="32"/>
        <w:tblW w:w="0" w:type="auto"/>
        <w:tblLook w:val="04A0" w:firstRow="1" w:lastRow="0" w:firstColumn="1" w:lastColumn="0" w:noHBand="0" w:noVBand="1"/>
      </w:tblPr>
      <w:tblGrid>
        <w:gridCol w:w="4379"/>
        <w:gridCol w:w="3942"/>
      </w:tblGrid>
      <w:tr w:rsidR="007A26BE" w:rsidRPr="008F3638" w:rsidTr="007A26BE">
        <w:trPr>
          <w:trHeight w:val="1912"/>
        </w:trPr>
        <w:tc>
          <w:tcPr>
            <w:tcW w:w="4379" w:type="dxa"/>
          </w:tcPr>
          <w:p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rsidR="007A26BE" w:rsidRDefault="007A26BE" w:rsidP="007A26BE">
            <w:pPr>
              <w:spacing w:before="0" w:after="0" w:line="276" w:lineRule="auto"/>
              <w:rPr>
                <w:rFonts w:cs="Arial"/>
                <w:b/>
                <w:color w:val="000000" w:themeColor="text1"/>
                <w:sz w:val="20"/>
              </w:rPr>
            </w:pPr>
            <w:r w:rsidRPr="00956F30">
              <w:rPr>
                <w:rFonts w:cs="Arial"/>
                <w:b/>
                <w:color w:val="000000" w:themeColor="text1"/>
                <w:sz w:val="20"/>
              </w:rPr>
              <w:t xml:space="preserve">Dyrektor </w:t>
            </w:r>
            <w:r>
              <w:rPr>
                <w:rFonts w:cs="Arial"/>
                <w:b/>
                <w:color w:val="000000" w:themeColor="text1"/>
                <w:sz w:val="20"/>
              </w:rPr>
              <w:t>Agnieszka Piotrowska-Piątek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Pr="008F3638">
              <w:rPr>
                <w:rFonts w:ascii="Fira Sans" w:hAnsi="Fira Sans" w:cs="Arial"/>
                <w:color w:val="000000" w:themeColor="text1"/>
                <w:sz w:val="20"/>
                <w:lang w:val="fi-FI"/>
              </w:rPr>
              <w:t>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BC02D6">
              <w:rPr>
                <w:rFonts w:ascii="Fira Sans" w:hAnsi="Fira Sans" w:cs="Arial"/>
                <w:color w:val="000000" w:themeColor="text1"/>
                <w:sz w:val="20"/>
                <w:lang w:val="fi-FI"/>
              </w:rPr>
              <w:t>3</w:t>
            </w:r>
          </w:p>
          <w:p w:rsidR="007A26BE" w:rsidRPr="008F3638" w:rsidRDefault="007A26BE" w:rsidP="007A26BE">
            <w:pPr>
              <w:pStyle w:val="Nagwek3"/>
              <w:spacing w:before="0" w:line="240" w:lineRule="auto"/>
              <w:rPr>
                <w:rFonts w:ascii="Fira Sans" w:hAnsi="Fira Sans"/>
                <w:color w:val="000000" w:themeColor="text1"/>
                <w:lang w:val="fi-FI"/>
              </w:rPr>
            </w:pPr>
          </w:p>
        </w:tc>
        <w:tc>
          <w:tcPr>
            <w:tcW w:w="3942" w:type="dxa"/>
          </w:tcPr>
          <w:p w:rsidR="007A26BE" w:rsidRPr="008F3638" w:rsidRDefault="007A26BE" w:rsidP="007A26BE">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7A26BE" w:rsidRPr="008F3638" w:rsidRDefault="007A26BE" w:rsidP="007A26BE">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20"/>
        </w:rPr>
      </w:pPr>
    </w:p>
    <w:p w:rsidR="007A26BE" w:rsidRDefault="007A26BE" w:rsidP="007A26B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57"/>
        <w:gridCol w:w="781"/>
        <w:gridCol w:w="4042"/>
      </w:tblGrid>
      <w:tr w:rsidR="007A26BE" w:rsidTr="00675A7F">
        <w:trPr>
          <w:trHeight w:val="610"/>
        </w:trPr>
        <w:tc>
          <w:tcPr>
            <w:tcW w:w="2721" w:type="pct"/>
            <w:vMerge w:val="restart"/>
          </w:tcPr>
          <w:p w:rsidR="007A26BE" w:rsidRPr="00C91687" w:rsidRDefault="007A26BE" w:rsidP="00675A7F">
            <w:pPr>
              <w:rPr>
                <w:b/>
                <w:sz w:val="20"/>
              </w:rPr>
            </w:pPr>
            <w:r w:rsidRPr="00C91687">
              <w:rPr>
                <w:b/>
                <w:sz w:val="20"/>
              </w:rPr>
              <w:t xml:space="preserve">Wydział Współpracy z Mediami </w:t>
            </w:r>
          </w:p>
          <w:p w:rsidR="007A26BE" w:rsidRPr="00C91687" w:rsidRDefault="007A26BE" w:rsidP="00675A7F">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7A26BE" w:rsidRPr="000A2B53" w:rsidRDefault="007A26BE" w:rsidP="00675A7F">
            <w:pPr>
              <w:rPr>
                <w:sz w:val="18"/>
                <w:lang w:val="de-DE"/>
              </w:rPr>
            </w:pPr>
            <w:proofErr w:type="spellStart"/>
            <w:r w:rsidRPr="000A2B53">
              <w:rPr>
                <w:b/>
                <w:sz w:val="20"/>
                <w:lang w:val="de-DE"/>
              </w:rPr>
              <w:t>e-mail</w:t>
            </w:r>
            <w:proofErr w:type="spellEnd"/>
            <w:r w:rsidRPr="000A2B53">
              <w:rPr>
                <w:b/>
                <w:sz w:val="20"/>
                <w:lang w:val="de-DE"/>
              </w:rPr>
              <w:t>:</w:t>
            </w:r>
            <w:r w:rsidRPr="000A2B53">
              <w:rPr>
                <w:sz w:val="20"/>
                <w:lang w:val="de-DE"/>
              </w:rPr>
              <w:t xml:space="preserve"> </w:t>
            </w:r>
            <w:hyperlink r:id="rId47" w:history="1">
              <w:r w:rsidRPr="000A2B53">
                <w:rPr>
                  <w:rStyle w:val="Hipercze"/>
                  <w:rFonts w:eastAsiaTheme="majorEastAsia" w:cs="Arial"/>
                  <w:b/>
                  <w:color w:val="auto"/>
                  <w:sz w:val="20"/>
                  <w:szCs w:val="20"/>
                  <w:lang w:val="de-DE"/>
                </w:rPr>
                <w:t>obslugaprasowa@stat.gov.pl</w:t>
              </w:r>
            </w:hyperlink>
          </w:p>
        </w:tc>
        <w:tc>
          <w:tcPr>
            <w:tcW w:w="369" w:type="pct"/>
            <w:vAlign w:val="center"/>
          </w:tcPr>
          <w:p w:rsidR="007A26BE" w:rsidRPr="000A2B53" w:rsidRDefault="007A26BE" w:rsidP="00675A7F">
            <w:pPr>
              <w:rPr>
                <w:sz w:val="18"/>
                <w:lang w:val="de-DE"/>
              </w:rPr>
            </w:pPr>
            <w:r>
              <w:rPr>
                <w:noProof/>
                <w:sz w:val="20"/>
                <w:lang w:eastAsia="pl-PL"/>
              </w:rPr>
              <w:drawing>
                <wp:anchor distT="0" distB="0" distL="114300" distR="114300" simplePos="0" relativeHeight="25164902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A26BE" w:rsidRDefault="007A26BE" w:rsidP="00675A7F">
            <w:pPr>
              <w:rPr>
                <w:sz w:val="18"/>
              </w:rPr>
            </w:pPr>
            <w:r w:rsidRPr="003D5F42">
              <w:rPr>
                <w:sz w:val="20"/>
              </w:rPr>
              <w:t>www.stat.gov.pl</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1072"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18"/>
              </w:rPr>
            </w:pPr>
            <w:r w:rsidRPr="003D5F42">
              <w:rPr>
                <w:sz w:val="20"/>
              </w:rPr>
              <w:t>@GUS_STAT</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004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20"/>
              </w:rPr>
            </w:pPr>
            <w:r w:rsidRPr="003D5F42">
              <w:rPr>
                <w:sz w:val="20"/>
              </w:rPr>
              <w:t>@</w:t>
            </w:r>
            <w:proofErr w:type="spellStart"/>
            <w:r w:rsidRPr="003D5F42">
              <w:rPr>
                <w:sz w:val="20"/>
              </w:rPr>
              <w:t>GlownyUrzadStatystyczny</w:t>
            </w:r>
            <w:proofErr w:type="spellEnd"/>
          </w:p>
        </w:tc>
      </w:tr>
    </w:tbl>
    <w:p w:rsidR="007A26BE" w:rsidRPr="00001C5B" w:rsidRDefault="0087522E" w:rsidP="007A26BE">
      <w:pPr>
        <w:rPr>
          <w:sz w:val="18"/>
        </w:rPr>
      </w:pPr>
      <w:r>
        <w:rPr>
          <w:noProof/>
          <w:lang w:eastAsia="pl-PL"/>
        </w:rPr>
        <w:pict>
          <v:shape id="Pole tekstowe 2" o:spid="_x0000_s1030" type="#_x0000_t202" style="position:absolute;margin-left:1.5pt;margin-top:33.5pt;width:516.5pt;height:349.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NzQAIAAHQ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JXnTc0ACAAB0BAAA&#10;DgAAAAAAAAAAAAAAAAAuAgAAZHJzL2Uyb0RvYy54bWxQSwECLQAUAAYACAAAACEAbsAxfN8AAAAJ&#10;AQAADwAAAAAAAAAAAAAAAACaBAAAZHJzL2Rvd25yZXYueG1sUEsFBgAAAAAEAAQA8wAAAKYFAAAA&#10;AA==&#10;" fillcolor="#f2f2f2 [3052]" strokecolor="white [3212]">
            <v:textbox>
              <w:txbxContent>
                <w:p w:rsidR="0087522E" w:rsidRDefault="0087522E" w:rsidP="007A26BE">
                  <w:pPr>
                    <w:rPr>
                      <w:b/>
                    </w:rPr>
                  </w:pPr>
                </w:p>
                <w:p w:rsidR="0087522E" w:rsidRPr="00675A7F" w:rsidRDefault="0087522E" w:rsidP="007A26BE">
                  <w:pPr>
                    <w:rPr>
                      <w:b/>
                    </w:rPr>
                  </w:pPr>
                  <w:r w:rsidRPr="00675A7F">
                    <w:rPr>
                      <w:b/>
                    </w:rPr>
                    <w:t>Powiązane opracowania</w:t>
                  </w:r>
                </w:p>
                <w:p w:rsidR="0087522E" w:rsidRPr="00BD206D" w:rsidRDefault="0087522E" w:rsidP="007A26BE">
                  <w:pPr>
                    <w:rPr>
                      <w:rStyle w:val="Hipercze"/>
                      <w:rFonts w:cs="Arial"/>
                      <w:color w:val="001D77"/>
                      <w:sz w:val="18"/>
                      <w:szCs w:val="30"/>
                      <w:shd w:val="clear" w:color="auto" w:fill="F0F0F0"/>
                    </w:rPr>
                  </w:pPr>
                  <w:hyperlink r:id="rId51" w:history="1">
                    <w:r w:rsidRPr="00BD206D">
                      <w:rPr>
                        <w:rStyle w:val="Hipercze"/>
                        <w:rFonts w:cs="Arial"/>
                        <w:color w:val="001D77"/>
                        <w:sz w:val="18"/>
                        <w:szCs w:val="30"/>
                        <w:shd w:val="clear" w:color="auto" w:fill="F0F0F0"/>
                      </w:rPr>
                      <w:t xml:space="preserve">Sytuacja społeczno-gospodarcza kraju w </w:t>
                    </w:r>
                    <w:r>
                      <w:rPr>
                        <w:rStyle w:val="Hipercze"/>
                        <w:rFonts w:cs="Arial"/>
                        <w:color w:val="001D77"/>
                        <w:sz w:val="18"/>
                        <w:szCs w:val="30"/>
                        <w:shd w:val="clear" w:color="auto" w:fill="F0F0F0"/>
                      </w:rPr>
                      <w:t xml:space="preserve">lipcu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87522E" w:rsidRPr="00BD206D" w:rsidRDefault="0087522E" w:rsidP="007A26BE">
                  <w:pPr>
                    <w:rPr>
                      <w:rStyle w:val="Hipercze"/>
                      <w:rFonts w:cs="Arial"/>
                      <w:color w:val="001D77"/>
                      <w:sz w:val="18"/>
                      <w:szCs w:val="30"/>
                      <w:shd w:val="clear" w:color="auto" w:fill="F0F0F0"/>
                    </w:rPr>
                  </w:pPr>
                  <w:hyperlink r:id="rId52" w:history="1">
                    <w:r w:rsidRPr="00BD206D">
                      <w:rPr>
                        <w:rStyle w:val="Hipercze"/>
                        <w:rFonts w:cs="Arial"/>
                        <w:color w:val="001D77"/>
                        <w:sz w:val="18"/>
                        <w:szCs w:val="30"/>
                        <w:shd w:val="clear" w:color="auto" w:fill="F0F0F0"/>
                      </w:rPr>
                      <w:t>Biuletyn Statystyczny GUS</w:t>
                    </w:r>
                  </w:hyperlink>
                </w:p>
                <w:p w:rsidR="0087522E" w:rsidRPr="00BD206D" w:rsidRDefault="0087522E" w:rsidP="007A26BE">
                  <w:pPr>
                    <w:rPr>
                      <w:rStyle w:val="Hipercze"/>
                      <w:rFonts w:cs="Arial"/>
                      <w:color w:val="001D77"/>
                      <w:sz w:val="18"/>
                      <w:szCs w:val="30"/>
                      <w:shd w:val="clear" w:color="auto" w:fill="F0F0F0"/>
                    </w:rPr>
                  </w:pPr>
                  <w:hyperlink r:id="rId53"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87522E" w:rsidRPr="00675A7F" w:rsidRDefault="0087522E" w:rsidP="007A26BE">
                  <w:pPr>
                    <w:rPr>
                      <w:b/>
                      <w:color w:val="000000" w:themeColor="text1"/>
                      <w:szCs w:val="24"/>
                    </w:rPr>
                  </w:pPr>
                </w:p>
                <w:p w:rsidR="0087522E" w:rsidRPr="00BD206D" w:rsidRDefault="0087522E" w:rsidP="007A26BE">
                  <w:pPr>
                    <w:rPr>
                      <w:b/>
                      <w:color w:val="000000" w:themeColor="text1"/>
                      <w:szCs w:val="24"/>
                    </w:rPr>
                  </w:pPr>
                  <w:r w:rsidRPr="00BD206D">
                    <w:rPr>
                      <w:b/>
                      <w:color w:val="000000" w:themeColor="text1"/>
                      <w:szCs w:val="24"/>
                    </w:rPr>
                    <w:t>Temat dostępny w bazach danych</w:t>
                  </w:r>
                </w:p>
                <w:p w:rsidR="0087522E" w:rsidRPr="00BD206D" w:rsidRDefault="0087522E" w:rsidP="007A26BE">
                  <w:pPr>
                    <w:rPr>
                      <w:rStyle w:val="Hipercze"/>
                      <w:rFonts w:cs="Arial"/>
                      <w:color w:val="001D77"/>
                      <w:sz w:val="18"/>
                      <w:szCs w:val="30"/>
                      <w:shd w:val="clear" w:color="auto" w:fill="F0F0F0"/>
                    </w:rPr>
                  </w:pPr>
                  <w:hyperlink r:id="rId54" w:history="1">
                    <w:r w:rsidRPr="00BD206D">
                      <w:rPr>
                        <w:rStyle w:val="Hipercze"/>
                        <w:rFonts w:cs="Arial"/>
                        <w:color w:val="001D77"/>
                        <w:sz w:val="18"/>
                        <w:szCs w:val="30"/>
                        <w:shd w:val="clear" w:color="auto" w:fill="F0F0F0"/>
                      </w:rPr>
                      <w:t>Bank Danych Lokalnych (BDL)</w:t>
                    </w:r>
                  </w:hyperlink>
                </w:p>
                <w:p w:rsidR="0087522E" w:rsidRPr="00BD206D" w:rsidRDefault="0087522E" w:rsidP="007A26BE">
                  <w:pPr>
                    <w:rPr>
                      <w:rStyle w:val="Hipercze"/>
                      <w:rFonts w:cs="Arial"/>
                      <w:color w:val="001D77"/>
                      <w:sz w:val="18"/>
                      <w:szCs w:val="30"/>
                      <w:shd w:val="clear" w:color="auto" w:fill="F0F0F0"/>
                    </w:rPr>
                  </w:pPr>
                  <w:hyperlink r:id="rId55" w:history="1">
                    <w:r w:rsidRPr="00BD206D">
                      <w:rPr>
                        <w:rStyle w:val="Hipercze"/>
                        <w:rFonts w:cs="Arial"/>
                        <w:color w:val="001D77"/>
                        <w:sz w:val="18"/>
                        <w:szCs w:val="30"/>
                        <w:shd w:val="clear" w:color="auto" w:fill="F0F0F0"/>
                      </w:rPr>
                      <w:t>Dziedzinowe Bazy Wiedzy (DBW)</w:t>
                    </w:r>
                  </w:hyperlink>
                </w:p>
                <w:p w:rsidR="0087522E" w:rsidRPr="00BD206D" w:rsidRDefault="0087522E" w:rsidP="007A26BE">
                  <w:pPr>
                    <w:rPr>
                      <w:b/>
                      <w:color w:val="000000" w:themeColor="text1"/>
                      <w:szCs w:val="24"/>
                    </w:rPr>
                  </w:pPr>
                </w:p>
                <w:p w:rsidR="0087522E" w:rsidRDefault="0087522E"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87522E" w:rsidRPr="00BD206D" w:rsidRDefault="0087522E" w:rsidP="007A26BE">
                  <w:pPr>
                    <w:rPr>
                      <w:rStyle w:val="Hipercze"/>
                      <w:rFonts w:cs="Arial"/>
                      <w:color w:val="001D77"/>
                      <w:sz w:val="18"/>
                      <w:szCs w:val="30"/>
                      <w:shd w:val="clear" w:color="auto" w:fill="F0F0F0"/>
                      <w:lang w:val="en-US"/>
                    </w:rPr>
                  </w:pPr>
                  <w:hyperlink r:id="rId56"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87522E" w:rsidRPr="007A26BE" w:rsidRDefault="0087522E" w:rsidP="007A26BE">
                  <w:pPr>
                    <w:rPr>
                      <w:b/>
                      <w:color w:val="000000" w:themeColor="text1"/>
                      <w:szCs w:val="24"/>
                      <w:lang w:val="en-US"/>
                    </w:rPr>
                  </w:pPr>
                </w:p>
              </w:txbxContent>
            </v:textbox>
            <w10:wrap type="square" anchorx="margin"/>
          </v:shape>
        </w:pict>
      </w:r>
    </w:p>
    <w:p w:rsidR="00591DA8" w:rsidRDefault="00591DA8" w:rsidP="00591DA8"/>
    <w:p w:rsidR="007A26BE" w:rsidRDefault="007A26BE" w:rsidP="00591DA8"/>
    <w:p w:rsidR="007A26BE" w:rsidRDefault="007A26BE" w:rsidP="00591DA8"/>
    <w:sectPr w:rsidR="007A26BE" w:rsidSect="002C0678">
      <w:headerReference w:type="default" r:id="rId57"/>
      <w:footerReference w:type="default" r:id="rId58"/>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22E" w:rsidRDefault="0087522E" w:rsidP="000662E2">
      <w:pPr>
        <w:spacing w:after="0" w:line="240" w:lineRule="auto"/>
      </w:pPr>
      <w:r>
        <w:separator/>
      </w:r>
    </w:p>
  </w:endnote>
  <w:endnote w:type="continuationSeparator" w:id="0">
    <w:p w:rsidR="0087522E" w:rsidRDefault="0087522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Fira Sans Light"/>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1CD464B9-5006-44C2-ACDD-9472C1C1FAA2}"/>
  </w:font>
  <w:font w:name="Fira Sans Extra Condensed SemiB">
    <w:panose1 w:val="020B0603050000020004"/>
    <w:charset w:val="EE"/>
    <w:family w:val="swiss"/>
    <w:pitch w:val="variable"/>
    <w:sig w:usb0="600002FF" w:usb1="00000001" w:usb2="00000000" w:usb3="00000000" w:csb0="0000019F" w:csb1="00000000"/>
    <w:embedRegular r:id="rId2" w:fontKey="{76E26842-5AA3-49F5-85D1-CA4ED1F9B2DF}"/>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3" w:fontKey="{E1E31ED5-5D84-4C8B-93DC-892C340B0D3E}"/>
  </w:font>
  <w:font w:name="Cambria">
    <w:panose1 w:val="02040503050406030204"/>
    <w:charset w:val="EE"/>
    <w:family w:val="roman"/>
    <w:pitch w:val="variable"/>
    <w:sig w:usb0="E00002FF" w:usb1="400004FF" w:usb2="00000000" w:usb3="00000000" w:csb0="0000019F" w:csb1="00000000"/>
    <w:embedBold r:id="rId4" w:fontKey="{AFB3B19F-25EA-40C3-94C3-5F9A84327BBF}"/>
  </w:font>
  <w:font w:name="Calibri">
    <w:panose1 w:val="020F0502020204030204"/>
    <w:charset w:val="EE"/>
    <w:family w:val="swiss"/>
    <w:pitch w:val="variable"/>
    <w:sig w:usb0="E00002FF" w:usb1="4000ACFF" w:usb2="00000001" w:usb3="00000000" w:csb0="0000019F" w:csb1="00000000"/>
    <w:embedRegular r:id="rId5" w:fontKey="{53649508-2AF6-46EF-BA42-0F1DE7BBF871}"/>
    <w:embedBold r:id="rId6" w:fontKey="{C2F9F0F2-22EC-43CA-9AD4-28313DC88257}"/>
    <w:embedItalic r:id="rId7" w:fontKey="{A9273992-E7E0-4FF5-9EDE-606F2AFA047C}"/>
    <w:embedBoldItalic r:id="rId8" w:fontKey="{E3EAED4D-DB8A-4631-AE9F-9CF6E1D4F86B}"/>
  </w:font>
  <w:font w:name="Arial Narrow">
    <w:panose1 w:val="020B0606020202030204"/>
    <w:charset w:val="EE"/>
    <w:family w:val="swiss"/>
    <w:pitch w:val="variable"/>
    <w:sig w:usb0="00000287" w:usb1="00000800" w:usb2="00000000" w:usb3="00000000" w:csb0="0000009F" w:csb1="00000000"/>
    <w:embedRegular r:id="rId9" w:fontKey="{5DA0F4CE-9638-490D-B4C3-2A409C1BB566}"/>
  </w:font>
  <w:font w:name="Myriad Pro">
    <w:altName w:val="Arial"/>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auto"/>
    <w:notTrueType/>
    <w:pitch w:val="default"/>
    <w:sig w:usb0="00000005" w:usb1="00000000" w:usb2="00000000" w:usb3="00000000" w:csb0="00000002" w:csb1="00000000"/>
  </w:font>
  <w:font w:name="FiraSans-Bold">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87522E" w:rsidRDefault="0087522E"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sidR="005A6EF8">
          <w:rPr>
            <w:noProof/>
          </w:rPr>
          <w:t>1</w:t>
        </w:r>
        <w:r>
          <w:rPr>
            <w:noProof/>
          </w:rPr>
          <w:fldChar w:fldCharType="end"/>
        </w:r>
      </w:p>
    </w:sdtContent>
  </w:sdt>
  <w:p w:rsidR="0087522E" w:rsidRDefault="0087522E"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795919"/>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sidR="005A6EF8">
          <w:rPr>
            <w:noProof/>
          </w:rPr>
          <w:t>7</w:t>
        </w:r>
        <w:r>
          <w:rPr>
            <w:noProof/>
          </w:rPr>
          <w:fldChar w:fldCharType="end"/>
        </w:r>
      </w:p>
    </w:sdtContent>
  </w:sdt>
  <w:p w:rsidR="0087522E" w:rsidRDefault="0087522E" w:rsidP="00591DA8">
    <w:pPr>
      <w:pStyle w:val="Stopka"/>
      <w:tabs>
        <w:tab w:val="clear" w:pos="9072"/>
        <w:tab w:val="left" w:pos="4963"/>
        <w:tab w:val="left" w:pos="5672"/>
        <w:tab w:val="left" w:pos="6381"/>
        <w:tab w:val="left" w:pos="7090"/>
      </w:tabs>
    </w:pPr>
    <w:r>
      <w:tab/>
    </w:r>
    <w:r>
      <w:tab/>
    </w:r>
    <w:r>
      <w:tab/>
    </w:r>
    <w:r>
      <w:tab/>
    </w:r>
    <w:r>
      <w:tab/>
    </w:r>
    <w:r>
      <w:tab/>
    </w:r>
  </w:p>
  <w:p w:rsidR="0087522E" w:rsidRDefault="0087522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995646"/>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sidR="005A6EF8">
          <w:rPr>
            <w:noProof/>
          </w:rPr>
          <w:t>14</w:t>
        </w:r>
        <w:r>
          <w:rPr>
            <w:noProof/>
          </w:rPr>
          <w:fldChar w:fldCharType="end"/>
        </w:r>
      </w:p>
    </w:sdtContent>
  </w:sdt>
  <w:p w:rsidR="0087522E" w:rsidRDefault="0087522E" w:rsidP="00591DA8">
    <w:pPr>
      <w:pStyle w:val="Stopka"/>
      <w:tabs>
        <w:tab w:val="clear" w:pos="9072"/>
        <w:tab w:val="left" w:pos="4963"/>
        <w:tab w:val="left" w:pos="5672"/>
        <w:tab w:val="left" w:pos="6381"/>
        <w:tab w:val="left" w:pos="7090"/>
      </w:tabs>
    </w:pPr>
    <w:r>
      <w:tab/>
    </w:r>
    <w:r>
      <w:tab/>
    </w:r>
    <w:r>
      <w:tab/>
    </w:r>
    <w:r>
      <w:tab/>
    </w:r>
    <w:r>
      <w:tab/>
    </w:r>
    <w:r>
      <w:tab/>
    </w:r>
  </w:p>
  <w:p w:rsidR="0087522E" w:rsidRDefault="0087522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857845"/>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sidR="005A6EF8">
          <w:rPr>
            <w:noProof/>
          </w:rPr>
          <w:t>31</w:t>
        </w:r>
        <w:r>
          <w:rPr>
            <w:noProof/>
          </w:rPr>
          <w:fldChar w:fldCharType="end"/>
        </w:r>
      </w:p>
    </w:sdtContent>
  </w:sdt>
  <w:p w:rsidR="0087522E" w:rsidRDefault="0087522E" w:rsidP="00591DA8">
    <w:pPr>
      <w:pStyle w:val="Stopka"/>
      <w:tabs>
        <w:tab w:val="clear" w:pos="9072"/>
        <w:tab w:val="left" w:pos="4963"/>
        <w:tab w:val="left" w:pos="5672"/>
        <w:tab w:val="left" w:pos="6381"/>
        <w:tab w:val="left" w:pos="7090"/>
      </w:tabs>
    </w:pPr>
    <w:r>
      <w:tab/>
    </w:r>
    <w:r>
      <w:tab/>
    </w:r>
    <w:r>
      <w:tab/>
    </w:r>
    <w:r>
      <w:tab/>
    </w: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Content>
      <w:p w:rsidR="0087522E" w:rsidRDefault="0087522E">
        <w:pPr>
          <w:pStyle w:val="Stopka"/>
          <w:jc w:val="right"/>
        </w:pPr>
        <w:r>
          <w:rPr>
            <w:noProof/>
          </w:rPr>
          <w:fldChar w:fldCharType="begin"/>
        </w:r>
        <w:r>
          <w:rPr>
            <w:noProof/>
          </w:rPr>
          <w:instrText>PAGE   \* MERGEFORMAT</w:instrText>
        </w:r>
        <w:r>
          <w:rPr>
            <w:noProof/>
          </w:rPr>
          <w:fldChar w:fldCharType="separate"/>
        </w:r>
        <w:r w:rsidR="005A6EF8">
          <w:rPr>
            <w:noProof/>
          </w:rPr>
          <w:t>32</w:t>
        </w:r>
        <w:r>
          <w:rPr>
            <w:noProof/>
          </w:rPr>
          <w:fldChar w:fldCharType="end"/>
        </w:r>
      </w:p>
    </w:sdtContent>
  </w:sdt>
  <w:p w:rsidR="0087522E" w:rsidRDefault="0087522E"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22E" w:rsidRDefault="0087522E" w:rsidP="000662E2">
      <w:pPr>
        <w:spacing w:after="0" w:line="240" w:lineRule="auto"/>
      </w:pPr>
      <w:r>
        <w:separator/>
      </w:r>
    </w:p>
  </w:footnote>
  <w:footnote w:type="continuationSeparator" w:id="0">
    <w:p w:rsidR="0087522E" w:rsidRDefault="0087522E" w:rsidP="000662E2">
      <w:pPr>
        <w:spacing w:after="0" w:line="240" w:lineRule="auto"/>
      </w:pPr>
      <w:r>
        <w:continuationSeparator/>
      </w:r>
    </w:p>
  </w:footnote>
  <w:footnote w:id="1">
    <w:p w:rsidR="0087522E" w:rsidRPr="00EC4C66" w:rsidRDefault="0087522E" w:rsidP="004156F3">
      <w:pPr>
        <w:pStyle w:val="Tekstprzypisudolnego"/>
        <w:ind w:left="113" w:hanging="113"/>
        <w:jc w:val="both"/>
        <w:rPr>
          <w:sz w:val="16"/>
          <w:szCs w:val="16"/>
        </w:rPr>
      </w:pPr>
      <w:r w:rsidRPr="00602205">
        <w:rPr>
          <w:rStyle w:val="Odwoanieprzypisudolnego"/>
        </w:rPr>
        <w:footnoteRef/>
      </w:r>
      <w:r w:rsidRPr="00A61E07">
        <w:rPr>
          <w:rFonts w:ascii="Arial" w:hAnsi="Arial" w:cs="Arial"/>
          <w:sz w:val="16"/>
          <w:szCs w:val="16"/>
        </w:rPr>
        <w:t xml:space="preserve"> </w:t>
      </w:r>
      <w:r w:rsidRPr="00EC4C66">
        <w:rPr>
          <w:rFonts w:cs="Arial"/>
          <w:sz w:val="16"/>
          <w:szCs w:val="16"/>
        </w:rPr>
        <w:t xml:space="preserve">Przeciętne wartości temperatur i opadów obliczono jako średnie arytmetyczne przeciętnych miesięcznych wartości </w:t>
      </w:r>
      <w:r w:rsidRPr="00EC4C66">
        <w:rPr>
          <w:sz w:val="16"/>
          <w:szCs w:val="16"/>
        </w:rPr>
        <w:t>z dwóch stacji hydrologiczno-meteorologicznych Instytutu Meteorologii i Gospodarki Wodnej zlokalizowanych w Kielcach i Sandomierzu.</w:t>
      </w:r>
    </w:p>
  </w:footnote>
  <w:footnote w:id="2">
    <w:p w:rsidR="0087522E" w:rsidRDefault="0087522E" w:rsidP="0076092B">
      <w:pPr>
        <w:pStyle w:val="Tekstprzypisudolnego"/>
        <w:ind w:left="113" w:hanging="113"/>
        <w:rPr>
          <w:sz w:val="16"/>
          <w:szCs w:val="16"/>
        </w:rPr>
      </w:pPr>
      <w:r>
        <w:rPr>
          <w:rStyle w:val="Odwoanieprzypisudolnego"/>
          <w:sz w:val="16"/>
          <w:szCs w:val="16"/>
        </w:rPr>
        <w:footnoteRef/>
      </w:r>
      <w:r>
        <w:rPr>
          <w:sz w:val="16"/>
          <w:szCs w:val="16"/>
        </w:rPr>
        <w:tab/>
        <w:t>Dane pozyskiwane są w cyklu miesięcznym i mogą ulec zmianie po opracowaniu kwartalnych danych ostatecznych.</w:t>
      </w:r>
    </w:p>
  </w:footnote>
  <w:footnote w:id="3">
    <w:p w:rsidR="0087522E" w:rsidRPr="007A4C9B" w:rsidRDefault="0087522E" w:rsidP="0061095C">
      <w:pPr>
        <w:pStyle w:val="Tekstprzypisudolnego"/>
        <w:rPr>
          <w:sz w:val="16"/>
          <w:szCs w:val="16"/>
        </w:rPr>
      </w:pPr>
      <w:r w:rsidRPr="007A4C9B">
        <w:rPr>
          <w:rStyle w:val="Odwoanieprzypisudolnego"/>
          <w:sz w:val="16"/>
          <w:szCs w:val="16"/>
        </w:rPr>
        <w:footnoteRef/>
      </w:r>
      <w:r w:rsidRPr="007A4C9B">
        <w:rPr>
          <w:sz w:val="16"/>
          <w:szCs w:val="16"/>
        </w:rPr>
        <w:t xml:space="preserve"> W badaniu DG1 biorą udział podmioty, w których liczba pracujących przekracza 9. Wszystkie udziały procentowe odnoszą się do liczby jednostek, które złożyły w danym miesiącu sprawozdanie.</w:t>
      </w:r>
    </w:p>
  </w:footnote>
  <w:footnote w:id="4">
    <w:p w:rsidR="0087522E" w:rsidRPr="00F8127B" w:rsidRDefault="0087522E" w:rsidP="00193961">
      <w:pPr>
        <w:pStyle w:val="Default"/>
        <w:jc w:val="both"/>
        <w:rPr>
          <w:sz w:val="16"/>
          <w:szCs w:val="16"/>
        </w:rPr>
      </w:pPr>
      <w:r w:rsidRPr="00F8127B">
        <w:rPr>
          <w:rStyle w:val="Odwoanieprzypisudolnego"/>
          <w:rFonts w:eastAsiaTheme="majorEastAsia"/>
          <w:sz w:val="16"/>
          <w:szCs w:val="16"/>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5">
    <w:p w:rsidR="0087522E" w:rsidRPr="00106935" w:rsidRDefault="0087522E" w:rsidP="009157FE">
      <w:pPr>
        <w:pStyle w:val="Tekstprzypisudolnego"/>
        <w:spacing w:before="0"/>
        <w:jc w:val="both"/>
        <w:rPr>
          <w:spacing w:val="-4"/>
          <w:sz w:val="16"/>
          <w:szCs w:val="16"/>
        </w:rPr>
      </w:pPr>
      <w:r w:rsidRPr="001570E3">
        <w:rPr>
          <w:spacing w:val="-4"/>
          <w:sz w:val="16"/>
          <w:szCs w:val="16"/>
          <w:vertAlign w:val="superscript"/>
        </w:rPr>
        <w:footnoteRef/>
      </w:r>
      <w:r w:rsidRPr="00106935">
        <w:rPr>
          <w:spacing w:val="-4"/>
          <w:sz w:val="16"/>
          <w:szCs w:val="16"/>
        </w:rPr>
        <w:t xml:space="preserve"> Badanie zostało przeprowadzone na próbie jednostek przemysłowych, budowlanych, handlowych i usługowych. W przeciwieństwie do podstawowego badania koniunktury, odpowiedzi na dodatkowy blok pytań były udzielane na zasadzie dobrowolności. W pytaniach 1, 2</w:t>
      </w:r>
      <w:r>
        <w:rPr>
          <w:spacing w:val="-4"/>
          <w:sz w:val="16"/>
          <w:szCs w:val="16"/>
        </w:rPr>
        <w:t>, 6</w:t>
      </w:r>
      <w:r w:rsidRPr="00106935">
        <w:rPr>
          <w:spacing w:val="-4"/>
          <w:sz w:val="16"/>
          <w:szCs w:val="16"/>
        </w:rPr>
        <w:t xml:space="preserve"> i 7 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2E" w:rsidRPr="00CB5DE0" w:rsidRDefault="0087522E"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simplePos x="0" y="0"/>
          <wp:positionH relativeFrom="margin">
            <wp:align>left</wp:align>
          </wp:positionH>
          <wp:positionV relativeFrom="paragraph">
            <wp:posOffset>120650</wp:posOffset>
          </wp:positionV>
          <wp:extent cx="1955260" cy="836955"/>
          <wp:effectExtent l="0" t="0" r="6985" b="127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rsidR="0087522E" w:rsidRDefault="0087522E" w:rsidP="00BF1AD1">
    <w:pPr>
      <w:pStyle w:val="Nagwek"/>
      <w:tabs>
        <w:tab w:val="clear" w:pos="4536"/>
        <w:tab w:val="clear" w:pos="9072"/>
        <w:tab w:val="left" w:pos="5877"/>
      </w:tabs>
      <w:rPr>
        <w:noProof/>
        <w:lang w:eastAsia="pl-PL"/>
      </w:rPr>
    </w:pPr>
    <w:r>
      <w:rPr>
        <w:noProof/>
        <w:lang w:eastAsia="pl-PL"/>
      </w:rPr>
      <w:pict>
        <v:shape id="Schemat blokowy: opóźnienie 6" o:spid="_x0000_s2051"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87522E" w:rsidRPr="00E2438C" w:rsidRDefault="0087522E"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w:r>
  </w:p>
  <w:p w:rsidR="0087522E" w:rsidRDefault="0087522E" w:rsidP="00971F9B">
    <w:pPr>
      <w:pStyle w:val="Nagwek"/>
      <w:tabs>
        <w:tab w:val="clear" w:pos="4536"/>
        <w:tab w:val="clear" w:pos="9072"/>
        <w:tab w:val="left" w:pos="7423"/>
      </w:tabs>
      <w:rPr>
        <w:noProof/>
        <w:lang w:eastAsia="pl-PL"/>
      </w:rPr>
    </w:pPr>
    <w:r>
      <w:rPr>
        <w:noProof/>
        <w:lang w:eastAsia="pl-PL"/>
      </w:rPr>
      <w:tab/>
    </w:r>
  </w:p>
  <w:p w:rsidR="0087522E" w:rsidRPr="006B2A42" w:rsidRDefault="0087522E">
    <w:pPr>
      <w:pStyle w:val="Nagwek"/>
      <w:rPr>
        <w:noProof/>
        <w:sz w:val="12"/>
        <w:lang w:eastAsia="pl-PL"/>
      </w:rPr>
    </w:pPr>
  </w:p>
  <w:p w:rsidR="0087522E" w:rsidRDefault="0087522E">
    <w:pPr>
      <w:pStyle w:val="Nagwek"/>
      <w:rPr>
        <w:noProof/>
        <w:lang w:eastAsia="pl-PL"/>
      </w:rPr>
    </w:pPr>
    <w:r>
      <w:rPr>
        <w:noProof/>
        <w:lang w:eastAsia="pl-PL"/>
      </w:rPr>
      <w:pict>
        <v:line id="Łącznik prosty 4" o:spid="_x0000_s2050" style="position:absolute;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" strokecolor="#212e79" strokeweight="1pt">
          <v:stroke joinstyle="miter"/>
          <o:lock v:ext="edit" shapetype="f"/>
        </v:line>
      </w:pict>
    </w:r>
    <w:r>
      <w:rPr>
        <w:noProof/>
        <w:lang w:eastAsia="pl-PL"/>
      </w:rPr>
      <w:pict>
        <v:shapetype id="_x0000_t202" coordsize="21600,21600" o:spt="202" path="m,l,21600r21600,l21600,xe">
          <v:stroke joinstyle="miter"/>
          <v:path gradientshapeok="t" o:connecttype="rect"/>
        </v:shapetype>
        <v:shape id="_x0000_s2049" type="#_x0000_t202" style="position:absolute;margin-left:1318.8pt;margin-top:20.85pt;width:97.5pt;height:46.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" filled="f" stroked="f">
          <v:textbox>
            <w:txbxContent>
              <w:p w:rsidR="0087522E" w:rsidRPr="00FE252C" w:rsidRDefault="0087522E" w:rsidP="00F37172">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87522E" w:rsidRPr="00FE252C" w:rsidRDefault="0087522E"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7</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87522E" w:rsidRPr="003439F1" w:rsidRDefault="0087522E" w:rsidP="00F37172">
                <w:pPr>
                  <w:jc w:val="both"/>
                  <w:rPr>
                    <w:rFonts w:ascii="Fira Sans SemiBold" w:hAnsi="Fira Sans SemiBold"/>
                    <w:color w:val="001D77"/>
                    <w:lang w:val="en-GB"/>
                  </w:rPr>
                </w:pPr>
              </w:p>
            </w:txbxContent>
          </v:textbox>
          <w10:wrap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2E" w:rsidRDefault="0087522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2E" w:rsidRDefault="0087522E">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2E" w:rsidRDefault="0087522E">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2E" w:rsidRDefault="008752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3pt;height:124.85pt;visibility:visible" o:bullet="t">
        <v:imagedata r:id="rId1" o:title=""/>
      </v:shape>
    </w:pict>
  </w:numPicBullet>
  <w:numPicBullet w:numPicBulletId="1">
    <w:pict>
      <v:shape id="_x0000_i1053" type="#_x0000_t75" style="width:124.1pt;height:124.85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351ED"/>
    <w:multiLevelType w:val="hybridMultilevel"/>
    <w:tmpl w:val="64DA5F0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9"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0"/>
  </w:num>
  <w:num w:numId="4">
    <w:abstractNumId w:val="24"/>
  </w:num>
  <w:num w:numId="5">
    <w:abstractNumId w:val="11"/>
  </w:num>
  <w:num w:numId="6">
    <w:abstractNumId w:val="15"/>
  </w:num>
  <w:num w:numId="7">
    <w:abstractNumId w:val="22"/>
  </w:num>
  <w:num w:numId="8">
    <w:abstractNumId w:val="23"/>
  </w:num>
  <w:num w:numId="9">
    <w:abstractNumId w:val="16"/>
  </w:num>
  <w:num w:numId="10">
    <w:abstractNumId w:val="5"/>
  </w:num>
  <w:num w:numId="11">
    <w:abstractNumId w:val="21"/>
  </w:num>
  <w:num w:numId="12">
    <w:abstractNumId w:val="10"/>
  </w:num>
  <w:num w:numId="13">
    <w:abstractNumId w:val="18"/>
  </w:num>
  <w:num w:numId="14">
    <w:abstractNumId w:val="4"/>
  </w:num>
  <w:num w:numId="15">
    <w:abstractNumId w:val="6"/>
  </w:num>
  <w:num w:numId="16">
    <w:abstractNumId w:val="7"/>
  </w:num>
  <w:num w:numId="17">
    <w:abstractNumId w:val="8"/>
  </w:num>
  <w:num w:numId="18">
    <w:abstractNumId w:val="12"/>
  </w:num>
  <w:num w:numId="19">
    <w:abstractNumId w:val="14"/>
  </w:num>
  <w:num w:numId="20">
    <w:abstractNumId w:val="17"/>
  </w:num>
  <w:num w:numId="21">
    <w:abstractNumId w:val="13"/>
  </w:num>
  <w:num w:numId="22">
    <w:abstractNumId w:val="19"/>
  </w:num>
  <w:num w:numId="23">
    <w:abstractNumId w:val="25"/>
  </w:num>
  <w:num w:numId="24">
    <w:abstractNumId w:val="0"/>
  </w:num>
  <w:num w:numId="25">
    <w:abstractNumId w:val="15"/>
  </w:num>
  <w:num w:numId="26">
    <w:abstractNumId w:val="15"/>
  </w:num>
  <w:num w:numId="27">
    <w:abstractNumId w:val="2"/>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0AD6"/>
    <w:rsid w:val="000011E9"/>
    <w:rsid w:val="00001C5B"/>
    <w:rsid w:val="00002C10"/>
    <w:rsid w:val="00002E83"/>
    <w:rsid w:val="00003437"/>
    <w:rsid w:val="00003920"/>
    <w:rsid w:val="0000395A"/>
    <w:rsid w:val="0000398C"/>
    <w:rsid w:val="00005527"/>
    <w:rsid w:val="0000643E"/>
    <w:rsid w:val="00006B39"/>
    <w:rsid w:val="0000709F"/>
    <w:rsid w:val="00010393"/>
    <w:rsid w:val="000108B8"/>
    <w:rsid w:val="00012660"/>
    <w:rsid w:val="0001269C"/>
    <w:rsid w:val="00012C48"/>
    <w:rsid w:val="000130AB"/>
    <w:rsid w:val="00013526"/>
    <w:rsid w:val="00013AD3"/>
    <w:rsid w:val="000142A0"/>
    <w:rsid w:val="00014472"/>
    <w:rsid w:val="000152F5"/>
    <w:rsid w:val="000154B4"/>
    <w:rsid w:val="000155E2"/>
    <w:rsid w:val="00015DA3"/>
    <w:rsid w:val="000162C2"/>
    <w:rsid w:val="000202C0"/>
    <w:rsid w:val="0002193C"/>
    <w:rsid w:val="000248F0"/>
    <w:rsid w:val="00024A2D"/>
    <w:rsid w:val="00024B09"/>
    <w:rsid w:val="000250D0"/>
    <w:rsid w:val="00032B36"/>
    <w:rsid w:val="00033961"/>
    <w:rsid w:val="00035215"/>
    <w:rsid w:val="000361F3"/>
    <w:rsid w:val="00036BBF"/>
    <w:rsid w:val="0004100C"/>
    <w:rsid w:val="00041A33"/>
    <w:rsid w:val="00043CB4"/>
    <w:rsid w:val="00044832"/>
    <w:rsid w:val="0004582E"/>
    <w:rsid w:val="00045A8D"/>
    <w:rsid w:val="00045D91"/>
    <w:rsid w:val="00046258"/>
    <w:rsid w:val="00046A6E"/>
    <w:rsid w:val="000470AA"/>
    <w:rsid w:val="00047E5D"/>
    <w:rsid w:val="00050AE4"/>
    <w:rsid w:val="00052226"/>
    <w:rsid w:val="000526CB"/>
    <w:rsid w:val="00053B21"/>
    <w:rsid w:val="00054993"/>
    <w:rsid w:val="0005543A"/>
    <w:rsid w:val="00055C06"/>
    <w:rsid w:val="000564C3"/>
    <w:rsid w:val="000564EC"/>
    <w:rsid w:val="000579D5"/>
    <w:rsid w:val="00057CA1"/>
    <w:rsid w:val="00063EEB"/>
    <w:rsid w:val="0006555D"/>
    <w:rsid w:val="000658AF"/>
    <w:rsid w:val="00065D27"/>
    <w:rsid w:val="000662E2"/>
    <w:rsid w:val="00066774"/>
    <w:rsid w:val="00066883"/>
    <w:rsid w:val="00066B9D"/>
    <w:rsid w:val="00067E65"/>
    <w:rsid w:val="000713BB"/>
    <w:rsid w:val="00071F9D"/>
    <w:rsid w:val="00072DBF"/>
    <w:rsid w:val="00073CB9"/>
    <w:rsid w:val="00074DD8"/>
    <w:rsid w:val="00075EE2"/>
    <w:rsid w:val="00076588"/>
    <w:rsid w:val="00077823"/>
    <w:rsid w:val="000806F7"/>
    <w:rsid w:val="0008108E"/>
    <w:rsid w:val="0008143E"/>
    <w:rsid w:val="00084B9B"/>
    <w:rsid w:val="00084CE0"/>
    <w:rsid w:val="00084DBB"/>
    <w:rsid w:val="0008554B"/>
    <w:rsid w:val="000858BF"/>
    <w:rsid w:val="0008739A"/>
    <w:rsid w:val="00090045"/>
    <w:rsid w:val="0009095B"/>
    <w:rsid w:val="00090E0C"/>
    <w:rsid w:val="000944F2"/>
    <w:rsid w:val="000958D8"/>
    <w:rsid w:val="00095A00"/>
    <w:rsid w:val="00095C99"/>
    <w:rsid w:val="000960A1"/>
    <w:rsid w:val="000960E9"/>
    <w:rsid w:val="000967D8"/>
    <w:rsid w:val="0009724B"/>
    <w:rsid w:val="00097840"/>
    <w:rsid w:val="000A0F5B"/>
    <w:rsid w:val="000A0F6E"/>
    <w:rsid w:val="000A2B53"/>
    <w:rsid w:val="000A4F56"/>
    <w:rsid w:val="000A56BF"/>
    <w:rsid w:val="000A5E23"/>
    <w:rsid w:val="000A635B"/>
    <w:rsid w:val="000A6973"/>
    <w:rsid w:val="000A6A9C"/>
    <w:rsid w:val="000A6E1A"/>
    <w:rsid w:val="000A6FFF"/>
    <w:rsid w:val="000A7FCB"/>
    <w:rsid w:val="000B0627"/>
    <w:rsid w:val="000B0727"/>
    <w:rsid w:val="000B08B2"/>
    <w:rsid w:val="000B09EC"/>
    <w:rsid w:val="000B3DC6"/>
    <w:rsid w:val="000B500A"/>
    <w:rsid w:val="000B7303"/>
    <w:rsid w:val="000C0190"/>
    <w:rsid w:val="000C023C"/>
    <w:rsid w:val="000C0332"/>
    <w:rsid w:val="000C135D"/>
    <w:rsid w:val="000C167B"/>
    <w:rsid w:val="000C2E4E"/>
    <w:rsid w:val="000C3FAA"/>
    <w:rsid w:val="000C4E44"/>
    <w:rsid w:val="000C5183"/>
    <w:rsid w:val="000C594A"/>
    <w:rsid w:val="000C5A91"/>
    <w:rsid w:val="000C665E"/>
    <w:rsid w:val="000C6A90"/>
    <w:rsid w:val="000C6FB3"/>
    <w:rsid w:val="000D080E"/>
    <w:rsid w:val="000D0D48"/>
    <w:rsid w:val="000D113B"/>
    <w:rsid w:val="000D12F0"/>
    <w:rsid w:val="000D1320"/>
    <w:rsid w:val="000D1519"/>
    <w:rsid w:val="000D1671"/>
    <w:rsid w:val="000D1D43"/>
    <w:rsid w:val="000D225C"/>
    <w:rsid w:val="000D2A5C"/>
    <w:rsid w:val="000D2FA9"/>
    <w:rsid w:val="000D2FB5"/>
    <w:rsid w:val="000D30BF"/>
    <w:rsid w:val="000D34D3"/>
    <w:rsid w:val="000D3C9D"/>
    <w:rsid w:val="000D3D71"/>
    <w:rsid w:val="000D6905"/>
    <w:rsid w:val="000E0918"/>
    <w:rsid w:val="000E1555"/>
    <w:rsid w:val="000E18C3"/>
    <w:rsid w:val="000E2D7B"/>
    <w:rsid w:val="000E3127"/>
    <w:rsid w:val="000E37F0"/>
    <w:rsid w:val="000E3BFF"/>
    <w:rsid w:val="000E4A92"/>
    <w:rsid w:val="000E5826"/>
    <w:rsid w:val="000E6015"/>
    <w:rsid w:val="000E636E"/>
    <w:rsid w:val="000E6504"/>
    <w:rsid w:val="000E66E7"/>
    <w:rsid w:val="000E7046"/>
    <w:rsid w:val="000E7E55"/>
    <w:rsid w:val="000F0BA1"/>
    <w:rsid w:val="000F1CD1"/>
    <w:rsid w:val="000F228A"/>
    <w:rsid w:val="000F291A"/>
    <w:rsid w:val="000F2F8F"/>
    <w:rsid w:val="000F7CF7"/>
    <w:rsid w:val="00100317"/>
    <w:rsid w:val="00100497"/>
    <w:rsid w:val="00100538"/>
    <w:rsid w:val="00100C3D"/>
    <w:rsid w:val="0010108C"/>
    <w:rsid w:val="001011C3"/>
    <w:rsid w:val="001018D7"/>
    <w:rsid w:val="00102111"/>
    <w:rsid w:val="001027F2"/>
    <w:rsid w:val="00102E25"/>
    <w:rsid w:val="00103117"/>
    <w:rsid w:val="00103B3A"/>
    <w:rsid w:val="00104481"/>
    <w:rsid w:val="001046B1"/>
    <w:rsid w:val="0010480E"/>
    <w:rsid w:val="001053E4"/>
    <w:rsid w:val="001055AD"/>
    <w:rsid w:val="001057FF"/>
    <w:rsid w:val="001103DB"/>
    <w:rsid w:val="00110490"/>
    <w:rsid w:val="001108DD"/>
    <w:rsid w:val="00110D87"/>
    <w:rsid w:val="001110A5"/>
    <w:rsid w:val="001114BA"/>
    <w:rsid w:val="00111B77"/>
    <w:rsid w:val="00111C9B"/>
    <w:rsid w:val="00111FEA"/>
    <w:rsid w:val="00112739"/>
    <w:rsid w:val="00112C19"/>
    <w:rsid w:val="00113C0A"/>
    <w:rsid w:val="00113FF2"/>
    <w:rsid w:val="001141E9"/>
    <w:rsid w:val="00114276"/>
    <w:rsid w:val="00114DB9"/>
    <w:rsid w:val="0011504A"/>
    <w:rsid w:val="00115506"/>
    <w:rsid w:val="00116087"/>
    <w:rsid w:val="001163AD"/>
    <w:rsid w:val="00117B2E"/>
    <w:rsid w:val="00117B4F"/>
    <w:rsid w:val="001203E3"/>
    <w:rsid w:val="0012078C"/>
    <w:rsid w:val="0012230B"/>
    <w:rsid w:val="00122AAC"/>
    <w:rsid w:val="0012352B"/>
    <w:rsid w:val="00124D97"/>
    <w:rsid w:val="00126502"/>
    <w:rsid w:val="00126C22"/>
    <w:rsid w:val="00130296"/>
    <w:rsid w:val="001328CA"/>
    <w:rsid w:val="00133E41"/>
    <w:rsid w:val="00134A13"/>
    <w:rsid w:val="001357FC"/>
    <w:rsid w:val="00136CAE"/>
    <w:rsid w:val="00137FF8"/>
    <w:rsid w:val="001423B6"/>
    <w:rsid w:val="001448A7"/>
    <w:rsid w:val="00146621"/>
    <w:rsid w:val="001506AA"/>
    <w:rsid w:val="00150D14"/>
    <w:rsid w:val="00150EFB"/>
    <w:rsid w:val="00151DC3"/>
    <w:rsid w:val="00152F9D"/>
    <w:rsid w:val="0015379F"/>
    <w:rsid w:val="001548E2"/>
    <w:rsid w:val="001553C1"/>
    <w:rsid w:val="00156974"/>
    <w:rsid w:val="001570E3"/>
    <w:rsid w:val="001579E8"/>
    <w:rsid w:val="00157D83"/>
    <w:rsid w:val="001605EE"/>
    <w:rsid w:val="00160D33"/>
    <w:rsid w:val="00161230"/>
    <w:rsid w:val="00162325"/>
    <w:rsid w:val="00162B1A"/>
    <w:rsid w:val="0016455A"/>
    <w:rsid w:val="0016468B"/>
    <w:rsid w:val="00167815"/>
    <w:rsid w:val="00170419"/>
    <w:rsid w:val="001710C2"/>
    <w:rsid w:val="001718F8"/>
    <w:rsid w:val="00171D91"/>
    <w:rsid w:val="001724BC"/>
    <w:rsid w:val="001732F3"/>
    <w:rsid w:val="00173505"/>
    <w:rsid w:val="00173595"/>
    <w:rsid w:val="001743DC"/>
    <w:rsid w:val="00174D74"/>
    <w:rsid w:val="00176A02"/>
    <w:rsid w:val="00176DE8"/>
    <w:rsid w:val="001776AA"/>
    <w:rsid w:val="00177EDD"/>
    <w:rsid w:val="00180931"/>
    <w:rsid w:val="00180E73"/>
    <w:rsid w:val="00180E8C"/>
    <w:rsid w:val="00181902"/>
    <w:rsid w:val="00182FD9"/>
    <w:rsid w:val="00183860"/>
    <w:rsid w:val="001842BB"/>
    <w:rsid w:val="001842F7"/>
    <w:rsid w:val="00184307"/>
    <w:rsid w:val="001864EC"/>
    <w:rsid w:val="00186DC7"/>
    <w:rsid w:val="001877CF"/>
    <w:rsid w:val="0019170C"/>
    <w:rsid w:val="00192FCC"/>
    <w:rsid w:val="00193961"/>
    <w:rsid w:val="001951DA"/>
    <w:rsid w:val="00197BE9"/>
    <w:rsid w:val="001A3952"/>
    <w:rsid w:val="001A5CE4"/>
    <w:rsid w:val="001A7285"/>
    <w:rsid w:val="001A79F7"/>
    <w:rsid w:val="001A7E65"/>
    <w:rsid w:val="001B0959"/>
    <w:rsid w:val="001B2648"/>
    <w:rsid w:val="001B288A"/>
    <w:rsid w:val="001B2BFF"/>
    <w:rsid w:val="001B3453"/>
    <w:rsid w:val="001B359D"/>
    <w:rsid w:val="001B3C36"/>
    <w:rsid w:val="001B47CA"/>
    <w:rsid w:val="001B51EE"/>
    <w:rsid w:val="001B6013"/>
    <w:rsid w:val="001B6926"/>
    <w:rsid w:val="001B73CE"/>
    <w:rsid w:val="001C0739"/>
    <w:rsid w:val="001C1B66"/>
    <w:rsid w:val="001C1F96"/>
    <w:rsid w:val="001C24D6"/>
    <w:rsid w:val="001C3269"/>
    <w:rsid w:val="001C3428"/>
    <w:rsid w:val="001C38C6"/>
    <w:rsid w:val="001C3C4B"/>
    <w:rsid w:val="001D1B47"/>
    <w:rsid w:val="001D1B7D"/>
    <w:rsid w:val="001D1DB4"/>
    <w:rsid w:val="001D2378"/>
    <w:rsid w:val="001D3C4A"/>
    <w:rsid w:val="001D3CB9"/>
    <w:rsid w:val="001D4D27"/>
    <w:rsid w:val="001D5BB3"/>
    <w:rsid w:val="001D5D89"/>
    <w:rsid w:val="001D6DA7"/>
    <w:rsid w:val="001D7C1C"/>
    <w:rsid w:val="001E0473"/>
    <w:rsid w:val="001E294B"/>
    <w:rsid w:val="001E338E"/>
    <w:rsid w:val="001E4F88"/>
    <w:rsid w:val="001E524F"/>
    <w:rsid w:val="001E57D8"/>
    <w:rsid w:val="001E678F"/>
    <w:rsid w:val="001E70D0"/>
    <w:rsid w:val="001E7F91"/>
    <w:rsid w:val="001F10EB"/>
    <w:rsid w:val="001F18E2"/>
    <w:rsid w:val="001F2C24"/>
    <w:rsid w:val="001F2FC9"/>
    <w:rsid w:val="001F3B74"/>
    <w:rsid w:val="001F4561"/>
    <w:rsid w:val="001F49DC"/>
    <w:rsid w:val="001F590B"/>
    <w:rsid w:val="002008CD"/>
    <w:rsid w:val="00201080"/>
    <w:rsid w:val="00202BA6"/>
    <w:rsid w:val="0020317E"/>
    <w:rsid w:val="00203944"/>
    <w:rsid w:val="002056CF"/>
    <w:rsid w:val="0020592F"/>
    <w:rsid w:val="00205EDC"/>
    <w:rsid w:val="0020703A"/>
    <w:rsid w:val="00210C29"/>
    <w:rsid w:val="00211558"/>
    <w:rsid w:val="002133F8"/>
    <w:rsid w:val="0021387F"/>
    <w:rsid w:val="002147D8"/>
    <w:rsid w:val="00214F84"/>
    <w:rsid w:val="00221526"/>
    <w:rsid w:val="0022163A"/>
    <w:rsid w:val="00223BCD"/>
    <w:rsid w:val="0022461C"/>
    <w:rsid w:val="002278C9"/>
    <w:rsid w:val="00227A67"/>
    <w:rsid w:val="0023070C"/>
    <w:rsid w:val="00230990"/>
    <w:rsid w:val="002320FA"/>
    <w:rsid w:val="00233557"/>
    <w:rsid w:val="00233EFC"/>
    <w:rsid w:val="0023463C"/>
    <w:rsid w:val="002351FC"/>
    <w:rsid w:val="0023587C"/>
    <w:rsid w:val="00236572"/>
    <w:rsid w:val="00236945"/>
    <w:rsid w:val="0023759A"/>
    <w:rsid w:val="002414DE"/>
    <w:rsid w:val="00244001"/>
    <w:rsid w:val="0024513B"/>
    <w:rsid w:val="00246CE5"/>
    <w:rsid w:val="00246FFA"/>
    <w:rsid w:val="00250198"/>
    <w:rsid w:val="00252006"/>
    <w:rsid w:val="00252189"/>
    <w:rsid w:val="00253691"/>
    <w:rsid w:val="00253E25"/>
    <w:rsid w:val="00254EC6"/>
    <w:rsid w:val="00255F4A"/>
    <w:rsid w:val="002574F9"/>
    <w:rsid w:val="00260806"/>
    <w:rsid w:val="00261604"/>
    <w:rsid w:val="0026187D"/>
    <w:rsid w:val="00262ABB"/>
    <w:rsid w:val="00262B61"/>
    <w:rsid w:val="00262E8B"/>
    <w:rsid w:val="0026324A"/>
    <w:rsid w:val="002633FA"/>
    <w:rsid w:val="00263450"/>
    <w:rsid w:val="002635D0"/>
    <w:rsid w:val="00263BA1"/>
    <w:rsid w:val="00263E78"/>
    <w:rsid w:val="002642BF"/>
    <w:rsid w:val="002649C4"/>
    <w:rsid w:val="002667E6"/>
    <w:rsid w:val="00267AA1"/>
    <w:rsid w:val="002706B5"/>
    <w:rsid w:val="002707E4"/>
    <w:rsid w:val="00270F11"/>
    <w:rsid w:val="0027165A"/>
    <w:rsid w:val="002721D0"/>
    <w:rsid w:val="00273495"/>
    <w:rsid w:val="00273C59"/>
    <w:rsid w:val="0027419C"/>
    <w:rsid w:val="0027474B"/>
    <w:rsid w:val="002747E1"/>
    <w:rsid w:val="002752C1"/>
    <w:rsid w:val="00275B1C"/>
    <w:rsid w:val="00276811"/>
    <w:rsid w:val="00276FFD"/>
    <w:rsid w:val="00277651"/>
    <w:rsid w:val="00277AFC"/>
    <w:rsid w:val="00282686"/>
    <w:rsid w:val="00282699"/>
    <w:rsid w:val="00283418"/>
    <w:rsid w:val="00284A78"/>
    <w:rsid w:val="00284BC6"/>
    <w:rsid w:val="00284CE4"/>
    <w:rsid w:val="00285591"/>
    <w:rsid w:val="00285B2A"/>
    <w:rsid w:val="0028695E"/>
    <w:rsid w:val="00286F3B"/>
    <w:rsid w:val="0029049D"/>
    <w:rsid w:val="002915AD"/>
    <w:rsid w:val="00291771"/>
    <w:rsid w:val="0029191D"/>
    <w:rsid w:val="002926DF"/>
    <w:rsid w:val="00294F2B"/>
    <w:rsid w:val="00295BDF"/>
    <w:rsid w:val="002965B1"/>
    <w:rsid w:val="00296697"/>
    <w:rsid w:val="002967B4"/>
    <w:rsid w:val="002A13C0"/>
    <w:rsid w:val="002A2F32"/>
    <w:rsid w:val="002A644A"/>
    <w:rsid w:val="002A6CF4"/>
    <w:rsid w:val="002A7548"/>
    <w:rsid w:val="002A7EC0"/>
    <w:rsid w:val="002B0472"/>
    <w:rsid w:val="002B085B"/>
    <w:rsid w:val="002B0FDD"/>
    <w:rsid w:val="002B127E"/>
    <w:rsid w:val="002B20E7"/>
    <w:rsid w:val="002B3410"/>
    <w:rsid w:val="002B3E30"/>
    <w:rsid w:val="002B4114"/>
    <w:rsid w:val="002B52F1"/>
    <w:rsid w:val="002B57C0"/>
    <w:rsid w:val="002B5B20"/>
    <w:rsid w:val="002B6892"/>
    <w:rsid w:val="002B6B12"/>
    <w:rsid w:val="002B746C"/>
    <w:rsid w:val="002B77E0"/>
    <w:rsid w:val="002B78B5"/>
    <w:rsid w:val="002C0678"/>
    <w:rsid w:val="002C1A07"/>
    <w:rsid w:val="002C1A99"/>
    <w:rsid w:val="002C20E2"/>
    <w:rsid w:val="002C2824"/>
    <w:rsid w:val="002C30A9"/>
    <w:rsid w:val="002C33DA"/>
    <w:rsid w:val="002C37B3"/>
    <w:rsid w:val="002C3C62"/>
    <w:rsid w:val="002C3CF0"/>
    <w:rsid w:val="002C5365"/>
    <w:rsid w:val="002C5730"/>
    <w:rsid w:val="002C5902"/>
    <w:rsid w:val="002C59A9"/>
    <w:rsid w:val="002C5E1C"/>
    <w:rsid w:val="002C734D"/>
    <w:rsid w:val="002D114A"/>
    <w:rsid w:val="002D25EC"/>
    <w:rsid w:val="002D36BE"/>
    <w:rsid w:val="002D5AD7"/>
    <w:rsid w:val="002D639B"/>
    <w:rsid w:val="002D6CE8"/>
    <w:rsid w:val="002D7C27"/>
    <w:rsid w:val="002E1D4C"/>
    <w:rsid w:val="002E2493"/>
    <w:rsid w:val="002E2793"/>
    <w:rsid w:val="002E29DF"/>
    <w:rsid w:val="002E35AC"/>
    <w:rsid w:val="002E3692"/>
    <w:rsid w:val="002E3A38"/>
    <w:rsid w:val="002E6140"/>
    <w:rsid w:val="002E62BB"/>
    <w:rsid w:val="002E6985"/>
    <w:rsid w:val="002E71B6"/>
    <w:rsid w:val="002F0E45"/>
    <w:rsid w:val="002F12AD"/>
    <w:rsid w:val="002F2660"/>
    <w:rsid w:val="002F5212"/>
    <w:rsid w:val="002F5E41"/>
    <w:rsid w:val="002F77C8"/>
    <w:rsid w:val="0030049B"/>
    <w:rsid w:val="00301D2F"/>
    <w:rsid w:val="00301ECA"/>
    <w:rsid w:val="00303C8D"/>
    <w:rsid w:val="00303DCF"/>
    <w:rsid w:val="00304578"/>
    <w:rsid w:val="00304AD1"/>
    <w:rsid w:val="00304F22"/>
    <w:rsid w:val="0030551B"/>
    <w:rsid w:val="00306C7C"/>
    <w:rsid w:val="00306D7A"/>
    <w:rsid w:val="0031028B"/>
    <w:rsid w:val="00313213"/>
    <w:rsid w:val="00314CE0"/>
    <w:rsid w:val="00315167"/>
    <w:rsid w:val="0031603D"/>
    <w:rsid w:val="00317153"/>
    <w:rsid w:val="00317D96"/>
    <w:rsid w:val="00320592"/>
    <w:rsid w:val="00320CF8"/>
    <w:rsid w:val="00320D7F"/>
    <w:rsid w:val="00321AE9"/>
    <w:rsid w:val="00322164"/>
    <w:rsid w:val="00322EDD"/>
    <w:rsid w:val="003236B3"/>
    <w:rsid w:val="003239BE"/>
    <w:rsid w:val="003240FA"/>
    <w:rsid w:val="00324179"/>
    <w:rsid w:val="003243F6"/>
    <w:rsid w:val="0032461D"/>
    <w:rsid w:val="00331560"/>
    <w:rsid w:val="00331AA6"/>
    <w:rsid w:val="003321A3"/>
    <w:rsid w:val="00332320"/>
    <w:rsid w:val="00332496"/>
    <w:rsid w:val="00332C63"/>
    <w:rsid w:val="00334673"/>
    <w:rsid w:val="00334ECF"/>
    <w:rsid w:val="00335363"/>
    <w:rsid w:val="00335B68"/>
    <w:rsid w:val="0033627D"/>
    <w:rsid w:val="00336BF0"/>
    <w:rsid w:val="00337985"/>
    <w:rsid w:val="00340B4B"/>
    <w:rsid w:val="00340DFF"/>
    <w:rsid w:val="003416BE"/>
    <w:rsid w:val="0034189B"/>
    <w:rsid w:val="0034224E"/>
    <w:rsid w:val="00342D55"/>
    <w:rsid w:val="003439F1"/>
    <w:rsid w:val="00343B33"/>
    <w:rsid w:val="00343D4C"/>
    <w:rsid w:val="0034451B"/>
    <w:rsid w:val="00344E71"/>
    <w:rsid w:val="00344F38"/>
    <w:rsid w:val="00345218"/>
    <w:rsid w:val="00345829"/>
    <w:rsid w:val="00345FFC"/>
    <w:rsid w:val="0034608A"/>
    <w:rsid w:val="0034794F"/>
    <w:rsid w:val="00347D72"/>
    <w:rsid w:val="0035002E"/>
    <w:rsid w:val="00350881"/>
    <w:rsid w:val="00351986"/>
    <w:rsid w:val="00352659"/>
    <w:rsid w:val="00352855"/>
    <w:rsid w:val="0035365E"/>
    <w:rsid w:val="0035558F"/>
    <w:rsid w:val="00356D3A"/>
    <w:rsid w:val="00356D6B"/>
    <w:rsid w:val="00356FE9"/>
    <w:rsid w:val="00357611"/>
    <w:rsid w:val="00357BC6"/>
    <w:rsid w:val="00360237"/>
    <w:rsid w:val="003610CD"/>
    <w:rsid w:val="00361718"/>
    <w:rsid w:val="00362344"/>
    <w:rsid w:val="00362FC7"/>
    <w:rsid w:val="0036315E"/>
    <w:rsid w:val="00363A16"/>
    <w:rsid w:val="00364E0D"/>
    <w:rsid w:val="00365AFC"/>
    <w:rsid w:val="003665E5"/>
    <w:rsid w:val="00367237"/>
    <w:rsid w:val="00367DE0"/>
    <w:rsid w:val="00370407"/>
    <w:rsid w:val="0037077F"/>
    <w:rsid w:val="00370AED"/>
    <w:rsid w:val="00371CEB"/>
    <w:rsid w:val="0037219E"/>
    <w:rsid w:val="003722BF"/>
    <w:rsid w:val="00372411"/>
    <w:rsid w:val="003730A8"/>
    <w:rsid w:val="00373882"/>
    <w:rsid w:val="00373C5D"/>
    <w:rsid w:val="00374377"/>
    <w:rsid w:val="00374B78"/>
    <w:rsid w:val="00375215"/>
    <w:rsid w:val="0037531C"/>
    <w:rsid w:val="00375489"/>
    <w:rsid w:val="003759A2"/>
    <w:rsid w:val="00376094"/>
    <w:rsid w:val="0037612C"/>
    <w:rsid w:val="0038101A"/>
    <w:rsid w:val="00381106"/>
    <w:rsid w:val="00382C3B"/>
    <w:rsid w:val="00383ED8"/>
    <w:rsid w:val="00384103"/>
    <w:rsid w:val="003843DB"/>
    <w:rsid w:val="003858BD"/>
    <w:rsid w:val="00386483"/>
    <w:rsid w:val="00386E18"/>
    <w:rsid w:val="00387D9B"/>
    <w:rsid w:val="00391632"/>
    <w:rsid w:val="00393761"/>
    <w:rsid w:val="003940D2"/>
    <w:rsid w:val="00394EB3"/>
    <w:rsid w:val="00397D18"/>
    <w:rsid w:val="00397D55"/>
    <w:rsid w:val="003A0240"/>
    <w:rsid w:val="003A03FC"/>
    <w:rsid w:val="003A08F7"/>
    <w:rsid w:val="003A152A"/>
    <w:rsid w:val="003A1B36"/>
    <w:rsid w:val="003A1D45"/>
    <w:rsid w:val="003A3864"/>
    <w:rsid w:val="003A41F4"/>
    <w:rsid w:val="003A50F5"/>
    <w:rsid w:val="003A52CB"/>
    <w:rsid w:val="003A59AC"/>
    <w:rsid w:val="003A6340"/>
    <w:rsid w:val="003A751B"/>
    <w:rsid w:val="003B0EB7"/>
    <w:rsid w:val="003B1454"/>
    <w:rsid w:val="003B18B6"/>
    <w:rsid w:val="003B1E23"/>
    <w:rsid w:val="003B214D"/>
    <w:rsid w:val="003B3FCC"/>
    <w:rsid w:val="003B40DF"/>
    <w:rsid w:val="003B45A4"/>
    <w:rsid w:val="003B5414"/>
    <w:rsid w:val="003B68AE"/>
    <w:rsid w:val="003B7012"/>
    <w:rsid w:val="003B7655"/>
    <w:rsid w:val="003B7784"/>
    <w:rsid w:val="003B78F5"/>
    <w:rsid w:val="003C0B5F"/>
    <w:rsid w:val="003C2825"/>
    <w:rsid w:val="003C40E6"/>
    <w:rsid w:val="003C40FF"/>
    <w:rsid w:val="003C59E0"/>
    <w:rsid w:val="003C6C8D"/>
    <w:rsid w:val="003D09E1"/>
    <w:rsid w:val="003D3049"/>
    <w:rsid w:val="003D33EE"/>
    <w:rsid w:val="003D4F95"/>
    <w:rsid w:val="003D5F42"/>
    <w:rsid w:val="003D60A9"/>
    <w:rsid w:val="003D7EDA"/>
    <w:rsid w:val="003E03EA"/>
    <w:rsid w:val="003E05A9"/>
    <w:rsid w:val="003E08ED"/>
    <w:rsid w:val="003E1019"/>
    <w:rsid w:val="003E158C"/>
    <w:rsid w:val="003E3139"/>
    <w:rsid w:val="003E360C"/>
    <w:rsid w:val="003E3FA5"/>
    <w:rsid w:val="003E4751"/>
    <w:rsid w:val="003E5264"/>
    <w:rsid w:val="003E5D72"/>
    <w:rsid w:val="003E61CE"/>
    <w:rsid w:val="003F0F1E"/>
    <w:rsid w:val="003F1539"/>
    <w:rsid w:val="003F15BF"/>
    <w:rsid w:val="003F435D"/>
    <w:rsid w:val="003F44E2"/>
    <w:rsid w:val="003F46A8"/>
    <w:rsid w:val="003F46D1"/>
    <w:rsid w:val="003F4C97"/>
    <w:rsid w:val="003F517F"/>
    <w:rsid w:val="003F721D"/>
    <w:rsid w:val="003F78DC"/>
    <w:rsid w:val="003F7BBD"/>
    <w:rsid w:val="003F7FE6"/>
    <w:rsid w:val="00400193"/>
    <w:rsid w:val="00400B68"/>
    <w:rsid w:val="004015A4"/>
    <w:rsid w:val="00402102"/>
    <w:rsid w:val="0040335A"/>
    <w:rsid w:val="00404776"/>
    <w:rsid w:val="00404794"/>
    <w:rsid w:val="0040535A"/>
    <w:rsid w:val="00405C7D"/>
    <w:rsid w:val="004062C2"/>
    <w:rsid w:val="00411826"/>
    <w:rsid w:val="00411CC8"/>
    <w:rsid w:val="004155E3"/>
    <w:rsid w:val="004156F3"/>
    <w:rsid w:val="0041574D"/>
    <w:rsid w:val="00415996"/>
    <w:rsid w:val="004173C0"/>
    <w:rsid w:val="004212E7"/>
    <w:rsid w:val="004214EA"/>
    <w:rsid w:val="00422BD0"/>
    <w:rsid w:val="00423504"/>
    <w:rsid w:val="00424227"/>
    <w:rsid w:val="0042446D"/>
    <w:rsid w:val="00425378"/>
    <w:rsid w:val="0042595C"/>
    <w:rsid w:val="00425F66"/>
    <w:rsid w:val="00426A0A"/>
    <w:rsid w:val="004277E9"/>
    <w:rsid w:val="00427816"/>
    <w:rsid w:val="0042786B"/>
    <w:rsid w:val="00427BF8"/>
    <w:rsid w:val="00431C02"/>
    <w:rsid w:val="00431FC2"/>
    <w:rsid w:val="004323A8"/>
    <w:rsid w:val="00432E82"/>
    <w:rsid w:val="00433AE8"/>
    <w:rsid w:val="00433CEB"/>
    <w:rsid w:val="004356BD"/>
    <w:rsid w:val="00435F83"/>
    <w:rsid w:val="004371EA"/>
    <w:rsid w:val="00437395"/>
    <w:rsid w:val="0043788D"/>
    <w:rsid w:val="00437A1D"/>
    <w:rsid w:val="0044056D"/>
    <w:rsid w:val="004409B8"/>
    <w:rsid w:val="00441708"/>
    <w:rsid w:val="00441A23"/>
    <w:rsid w:val="00442BA9"/>
    <w:rsid w:val="00443BBC"/>
    <w:rsid w:val="00443F7E"/>
    <w:rsid w:val="00444C92"/>
    <w:rsid w:val="00445047"/>
    <w:rsid w:val="00445ADD"/>
    <w:rsid w:val="00445BCF"/>
    <w:rsid w:val="00445D43"/>
    <w:rsid w:val="004463D9"/>
    <w:rsid w:val="00446EF7"/>
    <w:rsid w:val="00447034"/>
    <w:rsid w:val="00450034"/>
    <w:rsid w:val="0045251D"/>
    <w:rsid w:val="00452CA7"/>
    <w:rsid w:val="004535B7"/>
    <w:rsid w:val="0045364D"/>
    <w:rsid w:val="00453C51"/>
    <w:rsid w:val="00454349"/>
    <w:rsid w:val="00454F01"/>
    <w:rsid w:val="004572A6"/>
    <w:rsid w:val="00457FDF"/>
    <w:rsid w:val="004601FE"/>
    <w:rsid w:val="004602E2"/>
    <w:rsid w:val="00460477"/>
    <w:rsid w:val="004604C9"/>
    <w:rsid w:val="004615BB"/>
    <w:rsid w:val="004619C1"/>
    <w:rsid w:val="004632FC"/>
    <w:rsid w:val="00463E39"/>
    <w:rsid w:val="00464C0A"/>
    <w:rsid w:val="00464FE9"/>
    <w:rsid w:val="004657FC"/>
    <w:rsid w:val="00466BE3"/>
    <w:rsid w:val="00467D7F"/>
    <w:rsid w:val="004703CB"/>
    <w:rsid w:val="00470D3A"/>
    <w:rsid w:val="00471D9E"/>
    <w:rsid w:val="00472603"/>
    <w:rsid w:val="004733F6"/>
    <w:rsid w:val="00474D3F"/>
    <w:rsid w:val="00474E69"/>
    <w:rsid w:val="00476C13"/>
    <w:rsid w:val="00477257"/>
    <w:rsid w:val="00477BD9"/>
    <w:rsid w:val="00482C4A"/>
    <w:rsid w:val="00482FA4"/>
    <w:rsid w:val="00485070"/>
    <w:rsid w:val="004859E7"/>
    <w:rsid w:val="00486655"/>
    <w:rsid w:val="004867CC"/>
    <w:rsid w:val="00486CCA"/>
    <w:rsid w:val="00490D95"/>
    <w:rsid w:val="004930C3"/>
    <w:rsid w:val="0049356B"/>
    <w:rsid w:val="00494E70"/>
    <w:rsid w:val="00496078"/>
    <w:rsid w:val="0049621B"/>
    <w:rsid w:val="00496651"/>
    <w:rsid w:val="004968EF"/>
    <w:rsid w:val="00496F54"/>
    <w:rsid w:val="004A0670"/>
    <w:rsid w:val="004A44D5"/>
    <w:rsid w:val="004A45C6"/>
    <w:rsid w:val="004A6923"/>
    <w:rsid w:val="004B22EF"/>
    <w:rsid w:val="004B2969"/>
    <w:rsid w:val="004B6A22"/>
    <w:rsid w:val="004C13F7"/>
    <w:rsid w:val="004C15F8"/>
    <w:rsid w:val="004C1748"/>
    <w:rsid w:val="004C1895"/>
    <w:rsid w:val="004C195B"/>
    <w:rsid w:val="004C2575"/>
    <w:rsid w:val="004C2C80"/>
    <w:rsid w:val="004C40B6"/>
    <w:rsid w:val="004C46B4"/>
    <w:rsid w:val="004C4B9E"/>
    <w:rsid w:val="004C507D"/>
    <w:rsid w:val="004C5F32"/>
    <w:rsid w:val="004C6D40"/>
    <w:rsid w:val="004D03F4"/>
    <w:rsid w:val="004D0B4B"/>
    <w:rsid w:val="004D3AE1"/>
    <w:rsid w:val="004D4048"/>
    <w:rsid w:val="004D426A"/>
    <w:rsid w:val="004D5F19"/>
    <w:rsid w:val="004D6CE6"/>
    <w:rsid w:val="004D7B0F"/>
    <w:rsid w:val="004E0608"/>
    <w:rsid w:val="004E182F"/>
    <w:rsid w:val="004E1C18"/>
    <w:rsid w:val="004E1F5F"/>
    <w:rsid w:val="004E34AF"/>
    <w:rsid w:val="004E3C46"/>
    <w:rsid w:val="004E5582"/>
    <w:rsid w:val="004E66E8"/>
    <w:rsid w:val="004E68BF"/>
    <w:rsid w:val="004F0C3C"/>
    <w:rsid w:val="004F0E43"/>
    <w:rsid w:val="004F132C"/>
    <w:rsid w:val="004F198D"/>
    <w:rsid w:val="004F1ED7"/>
    <w:rsid w:val="004F6243"/>
    <w:rsid w:val="004F63FC"/>
    <w:rsid w:val="004F76B0"/>
    <w:rsid w:val="004F7A21"/>
    <w:rsid w:val="004F7EEC"/>
    <w:rsid w:val="00500164"/>
    <w:rsid w:val="00502D35"/>
    <w:rsid w:val="005037BB"/>
    <w:rsid w:val="00505203"/>
    <w:rsid w:val="005053BC"/>
    <w:rsid w:val="00505A92"/>
    <w:rsid w:val="0051001B"/>
    <w:rsid w:val="00510629"/>
    <w:rsid w:val="00511EDE"/>
    <w:rsid w:val="00512006"/>
    <w:rsid w:val="005124DB"/>
    <w:rsid w:val="005144E9"/>
    <w:rsid w:val="00514FE9"/>
    <w:rsid w:val="00515660"/>
    <w:rsid w:val="00515FC3"/>
    <w:rsid w:val="00516589"/>
    <w:rsid w:val="00516A75"/>
    <w:rsid w:val="005203F1"/>
    <w:rsid w:val="00521BC3"/>
    <w:rsid w:val="005226C0"/>
    <w:rsid w:val="005232CC"/>
    <w:rsid w:val="0052338A"/>
    <w:rsid w:val="00526876"/>
    <w:rsid w:val="00526DB6"/>
    <w:rsid w:val="00526F79"/>
    <w:rsid w:val="00527ACB"/>
    <w:rsid w:val="00531B7F"/>
    <w:rsid w:val="005324D3"/>
    <w:rsid w:val="0053255B"/>
    <w:rsid w:val="00532D02"/>
    <w:rsid w:val="005335B1"/>
    <w:rsid w:val="00533632"/>
    <w:rsid w:val="005344CA"/>
    <w:rsid w:val="00534A94"/>
    <w:rsid w:val="00535576"/>
    <w:rsid w:val="005366C2"/>
    <w:rsid w:val="00537DFC"/>
    <w:rsid w:val="00537E67"/>
    <w:rsid w:val="005401F7"/>
    <w:rsid w:val="00541E6E"/>
    <w:rsid w:val="0054251F"/>
    <w:rsid w:val="0054334E"/>
    <w:rsid w:val="00544A3B"/>
    <w:rsid w:val="00544C69"/>
    <w:rsid w:val="0054550C"/>
    <w:rsid w:val="00545B20"/>
    <w:rsid w:val="005463FE"/>
    <w:rsid w:val="005467C5"/>
    <w:rsid w:val="00547609"/>
    <w:rsid w:val="0055021C"/>
    <w:rsid w:val="005510A8"/>
    <w:rsid w:val="005520D8"/>
    <w:rsid w:val="00552F45"/>
    <w:rsid w:val="005537D9"/>
    <w:rsid w:val="00554EAE"/>
    <w:rsid w:val="0055647D"/>
    <w:rsid w:val="00556C44"/>
    <w:rsid w:val="00556CF1"/>
    <w:rsid w:val="005574D4"/>
    <w:rsid w:val="00561626"/>
    <w:rsid w:val="00561EE2"/>
    <w:rsid w:val="0056315A"/>
    <w:rsid w:val="005633E1"/>
    <w:rsid w:val="00563430"/>
    <w:rsid w:val="00564077"/>
    <w:rsid w:val="005645BA"/>
    <w:rsid w:val="005649C0"/>
    <w:rsid w:val="00565E83"/>
    <w:rsid w:val="00566D21"/>
    <w:rsid w:val="005679D4"/>
    <w:rsid w:val="00567AAF"/>
    <w:rsid w:val="00567E25"/>
    <w:rsid w:val="00567FE8"/>
    <w:rsid w:val="00570A06"/>
    <w:rsid w:val="0057117F"/>
    <w:rsid w:val="00572364"/>
    <w:rsid w:val="005723FB"/>
    <w:rsid w:val="00572576"/>
    <w:rsid w:val="00573DAD"/>
    <w:rsid w:val="00575532"/>
    <w:rsid w:val="005762A7"/>
    <w:rsid w:val="005778E3"/>
    <w:rsid w:val="005807FD"/>
    <w:rsid w:val="00581F75"/>
    <w:rsid w:val="00582917"/>
    <w:rsid w:val="00583F8A"/>
    <w:rsid w:val="0058433D"/>
    <w:rsid w:val="00584801"/>
    <w:rsid w:val="00586C39"/>
    <w:rsid w:val="00586DC5"/>
    <w:rsid w:val="00587AF2"/>
    <w:rsid w:val="005903EE"/>
    <w:rsid w:val="00590480"/>
    <w:rsid w:val="00590DD9"/>
    <w:rsid w:val="005916D7"/>
    <w:rsid w:val="00591DA8"/>
    <w:rsid w:val="00595BA5"/>
    <w:rsid w:val="00596945"/>
    <w:rsid w:val="005970B7"/>
    <w:rsid w:val="00597A8D"/>
    <w:rsid w:val="00597E2B"/>
    <w:rsid w:val="005A036E"/>
    <w:rsid w:val="005A0768"/>
    <w:rsid w:val="005A1C68"/>
    <w:rsid w:val="005A27D0"/>
    <w:rsid w:val="005A5EA4"/>
    <w:rsid w:val="005A64EE"/>
    <w:rsid w:val="005A698C"/>
    <w:rsid w:val="005A6EF8"/>
    <w:rsid w:val="005A7EBB"/>
    <w:rsid w:val="005B01E8"/>
    <w:rsid w:val="005B097F"/>
    <w:rsid w:val="005B0D8E"/>
    <w:rsid w:val="005B19DC"/>
    <w:rsid w:val="005B23B1"/>
    <w:rsid w:val="005B36E5"/>
    <w:rsid w:val="005B4EB4"/>
    <w:rsid w:val="005B521F"/>
    <w:rsid w:val="005B5E2C"/>
    <w:rsid w:val="005B63CB"/>
    <w:rsid w:val="005B69F4"/>
    <w:rsid w:val="005B7907"/>
    <w:rsid w:val="005B7A52"/>
    <w:rsid w:val="005C0161"/>
    <w:rsid w:val="005C17EC"/>
    <w:rsid w:val="005C20DC"/>
    <w:rsid w:val="005C307B"/>
    <w:rsid w:val="005C40C4"/>
    <w:rsid w:val="005C5BC2"/>
    <w:rsid w:val="005C6555"/>
    <w:rsid w:val="005C7161"/>
    <w:rsid w:val="005D0559"/>
    <w:rsid w:val="005D1546"/>
    <w:rsid w:val="005D3238"/>
    <w:rsid w:val="005D500B"/>
    <w:rsid w:val="005D56EA"/>
    <w:rsid w:val="005D5FC9"/>
    <w:rsid w:val="005D750C"/>
    <w:rsid w:val="005E0799"/>
    <w:rsid w:val="005E191B"/>
    <w:rsid w:val="005E29CF"/>
    <w:rsid w:val="005E37D3"/>
    <w:rsid w:val="005E382F"/>
    <w:rsid w:val="005E44B0"/>
    <w:rsid w:val="005E4C12"/>
    <w:rsid w:val="005E56EC"/>
    <w:rsid w:val="005E5FF6"/>
    <w:rsid w:val="005F11D6"/>
    <w:rsid w:val="005F1B62"/>
    <w:rsid w:val="005F34E1"/>
    <w:rsid w:val="005F3BA8"/>
    <w:rsid w:val="005F509A"/>
    <w:rsid w:val="005F582B"/>
    <w:rsid w:val="005F5A80"/>
    <w:rsid w:val="005F607C"/>
    <w:rsid w:val="005F7702"/>
    <w:rsid w:val="005F7881"/>
    <w:rsid w:val="006044FF"/>
    <w:rsid w:val="00604A8D"/>
    <w:rsid w:val="00605580"/>
    <w:rsid w:val="00607CC5"/>
    <w:rsid w:val="0061095C"/>
    <w:rsid w:val="00610CA9"/>
    <w:rsid w:val="006115AA"/>
    <w:rsid w:val="006125C4"/>
    <w:rsid w:val="00613A16"/>
    <w:rsid w:val="00614023"/>
    <w:rsid w:val="0062027E"/>
    <w:rsid w:val="00620B82"/>
    <w:rsid w:val="006217ED"/>
    <w:rsid w:val="00622674"/>
    <w:rsid w:val="0062296C"/>
    <w:rsid w:val="006229CF"/>
    <w:rsid w:val="006229E1"/>
    <w:rsid w:val="00622CDA"/>
    <w:rsid w:val="00624833"/>
    <w:rsid w:val="00624A6F"/>
    <w:rsid w:val="00624A8C"/>
    <w:rsid w:val="00625DE6"/>
    <w:rsid w:val="00626140"/>
    <w:rsid w:val="006269DE"/>
    <w:rsid w:val="006274ED"/>
    <w:rsid w:val="00630131"/>
    <w:rsid w:val="00630250"/>
    <w:rsid w:val="006304FB"/>
    <w:rsid w:val="00630554"/>
    <w:rsid w:val="00631BCE"/>
    <w:rsid w:val="00633014"/>
    <w:rsid w:val="00634213"/>
    <w:rsid w:val="0063437B"/>
    <w:rsid w:val="006354DA"/>
    <w:rsid w:val="00635FF0"/>
    <w:rsid w:val="006379D8"/>
    <w:rsid w:val="00640387"/>
    <w:rsid w:val="0064083B"/>
    <w:rsid w:val="0064169B"/>
    <w:rsid w:val="00641B59"/>
    <w:rsid w:val="0064227E"/>
    <w:rsid w:val="006451BF"/>
    <w:rsid w:val="0064640E"/>
    <w:rsid w:val="00647512"/>
    <w:rsid w:val="0064777C"/>
    <w:rsid w:val="00647BB1"/>
    <w:rsid w:val="0065068C"/>
    <w:rsid w:val="00651209"/>
    <w:rsid w:val="0065178F"/>
    <w:rsid w:val="00651C19"/>
    <w:rsid w:val="00652034"/>
    <w:rsid w:val="006522E5"/>
    <w:rsid w:val="00654F9A"/>
    <w:rsid w:val="0065546E"/>
    <w:rsid w:val="00656E23"/>
    <w:rsid w:val="00657820"/>
    <w:rsid w:val="00657D23"/>
    <w:rsid w:val="00660BDB"/>
    <w:rsid w:val="00662415"/>
    <w:rsid w:val="00662B5D"/>
    <w:rsid w:val="00662E3B"/>
    <w:rsid w:val="0066338D"/>
    <w:rsid w:val="00664822"/>
    <w:rsid w:val="00664C91"/>
    <w:rsid w:val="006659FA"/>
    <w:rsid w:val="00666E85"/>
    <w:rsid w:val="006673CA"/>
    <w:rsid w:val="00670BFD"/>
    <w:rsid w:val="00673C26"/>
    <w:rsid w:val="00673E78"/>
    <w:rsid w:val="00674527"/>
    <w:rsid w:val="00674659"/>
    <w:rsid w:val="00674D7B"/>
    <w:rsid w:val="00675A7F"/>
    <w:rsid w:val="00675DED"/>
    <w:rsid w:val="006768B4"/>
    <w:rsid w:val="00677197"/>
    <w:rsid w:val="00677E3C"/>
    <w:rsid w:val="006809ED"/>
    <w:rsid w:val="006812AF"/>
    <w:rsid w:val="006821DA"/>
    <w:rsid w:val="0068266B"/>
    <w:rsid w:val="0068327D"/>
    <w:rsid w:val="00684C12"/>
    <w:rsid w:val="006861A5"/>
    <w:rsid w:val="006861AA"/>
    <w:rsid w:val="00686AF1"/>
    <w:rsid w:val="006879F3"/>
    <w:rsid w:val="00691E91"/>
    <w:rsid w:val="00692B50"/>
    <w:rsid w:val="00694AAA"/>
    <w:rsid w:val="00694AF0"/>
    <w:rsid w:val="00694FC2"/>
    <w:rsid w:val="006961BC"/>
    <w:rsid w:val="006962C3"/>
    <w:rsid w:val="0069653A"/>
    <w:rsid w:val="006976FD"/>
    <w:rsid w:val="006A003B"/>
    <w:rsid w:val="006A0B93"/>
    <w:rsid w:val="006A0EE2"/>
    <w:rsid w:val="006A339A"/>
    <w:rsid w:val="006A39CD"/>
    <w:rsid w:val="006A4686"/>
    <w:rsid w:val="006A4A01"/>
    <w:rsid w:val="006A5D1C"/>
    <w:rsid w:val="006A63CA"/>
    <w:rsid w:val="006A6D54"/>
    <w:rsid w:val="006A6DAB"/>
    <w:rsid w:val="006A7F04"/>
    <w:rsid w:val="006B0597"/>
    <w:rsid w:val="006B065A"/>
    <w:rsid w:val="006B0E9E"/>
    <w:rsid w:val="006B0F00"/>
    <w:rsid w:val="006B1F3F"/>
    <w:rsid w:val="006B1F88"/>
    <w:rsid w:val="006B20E6"/>
    <w:rsid w:val="006B266F"/>
    <w:rsid w:val="006B2971"/>
    <w:rsid w:val="006B2A42"/>
    <w:rsid w:val="006B50E8"/>
    <w:rsid w:val="006B5AE4"/>
    <w:rsid w:val="006B608D"/>
    <w:rsid w:val="006B77DF"/>
    <w:rsid w:val="006B7EFD"/>
    <w:rsid w:val="006C187D"/>
    <w:rsid w:val="006C2938"/>
    <w:rsid w:val="006C2ADD"/>
    <w:rsid w:val="006C2EBF"/>
    <w:rsid w:val="006C3743"/>
    <w:rsid w:val="006C423B"/>
    <w:rsid w:val="006C51E2"/>
    <w:rsid w:val="006C543C"/>
    <w:rsid w:val="006C58BC"/>
    <w:rsid w:val="006C673B"/>
    <w:rsid w:val="006C67FC"/>
    <w:rsid w:val="006D05DD"/>
    <w:rsid w:val="006D0793"/>
    <w:rsid w:val="006D1507"/>
    <w:rsid w:val="006D1680"/>
    <w:rsid w:val="006D2421"/>
    <w:rsid w:val="006D4054"/>
    <w:rsid w:val="006D656F"/>
    <w:rsid w:val="006D776B"/>
    <w:rsid w:val="006D7A20"/>
    <w:rsid w:val="006D7B37"/>
    <w:rsid w:val="006E02EC"/>
    <w:rsid w:val="006E0770"/>
    <w:rsid w:val="006E1A57"/>
    <w:rsid w:val="006E3718"/>
    <w:rsid w:val="006E426D"/>
    <w:rsid w:val="006E44A0"/>
    <w:rsid w:val="006E4659"/>
    <w:rsid w:val="006E4A35"/>
    <w:rsid w:val="006E4C13"/>
    <w:rsid w:val="006E51F1"/>
    <w:rsid w:val="006E5EB2"/>
    <w:rsid w:val="006E678F"/>
    <w:rsid w:val="006E7BF9"/>
    <w:rsid w:val="006F0384"/>
    <w:rsid w:val="006F0BFF"/>
    <w:rsid w:val="006F1184"/>
    <w:rsid w:val="006F15BF"/>
    <w:rsid w:val="006F2820"/>
    <w:rsid w:val="006F4744"/>
    <w:rsid w:val="006F4846"/>
    <w:rsid w:val="006F5E7C"/>
    <w:rsid w:val="006F69C4"/>
    <w:rsid w:val="006F6CE7"/>
    <w:rsid w:val="006F74A6"/>
    <w:rsid w:val="0070095A"/>
    <w:rsid w:val="007009AB"/>
    <w:rsid w:val="00700FCC"/>
    <w:rsid w:val="00701530"/>
    <w:rsid w:val="00701A03"/>
    <w:rsid w:val="00702E73"/>
    <w:rsid w:val="00703197"/>
    <w:rsid w:val="007037C9"/>
    <w:rsid w:val="00705BA6"/>
    <w:rsid w:val="0070737F"/>
    <w:rsid w:val="007110FB"/>
    <w:rsid w:val="00711425"/>
    <w:rsid w:val="00711FAA"/>
    <w:rsid w:val="0071225A"/>
    <w:rsid w:val="007124E0"/>
    <w:rsid w:val="00712EA0"/>
    <w:rsid w:val="00713343"/>
    <w:rsid w:val="0071403E"/>
    <w:rsid w:val="007151C0"/>
    <w:rsid w:val="007167B2"/>
    <w:rsid w:val="00716B29"/>
    <w:rsid w:val="00716B5B"/>
    <w:rsid w:val="007206F4"/>
    <w:rsid w:val="007211B1"/>
    <w:rsid w:val="00721B91"/>
    <w:rsid w:val="0072221D"/>
    <w:rsid w:val="00722254"/>
    <w:rsid w:val="00723241"/>
    <w:rsid w:val="00727A98"/>
    <w:rsid w:val="00727D7A"/>
    <w:rsid w:val="007305AF"/>
    <w:rsid w:val="007318B4"/>
    <w:rsid w:val="00732388"/>
    <w:rsid w:val="00732A5D"/>
    <w:rsid w:val="007354EF"/>
    <w:rsid w:val="00735BDC"/>
    <w:rsid w:val="00735D20"/>
    <w:rsid w:val="00740BB5"/>
    <w:rsid w:val="00742360"/>
    <w:rsid w:val="00742B4A"/>
    <w:rsid w:val="00742FB6"/>
    <w:rsid w:val="00743112"/>
    <w:rsid w:val="0074388A"/>
    <w:rsid w:val="00745536"/>
    <w:rsid w:val="00746187"/>
    <w:rsid w:val="00746591"/>
    <w:rsid w:val="00746768"/>
    <w:rsid w:val="007506A0"/>
    <w:rsid w:val="00750FD8"/>
    <w:rsid w:val="007521F9"/>
    <w:rsid w:val="00754AC8"/>
    <w:rsid w:val="0075634D"/>
    <w:rsid w:val="00756431"/>
    <w:rsid w:val="00756E1B"/>
    <w:rsid w:val="007576BD"/>
    <w:rsid w:val="00760844"/>
    <w:rsid w:val="0076092B"/>
    <w:rsid w:val="0076254F"/>
    <w:rsid w:val="0076258D"/>
    <w:rsid w:val="00762BFD"/>
    <w:rsid w:val="00763746"/>
    <w:rsid w:val="00763B3D"/>
    <w:rsid w:val="007645AA"/>
    <w:rsid w:val="00764EBB"/>
    <w:rsid w:val="00765940"/>
    <w:rsid w:val="00765F27"/>
    <w:rsid w:val="0076639C"/>
    <w:rsid w:val="00766E5E"/>
    <w:rsid w:val="00767A00"/>
    <w:rsid w:val="00767D53"/>
    <w:rsid w:val="00770151"/>
    <w:rsid w:val="00770B00"/>
    <w:rsid w:val="00771D24"/>
    <w:rsid w:val="0077392C"/>
    <w:rsid w:val="00773EDC"/>
    <w:rsid w:val="00774D6D"/>
    <w:rsid w:val="007750C8"/>
    <w:rsid w:val="0077592F"/>
    <w:rsid w:val="007759D1"/>
    <w:rsid w:val="00775D86"/>
    <w:rsid w:val="007761FC"/>
    <w:rsid w:val="007801F5"/>
    <w:rsid w:val="00780B5E"/>
    <w:rsid w:val="00781E02"/>
    <w:rsid w:val="00781FF1"/>
    <w:rsid w:val="007821CA"/>
    <w:rsid w:val="007830E7"/>
    <w:rsid w:val="00783432"/>
    <w:rsid w:val="00783CA4"/>
    <w:rsid w:val="007842FB"/>
    <w:rsid w:val="007854CA"/>
    <w:rsid w:val="007858B7"/>
    <w:rsid w:val="00786124"/>
    <w:rsid w:val="00786925"/>
    <w:rsid w:val="00790E06"/>
    <w:rsid w:val="00791122"/>
    <w:rsid w:val="0079141B"/>
    <w:rsid w:val="0079514B"/>
    <w:rsid w:val="00795190"/>
    <w:rsid w:val="0079590E"/>
    <w:rsid w:val="00796202"/>
    <w:rsid w:val="00796694"/>
    <w:rsid w:val="00797507"/>
    <w:rsid w:val="007A090E"/>
    <w:rsid w:val="007A1126"/>
    <w:rsid w:val="007A11C2"/>
    <w:rsid w:val="007A12A8"/>
    <w:rsid w:val="007A1D40"/>
    <w:rsid w:val="007A1EA4"/>
    <w:rsid w:val="007A26BE"/>
    <w:rsid w:val="007A2D9A"/>
    <w:rsid w:val="007A2DC1"/>
    <w:rsid w:val="007A2E37"/>
    <w:rsid w:val="007A4A13"/>
    <w:rsid w:val="007A4C9B"/>
    <w:rsid w:val="007A502D"/>
    <w:rsid w:val="007A603D"/>
    <w:rsid w:val="007A7386"/>
    <w:rsid w:val="007B0687"/>
    <w:rsid w:val="007B27D5"/>
    <w:rsid w:val="007B5184"/>
    <w:rsid w:val="007B652A"/>
    <w:rsid w:val="007B77E5"/>
    <w:rsid w:val="007C26E1"/>
    <w:rsid w:val="007C2807"/>
    <w:rsid w:val="007C2C2D"/>
    <w:rsid w:val="007C2D68"/>
    <w:rsid w:val="007C300C"/>
    <w:rsid w:val="007C4021"/>
    <w:rsid w:val="007C4639"/>
    <w:rsid w:val="007C4B0E"/>
    <w:rsid w:val="007C64B7"/>
    <w:rsid w:val="007C73A8"/>
    <w:rsid w:val="007D2A99"/>
    <w:rsid w:val="007D3269"/>
    <w:rsid w:val="007D3319"/>
    <w:rsid w:val="007D335D"/>
    <w:rsid w:val="007D40D8"/>
    <w:rsid w:val="007D4424"/>
    <w:rsid w:val="007D4942"/>
    <w:rsid w:val="007D66F4"/>
    <w:rsid w:val="007D688F"/>
    <w:rsid w:val="007E17E7"/>
    <w:rsid w:val="007E3314"/>
    <w:rsid w:val="007E389F"/>
    <w:rsid w:val="007E3C9D"/>
    <w:rsid w:val="007E421F"/>
    <w:rsid w:val="007E4741"/>
    <w:rsid w:val="007E4840"/>
    <w:rsid w:val="007E4B03"/>
    <w:rsid w:val="007E61A0"/>
    <w:rsid w:val="007E699B"/>
    <w:rsid w:val="007F0958"/>
    <w:rsid w:val="007F0E2D"/>
    <w:rsid w:val="007F23E3"/>
    <w:rsid w:val="007F31B7"/>
    <w:rsid w:val="007F324B"/>
    <w:rsid w:val="007F36E3"/>
    <w:rsid w:val="007F43F8"/>
    <w:rsid w:val="007F4412"/>
    <w:rsid w:val="007F44C3"/>
    <w:rsid w:val="007F4D01"/>
    <w:rsid w:val="007F5B1C"/>
    <w:rsid w:val="007F7450"/>
    <w:rsid w:val="008000C6"/>
    <w:rsid w:val="0080161E"/>
    <w:rsid w:val="00804B58"/>
    <w:rsid w:val="0080500A"/>
    <w:rsid w:val="0080553C"/>
    <w:rsid w:val="00805B46"/>
    <w:rsid w:val="00807B07"/>
    <w:rsid w:val="00807B6C"/>
    <w:rsid w:val="00811C5B"/>
    <w:rsid w:val="00811D80"/>
    <w:rsid w:val="00812F11"/>
    <w:rsid w:val="008141BF"/>
    <w:rsid w:val="008147E3"/>
    <w:rsid w:val="00815CEC"/>
    <w:rsid w:val="008205A5"/>
    <w:rsid w:val="00821F90"/>
    <w:rsid w:val="00822E2C"/>
    <w:rsid w:val="00822EDA"/>
    <w:rsid w:val="00822FB9"/>
    <w:rsid w:val="00825DC2"/>
    <w:rsid w:val="008271F2"/>
    <w:rsid w:val="008272F8"/>
    <w:rsid w:val="00827E8E"/>
    <w:rsid w:val="00830501"/>
    <w:rsid w:val="00830597"/>
    <w:rsid w:val="008306AC"/>
    <w:rsid w:val="0083165E"/>
    <w:rsid w:val="00831F1F"/>
    <w:rsid w:val="00832E81"/>
    <w:rsid w:val="00833235"/>
    <w:rsid w:val="008332FE"/>
    <w:rsid w:val="00833775"/>
    <w:rsid w:val="008342CF"/>
    <w:rsid w:val="00834AD3"/>
    <w:rsid w:val="008352B1"/>
    <w:rsid w:val="008353CE"/>
    <w:rsid w:val="008360ED"/>
    <w:rsid w:val="008377D0"/>
    <w:rsid w:val="00837A74"/>
    <w:rsid w:val="00840577"/>
    <w:rsid w:val="00840927"/>
    <w:rsid w:val="00841F15"/>
    <w:rsid w:val="00842C74"/>
    <w:rsid w:val="00842F9D"/>
    <w:rsid w:val="00843795"/>
    <w:rsid w:val="00843D29"/>
    <w:rsid w:val="00846387"/>
    <w:rsid w:val="00846AFB"/>
    <w:rsid w:val="00846FEB"/>
    <w:rsid w:val="008470EF"/>
    <w:rsid w:val="008478D4"/>
    <w:rsid w:val="00847F0F"/>
    <w:rsid w:val="008518AF"/>
    <w:rsid w:val="00851B01"/>
    <w:rsid w:val="00852448"/>
    <w:rsid w:val="008526D1"/>
    <w:rsid w:val="00852AFB"/>
    <w:rsid w:val="0085320E"/>
    <w:rsid w:val="00854C92"/>
    <w:rsid w:val="00856C9C"/>
    <w:rsid w:val="008571A0"/>
    <w:rsid w:val="008574E1"/>
    <w:rsid w:val="00860318"/>
    <w:rsid w:val="00866049"/>
    <w:rsid w:val="0086664B"/>
    <w:rsid w:val="00866B6A"/>
    <w:rsid w:val="00866CE0"/>
    <w:rsid w:val="00867CC4"/>
    <w:rsid w:val="008713F0"/>
    <w:rsid w:val="00872F57"/>
    <w:rsid w:val="00873AA5"/>
    <w:rsid w:val="0087424F"/>
    <w:rsid w:val="00874993"/>
    <w:rsid w:val="0087522E"/>
    <w:rsid w:val="008756CC"/>
    <w:rsid w:val="00875A12"/>
    <w:rsid w:val="00875D9D"/>
    <w:rsid w:val="00877359"/>
    <w:rsid w:val="00877CDB"/>
    <w:rsid w:val="0088258A"/>
    <w:rsid w:val="00883AFC"/>
    <w:rsid w:val="00883B03"/>
    <w:rsid w:val="008840B4"/>
    <w:rsid w:val="00885268"/>
    <w:rsid w:val="00885E44"/>
    <w:rsid w:val="00886332"/>
    <w:rsid w:val="008874B8"/>
    <w:rsid w:val="0089074A"/>
    <w:rsid w:val="0089081E"/>
    <w:rsid w:val="00890897"/>
    <w:rsid w:val="008917B4"/>
    <w:rsid w:val="0089343D"/>
    <w:rsid w:val="00893663"/>
    <w:rsid w:val="0089415B"/>
    <w:rsid w:val="008967C1"/>
    <w:rsid w:val="008A1802"/>
    <w:rsid w:val="008A223F"/>
    <w:rsid w:val="008A26D9"/>
    <w:rsid w:val="008A37A5"/>
    <w:rsid w:val="008A45C1"/>
    <w:rsid w:val="008A46CE"/>
    <w:rsid w:val="008A5144"/>
    <w:rsid w:val="008A550B"/>
    <w:rsid w:val="008A6E9C"/>
    <w:rsid w:val="008B0351"/>
    <w:rsid w:val="008B0674"/>
    <w:rsid w:val="008B0FBD"/>
    <w:rsid w:val="008B1245"/>
    <w:rsid w:val="008B58AD"/>
    <w:rsid w:val="008B61EE"/>
    <w:rsid w:val="008B69D1"/>
    <w:rsid w:val="008B79F6"/>
    <w:rsid w:val="008B7FC2"/>
    <w:rsid w:val="008C073C"/>
    <w:rsid w:val="008C0C29"/>
    <w:rsid w:val="008C21E7"/>
    <w:rsid w:val="008C23AF"/>
    <w:rsid w:val="008C3298"/>
    <w:rsid w:val="008C34E7"/>
    <w:rsid w:val="008C3B84"/>
    <w:rsid w:val="008C3CAF"/>
    <w:rsid w:val="008C42F2"/>
    <w:rsid w:val="008C4A8A"/>
    <w:rsid w:val="008D0F14"/>
    <w:rsid w:val="008D126C"/>
    <w:rsid w:val="008D13D3"/>
    <w:rsid w:val="008D24C7"/>
    <w:rsid w:val="008D2DD6"/>
    <w:rsid w:val="008D405F"/>
    <w:rsid w:val="008D428E"/>
    <w:rsid w:val="008D4B2F"/>
    <w:rsid w:val="008D6AEE"/>
    <w:rsid w:val="008E1421"/>
    <w:rsid w:val="008E185B"/>
    <w:rsid w:val="008E1A3C"/>
    <w:rsid w:val="008E3236"/>
    <w:rsid w:val="008E4177"/>
    <w:rsid w:val="008E6023"/>
    <w:rsid w:val="008E6E02"/>
    <w:rsid w:val="008E7ACD"/>
    <w:rsid w:val="008E7C61"/>
    <w:rsid w:val="008F07F9"/>
    <w:rsid w:val="008F09C1"/>
    <w:rsid w:val="008F1302"/>
    <w:rsid w:val="008F1B9B"/>
    <w:rsid w:val="008F2F01"/>
    <w:rsid w:val="008F3472"/>
    <w:rsid w:val="008F3638"/>
    <w:rsid w:val="008F3A10"/>
    <w:rsid w:val="008F3D9F"/>
    <w:rsid w:val="008F4441"/>
    <w:rsid w:val="008F569A"/>
    <w:rsid w:val="008F5CC5"/>
    <w:rsid w:val="008F6832"/>
    <w:rsid w:val="008F6F31"/>
    <w:rsid w:val="008F74DF"/>
    <w:rsid w:val="00900FED"/>
    <w:rsid w:val="0090117B"/>
    <w:rsid w:val="00902458"/>
    <w:rsid w:val="009028EF"/>
    <w:rsid w:val="00902AE9"/>
    <w:rsid w:val="0090359F"/>
    <w:rsid w:val="00903D55"/>
    <w:rsid w:val="00903EFA"/>
    <w:rsid w:val="009044B4"/>
    <w:rsid w:val="00904697"/>
    <w:rsid w:val="009048DA"/>
    <w:rsid w:val="00910160"/>
    <w:rsid w:val="00910EC6"/>
    <w:rsid w:val="009115E5"/>
    <w:rsid w:val="00911B7E"/>
    <w:rsid w:val="009127BA"/>
    <w:rsid w:val="00912DEC"/>
    <w:rsid w:val="00913D2E"/>
    <w:rsid w:val="00914064"/>
    <w:rsid w:val="009157FE"/>
    <w:rsid w:val="00915CAF"/>
    <w:rsid w:val="00920672"/>
    <w:rsid w:val="00920F38"/>
    <w:rsid w:val="00921EEA"/>
    <w:rsid w:val="009227A6"/>
    <w:rsid w:val="00922D57"/>
    <w:rsid w:val="0092355E"/>
    <w:rsid w:val="009251BD"/>
    <w:rsid w:val="00925BED"/>
    <w:rsid w:val="00925C9F"/>
    <w:rsid w:val="009261F0"/>
    <w:rsid w:val="0092625F"/>
    <w:rsid w:val="009263A1"/>
    <w:rsid w:val="009267CC"/>
    <w:rsid w:val="009277D8"/>
    <w:rsid w:val="00927976"/>
    <w:rsid w:val="00930EDF"/>
    <w:rsid w:val="0093237B"/>
    <w:rsid w:val="00932834"/>
    <w:rsid w:val="00933D60"/>
    <w:rsid w:val="00933EC1"/>
    <w:rsid w:val="009361D7"/>
    <w:rsid w:val="009400F1"/>
    <w:rsid w:val="00940803"/>
    <w:rsid w:val="00940ECE"/>
    <w:rsid w:val="0094177D"/>
    <w:rsid w:val="00941D0D"/>
    <w:rsid w:val="009420C4"/>
    <w:rsid w:val="00942F3A"/>
    <w:rsid w:val="009431BB"/>
    <w:rsid w:val="00943A58"/>
    <w:rsid w:val="00944B5F"/>
    <w:rsid w:val="00945A44"/>
    <w:rsid w:val="00945AC5"/>
    <w:rsid w:val="00945C22"/>
    <w:rsid w:val="009473BA"/>
    <w:rsid w:val="00947A4E"/>
    <w:rsid w:val="00947F61"/>
    <w:rsid w:val="00950BC5"/>
    <w:rsid w:val="009512C3"/>
    <w:rsid w:val="00952127"/>
    <w:rsid w:val="009530DB"/>
    <w:rsid w:val="009534B1"/>
    <w:rsid w:val="00953676"/>
    <w:rsid w:val="00953E64"/>
    <w:rsid w:val="009542E3"/>
    <w:rsid w:val="0095719E"/>
    <w:rsid w:val="00957F53"/>
    <w:rsid w:val="009607AA"/>
    <w:rsid w:val="00960B1D"/>
    <w:rsid w:val="00961100"/>
    <w:rsid w:val="00963C09"/>
    <w:rsid w:val="00963EFC"/>
    <w:rsid w:val="0096470A"/>
    <w:rsid w:val="0096566D"/>
    <w:rsid w:val="00965D2B"/>
    <w:rsid w:val="00965F17"/>
    <w:rsid w:val="00966C15"/>
    <w:rsid w:val="00967D0E"/>
    <w:rsid w:val="00970129"/>
    <w:rsid w:val="009701D7"/>
    <w:rsid w:val="009705EE"/>
    <w:rsid w:val="009706E8"/>
    <w:rsid w:val="00971282"/>
    <w:rsid w:val="00971C1F"/>
    <w:rsid w:val="00971F9B"/>
    <w:rsid w:val="00974D44"/>
    <w:rsid w:val="00975584"/>
    <w:rsid w:val="00977124"/>
    <w:rsid w:val="00977927"/>
    <w:rsid w:val="00977DE5"/>
    <w:rsid w:val="009801CE"/>
    <w:rsid w:val="009801DD"/>
    <w:rsid w:val="00980ACA"/>
    <w:rsid w:val="00980ADC"/>
    <w:rsid w:val="0098135C"/>
    <w:rsid w:val="0098156A"/>
    <w:rsid w:val="009819FD"/>
    <w:rsid w:val="00982019"/>
    <w:rsid w:val="00982047"/>
    <w:rsid w:val="00982237"/>
    <w:rsid w:val="0098249E"/>
    <w:rsid w:val="00982F1F"/>
    <w:rsid w:val="009836BB"/>
    <w:rsid w:val="009839B5"/>
    <w:rsid w:val="00983C2F"/>
    <w:rsid w:val="00983C62"/>
    <w:rsid w:val="00984E6C"/>
    <w:rsid w:val="00986C82"/>
    <w:rsid w:val="00991BAC"/>
    <w:rsid w:val="009929BB"/>
    <w:rsid w:val="009940F0"/>
    <w:rsid w:val="009951E7"/>
    <w:rsid w:val="00995CB5"/>
    <w:rsid w:val="0099723D"/>
    <w:rsid w:val="009A0CB7"/>
    <w:rsid w:val="009A0DA8"/>
    <w:rsid w:val="009A159A"/>
    <w:rsid w:val="009A1AD0"/>
    <w:rsid w:val="009A432C"/>
    <w:rsid w:val="009A4A0A"/>
    <w:rsid w:val="009A5B0F"/>
    <w:rsid w:val="009A6267"/>
    <w:rsid w:val="009A6A2C"/>
    <w:rsid w:val="009A6EA0"/>
    <w:rsid w:val="009B0D3C"/>
    <w:rsid w:val="009B1567"/>
    <w:rsid w:val="009B1B49"/>
    <w:rsid w:val="009B2B6D"/>
    <w:rsid w:val="009B3063"/>
    <w:rsid w:val="009B312D"/>
    <w:rsid w:val="009B3E5A"/>
    <w:rsid w:val="009B4077"/>
    <w:rsid w:val="009B4D45"/>
    <w:rsid w:val="009B50FA"/>
    <w:rsid w:val="009B5C4E"/>
    <w:rsid w:val="009B63F0"/>
    <w:rsid w:val="009B6979"/>
    <w:rsid w:val="009B6C18"/>
    <w:rsid w:val="009B7CC3"/>
    <w:rsid w:val="009C0A65"/>
    <w:rsid w:val="009C1335"/>
    <w:rsid w:val="009C1AB2"/>
    <w:rsid w:val="009C1BDA"/>
    <w:rsid w:val="009C45D4"/>
    <w:rsid w:val="009C52B5"/>
    <w:rsid w:val="009C5959"/>
    <w:rsid w:val="009C7251"/>
    <w:rsid w:val="009C72DC"/>
    <w:rsid w:val="009C79E2"/>
    <w:rsid w:val="009C7D31"/>
    <w:rsid w:val="009D0157"/>
    <w:rsid w:val="009D09A4"/>
    <w:rsid w:val="009D0DD3"/>
    <w:rsid w:val="009D120C"/>
    <w:rsid w:val="009D297C"/>
    <w:rsid w:val="009D33EA"/>
    <w:rsid w:val="009D5813"/>
    <w:rsid w:val="009D6B23"/>
    <w:rsid w:val="009D7EF4"/>
    <w:rsid w:val="009E0058"/>
    <w:rsid w:val="009E0DC9"/>
    <w:rsid w:val="009E17B4"/>
    <w:rsid w:val="009E2A4E"/>
    <w:rsid w:val="009E2E61"/>
    <w:rsid w:val="009E2E91"/>
    <w:rsid w:val="009E5503"/>
    <w:rsid w:val="009E55FA"/>
    <w:rsid w:val="009E6561"/>
    <w:rsid w:val="009E6D9D"/>
    <w:rsid w:val="009E7737"/>
    <w:rsid w:val="009E7935"/>
    <w:rsid w:val="009F0748"/>
    <w:rsid w:val="009F2A6C"/>
    <w:rsid w:val="009F431B"/>
    <w:rsid w:val="009F5C25"/>
    <w:rsid w:val="009F5DA2"/>
    <w:rsid w:val="009F67F8"/>
    <w:rsid w:val="009F6B8B"/>
    <w:rsid w:val="009F7507"/>
    <w:rsid w:val="00A03789"/>
    <w:rsid w:val="00A03B96"/>
    <w:rsid w:val="00A05EB9"/>
    <w:rsid w:val="00A0640E"/>
    <w:rsid w:val="00A06D74"/>
    <w:rsid w:val="00A06FCF"/>
    <w:rsid w:val="00A07CB5"/>
    <w:rsid w:val="00A10BF0"/>
    <w:rsid w:val="00A116EE"/>
    <w:rsid w:val="00A12C8B"/>
    <w:rsid w:val="00A1323E"/>
    <w:rsid w:val="00A139F5"/>
    <w:rsid w:val="00A141B5"/>
    <w:rsid w:val="00A14BAF"/>
    <w:rsid w:val="00A15B93"/>
    <w:rsid w:val="00A16DC0"/>
    <w:rsid w:val="00A205F9"/>
    <w:rsid w:val="00A21A9B"/>
    <w:rsid w:val="00A258D3"/>
    <w:rsid w:val="00A25CA3"/>
    <w:rsid w:val="00A27A04"/>
    <w:rsid w:val="00A33989"/>
    <w:rsid w:val="00A33A75"/>
    <w:rsid w:val="00A3455C"/>
    <w:rsid w:val="00A3645B"/>
    <w:rsid w:val="00A365F4"/>
    <w:rsid w:val="00A36884"/>
    <w:rsid w:val="00A3752C"/>
    <w:rsid w:val="00A379BC"/>
    <w:rsid w:val="00A40985"/>
    <w:rsid w:val="00A41E04"/>
    <w:rsid w:val="00A42713"/>
    <w:rsid w:val="00A42B0A"/>
    <w:rsid w:val="00A43638"/>
    <w:rsid w:val="00A442EC"/>
    <w:rsid w:val="00A44455"/>
    <w:rsid w:val="00A44ACE"/>
    <w:rsid w:val="00A44D46"/>
    <w:rsid w:val="00A45548"/>
    <w:rsid w:val="00A45A12"/>
    <w:rsid w:val="00A47D80"/>
    <w:rsid w:val="00A520A5"/>
    <w:rsid w:val="00A52F5C"/>
    <w:rsid w:val="00A53132"/>
    <w:rsid w:val="00A5316E"/>
    <w:rsid w:val="00A5342E"/>
    <w:rsid w:val="00A53755"/>
    <w:rsid w:val="00A54168"/>
    <w:rsid w:val="00A5492E"/>
    <w:rsid w:val="00A54FDE"/>
    <w:rsid w:val="00A56065"/>
    <w:rsid w:val="00A563F2"/>
    <w:rsid w:val="00A566E8"/>
    <w:rsid w:val="00A5728E"/>
    <w:rsid w:val="00A6285C"/>
    <w:rsid w:val="00A63A7F"/>
    <w:rsid w:val="00A64C8F"/>
    <w:rsid w:val="00A64DD7"/>
    <w:rsid w:val="00A65593"/>
    <w:rsid w:val="00A66AB6"/>
    <w:rsid w:val="00A7069C"/>
    <w:rsid w:val="00A70B33"/>
    <w:rsid w:val="00A7196D"/>
    <w:rsid w:val="00A7230A"/>
    <w:rsid w:val="00A7460C"/>
    <w:rsid w:val="00A75532"/>
    <w:rsid w:val="00A75B2E"/>
    <w:rsid w:val="00A760AA"/>
    <w:rsid w:val="00A76892"/>
    <w:rsid w:val="00A76A78"/>
    <w:rsid w:val="00A76FB2"/>
    <w:rsid w:val="00A7730F"/>
    <w:rsid w:val="00A7747E"/>
    <w:rsid w:val="00A77AEA"/>
    <w:rsid w:val="00A806D5"/>
    <w:rsid w:val="00A810F9"/>
    <w:rsid w:val="00A823D9"/>
    <w:rsid w:val="00A83B55"/>
    <w:rsid w:val="00A84EE2"/>
    <w:rsid w:val="00A853D2"/>
    <w:rsid w:val="00A8662F"/>
    <w:rsid w:val="00A868D6"/>
    <w:rsid w:val="00A86909"/>
    <w:rsid w:val="00A86ECC"/>
    <w:rsid w:val="00A86FCC"/>
    <w:rsid w:val="00A8707C"/>
    <w:rsid w:val="00A903D9"/>
    <w:rsid w:val="00A91A06"/>
    <w:rsid w:val="00A936E9"/>
    <w:rsid w:val="00A93727"/>
    <w:rsid w:val="00A93DEA"/>
    <w:rsid w:val="00A94444"/>
    <w:rsid w:val="00A957A2"/>
    <w:rsid w:val="00A957D6"/>
    <w:rsid w:val="00A95CAD"/>
    <w:rsid w:val="00A95EB4"/>
    <w:rsid w:val="00A9628C"/>
    <w:rsid w:val="00A96373"/>
    <w:rsid w:val="00A96FA0"/>
    <w:rsid w:val="00A97641"/>
    <w:rsid w:val="00AA11C1"/>
    <w:rsid w:val="00AA2184"/>
    <w:rsid w:val="00AA25A3"/>
    <w:rsid w:val="00AA30F0"/>
    <w:rsid w:val="00AA51BF"/>
    <w:rsid w:val="00AA570D"/>
    <w:rsid w:val="00AA5B3F"/>
    <w:rsid w:val="00AA5ECF"/>
    <w:rsid w:val="00AA6894"/>
    <w:rsid w:val="00AA6A25"/>
    <w:rsid w:val="00AA710D"/>
    <w:rsid w:val="00AA7A08"/>
    <w:rsid w:val="00AB0198"/>
    <w:rsid w:val="00AB2D52"/>
    <w:rsid w:val="00AB3F19"/>
    <w:rsid w:val="00AB4DCD"/>
    <w:rsid w:val="00AB5851"/>
    <w:rsid w:val="00AB5860"/>
    <w:rsid w:val="00AB5A7B"/>
    <w:rsid w:val="00AB62A2"/>
    <w:rsid w:val="00AB6448"/>
    <w:rsid w:val="00AB6883"/>
    <w:rsid w:val="00AB6A97"/>
    <w:rsid w:val="00AB6D25"/>
    <w:rsid w:val="00AB74FC"/>
    <w:rsid w:val="00AB7CAC"/>
    <w:rsid w:val="00AC0C78"/>
    <w:rsid w:val="00AC2E10"/>
    <w:rsid w:val="00AC305E"/>
    <w:rsid w:val="00AC34A6"/>
    <w:rsid w:val="00AC3F7C"/>
    <w:rsid w:val="00AC543C"/>
    <w:rsid w:val="00AC5A82"/>
    <w:rsid w:val="00AC5AAB"/>
    <w:rsid w:val="00AC633D"/>
    <w:rsid w:val="00AC7572"/>
    <w:rsid w:val="00AD0660"/>
    <w:rsid w:val="00AD0CA6"/>
    <w:rsid w:val="00AD0CF4"/>
    <w:rsid w:val="00AD14C3"/>
    <w:rsid w:val="00AD1F51"/>
    <w:rsid w:val="00AD24BA"/>
    <w:rsid w:val="00AD2A72"/>
    <w:rsid w:val="00AD2C4F"/>
    <w:rsid w:val="00AD2E46"/>
    <w:rsid w:val="00AD3827"/>
    <w:rsid w:val="00AD5428"/>
    <w:rsid w:val="00AD6416"/>
    <w:rsid w:val="00AD666E"/>
    <w:rsid w:val="00AD6900"/>
    <w:rsid w:val="00AD7390"/>
    <w:rsid w:val="00AE1021"/>
    <w:rsid w:val="00AE1250"/>
    <w:rsid w:val="00AE19C4"/>
    <w:rsid w:val="00AE1AD0"/>
    <w:rsid w:val="00AE2705"/>
    <w:rsid w:val="00AE2A87"/>
    <w:rsid w:val="00AE2C14"/>
    <w:rsid w:val="00AE2D4B"/>
    <w:rsid w:val="00AE3E11"/>
    <w:rsid w:val="00AE4B01"/>
    <w:rsid w:val="00AE4F99"/>
    <w:rsid w:val="00AE6D19"/>
    <w:rsid w:val="00AF0451"/>
    <w:rsid w:val="00AF13A8"/>
    <w:rsid w:val="00AF1FEC"/>
    <w:rsid w:val="00AF45EF"/>
    <w:rsid w:val="00AF62E4"/>
    <w:rsid w:val="00AF661F"/>
    <w:rsid w:val="00AF785D"/>
    <w:rsid w:val="00B002F5"/>
    <w:rsid w:val="00B00E4E"/>
    <w:rsid w:val="00B01CAE"/>
    <w:rsid w:val="00B03777"/>
    <w:rsid w:val="00B03DD4"/>
    <w:rsid w:val="00B04D27"/>
    <w:rsid w:val="00B06126"/>
    <w:rsid w:val="00B06F35"/>
    <w:rsid w:val="00B074E3"/>
    <w:rsid w:val="00B076BE"/>
    <w:rsid w:val="00B10ACF"/>
    <w:rsid w:val="00B11AA2"/>
    <w:rsid w:val="00B11B69"/>
    <w:rsid w:val="00B11C65"/>
    <w:rsid w:val="00B12506"/>
    <w:rsid w:val="00B129FA"/>
    <w:rsid w:val="00B135A2"/>
    <w:rsid w:val="00B1403B"/>
    <w:rsid w:val="00B14952"/>
    <w:rsid w:val="00B17376"/>
    <w:rsid w:val="00B17778"/>
    <w:rsid w:val="00B17D6F"/>
    <w:rsid w:val="00B20D28"/>
    <w:rsid w:val="00B20DEC"/>
    <w:rsid w:val="00B212E1"/>
    <w:rsid w:val="00B21502"/>
    <w:rsid w:val="00B2172B"/>
    <w:rsid w:val="00B22D41"/>
    <w:rsid w:val="00B23531"/>
    <w:rsid w:val="00B23666"/>
    <w:rsid w:val="00B23C62"/>
    <w:rsid w:val="00B249B5"/>
    <w:rsid w:val="00B258A6"/>
    <w:rsid w:val="00B25B40"/>
    <w:rsid w:val="00B261D6"/>
    <w:rsid w:val="00B26292"/>
    <w:rsid w:val="00B264EA"/>
    <w:rsid w:val="00B26577"/>
    <w:rsid w:val="00B27D6D"/>
    <w:rsid w:val="00B31DAC"/>
    <w:rsid w:val="00B31E5A"/>
    <w:rsid w:val="00B32A36"/>
    <w:rsid w:val="00B33DE3"/>
    <w:rsid w:val="00B34E74"/>
    <w:rsid w:val="00B34EB5"/>
    <w:rsid w:val="00B37A63"/>
    <w:rsid w:val="00B403E3"/>
    <w:rsid w:val="00B41709"/>
    <w:rsid w:val="00B4236B"/>
    <w:rsid w:val="00B423DA"/>
    <w:rsid w:val="00B42480"/>
    <w:rsid w:val="00B427E0"/>
    <w:rsid w:val="00B43044"/>
    <w:rsid w:val="00B44554"/>
    <w:rsid w:val="00B44F60"/>
    <w:rsid w:val="00B50447"/>
    <w:rsid w:val="00B51F86"/>
    <w:rsid w:val="00B5309A"/>
    <w:rsid w:val="00B535B9"/>
    <w:rsid w:val="00B6114A"/>
    <w:rsid w:val="00B61736"/>
    <w:rsid w:val="00B62B15"/>
    <w:rsid w:val="00B62BA1"/>
    <w:rsid w:val="00B62C39"/>
    <w:rsid w:val="00B63C54"/>
    <w:rsid w:val="00B63E54"/>
    <w:rsid w:val="00B641D3"/>
    <w:rsid w:val="00B64C77"/>
    <w:rsid w:val="00B653AB"/>
    <w:rsid w:val="00B659ED"/>
    <w:rsid w:val="00B65F9E"/>
    <w:rsid w:val="00B664DE"/>
    <w:rsid w:val="00B66B19"/>
    <w:rsid w:val="00B67B45"/>
    <w:rsid w:val="00B67E4B"/>
    <w:rsid w:val="00B70D53"/>
    <w:rsid w:val="00B72BB2"/>
    <w:rsid w:val="00B72E9B"/>
    <w:rsid w:val="00B73C02"/>
    <w:rsid w:val="00B74494"/>
    <w:rsid w:val="00B75811"/>
    <w:rsid w:val="00B762F3"/>
    <w:rsid w:val="00B808EB"/>
    <w:rsid w:val="00B8142B"/>
    <w:rsid w:val="00B81FFA"/>
    <w:rsid w:val="00B82D4E"/>
    <w:rsid w:val="00B831D9"/>
    <w:rsid w:val="00B83CC3"/>
    <w:rsid w:val="00B84E71"/>
    <w:rsid w:val="00B84F3C"/>
    <w:rsid w:val="00B85367"/>
    <w:rsid w:val="00B85385"/>
    <w:rsid w:val="00B8566A"/>
    <w:rsid w:val="00B8577F"/>
    <w:rsid w:val="00B86DF9"/>
    <w:rsid w:val="00B86EE8"/>
    <w:rsid w:val="00B914E9"/>
    <w:rsid w:val="00B9194E"/>
    <w:rsid w:val="00B928F2"/>
    <w:rsid w:val="00B92A7C"/>
    <w:rsid w:val="00B93CE9"/>
    <w:rsid w:val="00B956EE"/>
    <w:rsid w:val="00B9593D"/>
    <w:rsid w:val="00B95B99"/>
    <w:rsid w:val="00B96535"/>
    <w:rsid w:val="00B966DC"/>
    <w:rsid w:val="00B9700A"/>
    <w:rsid w:val="00B9721E"/>
    <w:rsid w:val="00BA15E9"/>
    <w:rsid w:val="00BA25D5"/>
    <w:rsid w:val="00BA2BA1"/>
    <w:rsid w:val="00BA2CE0"/>
    <w:rsid w:val="00BA2F43"/>
    <w:rsid w:val="00BA3127"/>
    <w:rsid w:val="00BA3562"/>
    <w:rsid w:val="00BA40BD"/>
    <w:rsid w:val="00BA44CC"/>
    <w:rsid w:val="00BA7AF0"/>
    <w:rsid w:val="00BB082B"/>
    <w:rsid w:val="00BB0905"/>
    <w:rsid w:val="00BB12EF"/>
    <w:rsid w:val="00BB1B0A"/>
    <w:rsid w:val="00BB1C7E"/>
    <w:rsid w:val="00BB353B"/>
    <w:rsid w:val="00BB3D43"/>
    <w:rsid w:val="00BB419B"/>
    <w:rsid w:val="00BB453C"/>
    <w:rsid w:val="00BB4F09"/>
    <w:rsid w:val="00BB5CF0"/>
    <w:rsid w:val="00BB5D63"/>
    <w:rsid w:val="00BB6FA8"/>
    <w:rsid w:val="00BB7FE6"/>
    <w:rsid w:val="00BC029B"/>
    <w:rsid w:val="00BC02D6"/>
    <w:rsid w:val="00BC03FB"/>
    <w:rsid w:val="00BC079F"/>
    <w:rsid w:val="00BC12FF"/>
    <w:rsid w:val="00BC6CE7"/>
    <w:rsid w:val="00BD0ED9"/>
    <w:rsid w:val="00BD1B04"/>
    <w:rsid w:val="00BD206D"/>
    <w:rsid w:val="00BD2799"/>
    <w:rsid w:val="00BD3CFC"/>
    <w:rsid w:val="00BD4105"/>
    <w:rsid w:val="00BD4E33"/>
    <w:rsid w:val="00BD4E6B"/>
    <w:rsid w:val="00BD5B1B"/>
    <w:rsid w:val="00BD66FD"/>
    <w:rsid w:val="00BD6E79"/>
    <w:rsid w:val="00BD7EF6"/>
    <w:rsid w:val="00BE038F"/>
    <w:rsid w:val="00BE2915"/>
    <w:rsid w:val="00BE2F60"/>
    <w:rsid w:val="00BE371A"/>
    <w:rsid w:val="00BE3E03"/>
    <w:rsid w:val="00BE44DA"/>
    <w:rsid w:val="00BE5AF6"/>
    <w:rsid w:val="00BE5CB1"/>
    <w:rsid w:val="00BE7E1D"/>
    <w:rsid w:val="00BF008A"/>
    <w:rsid w:val="00BF086D"/>
    <w:rsid w:val="00BF1AD1"/>
    <w:rsid w:val="00BF1FEE"/>
    <w:rsid w:val="00BF2FB1"/>
    <w:rsid w:val="00BF3592"/>
    <w:rsid w:val="00BF45E9"/>
    <w:rsid w:val="00BF4750"/>
    <w:rsid w:val="00BF4ECF"/>
    <w:rsid w:val="00BF5465"/>
    <w:rsid w:val="00BF6582"/>
    <w:rsid w:val="00BF7B47"/>
    <w:rsid w:val="00C00CA1"/>
    <w:rsid w:val="00C01657"/>
    <w:rsid w:val="00C028A0"/>
    <w:rsid w:val="00C030DE"/>
    <w:rsid w:val="00C0377A"/>
    <w:rsid w:val="00C04745"/>
    <w:rsid w:val="00C0494A"/>
    <w:rsid w:val="00C061CE"/>
    <w:rsid w:val="00C066B1"/>
    <w:rsid w:val="00C10C05"/>
    <w:rsid w:val="00C12CAB"/>
    <w:rsid w:val="00C12E2F"/>
    <w:rsid w:val="00C13308"/>
    <w:rsid w:val="00C143FE"/>
    <w:rsid w:val="00C14F32"/>
    <w:rsid w:val="00C15BBF"/>
    <w:rsid w:val="00C15BF1"/>
    <w:rsid w:val="00C16068"/>
    <w:rsid w:val="00C16466"/>
    <w:rsid w:val="00C17260"/>
    <w:rsid w:val="00C20BBB"/>
    <w:rsid w:val="00C2113E"/>
    <w:rsid w:val="00C21ABB"/>
    <w:rsid w:val="00C22105"/>
    <w:rsid w:val="00C22597"/>
    <w:rsid w:val="00C244B6"/>
    <w:rsid w:val="00C24D20"/>
    <w:rsid w:val="00C24F36"/>
    <w:rsid w:val="00C25E3C"/>
    <w:rsid w:val="00C26771"/>
    <w:rsid w:val="00C271B8"/>
    <w:rsid w:val="00C27661"/>
    <w:rsid w:val="00C27FA3"/>
    <w:rsid w:val="00C31A53"/>
    <w:rsid w:val="00C320DF"/>
    <w:rsid w:val="00C32409"/>
    <w:rsid w:val="00C3271C"/>
    <w:rsid w:val="00C32E3F"/>
    <w:rsid w:val="00C34EE7"/>
    <w:rsid w:val="00C356AC"/>
    <w:rsid w:val="00C357C5"/>
    <w:rsid w:val="00C35F10"/>
    <w:rsid w:val="00C3702F"/>
    <w:rsid w:val="00C402F7"/>
    <w:rsid w:val="00C404D2"/>
    <w:rsid w:val="00C406F2"/>
    <w:rsid w:val="00C40E3C"/>
    <w:rsid w:val="00C41418"/>
    <w:rsid w:val="00C423FF"/>
    <w:rsid w:val="00C42567"/>
    <w:rsid w:val="00C44416"/>
    <w:rsid w:val="00C444F5"/>
    <w:rsid w:val="00C44C7F"/>
    <w:rsid w:val="00C4500A"/>
    <w:rsid w:val="00C4546D"/>
    <w:rsid w:val="00C47130"/>
    <w:rsid w:val="00C47524"/>
    <w:rsid w:val="00C477B3"/>
    <w:rsid w:val="00C51803"/>
    <w:rsid w:val="00C51A5B"/>
    <w:rsid w:val="00C51BCB"/>
    <w:rsid w:val="00C54C48"/>
    <w:rsid w:val="00C56046"/>
    <w:rsid w:val="00C57517"/>
    <w:rsid w:val="00C57E9D"/>
    <w:rsid w:val="00C57F65"/>
    <w:rsid w:val="00C57FF5"/>
    <w:rsid w:val="00C60795"/>
    <w:rsid w:val="00C610D6"/>
    <w:rsid w:val="00C6176F"/>
    <w:rsid w:val="00C619C1"/>
    <w:rsid w:val="00C63519"/>
    <w:rsid w:val="00C63869"/>
    <w:rsid w:val="00C6405D"/>
    <w:rsid w:val="00C64A37"/>
    <w:rsid w:val="00C64D56"/>
    <w:rsid w:val="00C6558A"/>
    <w:rsid w:val="00C6571C"/>
    <w:rsid w:val="00C65773"/>
    <w:rsid w:val="00C66390"/>
    <w:rsid w:val="00C70377"/>
    <w:rsid w:val="00C7158E"/>
    <w:rsid w:val="00C71765"/>
    <w:rsid w:val="00C7183A"/>
    <w:rsid w:val="00C7250B"/>
    <w:rsid w:val="00C72DA4"/>
    <w:rsid w:val="00C7346B"/>
    <w:rsid w:val="00C742CB"/>
    <w:rsid w:val="00C7473A"/>
    <w:rsid w:val="00C749CC"/>
    <w:rsid w:val="00C753D1"/>
    <w:rsid w:val="00C763CC"/>
    <w:rsid w:val="00C76D2A"/>
    <w:rsid w:val="00C77C0E"/>
    <w:rsid w:val="00C77D6E"/>
    <w:rsid w:val="00C77F6E"/>
    <w:rsid w:val="00C85945"/>
    <w:rsid w:val="00C85BA3"/>
    <w:rsid w:val="00C85BCB"/>
    <w:rsid w:val="00C909F0"/>
    <w:rsid w:val="00C910AD"/>
    <w:rsid w:val="00C91687"/>
    <w:rsid w:val="00C9173D"/>
    <w:rsid w:val="00C91C9F"/>
    <w:rsid w:val="00C924A8"/>
    <w:rsid w:val="00C945FE"/>
    <w:rsid w:val="00C94C0E"/>
    <w:rsid w:val="00C95375"/>
    <w:rsid w:val="00C9594E"/>
    <w:rsid w:val="00C96FAA"/>
    <w:rsid w:val="00C97A04"/>
    <w:rsid w:val="00C97C5F"/>
    <w:rsid w:val="00CA042C"/>
    <w:rsid w:val="00CA107B"/>
    <w:rsid w:val="00CA1398"/>
    <w:rsid w:val="00CA17B4"/>
    <w:rsid w:val="00CA18EC"/>
    <w:rsid w:val="00CA27E8"/>
    <w:rsid w:val="00CA3344"/>
    <w:rsid w:val="00CA3E6B"/>
    <w:rsid w:val="00CA4303"/>
    <w:rsid w:val="00CA484D"/>
    <w:rsid w:val="00CA4FB6"/>
    <w:rsid w:val="00CA5477"/>
    <w:rsid w:val="00CA6FE7"/>
    <w:rsid w:val="00CB1816"/>
    <w:rsid w:val="00CB216C"/>
    <w:rsid w:val="00CB2D10"/>
    <w:rsid w:val="00CB33EC"/>
    <w:rsid w:val="00CB5DE0"/>
    <w:rsid w:val="00CB5EF2"/>
    <w:rsid w:val="00CB6E68"/>
    <w:rsid w:val="00CC2106"/>
    <w:rsid w:val="00CC26D9"/>
    <w:rsid w:val="00CC27C8"/>
    <w:rsid w:val="00CC39AB"/>
    <w:rsid w:val="00CC46CC"/>
    <w:rsid w:val="00CC4B1E"/>
    <w:rsid w:val="00CC4CFF"/>
    <w:rsid w:val="00CC561F"/>
    <w:rsid w:val="00CC66FD"/>
    <w:rsid w:val="00CC739E"/>
    <w:rsid w:val="00CC7608"/>
    <w:rsid w:val="00CC7F49"/>
    <w:rsid w:val="00CD0840"/>
    <w:rsid w:val="00CD0BA9"/>
    <w:rsid w:val="00CD0DD0"/>
    <w:rsid w:val="00CD132C"/>
    <w:rsid w:val="00CD1B59"/>
    <w:rsid w:val="00CD2B1E"/>
    <w:rsid w:val="00CD3545"/>
    <w:rsid w:val="00CD3556"/>
    <w:rsid w:val="00CD58B7"/>
    <w:rsid w:val="00CD765B"/>
    <w:rsid w:val="00CD7794"/>
    <w:rsid w:val="00CE10C7"/>
    <w:rsid w:val="00CE1C8B"/>
    <w:rsid w:val="00CE1D39"/>
    <w:rsid w:val="00CE284A"/>
    <w:rsid w:val="00CE3E6A"/>
    <w:rsid w:val="00CE6AD0"/>
    <w:rsid w:val="00CE78B5"/>
    <w:rsid w:val="00CF0450"/>
    <w:rsid w:val="00CF1B9B"/>
    <w:rsid w:val="00CF20A2"/>
    <w:rsid w:val="00CF2BC2"/>
    <w:rsid w:val="00CF31C3"/>
    <w:rsid w:val="00CF3F72"/>
    <w:rsid w:val="00CF4099"/>
    <w:rsid w:val="00CF5B7D"/>
    <w:rsid w:val="00CF5ECA"/>
    <w:rsid w:val="00CF618F"/>
    <w:rsid w:val="00CF784C"/>
    <w:rsid w:val="00CF7F79"/>
    <w:rsid w:val="00D0040C"/>
    <w:rsid w:val="00D00796"/>
    <w:rsid w:val="00D01A7B"/>
    <w:rsid w:val="00D01FBB"/>
    <w:rsid w:val="00D03C44"/>
    <w:rsid w:val="00D04119"/>
    <w:rsid w:val="00D04403"/>
    <w:rsid w:val="00D04584"/>
    <w:rsid w:val="00D04756"/>
    <w:rsid w:val="00D053E5"/>
    <w:rsid w:val="00D10B0E"/>
    <w:rsid w:val="00D11C25"/>
    <w:rsid w:val="00D126AB"/>
    <w:rsid w:val="00D12B1C"/>
    <w:rsid w:val="00D12C5D"/>
    <w:rsid w:val="00D133D5"/>
    <w:rsid w:val="00D13612"/>
    <w:rsid w:val="00D13A3C"/>
    <w:rsid w:val="00D14189"/>
    <w:rsid w:val="00D14F84"/>
    <w:rsid w:val="00D15523"/>
    <w:rsid w:val="00D15CB8"/>
    <w:rsid w:val="00D1658F"/>
    <w:rsid w:val="00D20080"/>
    <w:rsid w:val="00D20446"/>
    <w:rsid w:val="00D206D2"/>
    <w:rsid w:val="00D23593"/>
    <w:rsid w:val="00D23D10"/>
    <w:rsid w:val="00D24037"/>
    <w:rsid w:val="00D253CF"/>
    <w:rsid w:val="00D25FE0"/>
    <w:rsid w:val="00D261A2"/>
    <w:rsid w:val="00D266D5"/>
    <w:rsid w:val="00D26839"/>
    <w:rsid w:val="00D26A26"/>
    <w:rsid w:val="00D26B5F"/>
    <w:rsid w:val="00D27E54"/>
    <w:rsid w:val="00D30E0D"/>
    <w:rsid w:val="00D312B3"/>
    <w:rsid w:val="00D34620"/>
    <w:rsid w:val="00D34CBE"/>
    <w:rsid w:val="00D353B0"/>
    <w:rsid w:val="00D4012D"/>
    <w:rsid w:val="00D405E1"/>
    <w:rsid w:val="00D41FB2"/>
    <w:rsid w:val="00D42833"/>
    <w:rsid w:val="00D4326B"/>
    <w:rsid w:val="00D447C1"/>
    <w:rsid w:val="00D453DF"/>
    <w:rsid w:val="00D47718"/>
    <w:rsid w:val="00D478AF"/>
    <w:rsid w:val="00D500D3"/>
    <w:rsid w:val="00D50946"/>
    <w:rsid w:val="00D518CB"/>
    <w:rsid w:val="00D51C0A"/>
    <w:rsid w:val="00D533DC"/>
    <w:rsid w:val="00D53C2C"/>
    <w:rsid w:val="00D53CCF"/>
    <w:rsid w:val="00D547BF"/>
    <w:rsid w:val="00D549EE"/>
    <w:rsid w:val="00D55540"/>
    <w:rsid w:val="00D573FC"/>
    <w:rsid w:val="00D60294"/>
    <w:rsid w:val="00D61602"/>
    <w:rsid w:val="00D616D2"/>
    <w:rsid w:val="00D626B6"/>
    <w:rsid w:val="00D62811"/>
    <w:rsid w:val="00D63800"/>
    <w:rsid w:val="00D63B5F"/>
    <w:rsid w:val="00D6402D"/>
    <w:rsid w:val="00D652C2"/>
    <w:rsid w:val="00D67EC7"/>
    <w:rsid w:val="00D67ED7"/>
    <w:rsid w:val="00D70EF7"/>
    <w:rsid w:val="00D712E1"/>
    <w:rsid w:val="00D723AF"/>
    <w:rsid w:val="00D72DA8"/>
    <w:rsid w:val="00D741F2"/>
    <w:rsid w:val="00D742F0"/>
    <w:rsid w:val="00D74530"/>
    <w:rsid w:val="00D7562C"/>
    <w:rsid w:val="00D76684"/>
    <w:rsid w:val="00D77D84"/>
    <w:rsid w:val="00D80090"/>
    <w:rsid w:val="00D81123"/>
    <w:rsid w:val="00D826AD"/>
    <w:rsid w:val="00D82CCE"/>
    <w:rsid w:val="00D83506"/>
    <w:rsid w:val="00D8397C"/>
    <w:rsid w:val="00D87066"/>
    <w:rsid w:val="00D8771B"/>
    <w:rsid w:val="00D90515"/>
    <w:rsid w:val="00D91181"/>
    <w:rsid w:val="00D91813"/>
    <w:rsid w:val="00D918EB"/>
    <w:rsid w:val="00D92A69"/>
    <w:rsid w:val="00D92AD3"/>
    <w:rsid w:val="00D94AA3"/>
    <w:rsid w:val="00D94EED"/>
    <w:rsid w:val="00D95716"/>
    <w:rsid w:val="00D95D3A"/>
    <w:rsid w:val="00D96026"/>
    <w:rsid w:val="00D96D70"/>
    <w:rsid w:val="00D97A24"/>
    <w:rsid w:val="00DA068F"/>
    <w:rsid w:val="00DA0D27"/>
    <w:rsid w:val="00DA41BF"/>
    <w:rsid w:val="00DA547E"/>
    <w:rsid w:val="00DA5ADE"/>
    <w:rsid w:val="00DA7725"/>
    <w:rsid w:val="00DA7C1C"/>
    <w:rsid w:val="00DB04DB"/>
    <w:rsid w:val="00DB147A"/>
    <w:rsid w:val="00DB1B7A"/>
    <w:rsid w:val="00DB2480"/>
    <w:rsid w:val="00DB33E5"/>
    <w:rsid w:val="00DB3977"/>
    <w:rsid w:val="00DB3B9D"/>
    <w:rsid w:val="00DB4981"/>
    <w:rsid w:val="00DB5545"/>
    <w:rsid w:val="00DB5888"/>
    <w:rsid w:val="00DB5C07"/>
    <w:rsid w:val="00DB60FF"/>
    <w:rsid w:val="00DB7459"/>
    <w:rsid w:val="00DC262E"/>
    <w:rsid w:val="00DC3644"/>
    <w:rsid w:val="00DC3ACF"/>
    <w:rsid w:val="00DC405B"/>
    <w:rsid w:val="00DC46ED"/>
    <w:rsid w:val="00DC48DB"/>
    <w:rsid w:val="00DC5384"/>
    <w:rsid w:val="00DC66DA"/>
    <w:rsid w:val="00DC6708"/>
    <w:rsid w:val="00DC69CD"/>
    <w:rsid w:val="00DC6C01"/>
    <w:rsid w:val="00DC74DA"/>
    <w:rsid w:val="00DD049B"/>
    <w:rsid w:val="00DD141E"/>
    <w:rsid w:val="00DD1443"/>
    <w:rsid w:val="00DD19E2"/>
    <w:rsid w:val="00DD2607"/>
    <w:rsid w:val="00DD287E"/>
    <w:rsid w:val="00DD305C"/>
    <w:rsid w:val="00DD30B0"/>
    <w:rsid w:val="00DD3357"/>
    <w:rsid w:val="00DD33CA"/>
    <w:rsid w:val="00DD39DD"/>
    <w:rsid w:val="00DD43E9"/>
    <w:rsid w:val="00DD4B77"/>
    <w:rsid w:val="00DD4FEC"/>
    <w:rsid w:val="00DD5720"/>
    <w:rsid w:val="00DD6BF1"/>
    <w:rsid w:val="00DD6CA5"/>
    <w:rsid w:val="00DD6F65"/>
    <w:rsid w:val="00DD7D6F"/>
    <w:rsid w:val="00DE0092"/>
    <w:rsid w:val="00DE17D0"/>
    <w:rsid w:val="00DE22F1"/>
    <w:rsid w:val="00DE2B14"/>
    <w:rsid w:val="00DE311B"/>
    <w:rsid w:val="00DE4391"/>
    <w:rsid w:val="00DE47A6"/>
    <w:rsid w:val="00DE5413"/>
    <w:rsid w:val="00DE574C"/>
    <w:rsid w:val="00DE5C4A"/>
    <w:rsid w:val="00DE6758"/>
    <w:rsid w:val="00DE6771"/>
    <w:rsid w:val="00DE691B"/>
    <w:rsid w:val="00DE764B"/>
    <w:rsid w:val="00DF10BA"/>
    <w:rsid w:val="00DF1710"/>
    <w:rsid w:val="00DF1FA7"/>
    <w:rsid w:val="00DF1FD4"/>
    <w:rsid w:val="00DF3D9F"/>
    <w:rsid w:val="00DF6BD7"/>
    <w:rsid w:val="00DF6EF5"/>
    <w:rsid w:val="00E00193"/>
    <w:rsid w:val="00E00977"/>
    <w:rsid w:val="00E01436"/>
    <w:rsid w:val="00E01750"/>
    <w:rsid w:val="00E045BD"/>
    <w:rsid w:val="00E0567A"/>
    <w:rsid w:val="00E058D6"/>
    <w:rsid w:val="00E06277"/>
    <w:rsid w:val="00E102D0"/>
    <w:rsid w:val="00E10592"/>
    <w:rsid w:val="00E11B7E"/>
    <w:rsid w:val="00E13B8C"/>
    <w:rsid w:val="00E15FF3"/>
    <w:rsid w:val="00E167B2"/>
    <w:rsid w:val="00E16F29"/>
    <w:rsid w:val="00E176AC"/>
    <w:rsid w:val="00E17B77"/>
    <w:rsid w:val="00E203E8"/>
    <w:rsid w:val="00E222CA"/>
    <w:rsid w:val="00E229A6"/>
    <w:rsid w:val="00E22E4E"/>
    <w:rsid w:val="00E23160"/>
    <w:rsid w:val="00E23337"/>
    <w:rsid w:val="00E23597"/>
    <w:rsid w:val="00E23FCC"/>
    <w:rsid w:val="00E2438C"/>
    <w:rsid w:val="00E247F1"/>
    <w:rsid w:val="00E2500C"/>
    <w:rsid w:val="00E25295"/>
    <w:rsid w:val="00E255A2"/>
    <w:rsid w:val="00E2567B"/>
    <w:rsid w:val="00E259EA"/>
    <w:rsid w:val="00E25C0C"/>
    <w:rsid w:val="00E26FF7"/>
    <w:rsid w:val="00E27EB0"/>
    <w:rsid w:val="00E30A8A"/>
    <w:rsid w:val="00E3145F"/>
    <w:rsid w:val="00E3163F"/>
    <w:rsid w:val="00E32061"/>
    <w:rsid w:val="00E33887"/>
    <w:rsid w:val="00E341AE"/>
    <w:rsid w:val="00E3422E"/>
    <w:rsid w:val="00E34D6E"/>
    <w:rsid w:val="00E36B50"/>
    <w:rsid w:val="00E409A0"/>
    <w:rsid w:val="00E41128"/>
    <w:rsid w:val="00E41802"/>
    <w:rsid w:val="00E41C34"/>
    <w:rsid w:val="00E42122"/>
    <w:rsid w:val="00E42258"/>
    <w:rsid w:val="00E426A9"/>
    <w:rsid w:val="00E42FF9"/>
    <w:rsid w:val="00E4360A"/>
    <w:rsid w:val="00E43CA1"/>
    <w:rsid w:val="00E4400C"/>
    <w:rsid w:val="00E4511A"/>
    <w:rsid w:val="00E454C6"/>
    <w:rsid w:val="00E45F75"/>
    <w:rsid w:val="00E4714C"/>
    <w:rsid w:val="00E47504"/>
    <w:rsid w:val="00E47AFC"/>
    <w:rsid w:val="00E504E8"/>
    <w:rsid w:val="00E50C08"/>
    <w:rsid w:val="00E510C2"/>
    <w:rsid w:val="00E51AEB"/>
    <w:rsid w:val="00E522A7"/>
    <w:rsid w:val="00E54452"/>
    <w:rsid w:val="00E6023E"/>
    <w:rsid w:val="00E60620"/>
    <w:rsid w:val="00E60947"/>
    <w:rsid w:val="00E61FFF"/>
    <w:rsid w:val="00E6457C"/>
    <w:rsid w:val="00E64FEF"/>
    <w:rsid w:val="00E652A5"/>
    <w:rsid w:val="00E65DAD"/>
    <w:rsid w:val="00E65EFC"/>
    <w:rsid w:val="00E65F0E"/>
    <w:rsid w:val="00E66190"/>
    <w:rsid w:val="00E664C5"/>
    <w:rsid w:val="00E671A2"/>
    <w:rsid w:val="00E677BD"/>
    <w:rsid w:val="00E67DBA"/>
    <w:rsid w:val="00E7040A"/>
    <w:rsid w:val="00E7130F"/>
    <w:rsid w:val="00E71320"/>
    <w:rsid w:val="00E72123"/>
    <w:rsid w:val="00E7226E"/>
    <w:rsid w:val="00E72D84"/>
    <w:rsid w:val="00E733CE"/>
    <w:rsid w:val="00E73F0F"/>
    <w:rsid w:val="00E74872"/>
    <w:rsid w:val="00E74894"/>
    <w:rsid w:val="00E74C4F"/>
    <w:rsid w:val="00E75631"/>
    <w:rsid w:val="00E76D26"/>
    <w:rsid w:val="00E809C1"/>
    <w:rsid w:val="00E80FF2"/>
    <w:rsid w:val="00E81375"/>
    <w:rsid w:val="00E837DB"/>
    <w:rsid w:val="00E839A3"/>
    <w:rsid w:val="00E83BEE"/>
    <w:rsid w:val="00E844B8"/>
    <w:rsid w:val="00E8536F"/>
    <w:rsid w:val="00E8586F"/>
    <w:rsid w:val="00E86939"/>
    <w:rsid w:val="00E86F02"/>
    <w:rsid w:val="00E871B0"/>
    <w:rsid w:val="00E9152D"/>
    <w:rsid w:val="00E929AB"/>
    <w:rsid w:val="00E92EB5"/>
    <w:rsid w:val="00E93155"/>
    <w:rsid w:val="00E93685"/>
    <w:rsid w:val="00E93770"/>
    <w:rsid w:val="00E93C91"/>
    <w:rsid w:val="00E960EF"/>
    <w:rsid w:val="00EA00DA"/>
    <w:rsid w:val="00EA058A"/>
    <w:rsid w:val="00EA0BE2"/>
    <w:rsid w:val="00EA1DDD"/>
    <w:rsid w:val="00EA1E85"/>
    <w:rsid w:val="00EA20BB"/>
    <w:rsid w:val="00EA2654"/>
    <w:rsid w:val="00EA30B6"/>
    <w:rsid w:val="00EA4253"/>
    <w:rsid w:val="00EA4710"/>
    <w:rsid w:val="00EA4A3A"/>
    <w:rsid w:val="00EA4B6B"/>
    <w:rsid w:val="00EA53AC"/>
    <w:rsid w:val="00EA6BEA"/>
    <w:rsid w:val="00EA7817"/>
    <w:rsid w:val="00EB0C80"/>
    <w:rsid w:val="00EB1390"/>
    <w:rsid w:val="00EB181E"/>
    <w:rsid w:val="00EB1B97"/>
    <w:rsid w:val="00EB2348"/>
    <w:rsid w:val="00EB2C71"/>
    <w:rsid w:val="00EB4340"/>
    <w:rsid w:val="00EB4A53"/>
    <w:rsid w:val="00EB4E87"/>
    <w:rsid w:val="00EB5246"/>
    <w:rsid w:val="00EB556D"/>
    <w:rsid w:val="00EB5796"/>
    <w:rsid w:val="00EB5A7D"/>
    <w:rsid w:val="00EB5C88"/>
    <w:rsid w:val="00EB687B"/>
    <w:rsid w:val="00EB6C8A"/>
    <w:rsid w:val="00EC00F4"/>
    <w:rsid w:val="00EC0E9B"/>
    <w:rsid w:val="00EC14C9"/>
    <w:rsid w:val="00EC297B"/>
    <w:rsid w:val="00EC2FB8"/>
    <w:rsid w:val="00EC43FF"/>
    <w:rsid w:val="00EC4512"/>
    <w:rsid w:val="00EC4B38"/>
    <w:rsid w:val="00EC4D7C"/>
    <w:rsid w:val="00EC65F2"/>
    <w:rsid w:val="00EC6CF6"/>
    <w:rsid w:val="00ED0910"/>
    <w:rsid w:val="00ED175F"/>
    <w:rsid w:val="00ED343F"/>
    <w:rsid w:val="00ED4620"/>
    <w:rsid w:val="00ED5150"/>
    <w:rsid w:val="00ED55C0"/>
    <w:rsid w:val="00ED680A"/>
    <w:rsid w:val="00ED682B"/>
    <w:rsid w:val="00EE1A29"/>
    <w:rsid w:val="00EE20A5"/>
    <w:rsid w:val="00EE22B6"/>
    <w:rsid w:val="00EE2401"/>
    <w:rsid w:val="00EE3027"/>
    <w:rsid w:val="00EE382B"/>
    <w:rsid w:val="00EE40A8"/>
    <w:rsid w:val="00EE41D5"/>
    <w:rsid w:val="00EE41FB"/>
    <w:rsid w:val="00EE45EB"/>
    <w:rsid w:val="00EE4B56"/>
    <w:rsid w:val="00EE59E1"/>
    <w:rsid w:val="00EE6984"/>
    <w:rsid w:val="00EE7781"/>
    <w:rsid w:val="00EF0F7A"/>
    <w:rsid w:val="00EF12D0"/>
    <w:rsid w:val="00EF1F9D"/>
    <w:rsid w:val="00EF315E"/>
    <w:rsid w:val="00EF5186"/>
    <w:rsid w:val="00EF6C1C"/>
    <w:rsid w:val="00EF76AE"/>
    <w:rsid w:val="00EF77DD"/>
    <w:rsid w:val="00F00B15"/>
    <w:rsid w:val="00F00B21"/>
    <w:rsid w:val="00F00FDF"/>
    <w:rsid w:val="00F0299B"/>
    <w:rsid w:val="00F037A4"/>
    <w:rsid w:val="00F03ABA"/>
    <w:rsid w:val="00F04B01"/>
    <w:rsid w:val="00F04DA9"/>
    <w:rsid w:val="00F07B50"/>
    <w:rsid w:val="00F07BE9"/>
    <w:rsid w:val="00F07E78"/>
    <w:rsid w:val="00F12DA1"/>
    <w:rsid w:val="00F13A2D"/>
    <w:rsid w:val="00F14D55"/>
    <w:rsid w:val="00F15AEB"/>
    <w:rsid w:val="00F16054"/>
    <w:rsid w:val="00F16342"/>
    <w:rsid w:val="00F16B43"/>
    <w:rsid w:val="00F2094E"/>
    <w:rsid w:val="00F20DBA"/>
    <w:rsid w:val="00F21EC8"/>
    <w:rsid w:val="00F232A8"/>
    <w:rsid w:val="00F236F8"/>
    <w:rsid w:val="00F24530"/>
    <w:rsid w:val="00F24575"/>
    <w:rsid w:val="00F245B0"/>
    <w:rsid w:val="00F264C8"/>
    <w:rsid w:val="00F2672D"/>
    <w:rsid w:val="00F2786E"/>
    <w:rsid w:val="00F27C8F"/>
    <w:rsid w:val="00F324BC"/>
    <w:rsid w:val="00F32598"/>
    <w:rsid w:val="00F32749"/>
    <w:rsid w:val="00F32A1B"/>
    <w:rsid w:val="00F3350A"/>
    <w:rsid w:val="00F3366A"/>
    <w:rsid w:val="00F34207"/>
    <w:rsid w:val="00F3684B"/>
    <w:rsid w:val="00F368D4"/>
    <w:rsid w:val="00F36FD5"/>
    <w:rsid w:val="00F37172"/>
    <w:rsid w:val="00F37521"/>
    <w:rsid w:val="00F37696"/>
    <w:rsid w:val="00F37820"/>
    <w:rsid w:val="00F37D71"/>
    <w:rsid w:val="00F37E45"/>
    <w:rsid w:val="00F4102B"/>
    <w:rsid w:val="00F417B2"/>
    <w:rsid w:val="00F4242C"/>
    <w:rsid w:val="00F44185"/>
    <w:rsid w:val="00F4477E"/>
    <w:rsid w:val="00F45647"/>
    <w:rsid w:val="00F45E6A"/>
    <w:rsid w:val="00F4695E"/>
    <w:rsid w:val="00F469A3"/>
    <w:rsid w:val="00F47E37"/>
    <w:rsid w:val="00F5137D"/>
    <w:rsid w:val="00F5196C"/>
    <w:rsid w:val="00F525A0"/>
    <w:rsid w:val="00F536E5"/>
    <w:rsid w:val="00F55B8D"/>
    <w:rsid w:val="00F55FE6"/>
    <w:rsid w:val="00F578CE"/>
    <w:rsid w:val="00F61D4B"/>
    <w:rsid w:val="00F628AF"/>
    <w:rsid w:val="00F62B61"/>
    <w:rsid w:val="00F64917"/>
    <w:rsid w:val="00F64AA5"/>
    <w:rsid w:val="00F658C4"/>
    <w:rsid w:val="00F65D8F"/>
    <w:rsid w:val="00F65F8F"/>
    <w:rsid w:val="00F66BF7"/>
    <w:rsid w:val="00F66DF2"/>
    <w:rsid w:val="00F6752E"/>
    <w:rsid w:val="00F677E2"/>
    <w:rsid w:val="00F67941"/>
    <w:rsid w:val="00F67D30"/>
    <w:rsid w:val="00F67D8F"/>
    <w:rsid w:val="00F7080D"/>
    <w:rsid w:val="00F71B60"/>
    <w:rsid w:val="00F7273F"/>
    <w:rsid w:val="00F72ECC"/>
    <w:rsid w:val="00F747E7"/>
    <w:rsid w:val="00F74C7A"/>
    <w:rsid w:val="00F75DD0"/>
    <w:rsid w:val="00F76B37"/>
    <w:rsid w:val="00F7729C"/>
    <w:rsid w:val="00F77604"/>
    <w:rsid w:val="00F778C5"/>
    <w:rsid w:val="00F77B1A"/>
    <w:rsid w:val="00F802BE"/>
    <w:rsid w:val="00F80E93"/>
    <w:rsid w:val="00F811A2"/>
    <w:rsid w:val="00F82404"/>
    <w:rsid w:val="00F8306E"/>
    <w:rsid w:val="00F8346B"/>
    <w:rsid w:val="00F8458A"/>
    <w:rsid w:val="00F86024"/>
    <w:rsid w:val="00F8611A"/>
    <w:rsid w:val="00F867A2"/>
    <w:rsid w:val="00F86B0C"/>
    <w:rsid w:val="00F87A68"/>
    <w:rsid w:val="00F9066B"/>
    <w:rsid w:val="00F914A6"/>
    <w:rsid w:val="00F9160C"/>
    <w:rsid w:val="00F91D19"/>
    <w:rsid w:val="00F9216D"/>
    <w:rsid w:val="00F92884"/>
    <w:rsid w:val="00F944C8"/>
    <w:rsid w:val="00F94C91"/>
    <w:rsid w:val="00F95DE7"/>
    <w:rsid w:val="00F95FF8"/>
    <w:rsid w:val="00F97401"/>
    <w:rsid w:val="00F97D09"/>
    <w:rsid w:val="00FA1527"/>
    <w:rsid w:val="00FA16FF"/>
    <w:rsid w:val="00FA354C"/>
    <w:rsid w:val="00FA3D98"/>
    <w:rsid w:val="00FA5128"/>
    <w:rsid w:val="00FA70BB"/>
    <w:rsid w:val="00FA730B"/>
    <w:rsid w:val="00FA7579"/>
    <w:rsid w:val="00FB0147"/>
    <w:rsid w:val="00FB036A"/>
    <w:rsid w:val="00FB0F41"/>
    <w:rsid w:val="00FB22EC"/>
    <w:rsid w:val="00FB32D9"/>
    <w:rsid w:val="00FB3A90"/>
    <w:rsid w:val="00FB42D4"/>
    <w:rsid w:val="00FB4ABC"/>
    <w:rsid w:val="00FB51F4"/>
    <w:rsid w:val="00FB5906"/>
    <w:rsid w:val="00FB661D"/>
    <w:rsid w:val="00FB7351"/>
    <w:rsid w:val="00FB762F"/>
    <w:rsid w:val="00FB7F71"/>
    <w:rsid w:val="00FC0004"/>
    <w:rsid w:val="00FC015D"/>
    <w:rsid w:val="00FC027E"/>
    <w:rsid w:val="00FC029F"/>
    <w:rsid w:val="00FC1586"/>
    <w:rsid w:val="00FC2448"/>
    <w:rsid w:val="00FC2AED"/>
    <w:rsid w:val="00FC2C6F"/>
    <w:rsid w:val="00FC37A9"/>
    <w:rsid w:val="00FC4B05"/>
    <w:rsid w:val="00FC5340"/>
    <w:rsid w:val="00FC5965"/>
    <w:rsid w:val="00FC620D"/>
    <w:rsid w:val="00FC68AC"/>
    <w:rsid w:val="00FC76C2"/>
    <w:rsid w:val="00FD0581"/>
    <w:rsid w:val="00FD1DE1"/>
    <w:rsid w:val="00FD1E84"/>
    <w:rsid w:val="00FD2E81"/>
    <w:rsid w:val="00FD5567"/>
    <w:rsid w:val="00FD59A3"/>
    <w:rsid w:val="00FD5EA7"/>
    <w:rsid w:val="00FD5F7C"/>
    <w:rsid w:val="00FD62E9"/>
    <w:rsid w:val="00FD7333"/>
    <w:rsid w:val="00FD7389"/>
    <w:rsid w:val="00FD77E1"/>
    <w:rsid w:val="00FD783D"/>
    <w:rsid w:val="00FD79D3"/>
    <w:rsid w:val="00FD7EC1"/>
    <w:rsid w:val="00FE18E3"/>
    <w:rsid w:val="00FE2095"/>
    <w:rsid w:val="00FE210F"/>
    <w:rsid w:val="00FE252C"/>
    <w:rsid w:val="00FE28C2"/>
    <w:rsid w:val="00FE2A89"/>
    <w:rsid w:val="00FE3B00"/>
    <w:rsid w:val="00FE47CC"/>
    <w:rsid w:val="00FE655F"/>
    <w:rsid w:val="00FE6972"/>
    <w:rsid w:val="00FE6E14"/>
    <w:rsid w:val="00FE75EA"/>
    <w:rsid w:val="00FF0714"/>
    <w:rsid w:val="00FF152C"/>
    <w:rsid w:val="00FF253C"/>
    <w:rsid w:val="00FF3518"/>
    <w:rsid w:val="00FF4414"/>
    <w:rsid w:val="00FF451A"/>
    <w:rsid w:val="00FF4A8F"/>
    <w:rsid w:val="00FF4CDE"/>
    <w:rsid w:val="00FF67C1"/>
    <w:rsid w:val="00FF6C18"/>
    <w:rsid w:val="00FF6F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46F4F905-740C-4F26-8FD1-0A0B9D83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77BD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uiPriority w:val="99"/>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 w:type="paragraph" w:customStyle="1" w:styleId="Tekstkomunikat1str">
    <w:name w:val="Tekst_komunikat_1_str"/>
    <w:basedOn w:val="Normalny"/>
    <w:qFormat/>
    <w:rsid w:val="00F15AEB"/>
    <w:pPr>
      <w:numPr>
        <w:numId w:val="29"/>
      </w:numPr>
      <w:ind w:left="357" w:hanging="357"/>
    </w:pPr>
    <w:rPr>
      <w:rFonts w:eastAsia="Times New Roman" w:cs="Times New Roman"/>
      <w:szCs w:val="20"/>
      <w:lang w:eastAsia="pl-PL"/>
    </w:rPr>
  </w:style>
  <w:style w:type="table" w:customStyle="1" w:styleId="Siatkatabelijasna111">
    <w:name w:val="Siatka tabeli — jasna111"/>
    <w:basedOn w:val="Standardowy"/>
    <w:uiPriority w:val="40"/>
    <w:rsid w:val="0023587C"/>
    <w:pPr>
      <w:spacing w:after="0" w:line="240" w:lineRule="auto"/>
    </w:pPr>
    <w:rPr>
      <w:rFonts w:ascii="Fira Sans Light" w:eastAsia="Fira Sans Light" w:hAnsi="Fira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99854">
      <w:bodyDiv w:val="1"/>
      <w:marLeft w:val="0"/>
      <w:marRight w:val="0"/>
      <w:marTop w:val="0"/>
      <w:marBottom w:val="0"/>
      <w:divBdr>
        <w:top w:val="none" w:sz="0" w:space="0" w:color="auto"/>
        <w:left w:val="none" w:sz="0" w:space="0" w:color="auto"/>
        <w:bottom w:val="none" w:sz="0" w:space="0" w:color="auto"/>
        <w:right w:val="none" w:sz="0" w:space="0" w:color="auto"/>
      </w:divBdr>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8821486">
      <w:bodyDiv w:val="1"/>
      <w:marLeft w:val="0"/>
      <w:marRight w:val="0"/>
      <w:marTop w:val="0"/>
      <w:marBottom w:val="0"/>
      <w:divBdr>
        <w:top w:val="none" w:sz="0" w:space="0" w:color="auto"/>
        <w:left w:val="none" w:sz="0" w:space="0" w:color="auto"/>
        <w:bottom w:val="none" w:sz="0" w:space="0" w:color="auto"/>
        <w:right w:val="none" w:sz="0" w:space="0" w:color="auto"/>
      </w:divBdr>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681253">
      <w:bodyDiv w:val="1"/>
      <w:marLeft w:val="0"/>
      <w:marRight w:val="0"/>
      <w:marTop w:val="0"/>
      <w:marBottom w:val="0"/>
      <w:divBdr>
        <w:top w:val="none" w:sz="0" w:space="0" w:color="auto"/>
        <w:left w:val="none" w:sz="0" w:space="0" w:color="auto"/>
        <w:bottom w:val="none" w:sz="0" w:space="0" w:color="auto"/>
        <w:right w:val="none" w:sz="0" w:space="0" w:color="auto"/>
      </w:divBdr>
      <w:divsChild>
        <w:div w:id="1533375836">
          <w:marLeft w:val="0"/>
          <w:marRight w:val="0"/>
          <w:marTop w:val="0"/>
          <w:marBottom w:val="0"/>
          <w:divBdr>
            <w:top w:val="none" w:sz="0" w:space="0" w:color="auto"/>
            <w:left w:val="none" w:sz="0" w:space="0" w:color="auto"/>
            <w:bottom w:val="none" w:sz="0" w:space="0" w:color="auto"/>
            <w:right w:val="none" w:sz="0" w:space="0" w:color="auto"/>
          </w:divBdr>
          <w:divsChild>
            <w:div w:id="1837959995">
              <w:marLeft w:val="0"/>
              <w:marRight w:val="0"/>
              <w:marTop w:val="0"/>
              <w:marBottom w:val="0"/>
              <w:divBdr>
                <w:top w:val="none" w:sz="0" w:space="0" w:color="auto"/>
                <w:left w:val="none" w:sz="0" w:space="0" w:color="auto"/>
                <w:bottom w:val="none" w:sz="0" w:space="0" w:color="auto"/>
                <w:right w:val="none" w:sz="0" w:space="0" w:color="auto"/>
              </w:divBdr>
              <w:divsChild>
                <w:div w:id="1199050689">
                  <w:marLeft w:val="0"/>
                  <w:marRight w:val="0"/>
                  <w:marTop w:val="0"/>
                  <w:marBottom w:val="0"/>
                  <w:divBdr>
                    <w:top w:val="none" w:sz="0" w:space="0" w:color="auto"/>
                    <w:left w:val="none" w:sz="0" w:space="0" w:color="auto"/>
                    <w:bottom w:val="none" w:sz="0" w:space="0" w:color="auto"/>
                    <w:right w:val="none" w:sz="0" w:space="0" w:color="auto"/>
                  </w:divBdr>
                  <w:divsChild>
                    <w:div w:id="1367410210">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2123769588">
                              <w:marLeft w:val="0"/>
                              <w:marRight w:val="0"/>
                              <w:marTop w:val="0"/>
                              <w:marBottom w:val="0"/>
                              <w:divBdr>
                                <w:top w:val="none" w:sz="0" w:space="0" w:color="auto"/>
                                <w:left w:val="none" w:sz="0" w:space="0" w:color="auto"/>
                                <w:bottom w:val="none" w:sz="0" w:space="0" w:color="auto"/>
                                <w:right w:val="none" w:sz="0" w:space="0" w:color="auto"/>
                              </w:divBdr>
                              <w:divsChild>
                                <w:div w:id="420226374">
                                  <w:marLeft w:val="0"/>
                                  <w:marRight w:val="0"/>
                                  <w:marTop w:val="30"/>
                                  <w:marBottom w:val="0"/>
                                  <w:divBdr>
                                    <w:top w:val="none" w:sz="0" w:space="0" w:color="auto"/>
                                    <w:left w:val="none" w:sz="0" w:space="0" w:color="auto"/>
                                    <w:bottom w:val="none" w:sz="0" w:space="0" w:color="auto"/>
                                    <w:right w:val="none" w:sz="0" w:space="0" w:color="auto"/>
                                  </w:divBdr>
                                  <w:divsChild>
                                    <w:div w:id="974483351">
                                      <w:marLeft w:val="0"/>
                                      <w:marRight w:val="0"/>
                                      <w:marTop w:val="0"/>
                                      <w:marBottom w:val="0"/>
                                      <w:divBdr>
                                        <w:top w:val="single" w:sz="6" w:space="0" w:color="000000"/>
                                        <w:left w:val="single" w:sz="6" w:space="0" w:color="000000"/>
                                        <w:bottom w:val="single" w:sz="6" w:space="0" w:color="000000"/>
                                        <w:right w:val="single" w:sz="6" w:space="0" w:color="000000"/>
                                      </w:divBdr>
                                      <w:divsChild>
                                        <w:div w:id="727995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719669">
      <w:bodyDiv w:val="1"/>
      <w:marLeft w:val="0"/>
      <w:marRight w:val="0"/>
      <w:marTop w:val="0"/>
      <w:marBottom w:val="0"/>
      <w:divBdr>
        <w:top w:val="none" w:sz="0" w:space="0" w:color="auto"/>
        <w:left w:val="none" w:sz="0" w:space="0" w:color="auto"/>
        <w:bottom w:val="none" w:sz="0" w:space="0" w:color="auto"/>
        <w:right w:val="none" w:sz="0" w:space="0" w:color="auto"/>
      </w:divBdr>
    </w:div>
    <w:div w:id="99184072">
      <w:bodyDiv w:val="1"/>
      <w:marLeft w:val="0"/>
      <w:marRight w:val="0"/>
      <w:marTop w:val="0"/>
      <w:marBottom w:val="0"/>
      <w:divBdr>
        <w:top w:val="none" w:sz="0" w:space="0" w:color="auto"/>
        <w:left w:val="none" w:sz="0" w:space="0" w:color="auto"/>
        <w:bottom w:val="none" w:sz="0" w:space="0" w:color="auto"/>
        <w:right w:val="none" w:sz="0" w:space="0" w:color="auto"/>
      </w:divBdr>
      <w:divsChild>
        <w:div w:id="1123423330">
          <w:marLeft w:val="0"/>
          <w:marRight w:val="0"/>
          <w:marTop w:val="0"/>
          <w:marBottom w:val="0"/>
          <w:divBdr>
            <w:top w:val="none" w:sz="0" w:space="0" w:color="auto"/>
            <w:left w:val="none" w:sz="0" w:space="0" w:color="auto"/>
            <w:bottom w:val="none" w:sz="0" w:space="0" w:color="auto"/>
            <w:right w:val="none" w:sz="0" w:space="0" w:color="auto"/>
          </w:divBdr>
          <w:divsChild>
            <w:div w:id="2001538497">
              <w:marLeft w:val="0"/>
              <w:marRight w:val="0"/>
              <w:marTop w:val="0"/>
              <w:marBottom w:val="0"/>
              <w:divBdr>
                <w:top w:val="none" w:sz="0" w:space="0" w:color="auto"/>
                <w:left w:val="none" w:sz="0" w:space="0" w:color="auto"/>
                <w:bottom w:val="none" w:sz="0" w:space="0" w:color="auto"/>
                <w:right w:val="none" w:sz="0" w:space="0" w:color="auto"/>
              </w:divBdr>
              <w:divsChild>
                <w:div w:id="1625691391">
                  <w:marLeft w:val="0"/>
                  <w:marRight w:val="0"/>
                  <w:marTop w:val="0"/>
                  <w:marBottom w:val="0"/>
                  <w:divBdr>
                    <w:top w:val="none" w:sz="0" w:space="0" w:color="auto"/>
                    <w:left w:val="none" w:sz="0" w:space="0" w:color="auto"/>
                    <w:bottom w:val="none" w:sz="0" w:space="0" w:color="auto"/>
                    <w:right w:val="none" w:sz="0" w:space="0" w:color="auto"/>
                  </w:divBdr>
                  <w:divsChild>
                    <w:div w:id="471487353">
                      <w:marLeft w:val="0"/>
                      <w:marRight w:val="0"/>
                      <w:marTop w:val="0"/>
                      <w:marBottom w:val="0"/>
                      <w:divBdr>
                        <w:top w:val="none" w:sz="0" w:space="0" w:color="auto"/>
                        <w:left w:val="none" w:sz="0" w:space="0" w:color="auto"/>
                        <w:bottom w:val="none" w:sz="0" w:space="0" w:color="auto"/>
                        <w:right w:val="none" w:sz="0" w:space="0" w:color="auto"/>
                      </w:divBdr>
                      <w:divsChild>
                        <w:div w:id="1921061720">
                          <w:marLeft w:val="0"/>
                          <w:marRight w:val="0"/>
                          <w:marTop w:val="0"/>
                          <w:marBottom w:val="0"/>
                          <w:divBdr>
                            <w:top w:val="none" w:sz="0" w:space="0" w:color="auto"/>
                            <w:left w:val="none" w:sz="0" w:space="0" w:color="auto"/>
                            <w:bottom w:val="none" w:sz="0" w:space="0" w:color="auto"/>
                            <w:right w:val="none" w:sz="0" w:space="0" w:color="auto"/>
                          </w:divBdr>
                          <w:divsChild>
                            <w:div w:id="875240703">
                              <w:marLeft w:val="0"/>
                              <w:marRight w:val="0"/>
                              <w:marTop w:val="0"/>
                              <w:marBottom w:val="0"/>
                              <w:divBdr>
                                <w:top w:val="none" w:sz="0" w:space="0" w:color="auto"/>
                                <w:left w:val="none" w:sz="0" w:space="0" w:color="auto"/>
                                <w:bottom w:val="none" w:sz="0" w:space="0" w:color="auto"/>
                                <w:right w:val="none" w:sz="0" w:space="0" w:color="auto"/>
                              </w:divBdr>
                              <w:divsChild>
                                <w:div w:id="200477264">
                                  <w:marLeft w:val="0"/>
                                  <w:marRight w:val="0"/>
                                  <w:marTop w:val="30"/>
                                  <w:marBottom w:val="0"/>
                                  <w:divBdr>
                                    <w:top w:val="none" w:sz="0" w:space="0" w:color="auto"/>
                                    <w:left w:val="none" w:sz="0" w:space="0" w:color="auto"/>
                                    <w:bottom w:val="none" w:sz="0" w:space="0" w:color="auto"/>
                                    <w:right w:val="none" w:sz="0" w:space="0" w:color="auto"/>
                                  </w:divBdr>
                                  <w:divsChild>
                                    <w:div w:id="1714697133">
                                      <w:marLeft w:val="0"/>
                                      <w:marRight w:val="0"/>
                                      <w:marTop w:val="0"/>
                                      <w:marBottom w:val="0"/>
                                      <w:divBdr>
                                        <w:top w:val="single" w:sz="6" w:space="0" w:color="000000"/>
                                        <w:left w:val="single" w:sz="6" w:space="0" w:color="000000"/>
                                        <w:bottom w:val="single" w:sz="6" w:space="0" w:color="000000"/>
                                        <w:right w:val="single" w:sz="6" w:space="0" w:color="000000"/>
                                      </w:divBdr>
                                      <w:divsChild>
                                        <w:div w:id="1321621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176971178">
      <w:bodyDiv w:val="1"/>
      <w:marLeft w:val="0"/>
      <w:marRight w:val="0"/>
      <w:marTop w:val="0"/>
      <w:marBottom w:val="0"/>
      <w:divBdr>
        <w:top w:val="none" w:sz="0" w:space="0" w:color="auto"/>
        <w:left w:val="none" w:sz="0" w:space="0" w:color="auto"/>
        <w:bottom w:val="none" w:sz="0" w:space="0" w:color="auto"/>
        <w:right w:val="none" w:sz="0" w:space="0" w:color="auto"/>
      </w:divBdr>
      <w:divsChild>
        <w:div w:id="52974715">
          <w:marLeft w:val="0"/>
          <w:marRight w:val="0"/>
          <w:marTop w:val="0"/>
          <w:marBottom w:val="0"/>
          <w:divBdr>
            <w:top w:val="none" w:sz="0" w:space="0" w:color="auto"/>
            <w:left w:val="none" w:sz="0" w:space="0" w:color="auto"/>
            <w:bottom w:val="none" w:sz="0" w:space="0" w:color="auto"/>
            <w:right w:val="none" w:sz="0" w:space="0" w:color="auto"/>
          </w:divBdr>
          <w:divsChild>
            <w:div w:id="2040663344">
              <w:marLeft w:val="0"/>
              <w:marRight w:val="0"/>
              <w:marTop w:val="0"/>
              <w:marBottom w:val="0"/>
              <w:divBdr>
                <w:top w:val="none" w:sz="0" w:space="0" w:color="auto"/>
                <w:left w:val="none" w:sz="0" w:space="0" w:color="auto"/>
                <w:bottom w:val="none" w:sz="0" w:space="0" w:color="auto"/>
                <w:right w:val="none" w:sz="0" w:space="0" w:color="auto"/>
              </w:divBdr>
              <w:divsChild>
                <w:div w:id="725951020">
                  <w:marLeft w:val="0"/>
                  <w:marRight w:val="0"/>
                  <w:marTop w:val="0"/>
                  <w:marBottom w:val="0"/>
                  <w:divBdr>
                    <w:top w:val="none" w:sz="0" w:space="0" w:color="auto"/>
                    <w:left w:val="none" w:sz="0" w:space="0" w:color="auto"/>
                    <w:bottom w:val="none" w:sz="0" w:space="0" w:color="auto"/>
                    <w:right w:val="none" w:sz="0" w:space="0" w:color="auto"/>
                  </w:divBdr>
                  <w:divsChild>
                    <w:div w:id="315499730">
                      <w:marLeft w:val="0"/>
                      <w:marRight w:val="0"/>
                      <w:marTop w:val="0"/>
                      <w:marBottom w:val="0"/>
                      <w:divBdr>
                        <w:top w:val="none" w:sz="0" w:space="0" w:color="auto"/>
                        <w:left w:val="none" w:sz="0" w:space="0" w:color="auto"/>
                        <w:bottom w:val="none" w:sz="0" w:space="0" w:color="auto"/>
                        <w:right w:val="none" w:sz="0" w:space="0" w:color="auto"/>
                      </w:divBdr>
                      <w:divsChild>
                        <w:div w:id="420562999">
                          <w:marLeft w:val="0"/>
                          <w:marRight w:val="0"/>
                          <w:marTop w:val="0"/>
                          <w:marBottom w:val="0"/>
                          <w:divBdr>
                            <w:top w:val="none" w:sz="0" w:space="0" w:color="auto"/>
                            <w:left w:val="none" w:sz="0" w:space="0" w:color="auto"/>
                            <w:bottom w:val="none" w:sz="0" w:space="0" w:color="auto"/>
                            <w:right w:val="none" w:sz="0" w:space="0" w:color="auto"/>
                          </w:divBdr>
                          <w:divsChild>
                            <w:div w:id="2105420547">
                              <w:marLeft w:val="0"/>
                              <w:marRight w:val="0"/>
                              <w:marTop w:val="0"/>
                              <w:marBottom w:val="0"/>
                              <w:divBdr>
                                <w:top w:val="none" w:sz="0" w:space="0" w:color="auto"/>
                                <w:left w:val="none" w:sz="0" w:space="0" w:color="auto"/>
                                <w:bottom w:val="none" w:sz="0" w:space="0" w:color="auto"/>
                                <w:right w:val="none" w:sz="0" w:space="0" w:color="auto"/>
                              </w:divBdr>
                              <w:divsChild>
                                <w:div w:id="179707669">
                                  <w:marLeft w:val="0"/>
                                  <w:marRight w:val="0"/>
                                  <w:marTop w:val="30"/>
                                  <w:marBottom w:val="0"/>
                                  <w:divBdr>
                                    <w:top w:val="none" w:sz="0" w:space="0" w:color="auto"/>
                                    <w:left w:val="none" w:sz="0" w:space="0" w:color="auto"/>
                                    <w:bottom w:val="none" w:sz="0" w:space="0" w:color="auto"/>
                                    <w:right w:val="none" w:sz="0" w:space="0" w:color="auto"/>
                                  </w:divBdr>
                                  <w:divsChild>
                                    <w:div w:id="592858695">
                                      <w:marLeft w:val="0"/>
                                      <w:marRight w:val="0"/>
                                      <w:marTop w:val="0"/>
                                      <w:marBottom w:val="0"/>
                                      <w:divBdr>
                                        <w:top w:val="single" w:sz="6" w:space="0" w:color="000000"/>
                                        <w:left w:val="single" w:sz="6" w:space="0" w:color="000000"/>
                                        <w:bottom w:val="single" w:sz="6" w:space="0" w:color="000000"/>
                                        <w:right w:val="single" w:sz="6" w:space="0" w:color="000000"/>
                                      </w:divBdr>
                                      <w:divsChild>
                                        <w:div w:id="18170703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9903716">
      <w:bodyDiv w:val="1"/>
      <w:marLeft w:val="0"/>
      <w:marRight w:val="0"/>
      <w:marTop w:val="0"/>
      <w:marBottom w:val="0"/>
      <w:divBdr>
        <w:top w:val="none" w:sz="0" w:space="0" w:color="auto"/>
        <w:left w:val="none" w:sz="0" w:space="0" w:color="auto"/>
        <w:bottom w:val="none" w:sz="0" w:space="0" w:color="auto"/>
        <w:right w:val="none" w:sz="0" w:space="0" w:color="auto"/>
      </w:divBdr>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31232095">
      <w:bodyDiv w:val="1"/>
      <w:marLeft w:val="0"/>
      <w:marRight w:val="0"/>
      <w:marTop w:val="0"/>
      <w:marBottom w:val="0"/>
      <w:divBdr>
        <w:top w:val="none" w:sz="0" w:space="0" w:color="auto"/>
        <w:left w:val="none" w:sz="0" w:space="0" w:color="auto"/>
        <w:bottom w:val="none" w:sz="0" w:space="0" w:color="auto"/>
        <w:right w:val="none" w:sz="0" w:space="0" w:color="auto"/>
      </w:divBdr>
    </w:div>
    <w:div w:id="258216355">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1830748821">
              <w:marLeft w:val="0"/>
              <w:marRight w:val="0"/>
              <w:marTop w:val="0"/>
              <w:marBottom w:val="0"/>
              <w:divBdr>
                <w:top w:val="none" w:sz="0" w:space="0" w:color="auto"/>
                <w:left w:val="none" w:sz="0" w:space="0" w:color="auto"/>
                <w:bottom w:val="none" w:sz="0" w:space="0" w:color="auto"/>
                <w:right w:val="none" w:sz="0" w:space="0" w:color="auto"/>
              </w:divBdr>
              <w:divsChild>
                <w:div w:id="1650594860">
                  <w:marLeft w:val="0"/>
                  <w:marRight w:val="0"/>
                  <w:marTop w:val="0"/>
                  <w:marBottom w:val="0"/>
                  <w:divBdr>
                    <w:top w:val="none" w:sz="0" w:space="0" w:color="auto"/>
                    <w:left w:val="none" w:sz="0" w:space="0" w:color="auto"/>
                    <w:bottom w:val="none" w:sz="0" w:space="0" w:color="auto"/>
                    <w:right w:val="none" w:sz="0" w:space="0" w:color="auto"/>
                  </w:divBdr>
                  <w:divsChild>
                    <w:div w:id="1307970146">
                      <w:marLeft w:val="0"/>
                      <w:marRight w:val="0"/>
                      <w:marTop w:val="0"/>
                      <w:marBottom w:val="0"/>
                      <w:divBdr>
                        <w:top w:val="none" w:sz="0" w:space="0" w:color="auto"/>
                        <w:left w:val="none" w:sz="0" w:space="0" w:color="auto"/>
                        <w:bottom w:val="none" w:sz="0" w:space="0" w:color="auto"/>
                        <w:right w:val="none" w:sz="0" w:space="0" w:color="auto"/>
                      </w:divBdr>
                      <w:divsChild>
                        <w:div w:id="356388937">
                          <w:marLeft w:val="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752552328">
                                  <w:marLeft w:val="0"/>
                                  <w:marRight w:val="0"/>
                                  <w:marTop w:val="30"/>
                                  <w:marBottom w:val="0"/>
                                  <w:divBdr>
                                    <w:top w:val="none" w:sz="0" w:space="0" w:color="auto"/>
                                    <w:left w:val="none" w:sz="0" w:space="0" w:color="auto"/>
                                    <w:bottom w:val="none" w:sz="0" w:space="0" w:color="auto"/>
                                    <w:right w:val="none" w:sz="0" w:space="0" w:color="auto"/>
                                  </w:divBdr>
                                  <w:divsChild>
                                    <w:div w:id="141772796">
                                      <w:marLeft w:val="0"/>
                                      <w:marRight w:val="0"/>
                                      <w:marTop w:val="0"/>
                                      <w:marBottom w:val="0"/>
                                      <w:divBdr>
                                        <w:top w:val="single" w:sz="6" w:space="0" w:color="000000"/>
                                        <w:left w:val="single" w:sz="6" w:space="0" w:color="000000"/>
                                        <w:bottom w:val="single" w:sz="6" w:space="0" w:color="000000"/>
                                        <w:right w:val="single" w:sz="6" w:space="0" w:color="000000"/>
                                      </w:divBdr>
                                      <w:divsChild>
                                        <w:div w:id="126965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68634010">
      <w:bodyDiv w:val="1"/>
      <w:marLeft w:val="0"/>
      <w:marRight w:val="0"/>
      <w:marTop w:val="0"/>
      <w:marBottom w:val="0"/>
      <w:divBdr>
        <w:top w:val="none" w:sz="0" w:space="0" w:color="auto"/>
        <w:left w:val="none" w:sz="0" w:space="0" w:color="auto"/>
        <w:bottom w:val="none" w:sz="0" w:space="0" w:color="auto"/>
        <w:right w:val="none" w:sz="0" w:space="0" w:color="auto"/>
      </w:divBdr>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3364506">
      <w:bodyDiv w:val="1"/>
      <w:marLeft w:val="0"/>
      <w:marRight w:val="0"/>
      <w:marTop w:val="0"/>
      <w:marBottom w:val="0"/>
      <w:divBdr>
        <w:top w:val="none" w:sz="0" w:space="0" w:color="auto"/>
        <w:left w:val="none" w:sz="0" w:space="0" w:color="auto"/>
        <w:bottom w:val="none" w:sz="0" w:space="0" w:color="auto"/>
        <w:right w:val="none" w:sz="0" w:space="0" w:color="auto"/>
      </w:divBdr>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42441311">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3">
          <w:marLeft w:val="0"/>
          <w:marRight w:val="0"/>
          <w:marTop w:val="0"/>
          <w:marBottom w:val="0"/>
          <w:divBdr>
            <w:top w:val="none" w:sz="0" w:space="0" w:color="auto"/>
            <w:left w:val="none" w:sz="0" w:space="0" w:color="auto"/>
            <w:bottom w:val="none" w:sz="0" w:space="0" w:color="auto"/>
            <w:right w:val="none" w:sz="0" w:space="0" w:color="auto"/>
          </w:divBdr>
          <w:divsChild>
            <w:div w:id="1400833310">
              <w:marLeft w:val="0"/>
              <w:marRight w:val="0"/>
              <w:marTop w:val="0"/>
              <w:marBottom w:val="0"/>
              <w:divBdr>
                <w:top w:val="none" w:sz="0" w:space="0" w:color="auto"/>
                <w:left w:val="none" w:sz="0" w:space="0" w:color="auto"/>
                <w:bottom w:val="none" w:sz="0" w:space="0" w:color="auto"/>
                <w:right w:val="none" w:sz="0" w:space="0" w:color="auto"/>
              </w:divBdr>
              <w:divsChild>
                <w:div w:id="536162600">
                  <w:marLeft w:val="0"/>
                  <w:marRight w:val="0"/>
                  <w:marTop w:val="0"/>
                  <w:marBottom w:val="0"/>
                  <w:divBdr>
                    <w:top w:val="none" w:sz="0" w:space="0" w:color="auto"/>
                    <w:left w:val="none" w:sz="0" w:space="0" w:color="auto"/>
                    <w:bottom w:val="none" w:sz="0" w:space="0" w:color="auto"/>
                    <w:right w:val="none" w:sz="0" w:space="0" w:color="auto"/>
                  </w:divBdr>
                  <w:divsChild>
                    <w:div w:id="570433122">
                      <w:marLeft w:val="0"/>
                      <w:marRight w:val="0"/>
                      <w:marTop w:val="0"/>
                      <w:marBottom w:val="0"/>
                      <w:divBdr>
                        <w:top w:val="none" w:sz="0" w:space="0" w:color="auto"/>
                        <w:left w:val="none" w:sz="0" w:space="0" w:color="auto"/>
                        <w:bottom w:val="none" w:sz="0" w:space="0" w:color="auto"/>
                        <w:right w:val="none" w:sz="0" w:space="0" w:color="auto"/>
                      </w:divBdr>
                      <w:divsChild>
                        <w:div w:id="1639342538">
                          <w:marLeft w:val="0"/>
                          <w:marRight w:val="0"/>
                          <w:marTop w:val="0"/>
                          <w:marBottom w:val="0"/>
                          <w:divBdr>
                            <w:top w:val="none" w:sz="0" w:space="0" w:color="auto"/>
                            <w:left w:val="none" w:sz="0" w:space="0" w:color="auto"/>
                            <w:bottom w:val="none" w:sz="0" w:space="0" w:color="auto"/>
                            <w:right w:val="none" w:sz="0" w:space="0" w:color="auto"/>
                          </w:divBdr>
                          <w:divsChild>
                            <w:div w:id="2072844873">
                              <w:marLeft w:val="0"/>
                              <w:marRight w:val="0"/>
                              <w:marTop w:val="0"/>
                              <w:marBottom w:val="0"/>
                              <w:divBdr>
                                <w:top w:val="none" w:sz="0" w:space="0" w:color="auto"/>
                                <w:left w:val="none" w:sz="0" w:space="0" w:color="auto"/>
                                <w:bottom w:val="none" w:sz="0" w:space="0" w:color="auto"/>
                                <w:right w:val="none" w:sz="0" w:space="0" w:color="auto"/>
                              </w:divBdr>
                              <w:divsChild>
                                <w:div w:id="384255531">
                                  <w:marLeft w:val="0"/>
                                  <w:marRight w:val="0"/>
                                  <w:marTop w:val="30"/>
                                  <w:marBottom w:val="0"/>
                                  <w:divBdr>
                                    <w:top w:val="none" w:sz="0" w:space="0" w:color="auto"/>
                                    <w:left w:val="none" w:sz="0" w:space="0" w:color="auto"/>
                                    <w:bottom w:val="none" w:sz="0" w:space="0" w:color="auto"/>
                                    <w:right w:val="none" w:sz="0" w:space="0" w:color="auto"/>
                                  </w:divBdr>
                                  <w:divsChild>
                                    <w:div w:id="563292740">
                                      <w:marLeft w:val="0"/>
                                      <w:marRight w:val="0"/>
                                      <w:marTop w:val="0"/>
                                      <w:marBottom w:val="0"/>
                                      <w:divBdr>
                                        <w:top w:val="single" w:sz="6" w:space="0" w:color="000000"/>
                                        <w:left w:val="single" w:sz="6" w:space="0" w:color="000000"/>
                                        <w:bottom w:val="single" w:sz="6" w:space="0" w:color="000000"/>
                                        <w:right w:val="single" w:sz="6" w:space="0" w:color="000000"/>
                                      </w:divBdr>
                                      <w:divsChild>
                                        <w:div w:id="2412543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088690">
      <w:bodyDiv w:val="1"/>
      <w:marLeft w:val="0"/>
      <w:marRight w:val="0"/>
      <w:marTop w:val="0"/>
      <w:marBottom w:val="0"/>
      <w:divBdr>
        <w:top w:val="none" w:sz="0" w:space="0" w:color="auto"/>
        <w:left w:val="none" w:sz="0" w:space="0" w:color="auto"/>
        <w:bottom w:val="none" w:sz="0" w:space="0" w:color="auto"/>
        <w:right w:val="none" w:sz="0" w:space="0" w:color="auto"/>
      </w:divBdr>
      <w:divsChild>
        <w:div w:id="324630310">
          <w:marLeft w:val="0"/>
          <w:marRight w:val="0"/>
          <w:marTop w:val="0"/>
          <w:marBottom w:val="0"/>
          <w:divBdr>
            <w:top w:val="none" w:sz="0" w:space="0" w:color="auto"/>
            <w:left w:val="none" w:sz="0" w:space="0" w:color="auto"/>
            <w:bottom w:val="none" w:sz="0" w:space="0" w:color="auto"/>
            <w:right w:val="none" w:sz="0" w:space="0" w:color="auto"/>
          </w:divBdr>
          <w:divsChild>
            <w:div w:id="2031446014">
              <w:marLeft w:val="0"/>
              <w:marRight w:val="0"/>
              <w:marTop w:val="0"/>
              <w:marBottom w:val="0"/>
              <w:divBdr>
                <w:top w:val="none" w:sz="0" w:space="0" w:color="auto"/>
                <w:left w:val="none" w:sz="0" w:space="0" w:color="auto"/>
                <w:bottom w:val="none" w:sz="0" w:space="0" w:color="auto"/>
                <w:right w:val="none" w:sz="0" w:space="0" w:color="auto"/>
              </w:divBdr>
              <w:divsChild>
                <w:div w:id="1026099847">
                  <w:marLeft w:val="0"/>
                  <w:marRight w:val="0"/>
                  <w:marTop w:val="0"/>
                  <w:marBottom w:val="0"/>
                  <w:divBdr>
                    <w:top w:val="none" w:sz="0" w:space="0" w:color="auto"/>
                    <w:left w:val="none" w:sz="0" w:space="0" w:color="auto"/>
                    <w:bottom w:val="none" w:sz="0" w:space="0" w:color="auto"/>
                    <w:right w:val="none" w:sz="0" w:space="0" w:color="auto"/>
                  </w:divBdr>
                  <w:divsChild>
                    <w:div w:id="1984312839">
                      <w:marLeft w:val="0"/>
                      <w:marRight w:val="0"/>
                      <w:marTop w:val="0"/>
                      <w:marBottom w:val="0"/>
                      <w:divBdr>
                        <w:top w:val="none" w:sz="0" w:space="0" w:color="auto"/>
                        <w:left w:val="none" w:sz="0" w:space="0" w:color="auto"/>
                        <w:bottom w:val="none" w:sz="0" w:space="0" w:color="auto"/>
                        <w:right w:val="none" w:sz="0" w:space="0" w:color="auto"/>
                      </w:divBdr>
                      <w:divsChild>
                        <w:div w:id="718163610">
                          <w:marLeft w:val="0"/>
                          <w:marRight w:val="0"/>
                          <w:marTop w:val="0"/>
                          <w:marBottom w:val="0"/>
                          <w:divBdr>
                            <w:top w:val="none" w:sz="0" w:space="0" w:color="auto"/>
                            <w:left w:val="none" w:sz="0" w:space="0" w:color="auto"/>
                            <w:bottom w:val="none" w:sz="0" w:space="0" w:color="auto"/>
                            <w:right w:val="none" w:sz="0" w:space="0" w:color="auto"/>
                          </w:divBdr>
                          <w:divsChild>
                            <w:div w:id="1206790708">
                              <w:marLeft w:val="0"/>
                              <w:marRight w:val="0"/>
                              <w:marTop w:val="0"/>
                              <w:marBottom w:val="0"/>
                              <w:divBdr>
                                <w:top w:val="none" w:sz="0" w:space="0" w:color="auto"/>
                                <w:left w:val="none" w:sz="0" w:space="0" w:color="auto"/>
                                <w:bottom w:val="none" w:sz="0" w:space="0" w:color="auto"/>
                                <w:right w:val="none" w:sz="0" w:space="0" w:color="auto"/>
                              </w:divBdr>
                              <w:divsChild>
                                <w:div w:id="1841120973">
                                  <w:marLeft w:val="0"/>
                                  <w:marRight w:val="0"/>
                                  <w:marTop w:val="30"/>
                                  <w:marBottom w:val="0"/>
                                  <w:divBdr>
                                    <w:top w:val="none" w:sz="0" w:space="0" w:color="auto"/>
                                    <w:left w:val="none" w:sz="0" w:space="0" w:color="auto"/>
                                    <w:bottom w:val="none" w:sz="0" w:space="0" w:color="auto"/>
                                    <w:right w:val="none" w:sz="0" w:space="0" w:color="auto"/>
                                  </w:divBdr>
                                  <w:divsChild>
                                    <w:div w:id="951128915">
                                      <w:marLeft w:val="0"/>
                                      <w:marRight w:val="0"/>
                                      <w:marTop w:val="0"/>
                                      <w:marBottom w:val="0"/>
                                      <w:divBdr>
                                        <w:top w:val="single" w:sz="6" w:space="0" w:color="000000"/>
                                        <w:left w:val="single" w:sz="6" w:space="0" w:color="000000"/>
                                        <w:bottom w:val="single" w:sz="6" w:space="0" w:color="000000"/>
                                        <w:right w:val="single" w:sz="6" w:space="0" w:color="000000"/>
                                      </w:divBdr>
                                      <w:divsChild>
                                        <w:div w:id="962922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8721101">
      <w:bodyDiv w:val="1"/>
      <w:marLeft w:val="0"/>
      <w:marRight w:val="0"/>
      <w:marTop w:val="0"/>
      <w:marBottom w:val="0"/>
      <w:divBdr>
        <w:top w:val="none" w:sz="0" w:space="0" w:color="auto"/>
        <w:left w:val="none" w:sz="0" w:space="0" w:color="auto"/>
        <w:bottom w:val="none" w:sz="0" w:space="0" w:color="auto"/>
        <w:right w:val="none" w:sz="0" w:space="0" w:color="auto"/>
      </w:divBdr>
    </w:div>
    <w:div w:id="418986016">
      <w:bodyDiv w:val="1"/>
      <w:marLeft w:val="0"/>
      <w:marRight w:val="0"/>
      <w:marTop w:val="0"/>
      <w:marBottom w:val="0"/>
      <w:divBdr>
        <w:top w:val="none" w:sz="0" w:space="0" w:color="auto"/>
        <w:left w:val="none" w:sz="0" w:space="0" w:color="auto"/>
        <w:bottom w:val="none" w:sz="0" w:space="0" w:color="auto"/>
        <w:right w:val="none" w:sz="0" w:space="0" w:color="auto"/>
      </w:divBdr>
      <w:divsChild>
        <w:div w:id="25376319">
          <w:marLeft w:val="0"/>
          <w:marRight w:val="0"/>
          <w:marTop w:val="0"/>
          <w:marBottom w:val="0"/>
          <w:divBdr>
            <w:top w:val="none" w:sz="0" w:space="0" w:color="auto"/>
            <w:left w:val="none" w:sz="0" w:space="0" w:color="auto"/>
            <w:bottom w:val="none" w:sz="0" w:space="0" w:color="auto"/>
            <w:right w:val="none" w:sz="0" w:space="0" w:color="auto"/>
          </w:divBdr>
          <w:divsChild>
            <w:div w:id="2124228094">
              <w:marLeft w:val="0"/>
              <w:marRight w:val="0"/>
              <w:marTop w:val="0"/>
              <w:marBottom w:val="0"/>
              <w:divBdr>
                <w:top w:val="none" w:sz="0" w:space="0" w:color="auto"/>
                <w:left w:val="none" w:sz="0" w:space="0" w:color="auto"/>
                <w:bottom w:val="none" w:sz="0" w:space="0" w:color="auto"/>
                <w:right w:val="none" w:sz="0" w:space="0" w:color="auto"/>
              </w:divBdr>
              <w:divsChild>
                <w:div w:id="1458404174">
                  <w:marLeft w:val="0"/>
                  <w:marRight w:val="0"/>
                  <w:marTop w:val="0"/>
                  <w:marBottom w:val="0"/>
                  <w:divBdr>
                    <w:top w:val="none" w:sz="0" w:space="0" w:color="auto"/>
                    <w:left w:val="none" w:sz="0" w:space="0" w:color="auto"/>
                    <w:bottom w:val="none" w:sz="0" w:space="0" w:color="auto"/>
                    <w:right w:val="none" w:sz="0" w:space="0" w:color="auto"/>
                  </w:divBdr>
                  <w:divsChild>
                    <w:div w:id="14235287">
                      <w:marLeft w:val="0"/>
                      <w:marRight w:val="0"/>
                      <w:marTop w:val="0"/>
                      <w:marBottom w:val="0"/>
                      <w:divBdr>
                        <w:top w:val="none" w:sz="0" w:space="0" w:color="auto"/>
                        <w:left w:val="none" w:sz="0" w:space="0" w:color="auto"/>
                        <w:bottom w:val="none" w:sz="0" w:space="0" w:color="auto"/>
                        <w:right w:val="none" w:sz="0" w:space="0" w:color="auto"/>
                      </w:divBdr>
                      <w:divsChild>
                        <w:div w:id="1234856931">
                          <w:marLeft w:val="0"/>
                          <w:marRight w:val="0"/>
                          <w:marTop w:val="0"/>
                          <w:marBottom w:val="0"/>
                          <w:divBdr>
                            <w:top w:val="none" w:sz="0" w:space="0" w:color="auto"/>
                            <w:left w:val="none" w:sz="0" w:space="0" w:color="auto"/>
                            <w:bottom w:val="none" w:sz="0" w:space="0" w:color="auto"/>
                            <w:right w:val="none" w:sz="0" w:space="0" w:color="auto"/>
                          </w:divBdr>
                          <w:divsChild>
                            <w:div w:id="2082605572">
                              <w:marLeft w:val="0"/>
                              <w:marRight w:val="0"/>
                              <w:marTop w:val="0"/>
                              <w:marBottom w:val="0"/>
                              <w:divBdr>
                                <w:top w:val="none" w:sz="0" w:space="0" w:color="auto"/>
                                <w:left w:val="none" w:sz="0" w:space="0" w:color="auto"/>
                                <w:bottom w:val="none" w:sz="0" w:space="0" w:color="auto"/>
                                <w:right w:val="none" w:sz="0" w:space="0" w:color="auto"/>
                              </w:divBdr>
                              <w:divsChild>
                                <w:div w:id="1297297211">
                                  <w:marLeft w:val="0"/>
                                  <w:marRight w:val="0"/>
                                  <w:marTop w:val="30"/>
                                  <w:marBottom w:val="0"/>
                                  <w:divBdr>
                                    <w:top w:val="none" w:sz="0" w:space="0" w:color="auto"/>
                                    <w:left w:val="none" w:sz="0" w:space="0" w:color="auto"/>
                                    <w:bottom w:val="none" w:sz="0" w:space="0" w:color="auto"/>
                                    <w:right w:val="none" w:sz="0" w:space="0" w:color="auto"/>
                                  </w:divBdr>
                                  <w:divsChild>
                                    <w:div w:id="460654381">
                                      <w:marLeft w:val="0"/>
                                      <w:marRight w:val="0"/>
                                      <w:marTop w:val="0"/>
                                      <w:marBottom w:val="0"/>
                                      <w:divBdr>
                                        <w:top w:val="single" w:sz="6" w:space="0" w:color="000000"/>
                                        <w:left w:val="single" w:sz="6" w:space="0" w:color="000000"/>
                                        <w:bottom w:val="single" w:sz="6" w:space="0" w:color="000000"/>
                                        <w:right w:val="single" w:sz="6" w:space="0" w:color="000000"/>
                                      </w:divBdr>
                                      <w:divsChild>
                                        <w:div w:id="1225214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0876399">
      <w:bodyDiv w:val="1"/>
      <w:marLeft w:val="0"/>
      <w:marRight w:val="0"/>
      <w:marTop w:val="0"/>
      <w:marBottom w:val="0"/>
      <w:divBdr>
        <w:top w:val="none" w:sz="0" w:space="0" w:color="auto"/>
        <w:left w:val="none" w:sz="0" w:space="0" w:color="auto"/>
        <w:bottom w:val="none" w:sz="0" w:space="0" w:color="auto"/>
        <w:right w:val="none" w:sz="0" w:space="0" w:color="auto"/>
      </w:divBdr>
      <w:divsChild>
        <w:div w:id="1436171556">
          <w:marLeft w:val="0"/>
          <w:marRight w:val="0"/>
          <w:marTop w:val="0"/>
          <w:marBottom w:val="0"/>
          <w:divBdr>
            <w:top w:val="none" w:sz="0" w:space="0" w:color="auto"/>
            <w:left w:val="none" w:sz="0" w:space="0" w:color="auto"/>
            <w:bottom w:val="none" w:sz="0" w:space="0" w:color="auto"/>
            <w:right w:val="none" w:sz="0" w:space="0" w:color="auto"/>
          </w:divBdr>
          <w:divsChild>
            <w:div w:id="1010984849">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882983143">
                      <w:marLeft w:val="0"/>
                      <w:marRight w:val="0"/>
                      <w:marTop w:val="0"/>
                      <w:marBottom w:val="0"/>
                      <w:divBdr>
                        <w:top w:val="none" w:sz="0" w:space="0" w:color="auto"/>
                        <w:left w:val="none" w:sz="0" w:space="0" w:color="auto"/>
                        <w:bottom w:val="none" w:sz="0" w:space="0" w:color="auto"/>
                        <w:right w:val="none" w:sz="0" w:space="0" w:color="auto"/>
                      </w:divBdr>
                      <w:divsChild>
                        <w:div w:id="164900038">
                          <w:marLeft w:val="0"/>
                          <w:marRight w:val="0"/>
                          <w:marTop w:val="0"/>
                          <w:marBottom w:val="0"/>
                          <w:divBdr>
                            <w:top w:val="none" w:sz="0" w:space="0" w:color="auto"/>
                            <w:left w:val="none" w:sz="0" w:space="0" w:color="auto"/>
                            <w:bottom w:val="none" w:sz="0" w:space="0" w:color="auto"/>
                            <w:right w:val="none" w:sz="0" w:space="0" w:color="auto"/>
                          </w:divBdr>
                          <w:divsChild>
                            <w:div w:id="1474055250">
                              <w:marLeft w:val="0"/>
                              <w:marRight w:val="0"/>
                              <w:marTop w:val="0"/>
                              <w:marBottom w:val="0"/>
                              <w:divBdr>
                                <w:top w:val="none" w:sz="0" w:space="0" w:color="auto"/>
                                <w:left w:val="none" w:sz="0" w:space="0" w:color="auto"/>
                                <w:bottom w:val="none" w:sz="0" w:space="0" w:color="auto"/>
                                <w:right w:val="none" w:sz="0" w:space="0" w:color="auto"/>
                              </w:divBdr>
                              <w:divsChild>
                                <w:div w:id="89084559">
                                  <w:marLeft w:val="0"/>
                                  <w:marRight w:val="0"/>
                                  <w:marTop w:val="30"/>
                                  <w:marBottom w:val="0"/>
                                  <w:divBdr>
                                    <w:top w:val="none" w:sz="0" w:space="0" w:color="auto"/>
                                    <w:left w:val="none" w:sz="0" w:space="0" w:color="auto"/>
                                    <w:bottom w:val="none" w:sz="0" w:space="0" w:color="auto"/>
                                    <w:right w:val="none" w:sz="0" w:space="0" w:color="auto"/>
                                  </w:divBdr>
                                  <w:divsChild>
                                    <w:div w:id="1578634991">
                                      <w:marLeft w:val="0"/>
                                      <w:marRight w:val="0"/>
                                      <w:marTop w:val="0"/>
                                      <w:marBottom w:val="0"/>
                                      <w:divBdr>
                                        <w:top w:val="single" w:sz="6" w:space="0" w:color="000000"/>
                                        <w:left w:val="single" w:sz="6" w:space="0" w:color="000000"/>
                                        <w:bottom w:val="single" w:sz="6" w:space="0" w:color="000000"/>
                                        <w:right w:val="single" w:sz="6" w:space="0" w:color="000000"/>
                                      </w:divBdr>
                                      <w:divsChild>
                                        <w:div w:id="1326740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4124810">
      <w:bodyDiv w:val="1"/>
      <w:marLeft w:val="0"/>
      <w:marRight w:val="0"/>
      <w:marTop w:val="0"/>
      <w:marBottom w:val="0"/>
      <w:divBdr>
        <w:top w:val="none" w:sz="0" w:space="0" w:color="auto"/>
        <w:left w:val="none" w:sz="0" w:space="0" w:color="auto"/>
        <w:bottom w:val="none" w:sz="0" w:space="0" w:color="auto"/>
        <w:right w:val="none" w:sz="0" w:space="0" w:color="auto"/>
      </w:divBdr>
      <w:divsChild>
        <w:div w:id="868614822">
          <w:marLeft w:val="0"/>
          <w:marRight w:val="0"/>
          <w:marTop w:val="0"/>
          <w:marBottom w:val="0"/>
          <w:divBdr>
            <w:top w:val="none" w:sz="0" w:space="0" w:color="auto"/>
            <w:left w:val="none" w:sz="0" w:space="0" w:color="auto"/>
            <w:bottom w:val="none" w:sz="0" w:space="0" w:color="auto"/>
            <w:right w:val="none" w:sz="0" w:space="0" w:color="auto"/>
          </w:divBdr>
          <w:divsChild>
            <w:div w:id="1178009965">
              <w:marLeft w:val="0"/>
              <w:marRight w:val="0"/>
              <w:marTop w:val="0"/>
              <w:marBottom w:val="0"/>
              <w:divBdr>
                <w:top w:val="none" w:sz="0" w:space="0" w:color="auto"/>
                <w:left w:val="none" w:sz="0" w:space="0" w:color="auto"/>
                <w:bottom w:val="none" w:sz="0" w:space="0" w:color="auto"/>
                <w:right w:val="none" w:sz="0" w:space="0" w:color="auto"/>
              </w:divBdr>
              <w:divsChild>
                <w:div w:id="299500759">
                  <w:marLeft w:val="0"/>
                  <w:marRight w:val="0"/>
                  <w:marTop w:val="0"/>
                  <w:marBottom w:val="0"/>
                  <w:divBdr>
                    <w:top w:val="none" w:sz="0" w:space="0" w:color="auto"/>
                    <w:left w:val="none" w:sz="0" w:space="0" w:color="auto"/>
                    <w:bottom w:val="none" w:sz="0" w:space="0" w:color="auto"/>
                    <w:right w:val="none" w:sz="0" w:space="0" w:color="auto"/>
                  </w:divBdr>
                  <w:divsChild>
                    <w:div w:id="179317340">
                      <w:marLeft w:val="0"/>
                      <w:marRight w:val="0"/>
                      <w:marTop w:val="0"/>
                      <w:marBottom w:val="0"/>
                      <w:divBdr>
                        <w:top w:val="none" w:sz="0" w:space="0" w:color="auto"/>
                        <w:left w:val="none" w:sz="0" w:space="0" w:color="auto"/>
                        <w:bottom w:val="none" w:sz="0" w:space="0" w:color="auto"/>
                        <w:right w:val="none" w:sz="0" w:space="0" w:color="auto"/>
                      </w:divBdr>
                      <w:divsChild>
                        <w:div w:id="1539471992">
                          <w:marLeft w:val="0"/>
                          <w:marRight w:val="0"/>
                          <w:marTop w:val="0"/>
                          <w:marBottom w:val="0"/>
                          <w:divBdr>
                            <w:top w:val="none" w:sz="0" w:space="0" w:color="auto"/>
                            <w:left w:val="none" w:sz="0" w:space="0" w:color="auto"/>
                            <w:bottom w:val="none" w:sz="0" w:space="0" w:color="auto"/>
                            <w:right w:val="none" w:sz="0" w:space="0" w:color="auto"/>
                          </w:divBdr>
                          <w:divsChild>
                            <w:div w:id="1528517770">
                              <w:marLeft w:val="0"/>
                              <w:marRight w:val="0"/>
                              <w:marTop w:val="0"/>
                              <w:marBottom w:val="0"/>
                              <w:divBdr>
                                <w:top w:val="none" w:sz="0" w:space="0" w:color="auto"/>
                                <w:left w:val="none" w:sz="0" w:space="0" w:color="auto"/>
                                <w:bottom w:val="none" w:sz="0" w:space="0" w:color="auto"/>
                                <w:right w:val="none" w:sz="0" w:space="0" w:color="auto"/>
                              </w:divBdr>
                              <w:divsChild>
                                <w:div w:id="2074620987">
                                  <w:marLeft w:val="0"/>
                                  <w:marRight w:val="0"/>
                                  <w:marTop w:val="30"/>
                                  <w:marBottom w:val="0"/>
                                  <w:divBdr>
                                    <w:top w:val="none" w:sz="0" w:space="0" w:color="auto"/>
                                    <w:left w:val="none" w:sz="0" w:space="0" w:color="auto"/>
                                    <w:bottom w:val="none" w:sz="0" w:space="0" w:color="auto"/>
                                    <w:right w:val="none" w:sz="0" w:space="0" w:color="auto"/>
                                  </w:divBdr>
                                  <w:divsChild>
                                    <w:div w:id="1931158794">
                                      <w:marLeft w:val="0"/>
                                      <w:marRight w:val="0"/>
                                      <w:marTop w:val="0"/>
                                      <w:marBottom w:val="0"/>
                                      <w:divBdr>
                                        <w:top w:val="single" w:sz="6" w:space="0" w:color="000000"/>
                                        <w:left w:val="single" w:sz="6" w:space="0" w:color="000000"/>
                                        <w:bottom w:val="single" w:sz="6" w:space="0" w:color="000000"/>
                                        <w:right w:val="single" w:sz="6" w:space="0" w:color="000000"/>
                                      </w:divBdr>
                                      <w:divsChild>
                                        <w:div w:id="1983578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7865252">
      <w:bodyDiv w:val="1"/>
      <w:marLeft w:val="0"/>
      <w:marRight w:val="0"/>
      <w:marTop w:val="0"/>
      <w:marBottom w:val="0"/>
      <w:divBdr>
        <w:top w:val="none" w:sz="0" w:space="0" w:color="auto"/>
        <w:left w:val="none" w:sz="0" w:space="0" w:color="auto"/>
        <w:bottom w:val="none" w:sz="0" w:space="0" w:color="auto"/>
        <w:right w:val="none" w:sz="0" w:space="0" w:color="auto"/>
      </w:divBdr>
      <w:divsChild>
        <w:div w:id="2068793536">
          <w:marLeft w:val="0"/>
          <w:marRight w:val="0"/>
          <w:marTop w:val="0"/>
          <w:marBottom w:val="0"/>
          <w:divBdr>
            <w:top w:val="none" w:sz="0" w:space="0" w:color="auto"/>
            <w:left w:val="none" w:sz="0" w:space="0" w:color="auto"/>
            <w:bottom w:val="none" w:sz="0" w:space="0" w:color="auto"/>
            <w:right w:val="none" w:sz="0" w:space="0" w:color="auto"/>
          </w:divBdr>
          <w:divsChild>
            <w:div w:id="1658656236">
              <w:marLeft w:val="0"/>
              <w:marRight w:val="0"/>
              <w:marTop w:val="0"/>
              <w:marBottom w:val="0"/>
              <w:divBdr>
                <w:top w:val="none" w:sz="0" w:space="0" w:color="auto"/>
                <w:left w:val="none" w:sz="0" w:space="0" w:color="auto"/>
                <w:bottom w:val="none" w:sz="0" w:space="0" w:color="auto"/>
                <w:right w:val="none" w:sz="0" w:space="0" w:color="auto"/>
              </w:divBdr>
              <w:divsChild>
                <w:div w:id="1197161065">
                  <w:marLeft w:val="0"/>
                  <w:marRight w:val="0"/>
                  <w:marTop w:val="0"/>
                  <w:marBottom w:val="0"/>
                  <w:divBdr>
                    <w:top w:val="none" w:sz="0" w:space="0" w:color="auto"/>
                    <w:left w:val="none" w:sz="0" w:space="0" w:color="auto"/>
                    <w:bottom w:val="none" w:sz="0" w:space="0" w:color="auto"/>
                    <w:right w:val="none" w:sz="0" w:space="0" w:color="auto"/>
                  </w:divBdr>
                  <w:divsChild>
                    <w:div w:id="3168197">
                      <w:marLeft w:val="0"/>
                      <w:marRight w:val="0"/>
                      <w:marTop w:val="0"/>
                      <w:marBottom w:val="0"/>
                      <w:divBdr>
                        <w:top w:val="none" w:sz="0" w:space="0" w:color="auto"/>
                        <w:left w:val="none" w:sz="0" w:space="0" w:color="auto"/>
                        <w:bottom w:val="none" w:sz="0" w:space="0" w:color="auto"/>
                        <w:right w:val="none" w:sz="0" w:space="0" w:color="auto"/>
                      </w:divBdr>
                      <w:divsChild>
                        <w:div w:id="1842547149">
                          <w:marLeft w:val="0"/>
                          <w:marRight w:val="0"/>
                          <w:marTop w:val="0"/>
                          <w:marBottom w:val="0"/>
                          <w:divBdr>
                            <w:top w:val="none" w:sz="0" w:space="0" w:color="auto"/>
                            <w:left w:val="none" w:sz="0" w:space="0" w:color="auto"/>
                            <w:bottom w:val="none" w:sz="0" w:space="0" w:color="auto"/>
                            <w:right w:val="none" w:sz="0" w:space="0" w:color="auto"/>
                          </w:divBdr>
                          <w:divsChild>
                            <w:div w:id="1158302741">
                              <w:marLeft w:val="0"/>
                              <w:marRight w:val="0"/>
                              <w:marTop w:val="0"/>
                              <w:marBottom w:val="0"/>
                              <w:divBdr>
                                <w:top w:val="none" w:sz="0" w:space="0" w:color="auto"/>
                                <w:left w:val="none" w:sz="0" w:space="0" w:color="auto"/>
                                <w:bottom w:val="none" w:sz="0" w:space="0" w:color="auto"/>
                                <w:right w:val="none" w:sz="0" w:space="0" w:color="auto"/>
                              </w:divBdr>
                              <w:divsChild>
                                <w:div w:id="1372145584">
                                  <w:marLeft w:val="0"/>
                                  <w:marRight w:val="0"/>
                                  <w:marTop w:val="30"/>
                                  <w:marBottom w:val="0"/>
                                  <w:divBdr>
                                    <w:top w:val="none" w:sz="0" w:space="0" w:color="auto"/>
                                    <w:left w:val="none" w:sz="0" w:space="0" w:color="auto"/>
                                    <w:bottom w:val="none" w:sz="0" w:space="0" w:color="auto"/>
                                    <w:right w:val="none" w:sz="0" w:space="0" w:color="auto"/>
                                  </w:divBdr>
                                  <w:divsChild>
                                    <w:div w:id="756369785">
                                      <w:marLeft w:val="0"/>
                                      <w:marRight w:val="0"/>
                                      <w:marTop w:val="0"/>
                                      <w:marBottom w:val="0"/>
                                      <w:divBdr>
                                        <w:top w:val="single" w:sz="6" w:space="0" w:color="000000"/>
                                        <w:left w:val="single" w:sz="6" w:space="0" w:color="000000"/>
                                        <w:bottom w:val="single" w:sz="6" w:space="0" w:color="000000"/>
                                        <w:right w:val="single" w:sz="6" w:space="0" w:color="000000"/>
                                      </w:divBdr>
                                      <w:divsChild>
                                        <w:div w:id="1754354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3718345">
      <w:bodyDiv w:val="1"/>
      <w:marLeft w:val="0"/>
      <w:marRight w:val="0"/>
      <w:marTop w:val="0"/>
      <w:marBottom w:val="0"/>
      <w:divBdr>
        <w:top w:val="none" w:sz="0" w:space="0" w:color="auto"/>
        <w:left w:val="none" w:sz="0" w:space="0" w:color="auto"/>
        <w:bottom w:val="none" w:sz="0" w:space="0" w:color="auto"/>
        <w:right w:val="none" w:sz="0" w:space="0" w:color="auto"/>
      </w:divBdr>
    </w:div>
    <w:div w:id="549264427">
      <w:bodyDiv w:val="1"/>
      <w:marLeft w:val="0"/>
      <w:marRight w:val="0"/>
      <w:marTop w:val="0"/>
      <w:marBottom w:val="0"/>
      <w:divBdr>
        <w:top w:val="none" w:sz="0" w:space="0" w:color="auto"/>
        <w:left w:val="none" w:sz="0" w:space="0" w:color="auto"/>
        <w:bottom w:val="none" w:sz="0" w:space="0" w:color="auto"/>
        <w:right w:val="none" w:sz="0" w:space="0" w:color="auto"/>
      </w:divBdr>
      <w:divsChild>
        <w:div w:id="47458574">
          <w:marLeft w:val="0"/>
          <w:marRight w:val="0"/>
          <w:marTop w:val="0"/>
          <w:marBottom w:val="0"/>
          <w:divBdr>
            <w:top w:val="none" w:sz="0" w:space="0" w:color="auto"/>
            <w:left w:val="none" w:sz="0" w:space="0" w:color="auto"/>
            <w:bottom w:val="none" w:sz="0" w:space="0" w:color="auto"/>
            <w:right w:val="none" w:sz="0" w:space="0" w:color="auto"/>
          </w:divBdr>
          <w:divsChild>
            <w:div w:id="1456869017">
              <w:marLeft w:val="0"/>
              <w:marRight w:val="0"/>
              <w:marTop w:val="0"/>
              <w:marBottom w:val="0"/>
              <w:divBdr>
                <w:top w:val="none" w:sz="0" w:space="0" w:color="auto"/>
                <w:left w:val="none" w:sz="0" w:space="0" w:color="auto"/>
                <w:bottom w:val="none" w:sz="0" w:space="0" w:color="auto"/>
                <w:right w:val="none" w:sz="0" w:space="0" w:color="auto"/>
              </w:divBdr>
              <w:divsChild>
                <w:div w:id="585726586">
                  <w:marLeft w:val="0"/>
                  <w:marRight w:val="0"/>
                  <w:marTop w:val="0"/>
                  <w:marBottom w:val="0"/>
                  <w:divBdr>
                    <w:top w:val="none" w:sz="0" w:space="0" w:color="auto"/>
                    <w:left w:val="none" w:sz="0" w:space="0" w:color="auto"/>
                    <w:bottom w:val="none" w:sz="0" w:space="0" w:color="auto"/>
                    <w:right w:val="none" w:sz="0" w:space="0" w:color="auto"/>
                  </w:divBdr>
                  <w:divsChild>
                    <w:div w:id="327290865">
                      <w:marLeft w:val="0"/>
                      <w:marRight w:val="0"/>
                      <w:marTop w:val="0"/>
                      <w:marBottom w:val="0"/>
                      <w:divBdr>
                        <w:top w:val="none" w:sz="0" w:space="0" w:color="auto"/>
                        <w:left w:val="none" w:sz="0" w:space="0" w:color="auto"/>
                        <w:bottom w:val="none" w:sz="0" w:space="0" w:color="auto"/>
                        <w:right w:val="none" w:sz="0" w:space="0" w:color="auto"/>
                      </w:divBdr>
                      <w:divsChild>
                        <w:div w:id="1293055358">
                          <w:marLeft w:val="0"/>
                          <w:marRight w:val="0"/>
                          <w:marTop w:val="0"/>
                          <w:marBottom w:val="0"/>
                          <w:divBdr>
                            <w:top w:val="none" w:sz="0" w:space="0" w:color="auto"/>
                            <w:left w:val="none" w:sz="0" w:space="0" w:color="auto"/>
                            <w:bottom w:val="none" w:sz="0" w:space="0" w:color="auto"/>
                            <w:right w:val="none" w:sz="0" w:space="0" w:color="auto"/>
                          </w:divBdr>
                          <w:divsChild>
                            <w:div w:id="613168701">
                              <w:marLeft w:val="0"/>
                              <w:marRight w:val="0"/>
                              <w:marTop w:val="0"/>
                              <w:marBottom w:val="0"/>
                              <w:divBdr>
                                <w:top w:val="none" w:sz="0" w:space="0" w:color="auto"/>
                                <w:left w:val="none" w:sz="0" w:space="0" w:color="auto"/>
                                <w:bottom w:val="none" w:sz="0" w:space="0" w:color="auto"/>
                                <w:right w:val="none" w:sz="0" w:space="0" w:color="auto"/>
                              </w:divBdr>
                              <w:divsChild>
                                <w:div w:id="100536886">
                                  <w:marLeft w:val="0"/>
                                  <w:marRight w:val="0"/>
                                  <w:marTop w:val="30"/>
                                  <w:marBottom w:val="0"/>
                                  <w:divBdr>
                                    <w:top w:val="none" w:sz="0" w:space="0" w:color="auto"/>
                                    <w:left w:val="none" w:sz="0" w:space="0" w:color="auto"/>
                                    <w:bottom w:val="none" w:sz="0" w:space="0" w:color="auto"/>
                                    <w:right w:val="none" w:sz="0" w:space="0" w:color="auto"/>
                                  </w:divBdr>
                                  <w:divsChild>
                                    <w:div w:id="1379357021">
                                      <w:marLeft w:val="0"/>
                                      <w:marRight w:val="0"/>
                                      <w:marTop w:val="0"/>
                                      <w:marBottom w:val="0"/>
                                      <w:divBdr>
                                        <w:top w:val="single" w:sz="6" w:space="0" w:color="000000"/>
                                        <w:left w:val="single" w:sz="6" w:space="0" w:color="000000"/>
                                        <w:bottom w:val="single" w:sz="6" w:space="0" w:color="000000"/>
                                        <w:right w:val="single" w:sz="6" w:space="0" w:color="000000"/>
                                      </w:divBdr>
                                      <w:divsChild>
                                        <w:div w:id="1562982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3606236">
      <w:bodyDiv w:val="1"/>
      <w:marLeft w:val="0"/>
      <w:marRight w:val="0"/>
      <w:marTop w:val="0"/>
      <w:marBottom w:val="0"/>
      <w:divBdr>
        <w:top w:val="none" w:sz="0" w:space="0" w:color="auto"/>
        <w:left w:val="none" w:sz="0" w:space="0" w:color="auto"/>
        <w:bottom w:val="none" w:sz="0" w:space="0" w:color="auto"/>
        <w:right w:val="none" w:sz="0" w:space="0" w:color="auto"/>
      </w:divBdr>
      <w:divsChild>
        <w:div w:id="1113287692">
          <w:marLeft w:val="0"/>
          <w:marRight w:val="0"/>
          <w:marTop w:val="0"/>
          <w:marBottom w:val="0"/>
          <w:divBdr>
            <w:top w:val="none" w:sz="0" w:space="0" w:color="auto"/>
            <w:left w:val="none" w:sz="0" w:space="0" w:color="auto"/>
            <w:bottom w:val="none" w:sz="0" w:space="0" w:color="auto"/>
            <w:right w:val="none" w:sz="0" w:space="0" w:color="auto"/>
          </w:divBdr>
          <w:divsChild>
            <w:div w:id="1243878406">
              <w:marLeft w:val="0"/>
              <w:marRight w:val="0"/>
              <w:marTop w:val="0"/>
              <w:marBottom w:val="0"/>
              <w:divBdr>
                <w:top w:val="none" w:sz="0" w:space="0" w:color="auto"/>
                <w:left w:val="none" w:sz="0" w:space="0" w:color="auto"/>
                <w:bottom w:val="none" w:sz="0" w:space="0" w:color="auto"/>
                <w:right w:val="none" w:sz="0" w:space="0" w:color="auto"/>
              </w:divBdr>
              <w:divsChild>
                <w:div w:id="680280087">
                  <w:marLeft w:val="0"/>
                  <w:marRight w:val="0"/>
                  <w:marTop w:val="0"/>
                  <w:marBottom w:val="0"/>
                  <w:divBdr>
                    <w:top w:val="none" w:sz="0" w:space="0" w:color="auto"/>
                    <w:left w:val="none" w:sz="0" w:space="0" w:color="auto"/>
                    <w:bottom w:val="none" w:sz="0" w:space="0" w:color="auto"/>
                    <w:right w:val="none" w:sz="0" w:space="0" w:color="auto"/>
                  </w:divBdr>
                  <w:divsChild>
                    <w:div w:id="1382435209">
                      <w:marLeft w:val="0"/>
                      <w:marRight w:val="0"/>
                      <w:marTop w:val="0"/>
                      <w:marBottom w:val="0"/>
                      <w:divBdr>
                        <w:top w:val="none" w:sz="0" w:space="0" w:color="auto"/>
                        <w:left w:val="none" w:sz="0" w:space="0" w:color="auto"/>
                        <w:bottom w:val="none" w:sz="0" w:space="0" w:color="auto"/>
                        <w:right w:val="none" w:sz="0" w:space="0" w:color="auto"/>
                      </w:divBdr>
                      <w:divsChild>
                        <w:div w:id="1572156538">
                          <w:marLeft w:val="0"/>
                          <w:marRight w:val="0"/>
                          <w:marTop w:val="0"/>
                          <w:marBottom w:val="0"/>
                          <w:divBdr>
                            <w:top w:val="none" w:sz="0" w:space="0" w:color="auto"/>
                            <w:left w:val="none" w:sz="0" w:space="0" w:color="auto"/>
                            <w:bottom w:val="none" w:sz="0" w:space="0" w:color="auto"/>
                            <w:right w:val="none" w:sz="0" w:space="0" w:color="auto"/>
                          </w:divBdr>
                          <w:divsChild>
                            <w:div w:id="766727617">
                              <w:marLeft w:val="0"/>
                              <w:marRight w:val="0"/>
                              <w:marTop w:val="0"/>
                              <w:marBottom w:val="0"/>
                              <w:divBdr>
                                <w:top w:val="none" w:sz="0" w:space="0" w:color="auto"/>
                                <w:left w:val="none" w:sz="0" w:space="0" w:color="auto"/>
                                <w:bottom w:val="none" w:sz="0" w:space="0" w:color="auto"/>
                                <w:right w:val="none" w:sz="0" w:space="0" w:color="auto"/>
                              </w:divBdr>
                              <w:divsChild>
                                <w:div w:id="1239367048">
                                  <w:marLeft w:val="0"/>
                                  <w:marRight w:val="0"/>
                                  <w:marTop w:val="30"/>
                                  <w:marBottom w:val="0"/>
                                  <w:divBdr>
                                    <w:top w:val="none" w:sz="0" w:space="0" w:color="auto"/>
                                    <w:left w:val="none" w:sz="0" w:space="0" w:color="auto"/>
                                    <w:bottom w:val="none" w:sz="0" w:space="0" w:color="auto"/>
                                    <w:right w:val="none" w:sz="0" w:space="0" w:color="auto"/>
                                  </w:divBdr>
                                  <w:divsChild>
                                    <w:div w:id="715617417">
                                      <w:marLeft w:val="0"/>
                                      <w:marRight w:val="0"/>
                                      <w:marTop w:val="0"/>
                                      <w:marBottom w:val="0"/>
                                      <w:divBdr>
                                        <w:top w:val="single" w:sz="6" w:space="0" w:color="000000"/>
                                        <w:left w:val="single" w:sz="6" w:space="0" w:color="000000"/>
                                        <w:bottom w:val="single" w:sz="6" w:space="0" w:color="000000"/>
                                        <w:right w:val="single" w:sz="6" w:space="0" w:color="000000"/>
                                      </w:divBdr>
                                      <w:divsChild>
                                        <w:div w:id="15233206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1302918">
      <w:bodyDiv w:val="1"/>
      <w:marLeft w:val="0"/>
      <w:marRight w:val="0"/>
      <w:marTop w:val="0"/>
      <w:marBottom w:val="0"/>
      <w:divBdr>
        <w:top w:val="none" w:sz="0" w:space="0" w:color="auto"/>
        <w:left w:val="none" w:sz="0" w:space="0" w:color="auto"/>
        <w:bottom w:val="none" w:sz="0" w:space="0" w:color="auto"/>
        <w:right w:val="none" w:sz="0" w:space="0" w:color="auto"/>
      </w:divBdr>
      <w:divsChild>
        <w:div w:id="510029579">
          <w:marLeft w:val="0"/>
          <w:marRight w:val="0"/>
          <w:marTop w:val="0"/>
          <w:marBottom w:val="0"/>
          <w:divBdr>
            <w:top w:val="none" w:sz="0" w:space="0" w:color="auto"/>
            <w:left w:val="none" w:sz="0" w:space="0" w:color="auto"/>
            <w:bottom w:val="none" w:sz="0" w:space="0" w:color="auto"/>
            <w:right w:val="none" w:sz="0" w:space="0" w:color="auto"/>
          </w:divBdr>
          <w:divsChild>
            <w:div w:id="218830360">
              <w:marLeft w:val="0"/>
              <w:marRight w:val="0"/>
              <w:marTop w:val="0"/>
              <w:marBottom w:val="0"/>
              <w:divBdr>
                <w:top w:val="none" w:sz="0" w:space="0" w:color="auto"/>
                <w:left w:val="none" w:sz="0" w:space="0" w:color="auto"/>
                <w:bottom w:val="none" w:sz="0" w:space="0" w:color="auto"/>
                <w:right w:val="none" w:sz="0" w:space="0" w:color="auto"/>
              </w:divBdr>
              <w:divsChild>
                <w:div w:id="1935166396">
                  <w:marLeft w:val="0"/>
                  <w:marRight w:val="0"/>
                  <w:marTop w:val="0"/>
                  <w:marBottom w:val="0"/>
                  <w:divBdr>
                    <w:top w:val="none" w:sz="0" w:space="0" w:color="auto"/>
                    <w:left w:val="none" w:sz="0" w:space="0" w:color="auto"/>
                    <w:bottom w:val="none" w:sz="0" w:space="0" w:color="auto"/>
                    <w:right w:val="none" w:sz="0" w:space="0" w:color="auto"/>
                  </w:divBdr>
                  <w:divsChild>
                    <w:div w:id="1263496453">
                      <w:marLeft w:val="0"/>
                      <w:marRight w:val="0"/>
                      <w:marTop w:val="0"/>
                      <w:marBottom w:val="0"/>
                      <w:divBdr>
                        <w:top w:val="none" w:sz="0" w:space="0" w:color="auto"/>
                        <w:left w:val="none" w:sz="0" w:space="0" w:color="auto"/>
                        <w:bottom w:val="none" w:sz="0" w:space="0" w:color="auto"/>
                        <w:right w:val="none" w:sz="0" w:space="0" w:color="auto"/>
                      </w:divBdr>
                      <w:divsChild>
                        <w:div w:id="1788161272">
                          <w:marLeft w:val="0"/>
                          <w:marRight w:val="0"/>
                          <w:marTop w:val="0"/>
                          <w:marBottom w:val="0"/>
                          <w:divBdr>
                            <w:top w:val="none" w:sz="0" w:space="0" w:color="auto"/>
                            <w:left w:val="none" w:sz="0" w:space="0" w:color="auto"/>
                            <w:bottom w:val="none" w:sz="0" w:space="0" w:color="auto"/>
                            <w:right w:val="none" w:sz="0" w:space="0" w:color="auto"/>
                          </w:divBdr>
                          <w:divsChild>
                            <w:div w:id="1582327191">
                              <w:marLeft w:val="0"/>
                              <w:marRight w:val="0"/>
                              <w:marTop w:val="0"/>
                              <w:marBottom w:val="0"/>
                              <w:divBdr>
                                <w:top w:val="none" w:sz="0" w:space="0" w:color="auto"/>
                                <w:left w:val="none" w:sz="0" w:space="0" w:color="auto"/>
                                <w:bottom w:val="none" w:sz="0" w:space="0" w:color="auto"/>
                                <w:right w:val="none" w:sz="0" w:space="0" w:color="auto"/>
                              </w:divBdr>
                              <w:divsChild>
                                <w:div w:id="1170829419">
                                  <w:marLeft w:val="0"/>
                                  <w:marRight w:val="0"/>
                                  <w:marTop w:val="30"/>
                                  <w:marBottom w:val="0"/>
                                  <w:divBdr>
                                    <w:top w:val="none" w:sz="0" w:space="0" w:color="auto"/>
                                    <w:left w:val="none" w:sz="0" w:space="0" w:color="auto"/>
                                    <w:bottom w:val="none" w:sz="0" w:space="0" w:color="auto"/>
                                    <w:right w:val="none" w:sz="0" w:space="0" w:color="auto"/>
                                  </w:divBdr>
                                  <w:divsChild>
                                    <w:div w:id="1886791638">
                                      <w:marLeft w:val="0"/>
                                      <w:marRight w:val="0"/>
                                      <w:marTop w:val="0"/>
                                      <w:marBottom w:val="0"/>
                                      <w:divBdr>
                                        <w:top w:val="single" w:sz="6" w:space="0" w:color="000000"/>
                                        <w:left w:val="single" w:sz="6" w:space="0" w:color="000000"/>
                                        <w:bottom w:val="single" w:sz="6" w:space="0" w:color="000000"/>
                                        <w:right w:val="single" w:sz="6" w:space="0" w:color="000000"/>
                                      </w:divBdr>
                                      <w:divsChild>
                                        <w:div w:id="2031178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12173317">
      <w:bodyDiv w:val="1"/>
      <w:marLeft w:val="0"/>
      <w:marRight w:val="0"/>
      <w:marTop w:val="0"/>
      <w:marBottom w:val="0"/>
      <w:divBdr>
        <w:top w:val="none" w:sz="0" w:space="0" w:color="auto"/>
        <w:left w:val="none" w:sz="0" w:space="0" w:color="auto"/>
        <w:bottom w:val="none" w:sz="0" w:space="0" w:color="auto"/>
        <w:right w:val="none" w:sz="0" w:space="0" w:color="auto"/>
      </w:divBdr>
      <w:divsChild>
        <w:div w:id="1638487887">
          <w:marLeft w:val="0"/>
          <w:marRight w:val="0"/>
          <w:marTop w:val="0"/>
          <w:marBottom w:val="0"/>
          <w:divBdr>
            <w:top w:val="none" w:sz="0" w:space="0" w:color="auto"/>
            <w:left w:val="none" w:sz="0" w:space="0" w:color="auto"/>
            <w:bottom w:val="none" w:sz="0" w:space="0" w:color="auto"/>
            <w:right w:val="none" w:sz="0" w:space="0" w:color="auto"/>
          </w:divBdr>
          <w:divsChild>
            <w:div w:id="1787306452">
              <w:marLeft w:val="0"/>
              <w:marRight w:val="0"/>
              <w:marTop w:val="0"/>
              <w:marBottom w:val="0"/>
              <w:divBdr>
                <w:top w:val="none" w:sz="0" w:space="0" w:color="auto"/>
                <w:left w:val="none" w:sz="0" w:space="0" w:color="auto"/>
                <w:bottom w:val="none" w:sz="0" w:space="0" w:color="auto"/>
                <w:right w:val="none" w:sz="0" w:space="0" w:color="auto"/>
              </w:divBdr>
              <w:divsChild>
                <w:div w:id="1566184265">
                  <w:marLeft w:val="0"/>
                  <w:marRight w:val="0"/>
                  <w:marTop w:val="0"/>
                  <w:marBottom w:val="0"/>
                  <w:divBdr>
                    <w:top w:val="none" w:sz="0" w:space="0" w:color="auto"/>
                    <w:left w:val="none" w:sz="0" w:space="0" w:color="auto"/>
                    <w:bottom w:val="none" w:sz="0" w:space="0" w:color="auto"/>
                    <w:right w:val="none" w:sz="0" w:space="0" w:color="auto"/>
                  </w:divBdr>
                  <w:divsChild>
                    <w:div w:id="326830396">
                      <w:marLeft w:val="0"/>
                      <w:marRight w:val="0"/>
                      <w:marTop w:val="0"/>
                      <w:marBottom w:val="0"/>
                      <w:divBdr>
                        <w:top w:val="none" w:sz="0" w:space="0" w:color="auto"/>
                        <w:left w:val="none" w:sz="0" w:space="0" w:color="auto"/>
                        <w:bottom w:val="none" w:sz="0" w:space="0" w:color="auto"/>
                        <w:right w:val="none" w:sz="0" w:space="0" w:color="auto"/>
                      </w:divBdr>
                      <w:divsChild>
                        <w:div w:id="1805929181">
                          <w:marLeft w:val="0"/>
                          <w:marRight w:val="0"/>
                          <w:marTop w:val="0"/>
                          <w:marBottom w:val="0"/>
                          <w:divBdr>
                            <w:top w:val="none" w:sz="0" w:space="0" w:color="auto"/>
                            <w:left w:val="none" w:sz="0" w:space="0" w:color="auto"/>
                            <w:bottom w:val="none" w:sz="0" w:space="0" w:color="auto"/>
                            <w:right w:val="none" w:sz="0" w:space="0" w:color="auto"/>
                          </w:divBdr>
                          <w:divsChild>
                            <w:div w:id="1717392299">
                              <w:marLeft w:val="0"/>
                              <w:marRight w:val="0"/>
                              <w:marTop w:val="0"/>
                              <w:marBottom w:val="0"/>
                              <w:divBdr>
                                <w:top w:val="none" w:sz="0" w:space="0" w:color="auto"/>
                                <w:left w:val="none" w:sz="0" w:space="0" w:color="auto"/>
                                <w:bottom w:val="none" w:sz="0" w:space="0" w:color="auto"/>
                                <w:right w:val="none" w:sz="0" w:space="0" w:color="auto"/>
                              </w:divBdr>
                              <w:divsChild>
                                <w:div w:id="1130630137">
                                  <w:marLeft w:val="0"/>
                                  <w:marRight w:val="0"/>
                                  <w:marTop w:val="30"/>
                                  <w:marBottom w:val="0"/>
                                  <w:divBdr>
                                    <w:top w:val="none" w:sz="0" w:space="0" w:color="auto"/>
                                    <w:left w:val="none" w:sz="0" w:space="0" w:color="auto"/>
                                    <w:bottom w:val="none" w:sz="0" w:space="0" w:color="auto"/>
                                    <w:right w:val="none" w:sz="0" w:space="0" w:color="auto"/>
                                  </w:divBdr>
                                  <w:divsChild>
                                    <w:div w:id="247541074">
                                      <w:marLeft w:val="0"/>
                                      <w:marRight w:val="0"/>
                                      <w:marTop w:val="0"/>
                                      <w:marBottom w:val="0"/>
                                      <w:divBdr>
                                        <w:top w:val="single" w:sz="6" w:space="0" w:color="000000"/>
                                        <w:left w:val="single" w:sz="6" w:space="0" w:color="000000"/>
                                        <w:bottom w:val="single" w:sz="6" w:space="0" w:color="000000"/>
                                        <w:right w:val="single" w:sz="6" w:space="0" w:color="000000"/>
                                      </w:divBdr>
                                      <w:divsChild>
                                        <w:div w:id="1975134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622230344">
      <w:bodyDiv w:val="1"/>
      <w:marLeft w:val="0"/>
      <w:marRight w:val="0"/>
      <w:marTop w:val="0"/>
      <w:marBottom w:val="0"/>
      <w:divBdr>
        <w:top w:val="none" w:sz="0" w:space="0" w:color="auto"/>
        <w:left w:val="none" w:sz="0" w:space="0" w:color="auto"/>
        <w:bottom w:val="none" w:sz="0" w:space="0" w:color="auto"/>
        <w:right w:val="none" w:sz="0" w:space="0" w:color="auto"/>
      </w:divBdr>
    </w:div>
    <w:div w:id="689263939">
      <w:bodyDiv w:val="1"/>
      <w:marLeft w:val="0"/>
      <w:marRight w:val="0"/>
      <w:marTop w:val="0"/>
      <w:marBottom w:val="0"/>
      <w:divBdr>
        <w:top w:val="none" w:sz="0" w:space="0" w:color="auto"/>
        <w:left w:val="none" w:sz="0" w:space="0" w:color="auto"/>
        <w:bottom w:val="none" w:sz="0" w:space="0" w:color="auto"/>
        <w:right w:val="none" w:sz="0" w:space="0" w:color="auto"/>
      </w:divBdr>
      <w:divsChild>
        <w:div w:id="1494445975">
          <w:marLeft w:val="0"/>
          <w:marRight w:val="0"/>
          <w:marTop w:val="0"/>
          <w:marBottom w:val="0"/>
          <w:divBdr>
            <w:top w:val="none" w:sz="0" w:space="0" w:color="auto"/>
            <w:left w:val="none" w:sz="0" w:space="0" w:color="auto"/>
            <w:bottom w:val="none" w:sz="0" w:space="0" w:color="auto"/>
            <w:right w:val="none" w:sz="0" w:space="0" w:color="auto"/>
          </w:divBdr>
          <w:divsChild>
            <w:div w:id="2076774313">
              <w:marLeft w:val="0"/>
              <w:marRight w:val="0"/>
              <w:marTop w:val="0"/>
              <w:marBottom w:val="0"/>
              <w:divBdr>
                <w:top w:val="none" w:sz="0" w:space="0" w:color="auto"/>
                <w:left w:val="none" w:sz="0" w:space="0" w:color="auto"/>
                <w:bottom w:val="none" w:sz="0" w:space="0" w:color="auto"/>
                <w:right w:val="none" w:sz="0" w:space="0" w:color="auto"/>
              </w:divBdr>
              <w:divsChild>
                <w:div w:id="1576742081">
                  <w:marLeft w:val="0"/>
                  <w:marRight w:val="0"/>
                  <w:marTop w:val="0"/>
                  <w:marBottom w:val="0"/>
                  <w:divBdr>
                    <w:top w:val="none" w:sz="0" w:space="0" w:color="auto"/>
                    <w:left w:val="none" w:sz="0" w:space="0" w:color="auto"/>
                    <w:bottom w:val="none" w:sz="0" w:space="0" w:color="auto"/>
                    <w:right w:val="none" w:sz="0" w:space="0" w:color="auto"/>
                  </w:divBdr>
                  <w:divsChild>
                    <w:div w:id="393895488">
                      <w:marLeft w:val="0"/>
                      <w:marRight w:val="0"/>
                      <w:marTop w:val="0"/>
                      <w:marBottom w:val="0"/>
                      <w:divBdr>
                        <w:top w:val="none" w:sz="0" w:space="0" w:color="auto"/>
                        <w:left w:val="none" w:sz="0" w:space="0" w:color="auto"/>
                        <w:bottom w:val="none" w:sz="0" w:space="0" w:color="auto"/>
                        <w:right w:val="none" w:sz="0" w:space="0" w:color="auto"/>
                      </w:divBdr>
                      <w:divsChild>
                        <w:div w:id="2019964866">
                          <w:marLeft w:val="0"/>
                          <w:marRight w:val="0"/>
                          <w:marTop w:val="0"/>
                          <w:marBottom w:val="0"/>
                          <w:divBdr>
                            <w:top w:val="none" w:sz="0" w:space="0" w:color="auto"/>
                            <w:left w:val="none" w:sz="0" w:space="0" w:color="auto"/>
                            <w:bottom w:val="none" w:sz="0" w:space="0" w:color="auto"/>
                            <w:right w:val="none" w:sz="0" w:space="0" w:color="auto"/>
                          </w:divBdr>
                          <w:divsChild>
                            <w:div w:id="2127239223">
                              <w:marLeft w:val="0"/>
                              <w:marRight w:val="0"/>
                              <w:marTop w:val="0"/>
                              <w:marBottom w:val="0"/>
                              <w:divBdr>
                                <w:top w:val="none" w:sz="0" w:space="0" w:color="auto"/>
                                <w:left w:val="none" w:sz="0" w:space="0" w:color="auto"/>
                                <w:bottom w:val="none" w:sz="0" w:space="0" w:color="auto"/>
                                <w:right w:val="none" w:sz="0" w:space="0" w:color="auto"/>
                              </w:divBdr>
                              <w:divsChild>
                                <w:div w:id="1833330285">
                                  <w:marLeft w:val="0"/>
                                  <w:marRight w:val="0"/>
                                  <w:marTop w:val="30"/>
                                  <w:marBottom w:val="0"/>
                                  <w:divBdr>
                                    <w:top w:val="none" w:sz="0" w:space="0" w:color="auto"/>
                                    <w:left w:val="none" w:sz="0" w:space="0" w:color="auto"/>
                                    <w:bottom w:val="none" w:sz="0" w:space="0" w:color="auto"/>
                                    <w:right w:val="none" w:sz="0" w:space="0" w:color="auto"/>
                                  </w:divBdr>
                                  <w:divsChild>
                                    <w:div w:id="1455710434">
                                      <w:marLeft w:val="0"/>
                                      <w:marRight w:val="0"/>
                                      <w:marTop w:val="0"/>
                                      <w:marBottom w:val="0"/>
                                      <w:divBdr>
                                        <w:top w:val="single" w:sz="6" w:space="0" w:color="000000"/>
                                        <w:left w:val="single" w:sz="6" w:space="0" w:color="000000"/>
                                        <w:bottom w:val="single" w:sz="6" w:space="0" w:color="000000"/>
                                        <w:right w:val="single" w:sz="6" w:space="0" w:color="000000"/>
                                      </w:divBdr>
                                      <w:divsChild>
                                        <w:div w:id="312411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0743581">
      <w:bodyDiv w:val="1"/>
      <w:marLeft w:val="0"/>
      <w:marRight w:val="0"/>
      <w:marTop w:val="0"/>
      <w:marBottom w:val="0"/>
      <w:divBdr>
        <w:top w:val="none" w:sz="0" w:space="0" w:color="auto"/>
        <w:left w:val="none" w:sz="0" w:space="0" w:color="auto"/>
        <w:bottom w:val="none" w:sz="0" w:space="0" w:color="auto"/>
        <w:right w:val="none" w:sz="0" w:space="0" w:color="auto"/>
      </w:divBdr>
      <w:divsChild>
        <w:div w:id="910307746">
          <w:marLeft w:val="0"/>
          <w:marRight w:val="0"/>
          <w:marTop w:val="0"/>
          <w:marBottom w:val="0"/>
          <w:divBdr>
            <w:top w:val="none" w:sz="0" w:space="0" w:color="auto"/>
            <w:left w:val="none" w:sz="0" w:space="0" w:color="auto"/>
            <w:bottom w:val="none" w:sz="0" w:space="0" w:color="auto"/>
            <w:right w:val="none" w:sz="0" w:space="0" w:color="auto"/>
          </w:divBdr>
          <w:divsChild>
            <w:div w:id="579870540">
              <w:marLeft w:val="0"/>
              <w:marRight w:val="0"/>
              <w:marTop w:val="0"/>
              <w:marBottom w:val="0"/>
              <w:divBdr>
                <w:top w:val="none" w:sz="0" w:space="0" w:color="auto"/>
                <w:left w:val="none" w:sz="0" w:space="0" w:color="auto"/>
                <w:bottom w:val="none" w:sz="0" w:space="0" w:color="auto"/>
                <w:right w:val="none" w:sz="0" w:space="0" w:color="auto"/>
              </w:divBdr>
              <w:divsChild>
                <w:div w:id="1265067439">
                  <w:marLeft w:val="0"/>
                  <w:marRight w:val="0"/>
                  <w:marTop w:val="0"/>
                  <w:marBottom w:val="0"/>
                  <w:divBdr>
                    <w:top w:val="none" w:sz="0" w:space="0" w:color="auto"/>
                    <w:left w:val="none" w:sz="0" w:space="0" w:color="auto"/>
                    <w:bottom w:val="none" w:sz="0" w:space="0" w:color="auto"/>
                    <w:right w:val="none" w:sz="0" w:space="0" w:color="auto"/>
                  </w:divBdr>
                  <w:divsChild>
                    <w:div w:id="343358437">
                      <w:marLeft w:val="0"/>
                      <w:marRight w:val="0"/>
                      <w:marTop w:val="0"/>
                      <w:marBottom w:val="0"/>
                      <w:divBdr>
                        <w:top w:val="none" w:sz="0" w:space="0" w:color="auto"/>
                        <w:left w:val="none" w:sz="0" w:space="0" w:color="auto"/>
                        <w:bottom w:val="none" w:sz="0" w:space="0" w:color="auto"/>
                        <w:right w:val="none" w:sz="0" w:space="0" w:color="auto"/>
                      </w:divBdr>
                      <w:divsChild>
                        <w:div w:id="403064981">
                          <w:marLeft w:val="0"/>
                          <w:marRight w:val="0"/>
                          <w:marTop w:val="0"/>
                          <w:marBottom w:val="0"/>
                          <w:divBdr>
                            <w:top w:val="none" w:sz="0" w:space="0" w:color="auto"/>
                            <w:left w:val="none" w:sz="0" w:space="0" w:color="auto"/>
                            <w:bottom w:val="none" w:sz="0" w:space="0" w:color="auto"/>
                            <w:right w:val="none" w:sz="0" w:space="0" w:color="auto"/>
                          </w:divBdr>
                          <w:divsChild>
                            <w:div w:id="293875382">
                              <w:marLeft w:val="0"/>
                              <w:marRight w:val="0"/>
                              <w:marTop w:val="0"/>
                              <w:marBottom w:val="0"/>
                              <w:divBdr>
                                <w:top w:val="none" w:sz="0" w:space="0" w:color="auto"/>
                                <w:left w:val="none" w:sz="0" w:space="0" w:color="auto"/>
                                <w:bottom w:val="none" w:sz="0" w:space="0" w:color="auto"/>
                                <w:right w:val="none" w:sz="0" w:space="0" w:color="auto"/>
                              </w:divBdr>
                              <w:divsChild>
                                <w:div w:id="1322001341">
                                  <w:marLeft w:val="0"/>
                                  <w:marRight w:val="0"/>
                                  <w:marTop w:val="30"/>
                                  <w:marBottom w:val="0"/>
                                  <w:divBdr>
                                    <w:top w:val="none" w:sz="0" w:space="0" w:color="auto"/>
                                    <w:left w:val="none" w:sz="0" w:space="0" w:color="auto"/>
                                    <w:bottom w:val="none" w:sz="0" w:space="0" w:color="auto"/>
                                    <w:right w:val="none" w:sz="0" w:space="0" w:color="auto"/>
                                  </w:divBdr>
                                  <w:divsChild>
                                    <w:div w:id="30418001">
                                      <w:marLeft w:val="0"/>
                                      <w:marRight w:val="0"/>
                                      <w:marTop w:val="0"/>
                                      <w:marBottom w:val="0"/>
                                      <w:divBdr>
                                        <w:top w:val="single" w:sz="6" w:space="0" w:color="000000"/>
                                        <w:left w:val="single" w:sz="6" w:space="0" w:color="000000"/>
                                        <w:bottom w:val="single" w:sz="6" w:space="0" w:color="000000"/>
                                        <w:right w:val="single" w:sz="6" w:space="0" w:color="000000"/>
                                      </w:divBdr>
                                      <w:divsChild>
                                        <w:div w:id="388306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673836">
      <w:bodyDiv w:val="1"/>
      <w:marLeft w:val="0"/>
      <w:marRight w:val="0"/>
      <w:marTop w:val="0"/>
      <w:marBottom w:val="0"/>
      <w:divBdr>
        <w:top w:val="none" w:sz="0" w:space="0" w:color="auto"/>
        <w:left w:val="none" w:sz="0" w:space="0" w:color="auto"/>
        <w:bottom w:val="none" w:sz="0" w:space="0" w:color="auto"/>
        <w:right w:val="none" w:sz="0" w:space="0" w:color="auto"/>
      </w:divBdr>
    </w:div>
    <w:div w:id="787163452">
      <w:bodyDiv w:val="1"/>
      <w:marLeft w:val="0"/>
      <w:marRight w:val="0"/>
      <w:marTop w:val="0"/>
      <w:marBottom w:val="0"/>
      <w:divBdr>
        <w:top w:val="none" w:sz="0" w:space="0" w:color="auto"/>
        <w:left w:val="none" w:sz="0" w:space="0" w:color="auto"/>
        <w:bottom w:val="none" w:sz="0" w:space="0" w:color="auto"/>
        <w:right w:val="none" w:sz="0" w:space="0" w:color="auto"/>
      </w:divBdr>
      <w:divsChild>
        <w:div w:id="1255359898">
          <w:marLeft w:val="0"/>
          <w:marRight w:val="0"/>
          <w:marTop w:val="0"/>
          <w:marBottom w:val="0"/>
          <w:divBdr>
            <w:top w:val="none" w:sz="0" w:space="0" w:color="auto"/>
            <w:left w:val="none" w:sz="0" w:space="0" w:color="auto"/>
            <w:bottom w:val="none" w:sz="0" w:space="0" w:color="auto"/>
            <w:right w:val="none" w:sz="0" w:space="0" w:color="auto"/>
          </w:divBdr>
          <w:divsChild>
            <w:div w:id="1757439992">
              <w:marLeft w:val="0"/>
              <w:marRight w:val="0"/>
              <w:marTop w:val="0"/>
              <w:marBottom w:val="0"/>
              <w:divBdr>
                <w:top w:val="none" w:sz="0" w:space="0" w:color="auto"/>
                <w:left w:val="none" w:sz="0" w:space="0" w:color="auto"/>
                <w:bottom w:val="none" w:sz="0" w:space="0" w:color="auto"/>
                <w:right w:val="none" w:sz="0" w:space="0" w:color="auto"/>
              </w:divBdr>
              <w:divsChild>
                <w:div w:id="145434342">
                  <w:marLeft w:val="0"/>
                  <w:marRight w:val="0"/>
                  <w:marTop w:val="0"/>
                  <w:marBottom w:val="0"/>
                  <w:divBdr>
                    <w:top w:val="none" w:sz="0" w:space="0" w:color="auto"/>
                    <w:left w:val="none" w:sz="0" w:space="0" w:color="auto"/>
                    <w:bottom w:val="none" w:sz="0" w:space="0" w:color="auto"/>
                    <w:right w:val="none" w:sz="0" w:space="0" w:color="auto"/>
                  </w:divBdr>
                  <w:divsChild>
                    <w:div w:id="810252690">
                      <w:marLeft w:val="0"/>
                      <w:marRight w:val="0"/>
                      <w:marTop w:val="0"/>
                      <w:marBottom w:val="0"/>
                      <w:divBdr>
                        <w:top w:val="none" w:sz="0" w:space="0" w:color="auto"/>
                        <w:left w:val="none" w:sz="0" w:space="0" w:color="auto"/>
                        <w:bottom w:val="none" w:sz="0" w:space="0" w:color="auto"/>
                        <w:right w:val="none" w:sz="0" w:space="0" w:color="auto"/>
                      </w:divBdr>
                      <w:divsChild>
                        <w:div w:id="1668942843">
                          <w:marLeft w:val="0"/>
                          <w:marRight w:val="0"/>
                          <w:marTop w:val="0"/>
                          <w:marBottom w:val="0"/>
                          <w:divBdr>
                            <w:top w:val="none" w:sz="0" w:space="0" w:color="auto"/>
                            <w:left w:val="none" w:sz="0" w:space="0" w:color="auto"/>
                            <w:bottom w:val="none" w:sz="0" w:space="0" w:color="auto"/>
                            <w:right w:val="none" w:sz="0" w:space="0" w:color="auto"/>
                          </w:divBdr>
                          <w:divsChild>
                            <w:div w:id="784538181">
                              <w:marLeft w:val="0"/>
                              <w:marRight w:val="0"/>
                              <w:marTop w:val="0"/>
                              <w:marBottom w:val="0"/>
                              <w:divBdr>
                                <w:top w:val="none" w:sz="0" w:space="0" w:color="auto"/>
                                <w:left w:val="none" w:sz="0" w:space="0" w:color="auto"/>
                                <w:bottom w:val="none" w:sz="0" w:space="0" w:color="auto"/>
                                <w:right w:val="none" w:sz="0" w:space="0" w:color="auto"/>
                              </w:divBdr>
                              <w:divsChild>
                                <w:div w:id="884171854">
                                  <w:marLeft w:val="0"/>
                                  <w:marRight w:val="0"/>
                                  <w:marTop w:val="30"/>
                                  <w:marBottom w:val="0"/>
                                  <w:divBdr>
                                    <w:top w:val="none" w:sz="0" w:space="0" w:color="auto"/>
                                    <w:left w:val="none" w:sz="0" w:space="0" w:color="auto"/>
                                    <w:bottom w:val="none" w:sz="0" w:space="0" w:color="auto"/>
                                    <w:right w:val="none" w:sz="0" w:space="0" w:color="auto"/>
                                  </w:divBdr>
                                  <w:divsChild>
                                    <w:div w:id="1536653472">
                                      <w:marLeft w:val="0"/>
                                      <w:marRight w:val="0"/>
                                      <w:marTop w:val="0"/>
                                      <w:marBottom w:val="0"/>
                                      <w:divBdr>
                                        <w:top w:val="single" w:sz="6" w:space="0" w:color="000000"/>
                                        <w:left w:val="single" w:sz="6" w:space="0" w:color="000000"/>
                                        <w:bottom w:val="single" w:sz="6" w:space="0" w:color="000000"/>
                                        <w:right w:val="single" w:sz="6" w:space="0" w:color="000000"/>
                                      </w:divBdr>
                                      <w:divsChild>
                                        <w:div w:id="429545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810975172">
      <w:bodyDiv w:val="1"/>
      <w:marLeft w:val="0"/>
      <w:marRight w:val="0"/>
      <w:marTop w:val="0"/>
      <w:marBottom w:val="0"/>
      <w:divBdr>
        <w:top w:val="none" w:sz="0" w:space="0" w:color="auto"/>
        <w:left w:val="none" w:sz="0" w:space="0" w:color="auto"/>
        <w:bottom w:val="none" w:sz="0" w:space="0" w:color="auto"/>
        <w:right w:val="none" w:sz="0" w:space="0" w:color="auto"/>
      </w:divBdr>
    </w:div>
    <w:div w:id="843401634">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6556714">
      <w:bodyDiv w:val="1"/>
      <w:marLeft w:val="0"/>
      <w:marRight w:val="0"/>
      <w:marTop w:val="0"/>
      <w:marBottom w:val="0"/>
      <w:divBdr>
        <w:top w:val="none" w:sz="0" w:space="0" w:color="auto"/>
        <w:left w:val="none" w:sz="0" w:space="0" w:color="auto"/>
        <w:bottom w:val="none" w:sz="0" w:space="0" w:color="auto"/>
        <w:right w:val="none" w:sz="0" w:space="0" w:color="auto"/>
      </w:divBdr>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855146210">
      <w:bodyDiv w:val="1"/>
      <w:marLeft w:val="0"/>
      <w:marRight w:val="0"/>
      <w:marTop w:val="0"/>
      <w:marBottom w:val="0"/>
      <w:divBdr>
        <w:top w:val="none" w:sz="0" w:space="0" w:color="auto"/>
        <w:left w:val="none" w:sz="0" w:space="0" w:color="auto"/>
        <w:bottom w:val="none" w:sz="0" w:space="0" w:color="auto"/>
        <w:right w:val="none" w:sz="0" w:space="0" w:color="auto"/>
      </w:divBdr>
      <w:divsChild>
        <w:div w:id="521817899">
          <w:marLeft w:val="0"/>
          <w:marRight w:val="0"/>
          <w:marTop w:val="0"/>
          <w:marBottom w:val="0"/>
          <w:divBdr>
            <w:top w:val="none" w:sz="0" w:space="0" w:color="auto"/>
            <w:left w:val="none" w:sz="0" w:space="0" w:color="auto"/>
            <w:bottom w:val="none" w:sz="0" w:space="0" w:color="auto"/>
            <w:right w:val="none" w:sz="0" w:space="0" w:color="auto"/>
          </w:divBdr>
          <w:divsChild>
            <w:div w:id="517084449">
              <w:marLeft w:val="0"/>
              <w:marRight w:val="0"/>
              <w:marTop w:val="0"/>
              <w:marBottom w:val="0"/>
              <w:divBdr>
                <w:top w:val="none" w:sz="0" w:space="0" w:color="auto"/>
                <w:left w:val="none" w:sz="0" w:space="0" w:color="auto"/>
                <w:bottom w:val="none" w:sz="0" w:space="0" w:color="auto"/>
                <w:right w:val="none" w:sz="0" w:space="0" w:color="auto"/>
              </w:divBdr>
              <w:divsChild>
                <w:div w:id="1223099470">
                  <w:marLeft w:val="0"/>
                  <w:marRight w:val="0"/>
                  <w:marTop w:val="0"/>
                  <w:marBottom w:val="0"/>
                  <w:divBdr>
                    <w:top w:val="none" w:sz="0" w:space="0" w:color="auto"/>
                    <w:left w:val="none" w:sz="0" w:space="0" w:color="auto"/>
                    <w:bottom w:val="none" w:sz="0" w:space="0" w:color="auto"/>
                    <w:right w:val="none" w:sz="0" w:space="0" w:color="auto"/>
                  </w:divBdr>
                  <w:divsChild>
                    <w:div w:id="790132496">
                      <w:marLeft w:val="0"/>
                      <w:marRight w:val="0"/>
                      <w:marTop w:val="0"/>
                      <w:marBottom w:val="0"/>
                      <w:divBdr>
                        <w:top w:val="none" w:sz="0" w:space="0" w:color="auto"/>
                        <w:left w:val="none" w:sz="0" w:space="0" w:color="auto"/>
                        <w:bottom w:val="none" w:sz="0" w:space="0" w:color="auto"/>
                        <w:right w:val="none" w:sz="0" w:space="0" w:color="auto"/>
                      </w:divBdr>
                      <w:divsChild>
                        <w:div w:id="1497839888">
                          <w:marLeft w:val="0"/>
                          <w:marRight w:val="0"/>
                          <w:marTop w:val="0"/>
                          <w:marBottom w:val="0"/>
                          <w:divBdr>
                            <w:top w:val="none" w:sz="0" w:space="0" w:color="auto"/>
                            <w:left w:val="none" w:sz="0" w:space="0" w:color="auto"/>
                            <w:bottom w:val="none" w:sz="0" w:space="0" w:color="auto"/>
                            <w:right w:val="none" w:sz="0" w:space="0" w:color="auto"/>
                          </w:divBdr>
                          <w:divsChild>
                            <w:div w:id="503400265">
                              <w:marLeft w:val="0"/>
                              <w:marRight w:val="0"/>
                              <w:marTop w:val="0"/>
                              <w:marBottom w:val="0"/>
                              <w:divBdr>
                                <w:top w:val="none" w:sz="0" w:space="0" w:color="auto"/>
                                <w:left w:val="none" w:sz="0" w:space="0" w:color="auto"/>
                                <w:bottom w:val="none" w:sz="0" w:space="0" w:color="auto"/>
                                <w:right w:val="none" w:sz="0" w:space="0" w:color="auto"/>
                              </w:divBdr>
                              <w:divsChild>
                                <w:div w:id="1830750483">
                                  <w:marLeft w:val="0"/>
                                  <w:marRight w:val="0"/>
                                  <w:marTop w:val="30"/>
                                  <w:marBottom w:val="0"/>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single" w:sz="6" w:space="0" w:color="000000"/>
                                        <w:left w:val="single" w:sz="6" w:space="0" w:color="000000"/>
                                        <w:bottom w:val="single" w:sz="6" w:space="0" w:color="000000"/>
                                        <w:right w:val="single" w:sz="6" w:space="0" w:color="000000"/>
                                      </w:divBdr>
                                      <w:divsChild>
                                        <w:div w:id="88089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551520">
      <w:bodyDiv w:val="1"/>
      <w:marLeft w:val="0"/>
      <w:marRight w:val="0"/>
      <w:marTop w:val="0"/>
      <w:marBottom w:val="0"/>
      <w:divBdr>
        <w:top w:val="none" w:sz="0" w:space="0" w:color="auto"/>
        <w:left w:val="none" w:sz="0" w:space="0" w:color="auto"/>
        <w:bottom w:val="none" w:sz="0" w:space="0" w:color="auto"/>
        <w:right w:val="none" w:sz="0" w:space="0" w:color="auto"/>
      </w:divBdr>
    </w:div>
    <w:div w:id="908422891">
      <w:bodyDiv w:val="1"/>
      <w:marLeft w:val="0"/>
      <w:marRight w:val="0"/>
      <w:marTop w:val="0"/>
      <w:marBottom w:val="0"/>
      <w:divBdr>
        <w:top w:val="none" w:sz="0" w:space="0" w:color="auto"/>
        <w:left w:val="none" w:sz="0" w:space="0" w:color="auto"/>
        <w:bottom w:val="none" w:sz="0" w:space="0" w:color="auto"/>
        <w:right w:val="none" w:sz="0" w:space="0" w:color="auto"/>
      </w:divBdr>
    </w:div>
    <w:div w:id="912081480">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1902011">
      <w:bodyDiv w:val="1"/>
      <w:marLeft w:val="0"/>
      <w:marRight w:val="0"/>
      <w:marTop w:val="0"/>
      <w:marBottom w:val="0"/>
      <w:divBdr>
        <w:top w:val="none" w:sz="0" w:space="0" w:color="auto"/>
        <w:left w:val="none" w:sz="0" w:space="0" w:color="auto"/>
        <w:bottom w:val="none" w:sz="0" w:space="0" w:color="auto"/>
        <w:right w:val="none" w:sz="0" w:space="0" w:color="auto"/>
      </w:divBdr>
      <w:divsChild>
        <w:div w:id="854343886">
          <w:marLeft w:val="0"/>
          <w:marRight w:val="0"/>
          <w:marTop w:val="0"/>
          <w:marBottom w:val="0"/>
          <w:divBdr>
            <w:top w:val="none" w:sz="0" w:space="0" w:color="auto"/>
            <w:left w:val="none" w:sz="0" w:space="0" w:color="auto"/>
            <w:bottom w:val="none" w:sz="0" w:space="0" w:color="auto"/>
            <w:right w:val="none" w:sz="0" w:space="0" w:color="auto"/>
          </w:divBdr>
          <w:divsChild>
            <w:div w:id="1982344787">
              <w:marLeft w:val="0"/>
              <w:marRight w:val="0"/>
              <w:marTop w:val="0"/>
              <w:marBottom w:val="0"/>
              <w:divBdr>
                <w:top w:val="none" w:sz="0" w:space="0" w:color="auto"/>
                <w:left w:val="none" w:sz="0" w:space="0" w:color="auto"/>
                <w:bottom w:val="none" w:sz="0" w:space="0" w:color="auto"/>
                <w:right w:val="none" w:sz="0" w:space="0" w:color="auto"/>
              </w:divBdr>
              <w:divsChild>
                <w:div w:id="1964532446">
                  <w:marLeft w:val="0"/>
                  <w:marRight w:val="0"/>
                  <w:marTop w:val="0"/>
                  <w:marBottom w:val="0"/>
                  <w:divBdr>
                    <w:top w:val="none" w:sz="0" w:space="0" w:color="auto"/>
                    <w:left w:val="none" w:sz="0" w:space="0" w:color="auto"/>
                    <w:bottom w:val="none" w:sz="0" w:space="0" w:color="auto"/>
                    <w:right w:val="none" w:sz="0" w:space="0" w:color="auto"/>
                  </w:divBdr>
                  <w:divsChild>
                    <w:div w:id="1515806553">
                      <w:marLeft w:val="0"/>
                      <w:marRight w:val="0"/>
                      <w:marTop w:val="0"/>
                      <w:marBottom w:val="0"/>
                      <w:divBdr>
                        <w:top w:val="none" w:sz="0" w:space="0" w:color="auto"/>
                        <w:left w:val="none" w:sz="0" w:space="0" w:color="auto"/>
                        <w:bottom w:val="none" w:sz="0" w:space="0" w:color="auto"/>
                        <w:right w:val="none" w:sz="0" w:space="0" w:color="auto"/>
                      </w:divBdr>
                      <w:divsChild>
                        <w:div w:id="493180009">
                          <w:marLeft w:val="0"/>
                          <w:marRight w:val="0"/>
                          <w:marTop w:val="0"/>
                          <w:marBottom w:val="0"/>
                          <w:divBdr>
                            <w:top w:val="none" w:sz="0" w:space="0" w:color="auto"/>
                            <w:left w:val="none" w:sz="0" w:space="0" w:color="auto"/>
                            <w:bottom w:val="none" w:sz="0" w:space="0" w:color="auto"/>
                            <w:right w:val="none" w:sz="0" w:space="0" w:color="auto"/>
                          </w:divBdr>
                          <w:divsChild>
                            <w:div w:id="757792889">
                              <w:marLeft w:val="0"/>
                              <w:marRight w:val="0"/>
                              <w:marTop w:val="0"/>
                              <w:marBottom w:val="0"/>
                              <w:divBdr>
                                <w:top w:val="none" w:sz="0" w:space="0" w:color="auto"/>
                                <w:left w:val="none" w:sz="0" w:space="0" w:color="auto"/>
                                <w:bottom w:val="none" w:sz="0" w:space="0" w:color="auto"/>
                                <w:right w:val="none" w:sz="0" w:space="0" w:color="auto"/>
                              </w:divBdr>
                              <w:divsChild>
                                <w:div w:id="301349193">
                                  <w:marLeft w:val="0"/>
                                  <w:marRight w:val="0"/>
                                  <w:marTop w:val="30"/>
                                  <w:marBottom w:val="0"/>
                                  <w:divBdr>
                                    <w:top w:val="none" w:sz="0" w:space="0" w:color="auto"/>
                                    <w:left w:val="none" w:sz="0" w:space="0" w:color="auto"/>
                                    <w:bottom w:val="none" w:sz="0" w:space="0" w:color="auto"/>
                                    <w:right w:val="none" w:sz="0" w:space="0" w:color="auto"/>
                                  </w:divBdr>
                                  <w:divsChild>
                                    <w:div w:id="334304655">
                                      <w:marLeft w:val="0"/>
                                      <w:marRight w:val="0"/>
                                      <w:marTop w:val="0"/>
                                      <w:marBottom w:val="0"/>
                                      <w:divBdr>
                                        <w:top w:val="single" w:sz="6" w:space="0" w:color="000000"/>
                                        <w:left w:val="single" w:sz="6" w:space="0" w:color="000000"/>
                                        <w:bottom w:val="single" w:sz="6" w:space="0" w:color="000000"/>
                                        <w:right w:val="single" w:sz="6" w:space="0" w:color="000000"/>
                                      </w:divBdr>
                                      <w:divsChild>
                                        <w:div w:id="483087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6911170">
      <w:bodyDiv w:val="1"/>
      <w:marLeft w:val="0"/>
      <w:marRight w:val="0"/>
      <w:marTop w:val="0"/>
      <w:marBottom w:val="0"/>
      <w:divBdr>
        <w:top w:val="none" w:sz="0" w:space="0" w:color="auto"/>
        <w:left w:val="none" w:sz="0" w:space="0" w:color="auto"/>
        <w:bottom w:val="none" w:sz="0" w:space="0" w:color="auto"/>
        <w:right w:val="none" w:sz="0" w:space="0" w:color="auto"/>
      </w:divBdr>
      <w:divsChild>
        <w:div w:id="1946158032">
          <w:marLeft w:val="0"/>
          <w:marRight w:val="0"/>
          <w:marTop w:val="0"/>
          <w:marBottom w:val="0"/>
          <w:divBdr>
            <w:top w:val="none" w:sz="0" w:space="0" w:color="auto"/>
            <w:left w:val="none" w:sz="0" w:space="0" w:color="auto"/>
            <w:bottom w:val="none" w:sz="0" w:space="0" w:color="auto"/>
            <w:right w:val="none" w:sz="0" w:space="0" w:color="auto"/>
          </w:divBdr>
          <w:divsChild>
            <w:div w:id="1716734027">
              <w:marLeft w:val="0"/>
              <w:marRight w:val="0"/>
              <w:marTop w:val="0"/>
              <w:marBottom w:val="0"/>
              <w:divBdr>
                <w:top w:val="none" w:sz="0" w:space="0" w:color="auto"/>
                <w:left w:val="none" w:sz="0" w:space="0" w:color="auto"/>
                <w:bottom w:val="none" w:sz="0" w:space="0" w:color="auto"/>
                <w:right w:val="none" w:sz="0" w:space="0" w:color="auto"/>
              </w:divBdr>
              <w:divsChild>
                <w:div w:id="1567915370">
                  <w:marLeft w:val="0"/>
                  <w:marRight w:val="0"/>
                  <w:marTop w:val="0"/>
                  <w:marBottom w:val="0"/>
                  <w:divBdr>
                    <w:top w:val="none" w:sz="0" w:space="0" w:color="auto"/>
                    <w:left w:val="none" w:sz="0" w:space="0" w:color="auto"/>
                    <w:bottom w:val="none" w:sz="0" w:space="0" w:color="auto"/>
                    <w:right w:val="none" w:sz="0" w:space="0" w:color="auto"/>
                  </w:divBdr>
                  <w:divsChild>
                    <w:div w:id="1533417446">
                      <w:marLeft w:val="0"/>
                      <w:marRight w:val="0"/>
                      <w:marTop w:val="0"/>
                      <w:marBottom w:val="0"/>
                      <w:divBdr>
                        <w:top w:val="none" w:sz="0" w:space="0" w:color="auto"/>
                        <w:left w:val="none" w:sz="0" w:space="0" w:color="auto"/>
                        <w:bottom w:val="none" w:sz="0" w:space="0" w:color="auto"/>
                        <w:right w:val="none" w:sz="0" w:space="0" w:color="auto"/>
                      </w:divBdr>
                      <w:divsChild>
                        <w:div w:id="1740864022">
                          <w:marLeft w:val="0"/>
                          <w:marRight w:val="0"/>
                          <w:marTop w:val="0"/>
                          <w:marBottom w:val="0"/>
                          <w:divBdr>
                            <w:top w:val="none" w:sz="0" w:space="0" w:color="auto"/>
                            <w:left w:val="none" w:sz="0" w:space="0" w:color="auto"/>
                            <w:bottom w:val="none" w:sz="0" w:space="0" w:color="auto"/>
                            <w:right w:val="none" w:sz="0" w:space="0" w:color="auto"/>
                          </w:divBdr>
                          <w:divsChild>
                            <w:div w:id="2004040824">
                              <w:marLeft w:val="0"/>
                              <w:marRight w:val="0"/>
                              <w:marTop w:val="0"/>
                              <w:marBottom w:val="0"/>
                              <w:divBdr>
                                <w:top w:val="none" w:sz="0" w:space="0" w:color="auto"/>
                                <w:left w:val="none" w:sz="0" w:space="0" w:color="auto"/>
                                <w:bottom w:val="none" w:sz="0" w:space="0" w:color="auto"/>
                                <w:right w:val="none" w:sz="0" w:space="0" w:color="auto"/>
                              </w:divBdr>
                              <w:divsChild>
                                <w:div w:id="2135245461">
                                  <w:marLeft w:val="0"/>
                                  <w:marRight w:val="0"/>
                                  <w:marTop w:val="30"/>
                                  <w:marBottom w:val="0"/>
                                  <w:divBdr>
                                    <w:top w:val="none" w:sz="0" w:space="0" w:color="auto"/>
                                    <w:left w:val="none" w:sz="0" w:space="0" w:color="auto"/>
                                    <w:bottom w:val="none" w:sz="0" w:space="0" w:color="auto"/>
                                    <w:right w:val="none" w:sz="0" w:space="0" w:color="auto"/>
                                  </w:divBdr>
                                  <w:divsChild>
                                    <w:div w:id="776830561">
                                      <w:marLeft w:val="0"/>
                                      <w:marRight w:val="0"/>
                                      <w:marTop w:val="0"/>
                                      <w:marBottom w:val="0"/>
                                      <w:divBdr>
                                        <w:top w:val="single" w:sz="6" w:space="0" w:color="000000"/>
                                        <w:left w:val="single" w:sz="6" w:space="0" w:color="000000"/>
                                        <w:bottom w:val="single" w:sz="6" w:space="0" w:color="000000"/>
                                        <w:right w:val="single" w:sz="6" w:space="0" w:color="000000"/>
                                      </w:divBdr>
                                      <w:divsChild>
                                        <w:div w:id="242303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2857783">
      <w:bodyDiv w:val="1"/>
      <w:marLeft w:val="0"/>
      <w:marRight w:val="0"/>
      <w:marTop w:val="0"/>
      <w:marBottom w:val="0"/>
      <w:divBdr>
        <w:top w:val="none" w:sz="0" w:space="0" w:color="auto"/>
        <w:left w:val="none" w:sz="0" w:space="0" w:color="auto"/>
        <w:bottom w:val="none" w:sz="0" w:space="0" w:color="auto"/>
        <w:right w:val="none" w:sz="0" w:space="0" w:color="auto"/>
      </w:divBdr>
    </w:div>
    <w:div w:id="1004937930">
      <w:bodyDiv w:val="1"/>
      <w:marLeft w:val="0"/>
      <w:marRight w:val="0"/>
      <w:marTop w:val="0"/>
      <w:marBottom w:val="0"/>
      <w:divBdr>
        <w:top w:val="none" w:sz="0" w:space="0" w:color="auto"/>
        <w:left w:val="none" w:sz="0" w:space="0" w:color="auto"/>
        <w:bottom w:val="none" w:sz="0" w:space="0" w:color="auto"/>
        <w:right w:val="none" w:sz="0" w:space="0" w:color="auto"/>
      </w:divBdr>
      <w:divsChild>
        <w:div w:id="1756635276">
          <w:marLeft w:val="0"/>
          <w:marRight w:val="0"/>
          <w:marTop w:val="0"/>
          <w:marBottom w:val="0"/>
          <w:divBdr>
            <w:top w:val="none" w:sz="0" w:space="0" w:color="auto"/>
            <w:left w:val="none" w:sz="0" w:space="0" w:color="auto"/>
            <w:bottom w:val="none" w:sz="0" w:space="0" w:color="auto"/>
            <w:right w:val="none" w:sz="0" w:space="0" w:color="auto"/>
          </w:divBdr>
          <w:divsChild>
            <w:div w:id="757211691">
              <w:marLeft w:val="0"/>
              <w:marRight w:val="0"/>
              <w:marTop w:val="0"/>
              <w:marBottom w:val="0"/>
              <w:divBdr>
                <w:top w:val="none" w:sz="0" w:space="0" w:color="auto"/>
                <w:left w:val="none" w:sz="0" w:space="0" w:color="auto"/>
                <w:bottom w:val="none" w:sz="0" w:space="0" w:color="auto"/>
                <w:right w:val="none" w:sz="0" w:space="0" w:color="auto"/>
              </w:divBdr>
              <w:divsChild>
                <w:div w:id="274795832">
                  <w:marLeft w:val="0"/>
                  <w:marRight w:val="0"/>
                  <w:marTop w:val="0"/>
                  <w:marBottom w:val="0"/>
                  <w:divBdr>
                    <w:top w:val="none" w:sz="0" w:space="0" w:color="auto"/>
                    <w:left w:val="none" w:sz="0" w:space="0" w:color="auto"/>
                    <w:bottom w:val="none" w:sz="0" w:space="0" w:color="auto"/>
                    <w:right w:val="none" w:sz="0" w:space="0" w:color="auto"/>
                  </w:divBdr>
                  <w:divsChild>
                    <w:div w:id="490372672">
                      <w:marLeft w:val="0"/>
                      <w:marRight w:val="0"/>
                      <w:marTop w:val="0"/>
                      <w:marBottom w:val="0"/>
                      <w:divBdr>
                        <w:top w:val="none" w:sz="0" w:space="0" w:color="auto"/>
                        <w:left w:val="none" w:sz="0" w:space="0" w:color="auto"/>
                        <w:bottom w:val="none" w:sz="0" w:space="0" w:color="auto"/>
                        <w:right w:val="none" w:sz="0" w:space="0" w:color="auto"/>
                      </w:divBdr>
                      <w:divsChild>
                        <w:div w:id="1958023727">
                          <w:marLeft w:val="0"/>
                          <w:marRight w:val="0"/>
                          <w:marTop w:val="0"/>
                          <w:marBottom w:val="0"/>
                          <w:divBdr>
                            <w:top w:val="none" w:sz="0" w:space="0" w:color="auto"/>
                            <w:left w:val="none" w:sz="0" w:space="0" w:color="auto"/>
                            <w:bottom w:val="none" w:sz="0" w:space="0" w:color="auto"/>
                            <w:right w:val="none" w:sz="0" w:space="0" w:color="auto"/>
                          </w:divBdr>
                          <w:divsChild>
                            <w:div w:id="1870337088">
                              <w:marLeft w:val="0"/>
                              <w:marRight w:val="0"/>
                              <w:marTop w:val="0"/>
                              <w:marBottom w:val="0"/>
                              <w:divBdr>
                                <w:top w:val="none" w:sz="0" w:space="0" w:color="auto"/>
                                <w:left w:val="none" w:sz="0" w:space="0" w:color="auto"/>
                                <w:bottom w:val="none" w:sz="0" w:space="0" w:color="auto"/>
                                <w:right w:val="none" w:sz="0" w:space="0" w:color="auto"/>
                              </w:divBdr>
                              <w:divsChild>
                                <w:div w:id="1421638330">
                                  <w:marLeft w:val="0"/>
                                  <w:marRight w:val="0"/>
                                  <w:marTop w:val="30"/>
                                  <w:marBottom w:val="0"/>
                                  <w:divBdr>
                                    <w:top w:val="none" w:sz="0" w:space="0" w:color="auto"/>
                                    <w:left w:val="none" w:sz="0" w:space="0" w:color="auto"/>
                                    <w:bottom w:val="none" w:sz="0" w:space="0" w:color="auto"/>
                                    <w:right w:val="none" w:sz="0" w:space="0" w:color="auto"/>
                                  </w:divBdr>
                                  <w:divsChild>
                                    <w:div w:id="787160268">
                                      <w:marLeft w:val="0"/>
                                      <w:marRight w:val="0"/>
                                      <w:marTop w:val="0"/>
                                      <w:marBottom w:val="0"/>
                                      <w:divBdr>
                                        <w:top w:val="single" w:sz="6" w:space="0" w:color="000000"/>
                                        <w:left w:val="single" w:sz="6" w:space="0" w:color="000000"/>
                                        <w:bottom w:val="single" w:sz="6" w:space="0" w:color="000000"/>
                                        <w:right w:val="single" w:sz="6" w:space="0" w:color="000000"/>
                                      </w:divBdr>
                                      <w:divsChild>
                                        <w:div w:id="963773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6227627">
      <w:bodyDiv w:val="1"/>
      <w:marLeft w:val="0"/>
      <w:marRight w:val="0"/>
      <w:marTop w:val="0"/>
      <w:marBottom w:val="0"/>
      <w:divBdr>
        <w:top w:val="none" w:sz="0" w:space="0" w:color="auto"/>
        <w:left w:val="none" w:sz="0" w:space="0" w:color="auto"/>
        <w:bottom w:val="none" w:sz="0" w:space="0" w:color="auto"/>
        <w:right w:val="none" w:sz="0" w:space="0" w:color="auto"/>
      </w:divBdr>
      <w:divsChild>
        <w:div w:id="652682561">
          <w:marLeft w:val="0"/>
          <w:marRight w:val="0"/>
          <w:marTop w:val="0"/>
          <w:marBottom w:val="0"/>
          <w:divBdr>
            <w:top w:val="none" w:sz="0" w:space="0" w:color="auto"/>
            <w:left w:val="none" w:sz="0" w:space="0" w:color="auto"/>
            <w:bottom w:val="none" w:sz="0" w:space="0" w:color="auto"/>
            <w:right w:val="none" w:sz="0" w:space="0" w:color="auto"/>
          </w:divBdr>
          <w:divsChild>
            <w:div w:id="641232321">
              <w:marLeft w:val="0"/>
              <w:marRight w:val="0"/>
              <w:marTop w:val="0"/>
              <w:marBottom w:val="0"/>
              <w:divBdr>
                <w:top w:val="none" w:sz="0" w:space="0" w:color="auto"/>
                <w:left w:val="none" w:sz="0" w:space="0" w:color="auto"/>
                <w:bottom w:val="none" w:sz="0" w:space="0" w:color="auto"/>
                <w:right w:val="none" w:sz="0" w:space="0" w:color="auto"/>
              </w:divBdr>
              <w:divsChild>
                <w:div w:id="1638410837">
                  <w:marLeft w:val="0"/>
                  <w:marRight w:val="0"/>
                  <w:marTop w:val="0"/>
                  <w:marBottom w:val="0"/>
                  <w:divBdr>
                    <w:top w:val="none" w:sz="0" w:space="0" w:color="auto"/>
                    <w:left w:val="none" w:sz="0" w:space="0" w:color="auto"/>
                    <w:bottom w:val="none" w:sz="0" w:space="0" w:color="auto"/>
                    <w:right w:val="none" w:sz="0" w:space="0" w:color="auto"/>
                  </w:divBdr>
                  <w:divsChild>
                    <w:div w:id="687214382">
                      <w:marLeft w:val="0"/>
                      <w:marRight w:val="0"/>
                      <w:marTop w:val="0"/>
                      <w:marBottom w:val="0"/>
                      <w:divBdr>
                        <w:top w:val="none" w:sz="0" w:space="0" w:color="auto"/>
                        <w:left w:val="none" w:sz="0" w:space="0" w:color="auto"/>
                        <w:bottom w:val="none" w:sz="0" w:space="0" w:color="auto"/>
                        <w:right w:val="none" w:sz="0" w:space="0" w:color="auto"/>
                      </w:divBdr>
                      <w:divsChild>
                        <w:div w:id="1346980900">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424032828">
                                  <w:marLeft w:val="0"/>
                                  <w:marRight w:val="0"/>
                                  <w:marTop w:val="30"/>
                                  <w:marBottom w:val="0"/>
                                  <w:divBdr>
                                    <w:top w:val="none" w:sz="0" w:space="0" w:color="auto"/>
                                    <w:left w:val="none" w:sz="0" w:space="0" w:color="auto"/>
                                    <w:bottom w:val="none" w:sz="0" w:space="0" w:color="auto"/>
                                    <w:right w:val="none" w:sz="0" w:space="0" w:color="auto"/>
                                  </w:divBdr>
                                  <w:divsChild>
                                    <w:div w:id="569851427">
                                      <w:marLeft w:val="0"/>
                                      <w:marRight w:val="0"/>
                                      <w:marTop w:val="0"/>
                                      <w:marBottom w:val="0"/>
                                      <w:divBdr>
                                        <w:top w:val="single" w:sz="6" w:space="0" w:color="000000"/>
                                        <w:left w:val="single" w:sz="6" w:space="0" w:color="000000"/>
                                        <w:bottom w:val="single" w:sz="6" w:space="0" w:color="000000"/>
                                        <w:right w:val="single" w:sz="6" w:space="0" w:color="000000"/>
                                      </w:divBdr>
                                    </w:div>
                                    <w:div w:id="1294404539">
                                      <w:marLeft w:val="0"/>
                                      <w:marRight w:val="0"/>
                                      <w:marTop w:val="0"/>
                                      <w:marBottom w:val="0"/>
                                      <w:divBdr>
                                        <w:top w:val="single" w:sz="6" w:space="0" w:color="000000"/>
                                        <w:left w:val="single" w:sz="6" w:space="0" w:color="000000"/>
                                        <w:bottom w:val="single" w:sz="6" w:space="0" w:color="000000"/>
                                        <w:right w:val="single" w:sz="6" w:space="0" w:color="000000"/>
                                      </w:divBdr>
                                    </w:div>
                                    <w:div w:id="335694430">
                                      <w:marLeft w:val="0"/>
                                      <w:marRight w:val="0"/>
                                      <w:marTop w:val="0"/>
                                      <w:marBottom w:val="0"/>
                                      <w:divBdr>
                                        <w:top w:val="single" w:sz="6" w:space="0" w:color="000000"/>
                                        <w:left w:val="single" w:sz="6" w:space="0" w:color="000000"/>
                                        <w:bottom w:val="single" w:sz="6" w:space="0" w:color="000000"/>
                                        <w:right w:val="single" w:sz="6" w:space="0" w:color="000000"/>
                                      </w:divBdr>
                                    </w:div>
                                    <w:div w:id="1754163962">
                                      <w:marLeft w:val="0"/>
                                      <w:marRight w:val="0"/>
                                      <w:marTop w:val="0"/>
                                      <w:marBottom w:val="0"/>
                                      <w:divBdr>
                                        <w:top w:val="single" w:sz="6" w:space="0" w:color="000000"/>
                                        <w:left w:val="single" w:sz="6" w:space="0" w:color="000000"/>
                                        <w:bottom w:val="single" w:sz="6" w:space="0" w:color="000000"/>
                                        <w:right w:val="single" w:sz="6" w:space="0" w:color="000000"/>
                                      </w:divBdr>
                                      <w:divsChild>
                                        <w:div w:id="330640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51187072">
                                      <w:marLeft w:val="0"/>
                                      <w:marRight w:val="0"/>
                                      <w:marTop w:val="0"/>
                                      <w:marBottom w:val="0"/>
                                      <w:divBdr>
                                        <w:top w:val="single" w:sz="6" w:space="0" w:color="000000"/>
                                        <w:left w:val="single" w:sz="6" w:space="0" w:color="000000"/>
                                        <w:bottom w:val="single" w:sz="6" w:space="0" w:color="000000"/>
                                        <w:right w:val="single" w:sz="6" w:space="0" w:color="000000"/>
                                      </w:divBdr>
                                      <w:divsChild>
                                        <w:div w:id="6314420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93214540">
                                      <w:marLeft w:val="0"/>
                                      <w:marRight w:val="0"/>
                                      <w:marTop w:val="0"/>
                                      <w:marBottom w:val="0"/>
                                      <w:divBdr>
                                        <w:top w:val="single" w:sz="6" w:space="0" w:color="000000"/>
                                        <w:left w:val="single" w:sz="6" w:space="0" w:color="000000"/>
                                        <w:bottom w:val="single" w:sz="6" w:space="0" w:color="000000"/>
                                        <w:right w:val="single" w:sz="6" w:space="0" w:color="000000"/>
                                      </w:divBdr>
                                      <w:divsChild>
                                        <w:div w:id="1531451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66720983">
                                      <w:marLeft w:val="0"/>
                                      <w:marRight w:val="0"/>
                                      <w:marTop w:val="0"/>
                                      <w:marBottom w:val="0"/>
                                      <w:divBdr>
                                        <w:top w:val="single" w:sz="6" w:space="0" w:color="000000"/>
                                        <w:left w:val="single" w:sz="6" w:space="0" w:color="000000"/>
                                        <w:bottom w:val="single" w:sz="6" w:space="0" w:color="000000"/>
                                        <w:right w:val="single" w:sz="6" w:space="0" w:color="000000"/>
                                      </w:divBdr>
                                      <w:divsChild>
                                        <w:div w:id="15441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896338">
                                      <w:marLeft w:val="0"/>
                                      <w:marRight w:val="0"/>
                                      <w:marTop w:val="0"/>
                                      <w:marBottom w:val="0"/>
                                      <w:divBdr>
                                        <w:top w:val="single" w:sz="6" w:space="0" w:color="000000"/>
                                        <w:left w:val="single" w:sz="6" w:space="0" w:color="000000"/>
                                        <w:bottom w:val="single" w:sz="6" w:space="0" w:color="000000"/>
                                        <w:right w:val="single" w:sz="6" w:space="0" w:color="000000"/>
                                      </w:divBdr>
                                      <w:divsChild>
                                        <w:div w:id="18179167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433672246">
                                      <w:marLeft w:val="0"/>
                                      <w:marRight w:val="0"/>
                                      <w:marTop w:val="0"/>
                                      <w:marBottom w:val="0"/>
                                      <w:divBdr>
                                        <w:top w:val="single" w:sz="6" w:space="0" w:color="000000"/>
                                        <w:left w:val="single" w:sz="6" w:space="0" w:color="000000"/>
                                        <w:bottom w:val="single" w:sz="6" w:space="0" w:color="000000"/>
                                        <w:right w:val="single" w:sz="6" w:space="0" w:color="000000"/>
                                      </w:divBdr>
                                      <w:divsChild>
                                        <w:div w:id="12174683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567334">
      <w:bodyDiv w:val="1"/>
      <w:marLeft w:val="0"/>
      <w:marRight w:val="0"/>
      <w:marTop w:val="0"/>
      <w:marBottom w:val="0"/>
      <w:divBdr>
        <w:top w:val="none" w:sz="0" w:space="0" w:color="auto"/>
        <w:left w:val="none" w:sz="0" w:space="0" w:color="auto"/>
        <w:bottom w:val="none" w:sz="0" w:space="0" w:color="auto"/>
        <w:right w:val="none" w:sz="0" w:space="0" w:color="auto"/>
      </w:divBdr>
    </w:div>
    <w:div w:id="1038816459">
      <w:bodyDiv w:val="1"/>
      <w:marLeft w:val="0"/>
      <w:marRight w:val="0"/>
      <w:marTop w:val="0"/>
      <w:marBottom w:val="0"/>
      <w:divBdr>
        <w:top w:val="none" w:sz="0" w:space="0" w:color="auto"/>
        <w:left w:val="none" w:sz="0" w:space="0" w:color="auto"/>
        <w:bottom w:val="none" w:sz="0" w:space="0" w:color="auto"/>
        <w:right w:val="none" w:sz="0" w:space="0" w:color="auto"/>
      </w:divBdr>
      <w:divsChild>
        <w:div w:id="1500852466">
          <w:marLeft w:val="0"/>
          <w:marRight w:val="0"/>
          <w:marTop w:val="0"/>
          <w:marBottom w:val="0"/>
          <w:divBdr>
            <w:top w:val="none" w:sz="0" w:space="0" w:color="auto"/>
            <w:left w:val="none" w:sz="0" w:space="0" w:color="auto"/>
            <w:bottom w:val="none" w:sz="0" w:space="0" w:color="auto"/>
            <w:right w:val="none" w:sz="0" w:space="0" w:color="auto"/>
          </w:divBdr>
          <w:divsChild>
            <w:div w:id="475994092">
              <w:marLeft w:val="0"/>
              <w:marRight w:val="0"/>
              <w:marTop w:val="0"/>
              <w:marBottom w:val="0"/>
              <w:divBdr>
                <w:top w:val="none" w:sz="0" w:space="0" w:color="auto"/>
                <w:left w:val="none" w:sz="0" w:space="0" w:color="auto"/>
                <w:bottom w:val="none" w:sz="0" w:space="0" w:color="auto"/>
                <w:right w:val="none" w:sz="0" w:space="0" w:color="auto"/>
              </w:divBdr>
              <w:divsChild>
                <w:div w:id="1739814958">
                  <w:marLeft w:val="0"/>
                  <w:marRight w:val="0"/>
                  <w:marTop w:val="0"/>
                  <w:marBottom w:val="0"/>
                  <w:divBdr>
                    <w:top w:val="none" w:sz="0" w:space="0" w:color="auto"/>
                    <w:left w:val="none" w:sz="0" w:space="0" w:color="auto"/>
                    <w:bottom w:val="none" w:sz="0" w:space="0" w:color="auto"/>
                    <w:right w:val="none" w:sz="0" w:space="0" w:color="auto"/>
                  </w:divBdr>
                  <w:divsChild>
                    <w:div w:id="1501653069">
                      <w:marLeft w:val="0"/>
                      <w:marRight w:val="0"/>
                      <w:marTop w:val="0"/>
                      <w:marBottom w:val="0"/>
                      <w:divBdr>
                        <w:top w:val="none" w:sz="0" w:space="0" w:color="auto"/>
                        <w:left w:val="none" w:sz="0" w:space="0" w:color="auto"/>
                        <w:bottom w:val="none" w:sz="0" w:space="0" w:color="auto"/>
                        <w:right w:val="none" w:sz="0" w:space="0" w:color="auto"/>
                      </w:divBdr>
                      <w:divsChild>
                        <w:div w:id="397243569">
                          <w:marLeft w:val="0"/>
                          <w:marRight w:val="0"/>
                          <w:marTop w:val="0"/>
                          <w:marBottom w:val="0"/>
                          <w:divBdr>
                            <w:top w:val="none" w:sz="0" w:space="0" w:color="auto"/>
                            <w:left w:val="none" w:sz="0" w:space="0" w:color="auto"/>
                            <w:bottom w:val="none" w:sz="0" w:space="0" w:color="auto"/>
                            <w:right w:val="none" w:sz="0" w:space="0" w:color="auto"/>
                          </w:divBdr>
                          <w:divsChild>
                            <w:div w:id="1866674767">
                              <w:marLeft w:val="0"/>
                              <w:marRight w:val="0"/>
                              <w:marTop w:val="0"/>
                              <w:marBottom w:val="0"/>
                              <w:divBdr>
                                <w:top w:val="none" w:sz="0" w:space="0" w:color="auto"/>
                                <w:left w:val="none" w:sz="0" w:space="0" w:color="auto"/>
                                <w:bottom w:val="none" w:sz="0" w:space="0" w:color="auto"/>
                                <w:right w:val="none" w:sz="0" w:space="0" w:color="auto"/>
                              </w:divBdr>
                              <w:divsChild>
                                <w:div w:id="1019769720">
                                  <w:marLeft w:val="0"/>
                                  <w:marRight w:val="0"/>
                                  <w:marTop w:val="30"/>
                                  <w:marBottom w:val="0"/>
                                  <w:divBdr>
                                    <w:top w:val="none" w:sz="0" w:space="0" w:color="auto"/>
                                    <w:left w:val="none" w:sz="0" w:space="0" w:color="auto"/>
                                    <w:bottom w:val="none" w:sz="0" w:space="0" w:color="auto"/>
                                    <w:right w:val="none" w:sz="0" w:space="0" w:color="auto"/>
                                  </w:divBdr>
                                  <w:divsChild>
                                    <w:div w:id="573122678">
                                      <w:marLeft w:val="0"/>
                                      <w:marRight w:val="0"/>
                                      <w:marTop w:val="0"/>
                                      <w:marBottom w:val="0"/>
                                      <w:divBdr>
                                        <w:top w:val="single" w:sz="6" w:space="0" w:color="000000"/>
                                        <w:left w:val="single" w:sz="6" w:space="0" w:color="000000"/>
                                        <w:bottom w:val="single" w:sz="6" w:space="0" w:color="000000"/>
                                        <w:right w:val="single" w:sz="6" w:space="0" w:color="000000"/>
                                      </w:divBdr>
                                      <w:divsChild>
                                        <w:div w:id="562108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0152464">
      <w:bodyDiv w:val="1"/>
      <w:marLeft w:val="0"/>
      <w:marRight w:val="0"/>
      <w:marTop w:val="0"/>
      <w:marBottom w:val="0"/>
      <w:divBdr>
        <w:top w:val="none" w:sz="0" w:space="0" w:color="auto"/>
        <w:left w:val="none" w:sz="0" w:space="0" w:color="auto"/>
        <w:bottom w:val="none" w:sz="0" w:space="0" w:color="auto"/>
        <w:right w:val="none" w:sz="0" w:space="0" w:color="auto"/>
      </w:divBdr>
      <w:divsChild>
        <w:div w:id="953948160">
          <w:marLeft w:val="0"/>
          <w:marRight w:val="0"/>
          <w:marTop w:val="0"/>
          <w:marBottom w:val="0"/>
          <w:divBdr>
            <w:top w:val="none" w:sz="0" w:space="0" w:color="auto"/>
            <w:left w:val="none" w:sz="0" w:space="0" w:color="auto"/>
            <w:bottom w:val="none" w:sz="0" w:space="0" w:color="auto"/>
            <w:right w:val="none" w:sz="0" w:space="0" w:color="auto"/>
          </w:divBdr>
          <w:divsChild>
            <w:div w:id="289560183">
              <w:marLeft w:val="0"/>
              <w:marRight w:val="0"/>
              <w:marTop w:val="0"/>
              <w:marBottom w:val="0"/>
              <w:divBdr>
                <w:top w:val="none" w:sz="0" w:space="0" w:color="auto"/>
                <w:left w:val="none" w:sz="0" w:space="0" w:color="auto"/>
                <w:bottom w:val="none" w:sz="0" w:space="0" w:color="auto"/>
                <w:right w:val="none" w:sz="0" w:space="0" w:color="auto"/>
              </w:divBdr>
              <w:divsChild>
                <w:div w:id="757750354">
                  <w:marLeft w:val="0"/>
                  <w:marRight w:val="0"/>
                  <w:marTop w:val="0"/>
                  <w:marBottom w:val="0"/>
                  <w:divBdr>
                    <w:top w:val="none" w:sz="0" w:space="0" w:color="auto"/>
                    <w:left w:val="none" w:sz="0" w:space="0" w:color="auto"/>
                    <w:bottom w:val="none" w:sz="0" w:space="0" w:color="auto"/>
                    <w:right w:val="none" w:sz="0" w:space="0" w:color="auto"/>
                  </w:divBdr>
                  <w:divsChild>
                    <w:div w:id="1436092087">
                      <w:marLeft w:val="0"/>
                      <w:marRight w:val="0"/>
                      <w:marTop w:val="0"/>
                      <w:marBottom w:val="0"/>
                      <w:divBdr>
                        <w:top w:val="none" w:sz="0" w:space="0" w:color="auto"/>
                        <w:left w:val="none" w:sz="0" w:space="0" w:color="auto"/>
                        <w:bottom w:val="none" w:sz="0" w:space="0" w:color="auto"/>
                        <w:right w:val="none" w:sz="0" w:space="0" w:color="auto"/>
                      </w:divBdr>
                      <w:divsChild>
                        <w:div w:id="668295440">
                          <w:marLeft w:val="0"/>
                          <w:marRight w:val="0"/>
                          <w:marTop w:val="0"/>
                          <w:marBottom w:val="0"/>
                          <w:divBdr>
                            <w:top w:val="none" w:sz="0" w:space="0" w:color="auto"/>
                            <w:left w:val="none" w:sz="0" w:space="0" w:color="auto"/>
                            <w:bottom w:val="none" w:sz="0" w:space="0" w:color="auto"/>
                            <w:right w:val="none" w:sz="0" w:space="0" w:color="auto"/>
                          </w:divBdr>
                          <w:divsChild>
                            <w:div w:id="86119973">
                              <w:marLeft w:val="0"/>
                              <w:marRight w:val="0"/>
                              <w:marTop w:val="0"/>
                              <w:marBottom w:val="0"/>
                              <w:divBdr>
                                <w:top w:val="none" w:sz="0" w:space="0" w:color="auto"/>
                                <w:left w:val="none" w:sz="0" w:space="0" w:color="auto"/>
                                <w:bottom w:val="none" w:sz="0" w:space="0" w:color="auto"/>
                                <w:right w:val="none" w:sz="0" w:space="0" w:color="auto"/>
                              </w:divBdr>
                              <w:divsChild>
                                <w:div w:id="339044156">
                                  <w:marLeft w:val="0"/>
                                  <w:marRight w:val="0"/>
                                  <w:marTop w:val="30"/>
                                  <w:marBottom w:val="0"/>
                                  <w:divBdr>
                                    <w:top w:val="none" w:sz="0" w:space="0" w:color="auto"/>
                                    <w:left w:val="none" w:sz="0" w:space="0" w:color="auto"/>
                                    <w:bottom w:val="none" w:sz="0" w:space="0" w:color="auto"/>
                                    <w:right w:val="none" w:sz="0" w:space="0" w:color="auto"/>
                                  </w:divBdr>
                                  <w:divsChild>
                                    <w:div w:id="1351369753">
                                      <w:marLeft w:val="0"/>
                                      <w:marRight w:val="0"/>
                                      <w:marTop w:val="0"/>
                                      <w:marBottom w:val="0"/>
                                      <w:divBdr>
                                        <w:top w:val="single" w:sz="6" w:space="0" w:color="000000"/>
                                        <w:left w:val="single" w:sz="6" w:space="0" w:color="000000"/>
                                        <w:bottom w:val="single" w:sz="6" w:space="0" w:color="000000"/>
                                        <w:right w:val="single" w:sz="6" w:space="0" w:color="000000"/>
                                      </w:divBdr>
                                      <w:divsChild>
                                        <w:div w:id="34745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61562119">
      <w:bodyDiv w:val="1"/>
      <w:marLeft w:val="0"/>
      <w:marRight w:val="0"/>
      <w:marTop w:val="0"/>
      <w:marBottom w:val="0"/>
      <w:divBdr>
        <w:top w:val="none" w:sz="0" w:space="0" w:color="auto"/>
        <w:left w:val="none" w:sz="0" w:space="0" w:color="auto"/>
        <w:bottom w:val="none" w:sz="0" w:space="0" w:color="auto"/>
        <w:right w:val="none" w:sz="0" w:space="0" w:color="auto"/>
      </w:divBdr>
    </w:div>
    <w:div w:id="1073696908">
      <w:bodyDiv w:val="1"/>
      <w:marLeft w:val="0"/>
      <w:marRight w:val="0"/>
      <w:marTop w:val="0"/>
      <w:marBottom w:val="0"/>
      <w:divBdr>
        <w:top w:val="none" w:sz="0" w:space="0" w:color="auto"/>
        <w:left w:val="none" w:sz="0" w:space="0" w:color="auto"/>
        <w:bottom w:val="none" w:sz="0" w:space="0" w:color="auto"/>
        <w:right w:val="none" w:sz="0" w:space="0" w:color="auto"/>
      </w:divBdr>
      <w:divsChild>
        <w:div w:id="979387121">
          <w:marLeft w:val="0"/>
          <w:marRight w:val="0"/>
          <w:marTop w:val="0"/>
          <w:marBottom w:val="0"/>
          <w:divBdr>
            <w:top w:val="none" w:sz="0" w:space="0" w:color="auto"/>
            <w:left w:val="none" w:sz="0" w:space="0" w:color="auto"/>
            <w:bottom w:val="none" w:sz="0" w:space="0" w:color="auto"/>
            <w:right w:val="none" w:sz="0" w:space="0" w:color="auto"/>
          </w:divBdr>
          <w:divsChild>
            <w:div w:id="2004091459">
              <w:marLeft w:val="0"/>
              <w:marRight w:val="0"/>
              <w:marTop w:val="0"/>
              <w:marBottom w:val="0"/>
              <w:divBdr>
                <w:top w:val="none" w:sz="0" w:space="0" w:color="auto"/>
                <w:left w:val="none" w:sz="0" w:space="0" w:color="auto"/>
                <w:bottom w:val="none" w:sz="0" w:space="0" w:color="auto"/>
                <w:right w:val="none" w:sz="0" w:space="0" w:color="auto"/>
              </w:divBdr>
              <w:divsChild>
                <w:div w:id="2014336139">
                  <w:marLeft w:val="0"/>
                  <w:marRight w:val="0"/>
                  <w:marTop w:val="0"/>
                  <w:marBottom w:val="0"/>
                  <w:divBdr>
                    <w:top w:val="none" w:sz="0" w:space="0" w:color="auto"/>
                    <w:left w:val="none" w:sz="0" w:space="0" w:color="auto"/>
                    <w:bottom w:val="none" w:sz="0" w:space="0" w:color="auto"/>
                    <w:right w:val="none" w:sz="0" w:space="0" w:color="auto"/>
                  </w:divBdr>
                  <w:divsChild>
                    <w:div w:id="652610817">
                      <w:marLeft w:val="0"/>
                      <w:marRight w:val="0"/>
                      <w:marTop w:val="0"/>
                      <w:marBottom w:val="0"/>
                      <w:divBdr>
                        <w:top w:val="none" w:sz="0" w:space="0" w:color="auto"/>
                        <w:left w:val="none" w:sz="0" w:space="0" w:color="auto"/>
                        <w:bottom w:val="none" w:sz="0" w:space="0" w:color="auto"/>
                        <w:right w:val="none" w:sz="0" w:space="0" w:color="auto"/>
                      </w:divBdr>
                      <w:divsChild>
                        <w:div w:id="140117097">
                          <w:marLeft w:val="0"/>
                          <w:marRight w:val="0"/>
                          <w:marTop w:val="0"/>
                          <w:marBottom w:val="0"/>
                          <w:divBdr>
                            <w:top w:val="none" w:sz="0" w:space="0" w:color="auto"/>
                            <w:left w:val="none" w:sz="0" w:space="0" w:color="auto"/>
                            <w:bottom w:val="none" w:sz="0" w:space="0" w:color="auto"/>
                            <w:right w:val="none" w:sz="0" w:space="0" w:color="auto"/>
                          </w:divBdr>
                          <w:divsChild>
                            <w:div w:id="1677461688">
                              <w:marLeft w:val="0"/>
                              <w:marRight w:val="0"/>
                              <w:marTop w:val="0"/>
                              <w:marBottom w:val="0"/>
                              <w:divBdr>
                                <w:top w:val="none" w:sz="0" w:space="0" w:color="auto"/>
                                <w:left w:val="none" w:sz="0" w:space="0" w:color="auto"/>
                                <w:bottom w:val="none" w:sz="0" w:space="0" w:color="auto"/>
                                <w:right w:val="none" w:sz="0" w:space="0" w:color="auto"/>
                              </w:divBdr>
                              <w:divsChild>
                                <w:div w:id="1181551553">
                                  <w:marLeft w:val="0"/>
                                  <w:marRight w:val="0"/>
                                  <w:marTop w:val="30"/>
                                  <w:marBottom w:val="0"/>
                                  <w:divBdr>
                                    <w:top w:val="none" w:sz="0" w:space="0" w:color="auto"/>
                                    <w:left w:val="none" w:sz="0" w:space="0" w:color="auto"/>
                                    <w:bottom w:val="none" w:sz="0" w:space="0" w:color="auto"/>
                                    <w:right w:val="none" w:sz="0" w:space="0" w:color="auto"/>
                                  </w:divBdr>
                                  <w:divsChild>
                                    <w:div w:id="676930571">
                                      <w:marLeft w:val="0"/>
                                      <w:marRight w:val="0"/>
                                      <w:marTop w:val="0"/>
                                      <w:marBottom w:val="0"/>
                                      <w:divBdr>
                                        <w:top w:val="single" w:sz="6" w:space="0" w:color="000000"/>
                                        <w:left w:val="single" w:sz="6" w:space="0" w:color="000000"/>
                                        <w:bottom w:val="single" w:sz="6" w:space="0" w:color="000000"/>
                                        <w:right w:val="single" w:sz="6" w:space="0" w:color="000000"/>
                                      </w:divBdr>
                                      <w:divsChild>
                                        <w:div w:id="1185948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5948922">
      <w:bodyDiv w:val="1"/>
      <w:marLeft w:val="0"/>
      <w:marRight w:val="0"/>
      <w:marTop w:val="0"/>
      <w:marBottom w:val="0"/>
      <w:divBdr>
        <w:top w:val="none" w:sz="0" w:space="0" w:color="auto"/>
        <w:left w:val="none" w:sz="0" w:space="0" w:color="auto"/>
        <w:bottom w:val="none" w:sz="0" w:space="0" w:color="auto"/>
        <w:right w:val="none" w:sz="0" w:space="0" w:color="auto"/>
      </w:divBdr>
      <w:divsChild>
        <w:div w:id="425619432">
          <w:marLeft w:val="0"/>
          <w:marRight w:val="0"/>
          <w:marTop w:val="0"/>
          <w:marBottom w:val="0"/>
          <w:divBdr>
            <w:top w:val="none" w:sz="0" w:space="0" w:color="auto"/>
            <w:left w:val="none" w:sz="0" w:space="0" w:color="auto"/>
            <w:bottom w:val="none" w:sz="0" w:space="0" w:color="auto"/>
            <w:right w:val="none" w:sz="0" w:space="0" w:color="auto"/>
          </w:divBdr>
          <w:divsChild>
            <w:div w:id="1201891659">
              <w:marLeft w:val="0"/>
              <w:marRight w:val="0"/>
              <w:marTop w:val="0"/>
              <w:marBottom w:val="0"/>
              <w:divBdr>
                <w:top w:val="none" w:sz="0" w:space="0" w:color="auto"/>
                <w:left w:val="none" w:sz="0" w:space="0" w:color="auto"/>
                <w:bottom w:val="none" w:sz="0" w:space="0" w:color="auto"/>
                <w:right w:val="none" w:sz="0" w:space="0" w:color="auto"/>
              </w:divBdr>
              <w:divsChild>
                <w:div w:id="735469530">
                  <w:marLeft w:val="0"/>
                  <w:marRight w:val="0"/>
                  <w:marTop w:val="0"/>
                  <w:marBottom w:val="0"/>
                  <w:divBdr>
                    <w:top w:val="none" w:sz="0" w:space="0" w:color="auto"/>
                    <w:left w:val="none" w:sz="0" w:space="0" w:color="auto"/>
                    <w:bottom w:val="none" w:sz="0" w:space="0" w:color="auto"/>
                    <w:right w:val="none" w:sz="0" w:space="0" w:color="auto"/>
                  </w:divBdr>
                  <w:divsChild>
                    <w:div w:id="1931350609">
                      <w:marLeft w:val="0"/>
                      <w:marRight w:val="0"/>
                      <w:marTop w:val="0"/>
                      <w:marBottom w:val="0"/>
                      <w:divBdr>
                        <w:top w:val="none" w:sz="0" w:space="0" w:color="auto"/>
                        <w:left w:val="none" w:sz="0" w:space="0" w:color="auto"/>
                        <w:bottom w:val="none" w:sz="0" w:space="0" w:color="auto"/>
                        <w:right w:val="none" w:sz="0" w:space="0" w:color="auto"/>
                      </w:divBdr>
                      <w:divsChild>
                        <w:div w:id="1544950538">
                          <w:marLeft w:val="0"/>
                          <w:marRight w:val="0"/>
                          <w:marTop w:val="0"/>
                          <w:marBottom w:val="0"/>
                          <w:divBdr>
                            <w:top w:val="none" w:sz="0" w:space="0" w:color="auto"/>
                            <w:left w:val="none" w:sz="0" w:space="0" w:color="auto"/>
                            <w:bottom w:val="none" w:sz="0" w:space="0" w:color="auto"/>
                            <w:right w:val="none" w:sz="0" w:space="0" w:color="auto"/>
                          </w:divBdr>
                          <w:divsChild>
                            <w:div w:id="388843908">
                              <w:marLeft w:val="0"/>
                              <w:marRight w:val="0"/>
                              <w:marTop w:val="0"/>
                              <w:marBottom w:val="0"/>
                              <w:divBdr>
                                <w:top w:val="none" w:sz="0" w:space="0" w:color="auto"/>
                                <w:left w:val="none" w:sz="0" w:space="0" w:color="auto"/>
                                <w:bottom w:val="none" w:sz="0" w:space="0" w:color="auto"/>
                                <w:right w:val="none" w:sz="0" w:space="0" w:color="auto"/>
                              </w:divBdr>
                              <w:divsChild>
                                <w:div w:id="377625759">
                                  <w:marLeft w:val="0"/>
                                  <w:marRight w:val="0"/>
                                  <w:marTop w:val="30"/>
                                  <w:marBottom w:val="0"/>
                                  <w:divBdr>
                                    <w:top w:val="none" w:sz="0" w:space="0" w:color="auto"/>
                                    <w:left w:val="none" w:sz="0" w:space="0" w:color="auto"/>
                                    <w:bottom w:val="none" w:sz="0" w:space="0" w:color="auto"/>
                                    <w:right w:val="none" w:sz="0" w:space="0" w:color="auto"/>
                                  </w:divBdr>
                                  <w:divsChild>
                                    <w:div w:id="154145921">
                                      <w:marLeft w:val="0"/>
                                      <w:marRight w:val="0"/>
                                      <w:marTop w:val="0"/>
                                      <w:marBottom w:val="0"/>
                                      <w:divBdr>
                                        <w:top w:val="single" w:sz="6" w:space="0" w:color="000000"/>
                                        <w:left w:val="single" w:sz="6" w:space="0" w:color="000000"/>
                                        <w:bottom w:val="single" w:sz="6" w:space="0" w:color="000000"/>
                                        <w:right w:val="single" w:sz="6" w:space="0" w:color="000000"/>
                                      </w:divBdr>
                                      <w:divsChild>
                                        <w:div w:id="3070549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9374383">
      <w:bodyDiv w:val="1"/>
      <w:marLeft w:val="0"/>
      <w:marRight w:val="0"/>
      <w:marTop w:val="0"/>
      <w:marBottom w:val="0"/>
      <w:divBdr>
        <w:top w:val="none" w:sz="0" w:space="0" w:color="auto"/>
        <w:left w:val="none" w:sz="0" w:space="0" w:color="auto"/>
        <w:bottom w:val="none" w:sz="0" w:space="0" w:color="auto"/>
        <w:right w:val="none" w:sz="0" w:space="0" w:color="auto"/>
      </w:divBdr>
      <w:divsChild>
        <w:div w:id="2021422820">
          <w:marLeft w:val="0"/>
          <w:marRight w:val="0"/>
          <w:marTop w:val="0"/>
          <w:marBottom w:val="0"/>
          <w:divBdr>
            <w:top w:val="none" w:sz="0" w:space="0" w:color="auto"/>
            <w:left w:val="none" w:sz="0" w:space="0" w:color="auto"/>
            <w:bottom w:val="none" w:sz="0" w:space="0" w:color="auto"/>
            <w:right w:val="none" w:sz="0" w:space="0" w:color="auto"/>
          </w:divBdr>
          <w:divsChild>
            <w:div w:id="54206716">
              <w:marLeft w:val="0"/>
              <w:marRight w:val="0"/>
              <w:marTop w:val="0"/>
              <w:marBottom w:val="0"/>
              <w:divBdr>
                <w:top w:val="none" w:sz="0" w:space="0" w:color="auto"/>
                <w:left w:val="none" w:sz="0" w:space="0" w:color="auto"/>
                <w:bottom w:val="none" w:sz="0" w:space="0" w:color="auto"/>
                <w:right w:val="none" w:sz="0" w:space="0" w:color="auto"/>
              </w:divBdr>
              <w:divsChild>
                <w:div w:id="124780931">
                  <w:marLeft w:val="0"/>
                  <w:marRight w:val="0"/>
                  <w:marTop w:val="0"/>
                  <w:marBottom w:val="0"/>
                  <w:divBdr>
                    <w:top w:val="none" w:sz="0" w:space="0" w:color="auto"/>
                    <w:left w:val="none" w:sz="0" w:space="0" w:color="auto"/>
                    <w:bottom w:val="none" w:sz="0" w:space="0" w:color="auto"/>
                    <w:right w:val="none" w:sz="0" w:space="0" w:color="auto"/>
                  </w:divBdr>
                  <w:divsChild>
                    <w:div w:id="1954943815">
                      <w:marLeft w:val="0"/>
                      <w:marRight w:val="0"/>
                      <w:marTop w:val="0"/>
                      <w:marBottom w:val="0"/>
                      <w:divBdr>
                        <w:top w:val="none" w:sz="0" w:space="0" w:color="auto"/>
                        <w:left w:val="none" w:sz="0" w:space="0" w:color="auto"/>
                        <w:bottom w:val="none" w:sz="0" w:space="0" w:color="auto"/>
                        <w:right w:val="none" w:sz="0" w:space="0" w:color="auto"/>
                      </w:divBdr>
                      <w:divsChild>
                        <w:div w:id="1711608379">
                          <w:marLeft w:val="0"/>
                          <w:marRight w:val="0"/>
                          <w:marTop w:val="0"/>
                          <w:marBottom w:val="0"/>
                          <w:divBdr>
                            <w:top w:val="none" w:sz="0" w:space="0" w:color="auto"/>
                            <w:left w:val="none" w:sz="0" w:space="0" w:color="auto"/>
                            <w:bottom w:val="none" w:sz="0" w:space="0" w:color="auto"/>
                            <w:right w:val="none" w:sz="0" w:space="0" w:color="auto"/>
                          </w:divBdr>
                          <w:divsChild>
                            <w:div w:id="661353192">
                              <w:marLeft w:val="0"/>
                              <w:marRight w:val="0"/>
                              <w:marTop w:val="0"/>
                              <w:marBottom w:val="0"/>
                              <w:divBdr>
                                <w:top w:val="none" w:sz="0" w:space="0" w:color="auto"/>
                                <w:left w:val="none" w:sz="0" w:space="0" w:color="auto"/>
                                <w:bottom w:val="none" w:sz="0" w:space="0" w:color="auto"/>
                                <w:right w:val="none" w:sz="0" w:space="0" w:color="auto"/>
                              </w:divBdr>
                              <w:divsChild>
                                <w:div w:id="2029330408">
                                  <w:marLeft w:val="0"/>
                                  <w:marRight w:val="0"/>
                                  <w:marTop w:val="30"/>
                                  <w:marBottom w:val="0"/>
                                  <w:divBdr>
                                    <w:top w:val="none" w:sz="0" w:space="0" w:color="auto"/>
                                    <w:left w:val="none" w:sz="0" w:space="0" w:color="auto"/>
                                    <w:bottom w:val="none" w:sz="0" w:space="0" w:color="auto"/>
                                    <w:right w:val="none" w:sz="0" w:space="0" w:color="auto"/>
                                  </w:divBdr>
                                  <w:divsChild>
                                    <w:div w:id="1899633032">
                                      <w:marLeft w:val="0"/>
                                      <w:marRight w:val="0"/>
                                      <w:marTop w:val="0"/>
                                      <w:marBottom w:val="0"/>
                                      <w:divBdr>
                                        <w:top w:val="single" w:sz="6" w:space="0" w:color="000000"/>
                                        <w:left w:val="single" w:sz="6" w:space="0" w:color="000000"/>
                                        <w:bottom w:val="single" w:sz="6" w:space="0" w:color="000000"/>
                                        <w:right w:val="single" w:sz="6" w:space="0" w:color="000000"/>
                                      </w:divBdr>
                                      <w:divsChild>
                                        <w:div w:id="1974099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3396923">
      <w:bodyDiv w:val="1"/>
      <w:marLeft w:val="0"/>
      <w:marRight w:val="0"/>
      <w:marTop w:val="0"/>
      <w:marBottom w:val="0"/>
      <w:divBdr>
        <w:top w:val="none" w:sz="0" w:space="0" w:color="auto"/>
        <w:left w:val="none" w:sz="0" w:space="0" w:color="auto"/>
        <w:bottom w:val="none" w:sz="0" w:space="0" w:color="auto"/>
        <w:right w:val="none" w:sz="0" w:space="0" w:color="auto"/>
      </w:divBdr>
    </w:div>
    <w:div w:id="1221671810">
      <w:bodyDiv w:val="1"/>
      <w:marLeft w:val="0"/>
      <w:marRight w:val="0"/>
      <w:marTop w:val="0"/>
      <w:marBottom w:val="0"/>
      <w:divBdr>
        <w:top w:val="none" w:sz="0" w:space="0" w:color="auto"/>
        <w:left w:val="none" w:sz="0" w:space="0" w:color="auto"/>
        <w:bottom w:val="none" w:sz="0" w:space="0" w:color="auto"/>
        <w:right w:val="none" w:sz="0" w:space="0" w:color="auto"/>
      </w:divBdr>
      <w:divsChild>
        <w:div w:id="2061325413">
          <w:marLeft w:val="0"/>
          <w:marRight w:val="0"/>
          <w:marTop w:val="0"/>
          <w:marBottom w:val="0"/>
          <w:divBdr>
            <w:top w:val="none" w:sz="0" w:space="0" w:color="auto"/>
            <w:left w:val="none" w:sz="0" w:space="0" w:color="auto"/>
            <w:bottom w:val="none" w:sz="0" w:space="0" w:color="auto"/>
            <w:right w:val="none" w:sz="0" w:space="0" w:color="auto"/>
          </w:divBdr>
          <w:divsChild>
            <w:div w:id="225995246">
              <w:marLeft w:val="0"/>
              <w:marRight w:val="0"/>
              <w:marTop w:val="0"/>
              <w:marBottom w:val="0"/>
              <w:divBdr>
                <w:top w:val="none" w:sz="0" w:space="0" w:color="auto"/>
                <w:left w:val="none" w:sz="0" w:space="0" w:color="auto"/>
                <w:bottom w:val="none" w:sz="0" w:space="0" w:color="auto"/>
                <w:right w:val="none" w:sz="0" w:space="0" w:color="auto"/>
              </w:divBdr>
              <w:divsChild>
                <w:div w:id="326835159">
                  <w:marLeft w:val="0"/>
                  <w:marRight w:val="0"/>
                  <w:marTop w:val="0"/>
                  <w:marBottom w:val="0"/>
                  <w:divBdr>
                    <w:top w:val="none" w:sz="0" w:space="0" w:color="auto"/>
                    <w:left w:val="none" w:sz="0" w:space="0" w:color="auto"/>
                    <w:bottom w:val="none" w:sz="0" w:space="0" w:color="auto"/>
                    <w:right w:val="none" w:sz="0" w:space="0" w:color="auto"/>
                  </w:divBdr>
                  <w:divsChild>
                    <w:div w:id="1482454782">
                      <w:marLeft w:val="0"/>
                      <w:marRight w:val="0"/>
                      <w:marTop w:val="0"/>
                      <w:marBottom w:val="0"/>
                      <w:divBdr>
                        <w:top w:val="none" w:sz="0" w:space="0" w:color="auto"/>
                        <w:left w:val="none" w:sz="0" w:space="0" w:color="auto"/>
                        <w:bottom w:val="none" w:sz="0" w:space="0" w:color="auto"/>
                        <w:right w:val="none" w:sz="0" w:space="0" w:color="auto"/>
                      </w:divBdr>
                      <w:divsChild>
                        <w:div w:id="1491093154">
                          <w:marLeft w:val="0"/>
                          <w:marRight w:val="0"/>
                          <w:marTop w:val="0"/>
                          <w:marBottom w:val="0"/>
                          <w:divBdr>
                            <w:top w:val="none" w:sz="0" w:space="0" w:color="auto"/>
                            <w:left w:val="none" w:sz="0" w:space="0" w:color="auto"/>
                            <w:bottom w:val="none" w:sz="0" w:space="0" w:color="auto"/>
                            <w:right w:val="none" w:sz="0" w:space="0" w:color="auto"/>
                          </w:divBdr>
                          <w:divsChild>
                            <w:div w:id="75171632">
                              <w:marLeft w:val="0"/>
                              <w:marRight w:val="0"/>
                              <w:marTop w:val="0"/>
                              <w:marBottom w:val="0"/>
                              <w:divBdr>
                                <w:top w:val="none" w:sz="0" w:space="0" w:color="auto"/>
                                <w:left w:val="none" w:sz="0" w:space="0" w:color="auto"/>
                                <w:bottom w:val="none" w:sz="0" w:space="0" w:color="auto"/>
                                <w:right w:val="none" w:sz="0" w:space="0" w:color="auto"/>
                              </w:divBdr>
                              <w:divsChild>
                                <w:div w:id="590047556">
                                  <w:marLeft w:val="0"/>
                                  <w:marRight w:val="0"/>
                                  <w:marTop w:val="30"/>
                                  <w:marBottom w:val="0"/>
                                  <w:divBdr>
                                    <w:top w:val="none" w:sz="0" w:space="0" w:color="auto"/>
                                    <w:left w:val="none" w:sz="0" w:space="0" w:color="auto"/>
                                    <w:bottom w:val="none" w:sz="0" w:space="0" w:color="auto"/>
                                    <w:right w:val="none" w:sz="0" w:space="0" w:color="auto"/>
                                  </w:divBdr>
                                  <w:divsChild>
                                    <w:div w:id="629944341">
                                      <w:marLeft w:val="0"/>
                                      <w:marRight w:val="0"/>
                                      <w:marTop w:val="0"/>
                                      <w:marBottom w:val="0"/>
                                      <w:divBdr>
                                        <w:top w:val="single" w:sz="6" w:space="0" w:color="000000"/>
                                        <w:left w:val="single" w:sz="6" w:space="0" w:color="000000"/>
                                        <w:bottom w:val="single" w:sz="6" w:space="0" w:color="000000"/>
                                        <w:right w:val="single" w:sz="6" w:space="0" w:color="000000"/>
                                      </w:divBdr>
                                      <w:divsChild>
                                        <w:div w:id="12584418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sChild>
        <w:div w:id="842554473">
          <w:marLeft w:val="0"/>
          <w:marRight w:val="0"/>
          <w:marTop w:val="0"/>
          <w:marBottom w:val="0"/>
          <w:divBdr>
            <w:top w:val="none" w:sz="0" w:space="0" w:color="auto"/>
            <w:left w:val="none" w:sz="0" w:space="0" w:color="auto"/>
            <w:bottom w:val="none" w:sz="0" w:space="0" w:color="auto"/>
            <w:right w:val="none" w:sz="0" w:space="0" w:color="auto"/>
          </w:divBdr>
          <w:divsChild>
            <w:div w:id="1564022623">
              <w:marLeft w:val="0"/>
              <w:marRight w:val="0"/>
              <w:marTop w:val="0"/>
              <w:marBottom w:val="0"/>
              <w:divBdr>
                <w:top w:val="none" w:sz="0" w:space="0" w:color="auto"/>
                <w:left w:val="none" w:sz="0" w:space="0" w:color="auto"/>
                <w:bottom w:val="none" w:sz="0" w:space="0" w:color="auto"/>
                <w:right w:val="none" w:sz="0" w:space="0" w:color="auto"/>
              </w:divBdr>
              <w:divsChild>
                <w:div w:id="1553540828">
                  <w:marLeft w:val="0"/>
                  <w:marRight w:val="0"/>
                  <w:marTop w:val="0"/>
                  <w:marBottom w:val="0"/>
                  <w:divBdr>
                    <w:top w:val="none" w:sz="0" w:space="0" w:color="auto"/>
                    <w:left w:val="none" w:sz="0" w:space="0" w:color="auto"/>
                    <w:bottom w:val="none" w:sz="0" w:space="0" w:color="auto"/>
                    <w:right w:val="none" w:sz="0" w:space="0" w:color="auto"/>
                  </w:divBdr>
                  <w:divsChild>
                    <w:div w:id="2109812755">
                      <w:marLeft w:val="0"/>
                      <w:marRight w:val="0"/>
                      <w:marTop w:val="0"/>
                      <w:marBottom w:val="0"/>
                      <w:divBdr>
                        <w:top w:val="none" w:sz="0" w:space="0" w:color="auto"/>
                        <w:left w:val="none" w:sz="0" w:space="0" w:color="auto"/>
                        <w:bottom w:val="none" w:sz="0" w:space="0" w:color="auto"/>
                        <w:right w:val="none" w:sz="0" w:space="0" w:color="auto"/>
                      </w:divBdr>
                      <w:divsChild>
                        <w:div w:id="1756511967">
                          <w:marLeft w:val="0"/>
                          <w:marRight w:val="0"/>
                          <w:marTop w:val="0"/>
                          <w:marBottom w:val="0"/>
                          <w:divBdr>
                            <w:top w:val="none" w:sz="0" w:space="0" w:color="auto"/>
                            <w:left w:val="none" w:sz="0" w:space="0" w:color="auto"/>
                            <w:bottom w:val="none" w:sz="0" w:space="0" w:color="auto"/>
                            <w:right w:val="none" w:sz="0" w:space="0" w:color="auto"/>
                          </w:divBdr>
                          <w:divsChild>
                            <w:div w:id="508299024">
                              <w:marLeft w:val="0"/>
                              <w:marRight w:val="0"/>
                              <w:marTop w:val="0"/>
                              <w:marBottom w:val="0"/>
                              <w:divBdr>
                                <w:top w:val="none" w:sz="0" w:space="0" w:color="auto"/>
                                <w:left w:val="none" w:sz="0" w:space="0" w:color="auto"/>
                                <w:bottom w:val="none" w:sz="0" w:space="0" w:color="auto"/>
                                <w:right w:val="none" w:sz="0" w:space="0" w:color="auto"/>
                              </w:divBdr>
                              <w:divsChild>
                                <w:div w:id="1920601493">
                                  <w:marLeft w:val="0"/>
                                  <w:marRight w:val="0"/>
                                  <w:marTop w:val="30"/>
                                  <w:marBottom w:val="0"/>
                                  <w:divBdr>
                                    <w:top w:val="none" w:sz="0" w:space="0" w:color="auto"/>
                                    <w:left w:val="none" w:sz="0" w:space="0" w:color="auto"/>
                                    <w:bottom w:val="none" w:sz="0" w:space="0" w:color="auto"/>
                                    <w:right w:val="none" w:sz="0" w:space="0" w:color="auto"/>
                                  </w:divBdr>
                                  <w:divsChild>
                                    <w:div w:id="1639141328">
                                      <w:marLeft w:val="0"/>
                                      <w:marRight w:val="0"/>
                                      <w:marTop w:val="0"/>
                                      <w:marBottom w:val="0"/>
                                      <w:divBdr>
                                        <w:top w:val="single" w:sz="6" w:space="0" w:color="000000"/>
                                        <w:left w:val="single" w:sz="6" w:space="0" w:color="000000"/>
                                        <w:bottom w:val="single" w:sz="6" w:space="0" w:color="000000"/>
                                        <w:right w:val="single" w:sz="6" w:space="0" w:color="000000"/>
                                      </w:divBdr>
                                      <w:divsChild>
                                        <w:div w:id="88042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3151938">
      <w:bodyDiv w:val="1"/>
      <w:marLeft w:val="0"/>
      <w:marRight w:val="0"/>
      <w:marTop w:val="0"/>
      <w:marBottom w:val="0"/>
      <w:divBdr>
        <w:top w:val="none" w:sz="0" w:space="0" w:color="auto"/>
        <w:left w:val="none" w:sz="0" w:space="0" w:color="auto"/>
        <w:bottom w:val="none" w:sz="0" w:space="0" w:color="auto"/>
        <w:right w:val="none" w:sz="0" w:space="0" w:color="auto"/>
      </w:divBdr>
      <w:divsChild>
        <w:div w:id="1583370378">
          <w:marLeft w:val="0"/>
          <w:marRight w:val="0"/>
          <w:marTop w:val="0"/>
          <w:marBottom w:val="0"/>
          <w:divBdr>
            <w:top w:val="none" w:sz="0" w:space="0" w:color="auto"/>
            <w:left w:val="none" w:sz="0" w:space="0" w:color="auto"/>
            <w:bottom w:val="none" w:sz="0" w:space="0" w:color="auto"/>
            <w:right w:val="none" w:sz="0" w:space="0" w:color="auto"/>
          </w:divBdr>
          <w:divsChild>
            <w:div w:id="1898854149">
              <w:marLeft w:val="0"/>
              <w:marRight w:val="0"/>
              <w:marTop w:val="0"/>
              <w:marBottom w:val="0"/>
              <w:divBdr>
                <w:top w:val="none" w:sz="0" w:space="0" w:color="auto"/>
                <w:left w:val="none" w:sz="0" w:space="0" w:color="auto"/>
                <w:bottom w:val="none" w:sz="0" w:space="0" w:color="auto"/>
                <w:right w:val="none" w:sz="0" w:space="0" w:color="auto"/>
              </w:divBdr>
              <w:divsChild>
                <w:div w:id="782648434">
                  <w:marLeft w:val="0"/>
                  <w:marRight w:val="0"/>
                  <w:marTop w:val="0"/>
                  <w:marBottom w:val="0"/>
                  <w:divBdr>
                    <w:top w:val="none" w:sz="0" w:space="0" w:color="auto"/>
                    <w:left w:val="none" w:sz="0" w:space="0" w:color="auto"/>
                    <w:bottom w:val="none" w:sz="0" w:space="0" w:color="auto"/>
                    <w:right w:val="none" w:sz="0" w:space="0" w:color="auto"/>
                  </w:divBdr>
                  <w:divsChild>
                    <w:div w:id="611858247">
                      <w:marLeft w:val="0"/>
                      <w:marRight w:val="0"/>
                      <w:marTop w:val="0"/>
                      <w:marBottom w:val="0"/>
                      <w:divBdr>
                        <w:top w:val="none" w:sz="0" w:space="0" w:color="auto"/>
                        <w:left w:val="none" w:sz="0" w:space="0" w:color="auto"/>
                        <w:bottom w:val="none" w:sz="0" w:space="0" w:color="auto"/>
                        <w:right w:val="none" w:sz="0" w:space="0" w:color="auto"/>
                      </w:divBdr>
                      <w:divsChild>
                        <w:div w:id="830411962">
                          <w:marLeft w:val="0"/>
                          <w:marRight w:val="0"/>
                          <w:marTop w:val="0"/>
                          <w:marBottom w:val="0"/>
                          <w:divBdr>
                            <w:top w:val="none" w:sz="0" w:space="0" w:color="auto"/>
                            <w:left w:val="none" w:sz="0" w:space="0" w:color="auto"/>
                            <w:bottom w:val="none" w:sz="0" w:space="0" w:color="auto"/>
                            <w:right w:val="none" w:sz="0" w:space="0" w:color="auto"/>
                          </w:divBdr>
                          <w:divsChild>
                            <w:div w:id="436222060">
                              <w:marLeft w:val="0"/>
                              <w:marRight w:val="0"/>
                              <w:marTop w:val="0"/>
                              <w:marBottom w:val="0"/>
                              <w:divBdr>
                                <w:top w:val="none" w:sz="0" w:space="0" w:color="auto"/>
                                <w:left w:val="none" w:sz="0" w:space="0" w:color="auto"/>
                                <w:bottom w:val="none" w:sz="0" w:space="0" w:color="auto"/>
                                <w:right w:val="none" w:sz="0" w:space="0" w:color="auto"/>
                              </w:divBdr>
                              <w:divsChild>
                                <w:div w:id="1200320243">
                                  <w:marLeft w:val="0"/>
                                  <w:marRight w:val="0"/>
                                  <w:marTop w:val="30"/>
                                  <w:marBottom w:val="0"/>
                                  <w:divBdr>
                                    <w:top w:val="none" w:sz="0" w:space="0" w:color="auto"/>
                                    <w:left w:val="none" w:sz="0" w:space="0" w:color="auto"/>
                                    <w:bottom w:val="none" w:sz="0" w:space="0" w:color="auto"/>
                                    <w:right w:val="none" w:sz="0" w:space="0" w:color="auto"/>
                                  </w:divBdr>
                                  <w:divsChild>
                                    <w:div w:id="500043512">
                                      <w:marLeft w:val="0"/>
                                      <w:marRight w:val="0"/>
                                      <w:marTop w:val="0"/>
                                      <w:marBottom w:val="0"/>
                                      <w:divBdr>
                                        <w:top w:val="single" w:sz="6" w:space="0" w:color="000000"/>
                                        <w:left w:val="single" w:sz="6" w:space="0" w:color="000000"/>
                                        <w:bottom w:val="single" w:sz="6" w:space="0" w:color="000000"/>
                                        <w:right w:val="single" w:sz="6" w:space="0" w:color="000000"/>
                                      </w:divBdr>
                                      <w:divsChild>
                                        <w:div w:id="2371337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4358734">
      <w:bodyDiv w:val="1"/>
      <w:marLeft w:val="0"/>
      <w:marRight w:val="0"/>
      <w:marTop w:val="0"/>
      <w:marBottom w:val="0"/>
      <w:divBdr>
        <w:top w:val="none" w:sz="0" w:space="0" w:color="auto"/>
        <w:left w:val="none" w:sz="0" w:space="0" w:color="auto"/>
        <w:bottom w:val="none" w:sz="0" w:space="0" w:color="auto"/>
        <w:right w:val="none" w:sz="0" w:space="0" w:color="auto"/>
      </w:divBdr>
      <w:divsChild>
        <w:div w:id="589629245">
          <w:marLeft w:val="0"/>
          <w:marRight w:val="0"/>
          <w:marTop w:val="0"/>
          <w:marBottom w:val="0"/>
          <w:divBdr>
            <w:top w:val="none" w:sz="0" w:space="0" w:color="auto"/>
            <w:left w:val="none" w:sz="0" w:space="0" w:color="auto"/>
            <w:bottom w:val="none" w:sz="0" w:space="0" w:color="auto"/>
            <w:right w:val="none" w:sz="0" w:space="0" w:color="auto"/>
          </w:divBdr>
          <w:divsChild>
            <w:div w:id="2002734036">
              <w:marLeft w:val="0"/>
              <w:marRight w:val="0"/>
              <w:marTop w:val="0"/>
              <w:marBottom w:val="0"/>
              <w:divBdr>
                <w:top w:val="none" w:sz="0" w:space="0" w:color="auto"/>
                <w:left w:val="none" w:sz="0" w:space="0" w:color="auto"/>
                <w:bottom w:val="none" w:sz="0" w:space="0" w:color="auto"/>
                <w:right w:val="none" w:sz="0" w:space="0" w:color="auto"/>
              </w:divBdr>
              <w:divsChild>
                <w:div w:id="1654675262">
                  <w:marLeft w:val="0"/>
                  <w:marRight w:val="0"/>
                  <w:marTop w:val="0"/>
                  <w:marBottom w:val="0"/>
                  <w:divBdr>
                    <w:top w:val="none" w:sz="0" w:space="0" w:color="auto"/>
                    <w:left w:val="none" w:sz="0" w:space="0" w:color="auto"/>
                    <w:bottom w:val="none" w:sz="0" w:space="0" w:color="auto"/>
                    <w:right w:val="none" w:sz="0" w:space="0" w:color="auto"/>
                  </w:divBdr>
                  <w:divsChild>
                    <w:div w:id="975135770">
                      <w:marLeft w:val="0"/>
                      <w:marRight w:val="0"/>
                      <w:marTop w:val="0"/>
                      <w:marBottom w:val="0"/>
                      <w:divBdr>
                        <w:top w:val="none" w:sz="0" w:space="0" w:color="auto"/>
                        <w:left w:val="none" w:sz="0" w:space="0" w:color="auto"/>
                        <w:bottom w:val="none" w:sz="0" w:space="0" w:color="auto"/>
                        <w:right w:val="none" w:sz="0" w:space="0" w:color="auto"/>
                      </w:divBdr>
                      <w:divsChild>
                        <w:div w:id="1085371805">
                          <w:marLeft w:val="0"/>
                          <w:marRight w:val="0"/>
                          <w:marTop w:val="0"/>
                          <w:marBottom w:val="0"/>
                          <w:divBdr>
                            <w:top w:val="none" w:sz="0" w:space="0" w:color="auto"/>
                            <w:left w:val="none" w:sz="0" w:space="0" w:color="auto"/>
                            <w:bottom w:val="none" w:sz="0" w:space="0" w:color="auto"/>
                            <w:right w:val="none" w:sz="0" w:space="0" w:color="auto"/>
                          </w:divBdr>
                          <w:divsChild>
                            <w:div w:id="1982343042">
                              <w:marLeft w:val="0"/>
                              <w:marRight w:val="0"/>
                              <w:marTop w:val="0"/>
                              <w:marBottom w:val="0"/>
                              <w:divBdr>
                                <w:top w:val="none" w:sz="0" w:space="0" w:color="auto"/>
                                <w:left w:val="none" w:sz="0" w:space="0" w:color="auto"/>
                                <w:bottom w:val="none" w:sz="0" w:space="0" w:color="auto"/>
                                <w:right w:val="none" w:sz="0" w:space="0" w:color="auto"/>
                              </w:divBdr>
                              <w:divsChild>
                                <w:div w:id="1810442753">
                                  <w:marLeft w:val="0"/>
                                  <w:marRight w:val="0"/>
                                  <w:marTop w:val="30"/>
                                  <w:marBottom w:val="0"/>
                                  <w:divBdr>
                                    <w:top w:val="none" w:sz="0" w:space="0" w:color="auto"/>
                                    <w:left w:val="none" w:sz="0" w:space="0" w:color="auto"/>
                                    <w:bottom w:val="none" w:sz="0" w:space="0" w:color="auto"/>
                                    <w:right w:val="none" w:sz="0" w:space="0" w:color="auto"/>
                                  </w:divBdr>
                                  <w:divsChild>
                                    <w:div w:id="524641346">
                                      <w:marLeft w:val="0"/>
                                      <w:marRight w:val="0"/>
                                      <w:marTop w:val="0"/>
                                      <w:marBottom w:val="0"/>
                                      <w:divBdr>
                                        <w:top w:val="single" w:sz="6" w:space="0" w:color="000000"/>
                                        <w:left w:val="single" w:sz="6" w:space="0" w:color="000000"/>
                                        <w:bottom w:val="single" w:sz="6" w:space="0" w:color="000000"/>
                                        <w:right w:val="single" w:sz="6" w:space="0" w:color="000000"/>
                                      </w:divBdr>
                                      <w:divsChild>
                                        <w:div w:id="20226635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305350014">
      <w:bodyDiv w:val="1"/>
      <w:marLeft w:val="0"/>
      <w:marRight w:val="0"/>
      <w:marTop w:val="0"/>
      <w:marBottom w:val="0"/>
      <w:divBdr>
        <w:top w:val="none" w:sz="0" w:space="0" w:color="auto"/>
        <w:left w:val="none" w:sz="0" w:space="0" w:color="auto"/>
        <w:bottom w:val="none" w:sz="0" w:space="0" w:color="auto"/>
        <w:right w:val="none" w:sz="0" w:space="0" w:color="auto"/>
      </w:divBdr>
      <w:divsChild>
        <w:div w:id="711460993">
          <w:marLeft w:val="0"/>
          <w:marRight w:val="0"/>
          <w:marTop w:val="0"/>
          <w:marBottom w:val="0"/>
          <w:divBdr>
            <w:top w:val="none" w:sz="0" w:space="0" w:color="auto"/>
            <w:left w:val="none" w:sz="0" w:space="0" w:color="auto"/>
            <w:bottom w:val="none" w:sz="0" w:space="0" w:color="auto"/>
            <w:right w:val="none" w:sz="0" w:space="0" w:color="auto"/>
          </w:divBdr>
          <w:divsChild>
            <w:div w:id="1519000576">
              <w:marLeft w:val="0"/>
              <w:marRight w:val="0"/>
              <w:marTop w:val="0"/>
              <w:marBottom w:val="0"/>
              <w:divBdr>
                <w:top w:val="none" w:sz="0" w:space="0" w:color="auto"/>
                <w:left w:val="none" w:sz="0" w:space="0" w:color="auto"/>
                <w:bottom w:val="none" w:sz="0" w:space="0" w:color="auto"/>
                <w:right w:val="none" w:sz="0" w:space="0" w:color="auto"/>
              </w:divBdr>
              <w:divsChild>
                <w:div w:id="228999769">
                  <w:marLeft w:val="0"/>
                  <w:marRight w:val="0"/>
                  <w:marTop w:val="0"/>
                  <w:marBottom w:val="0"/>
                  <w:divBdr>
                    <w:top w:val="none" w:sz="0" w:space="0" w:color="auto"/>
                    <w:left w:val="none" w:sz="0" w:space="0" w:color="auto"/>
                    <w:bottom w:val="none" w:sz="0" w:space="0" w:color="auto"/>
                    <w:right w:val="none" w:sz="0" w:space="0" w:color="auto"/>
                  </w:divBdr>
                  <w:divsChild>
                    <w:div w:id="449394826">
                      <w:marLeft w:val="0"/>
                      <w:marRight w:val="0"/>
                      <w:marTop w:val="0"/>
                      <w:marBottom w:val="0"/>
                      <w:divBdr>
                        <w:top w:val="none" w:sz="0" w:space="0" w:color="auto"/>
                        <w:left w:val="none" w:sz="0" w:space="0" w:color="auto"/>
                        <w:bottom w:val="none" w:sz="0" w:space="0" w:color="auto"/>
                        <w:right w:val="none" w:sz="0" w:space="0" w:color="auto"/>
                      </w:divBdr>
                      <w:divsChild>
                        <w:div w:id="364673757">
                          <w:marLeft w:val="0"/>
                          <w:marRight w:val="0"/>
                          <w:marTop w:val="0"/>
                          <w:marBottom w:val="0"/>
                          <w:divBdr>
                            <w:top w:val="none" w:sz="0" w:space="0" w:color="auto"/>
                            <w:left w:val="none" w:sz="0" w:space="0" w:color="auto"/>
                            <w:bottom w:val="none" w:sz="0" w:space="0" w:color="auto"/>
                            <w:right w:val="none" w:sz="0" w:space="0" w:color="auto"/>
                          </w:divBdr>
                          <w:divsChild>
                            <w:div w:id="1587688155">
                              <w:marLeft w:val="0"/>
                              <w:marRight w:val="0"/>
                              <w:marTop w:val="0"/>
                              <w:marBottom w:val="0"/>
                              <w:divBdr>
                                <w:top w:val="none" w:sz="0" w:space="0" w:color="auto"/>
                                <w:left w:val="none" w:sz="0" w:space="0" w:color="auto"/>
                                <w:bottom w:val="none" w:sz="0" w:space="0" w:color="auto"/>
                                <w:right w:val="none" w:sz="0" w:space="0" w:color="auto"/>
                              </w:divBdr>
                              <w:divsChild>
                                <w:div w:id="1809856542">
                                  <w:marLeft w:val="0"/>
                                  <w:marRight w:val="0"/>
                                  <w:marTop w:val="30"/>
                                  <w:marBottom w:val="0"/>
                                  <w:divBdr>
                                    <w:top w:val="none" w:sz="0" w:space="0" w:color="auto"/>
                                    <w:left w:val="none" w:sz="0" w:space="0" w:color="auto"/>
                                    <w:bottom w:val="none" w:sz="0" w:space="0" w:color="auto"/>
                                    <w:right w:val="none" w:sz="0" w:space="0" w:color="auto"/>
                                  </w:divBdr>
                                  <w:divsChild>
                                    <w:div w:id="1590118758">
                                      <w:marLeft w:val="0"/>
                                      <w:marRight w:val="0"/>
                                      <w:marTop w:val="0"/>
                                      <w:marBottom w:val="0"/>
                                      <w:divBdr>
                                        <w:top w:val="single" w:sz="6" w:space="0" w:color="000000"/>
                                        <w:left w:val="single" w:sz="6" w:space="0" w:color="000000"/>
                                        <w:bottom w:val="single" w:sz="6" w:space="0" w:color="000000"/>
                                        <w:right w:val="single" w:sz="6" w:space="0" w:color="000000"/>
                                      </w:divBdr>
                                      <w:divsChild>
                                        <w:div w:id="4162912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9110908">
      <w:bodyDiv w:val="1"/>
      <w:marLeft w:val="0"/>
      <w:marRight w:val="0"/>
      <w:marTop w:val="0"/>
      <w:marBottom w:val="0"/>
      <w:divBdr>
        <w:top w:val="none" w:sz="0" w:space="0" w:color="auto"/>
        <w:left w:val="none" w:sz="0" w:space="0" w:color="auto"/>
        <w:bottom w:val="none" w:sz="0" w:space="0" w:color="auto"/>
        <w:right w:val="none" w:sz="0" w:space="0" w:color="auto"/>
      </w:divBdr>
      <w:divsChild>
        <w:div w:id="1256473473">
          <w:marLeft w:val="0"/>
          <w:marRight w:val="0"/>
          <w:marTop w:val="0"/>
          <w:marBottom w:val="0"/>
          <w:divBdr>
            <w:top w:val="none" w:sz="0" w:space="0" w:color="auto"/>
            <w:left w:val="none" w:sz="0" w:space="0" w:color="auto"/>
            <w:bottom w:val="none" w:sz="0" w:space="0" w:color="auto"/>
            <w:right w:val="none" w:sz="0" w:space="0" w:color="auto"/>
          </w:divBdr>
          <w:divsChild>
            <w:div w:id="185481342">
              <w:marLeft w:val="0"/>
              <w:marRight w:val="0"/>
              <w:marTop w:val="0"/>
              <w:marBottom w:val="0"/>
              <w:divBdr>
                <w:top w:val="none" w:sz="0" w:space="0" w:color="auto"/>
                <w:left w:val="none" w:sz="0" w:space="0" w:color="auto"/>
                <w:bottom w:val="none" w:sz="0" w:space="0" w:color="auto"/>
                <w:right w:val="none" w:sz="0" w:space="0" w:color="auto"/>
              </w:divBdr>
              <w:divsChild>
                <w:div w:id="77753932">
                  <w:marLeft w:val="0"/>
                  <w:marRight w:val="0"/>
                  <w:marTop w:val="0"/>
                  <w:marBottom w:val="0"/>
                  <w:divBdr>
                    <w:top w:val="none" w:sz="0" w:space="0" w:color="auto"/>
                    <w:left w:val="none" w:sz="0" w:space="0" w:color="auto"/>
                    <w:bottom w:val="none" w:sz="0" w:space="0" w:color="auto"/>
                    <w:right w:val="none" w:sz="0" w:space="0" w:color="auto"/>
                  </w:divBdr>
                  <w:divsChild>
                    <w:div w:id="2135563993">
                      <w:marLeft w:val="0"/>
                      <w:marRight w:val="0"/>
                      <w:marTop w:val="0"/>
                      <w:marBottom w:val="0"/>
                      <w:divBdr>
                        <w:top w:val="none" w:sz="0" w:space="0" w:color="auto"/>
                        <w:left w:val="none" w:sz="0" w:space="0" w:color="auto"/>
                        <w:bottom w:val="none" w:sz="0" w:space="0" w:color="auto"/>
                        <w:right w:val="none" w:sz="0" w:space="0" w:color="auto"/>
                      </w:divBdr>
                      <w:divsChild>
                        <w:div w:id="745345315">
                          <w:marLeft w:val="0"/>
                          <w:marRight w:val="0"/>
                          <w:marTop w:val="0"/>
                          <w:marBottom w:val="0"/>
                          <w:divBdr>
                            <w:top w:val="none" w:sz="0" w:space="0" w:color="auto"/>
                            <w:left w:val="none" w:sz="0" w:space="0" w:color="auto"/>
                            <w:bottom w:val="none" w:sz="0" w:space="0" w:color="auto"/>
                            <w:right w:val="none" w:sz="0" w:space="0" w:color="auto"/>
                          </w:divBdr>
                          <w:divsChild>
                            <w:div w:id="724989958">
                              <w:marLeft w:val="0"/>
                              <w:marRight w:val="0"/>
                              <w:marTop w:val="0"/>
                              <w:marBottom w:val="0"/>
                              <w:divBdr>
                                <w:top w:val="none" w:sz="0" w:space="0" w:color="auto"/>
                                <w:left w:val="none" w:sz="0" w:space="0" w:color="auto"/>
                                <w:bottom w:val="none" w:sz="0" w:space="0" w:color="auto"/>
                                <w:right w:val="none" w:sz="0" w:space="0" w:color="auto"/>
                              </w:divBdr>
                              <w:divsChild>
                                <w:div w:id="1625842496">
                                  <w:marLeft w:val="0"/>
                                  <w:marRight w:val="0"/>
                                  <w:marTop w:val="30"/>
                                  <w:marBottom w:val="0"/>
                                  <w:divBdr>
                                    <w:top w:val="none" w:sz="0" w:space="0" w:color="auto"/>
                                    <w:left w:val="none" w:sz="0" w:space="0" w:color="auto"/>
                                    <w:bottom w:val="none" w:sz="0" w:space="0" w:color="auto"/>
                                    <w:right w:val="none" w:sz="0" w:space="0" w:color="auto"/>
                                  </w:divBdr>
                                  <w:divsChild>
                                    <w:div w:id="86073874">
                                      <w:marLeft w:val="0"/>
                                      <w:marRight w:val="0"/>
                                      <w:marTop w:val="0"/>
                                      <w:marBottom w:val="0"/>
                                      <w:divBdr>
                                        <w:top w:val="single" w:sz="6" w:space="0" w:color="000000"/>
                                        <w:left w:val="single" w:sz="6" w:space="0" w:color="000000"/>
                                        <w:bottom w:val="single" w:sz="6" w:space="0" w:color="000000"/>
                                        <w:right w:val="single" w:sz="6" w:space="0" w:color="000000"/>
                                      </w:divBdr>
                                      <w:divsChild>
                                        <w:div w:id="741829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9223343">
      <w:bodyDiv w:val="1"/>
      <w:marLeft w:val="0"/>
      <w:marRight w:val="0"/>
      <w:marTop w:val="0"/>
      <w:marBottom w:val="0"/>
      <w:divBdr>
        <w:top w:val="none" w:sz="0" w:space="0" w:color="auto"/>
        <w:left w:val="none" w:sz="0" w:space="0" w:color="auto"/>
        <w:bottom w:val="none" w:sz="0" w:space="0" w:color="auto"/>
        <w:right w:val="none" w:sz="0" w:space="0" w:color="auto"/>
      </w:divBdr>
      <w:divsChild>
        <w:div w:id="899096023">
          <w:marLeft w:val="0"/>
          <w:marRight w:val="0"/>
          <w:marTop w:val="0"/>
          <w:marBottom w:val="0"/>
          <w:divBdr>
            <w:top w:val="none" w:sz="0" w:space="0" w:color="auto"/>
            <w:left w:val="none" w:sz="0" w:space="0" w:color="auto"/>
            <w:bottom w:val="none" w:sz="0" w:space="0" w:color="auto"/>
            <w:right w:val="none" w:sz="0" w:space="0" w:color="auto"/>
          </w:divBdr>
          <w:divsChild>
            <w:div w:id="736706836">
              <w:marLeft w:val="0"/>
              <w:marRight w:val="0"/>
              <w:marTop w:val="0"/>
              <w:marBottom w:val="0"/>
              <w:divBdr>
                <w:top w:val="none" w:sz="0" w:space="0" w:color="auto"/>
                <w:left w:val="none" w:sz="0" w:space="0" w:color="auto"/>
                <w:bottom w:val="none" w:sz="0" w:space="0" w:color="auto"/>
                <w:right w:val="none" w:sz="0" w:space="0" w:color="auto"/>
              </w:divBdr>
              <w:divsChild>
                <w:div w:id="929504559">
                  <w:marLeft w:val="0"/>
                  <w:marRight w:val="0"/>
                  <w:marTop w:val="0"/>
                  <w:marBottom w:val="0"/>
                  <w:divBdr>
                    <w:top w:val="none" w:sz="0" w:space="0" w:color="auto"/>
                    <w:left w:val="none" w:sz="0" w:space="0" w:color="auto"/>
                    <w:bottom w:val="none" w:sz="0" w:space="0" w:color="auto"/>
                    <w:right w:val="none" w:sz="0" w:space="0" w:color="auto"/>
                  </w:divBdr>
                  <w:divsChild>
                    <w:div w:id="531192106">
                      <w:marLeft w:val="0"/>
                      <w:marRight w:val="0"/>
                      <w:marTop w:val="0"/>
                      <w:marBottom w:val="0"/>
                      <w:divBdr>
                        <w:top w:val="none" w:sz="0" w:space="0" w:color="auto"/>
                        <w:left w:val="none" w:sz="0" w:space="0" w:color="auto"/>
                        <w:bottom w:val="none" w:sz="0" w:space="0" w:color="auto"/>
                        <w:right w:val="none" w:sz="0" w:space="0" w:color="auto"/>
                      </w:divBdr>
                      <w:divsChild>
                        <w:div w:id="501556264">
                          <w:marLeft w:val="0"/>
                          <w:marRight w:val="0"/>
                          <w:marTop w:val="0"/>
                          <w:marBottom w:val="0"/>
                          <w:divBdr>
                            <w:top w:val="none" w:sz="0" w:space="0" w:color="auto"/>
                            <w:left w:val="none" w:sz="0" w:space="0" w:color="auto"/>
                            <w:bottom w:val="none" w:sz="0" w:space="0" w:color="auto"/>
                            <w:right w:val="none" w:sz="0" w:space="0" w:color="auto"/>
                          </w:divBdr>
                          <w:divsChild>
                            <w:div w:id="750809287">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3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single" w:sz="6" w:space="0" w:color="000000"/>
                                        <w:left w:val="single" w:sz="6" w:space="0" w:color="000000"/>
                                        <w:bottom w:val="single" w:sz="6" w:space="0" w:color="000000"/>
                                        <w:right w:val="single" w:sz="6" w:space="0" w:color="000000"/>
                                      </w:divBdr>
                                      <w:divsChild>
                                        <w:div w:id="14155907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7982864">
      <w:bodyDiv w:val="1"/>
      <w:marLeft w:val="0"/>
      <w:marRight w:val="0"/>
      <w:marTop w:val="0"/>
      <w:marBottom w:val="0"/>
      <w:divBdr>
        <w:top w:val="none" w:sz="0" w:space="0" w:color="auto"/>
        <w:left w:val="none" w:sz="0" w:space="0" w:color="auto"/>
        <w:bottom w:val="none" w:sz="0" w:space="0" w:color="auto"/>
        <w:right w:val="none" w:sz="0" w:space="0" w:color="auto"/>
      </w:divBdr>
      <w:divsChild>
        <w:div w:id="1659265984">
          <w:marLeft w:val="0"/>
          <w:marRight w:val="0"/>
          <w:marTop w:val="0"/>
          <w:marBottom w:val="0"/>
          <w:divBdr>
            <w:top w:val="none" w:sz="0" w:space="0" w:color="auto"/>
            <w:left w:val="none" w:sz="0" w:space="0" w:color="auto"/>
            <w:bottom w:val="none" w:sz="0" w:space="0" w:color="auto"/>
            <w:right w:val="none" w:sz="0" w:space="0" w:color="auto"/>
          </w:divBdr>
          <w:divsChild>
            <w:div w:id="709500335">
              <w:marLeft w:val="0"/>
              <w:marRight w:val="0"/>
              <w:marTop w:val="0"/>
              <w:marBottom w:val="0"/>
              <w:divBdr>
                <w:top w:val="none" w:sz="0" w:space="0" w:color="auto"/>
                <w:left w:val="none" w:sz="0" w:space="0" w:color="auto"/>
                <w:bottom w:val="none" w:sz="0" w:space="0" w:color="auto"/>
                <w:right w:val="none" w:sz="0" w:space="0" w:color="auto"/>
              </w:divBdr>
              <w:divsChild>
                <w:div w:id="1904831573">
                  <w:marLeft w:val="0"/>
                  <w:marRight w:val="0"/>
                  <w:marTop w:val="0"/>
                  <w:marBottom w:val="0"/>
                  <w:divBdr>
                    <w:top w:val="none" w:sz="0" w:space="0" w:color="auto"/>
                    <w:left w:val="none" w:sz="0" w:space="0" w:color="auto"/>
                    <w:bottom w:val="none" w:sz="0" w:space="0" w:color="auto"/>
                    <w:right w:val="none" w:sz="0" w:space="0" w:color="auto"/>
                  </w:divBdr>
                  <w:divsChild>
                    <w:div w:id="1543787485">
                      <w:marLeft w:val="0"/>
                      <w:marRight w:val="0"/>
                      <w:marTop w:val="0"/>
                      <w:marBottom w:val="0"/>
                      <w:divBdr>
                        <w:top w:val="none" w:sz="0" w:space="0" w:color="auto"/>
                        <w:left w:val="none" w:sz="0" w:space="0" w:color="auto"/>
                        <w:bottom w:val="none" w:sz="0" w:space="0" w:color="auto"/>
                        <w:right w:val="none" w:sz="0" w:space="0" w:color="auto"/>
                      </w:divBdr>
                      <w:divsChild>
                        <w:div w:id="168444371">
                          <w:marLeft w:val="0"/>
                          <w:marRight w:val="0"/>
                          <w:marTop w:val="0"/>
                          <w:marBottom w:val="0"/>
                          <w:divBdr>
                            <w:top w:val="none" w:sz="0" w:space="0" w:color="auto"/>
                            <w:left w:val="none" w:sz="0" w:space="0" w:color="auto"/>
                            <w:bottom w:val="none" w:sz="0" w:space="0" w:color="auto"/>
                            <w:right w:val="none" w:sz="0" w:space="0" w:color="auto"/>
                          </w:divBdr>
                          <w:divsChild>
                            <w:div w:id="119615448">
                              <w:marLeft w:val="0"/>
                              <w:marRight w:val="0"/>
                              <w:marTop w:val="0"/>
                              <w:marBottom w:val="0"/>
                              <w:divBdr>
                                <w:top w:val="none" w:sz="0" w:space="0" w:color="auto"/>
                                <w:left w:val="none" w:sz="0" w:space="0" w:color="auto"/>
                                <w:bottom w:val="none" w:sz="0" w:space="0" w:color="auto"/>
                                <w:right w:val="none" w:sz="0" w:space="0" w:color="auto"/>
                              </w:divBdr>
                              <w:divsChild>
                                <w:div w:id="1721438750">
                                  <w:marLeft w:val="0"/>
                                  <w:marRight w:val="0"/>
                                  <w:marTop w:val="30"/>
                                  <w:marBottom w:val="0"/>
                                  <w:divBdr>
                                    <w:top w:val="none" w:sz="0" w:space="0" w:color="auto"/>
                                    <w:left w:val="none" w:sz="0" w:space="0" w:color="auto"/>
                                    <w:bottom w:val="none" w:sz="0" w:space="0" w:color="auto"/>
                                    <w:right w:val="none" w:sz="0" w:space="0" w:color="auto"/>
                                  </w:divBdr>
                                  <w:divsChild>
                                    <w:div w:id="630719411">
                                      <w:marLeft w:val="0"/>
                                      <w:marRight w:val="0"/>
                                      <w:marTop w:val="0"/>
                                      <w:marBottom w:val="0"/>
                                      <w:divBdr>
                                        <w:top w:val="single" w:sz="6" w:space="0" w:color="000000"/>
                                        <w:left w:val="single" w:sz="6" w:space="0" w:color="000000"/>
                                        <w:bottom w:val="single" w:sz="6" w:space="0" w:color="000000"/>
                                        <w:right w:val="single" w:sz="6" w:space="0" w:color="000000"/>
                                      </w:divBdr>
                                      <w:divsChild>
                                        <w:div w:id="2552862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920929">
      <w:bodyDiv w:val="1"/>
      <w:marLeft w:val="0"/>
      <w:marRight w:val="0"/>
      <w:marTop w:val="0"/>
      <w:marBottom w:val="0"/>
      <w:divBdr>
        <w:top w:val="none" w:sz="0" w:space="0" w:color="auto"/>
        <w:left w:val="none" w:sz="0" w:space="0" w:color="auto"/>
        <w:bottom w:val="none" w:sz="0" w:space="0" w:color="auto"/>
        <w:right w:val="none" w:sz="0" w:space="0" w:color="auto"/>
      </w:divBdr>
    </w:div>
    <w:div w:id="1587764564">
      <w:bodyDiv w:val="1"/>
      <w:marLeft w:val="0"/>
      <w:marRight w:val="0"/>
      <w:marTop w:val="0"/>
      <w:marBottom w:val="0"/>
      <w:divBdr>
        <w:top w:val="none" w:sz="0" w:space="0" w:color="auto"/>
        <w:left w:val="none" w:sz="0" w:space="0" w:color="auto"/>
        <w:bottom w:val="none" w:sz="0" w:space="0" w:color="auto"/>
        <w:right w:val="none" w:sz="0" w:space="0" w:color="auto"/>
      </w:divBdr>
      <w:divsChild>
        <w:div w:id="141850958">
          <w:marLeft w:val="0"/>
          <w:marRight w:val="0"/>
          <w:marTop w:val="0"/>
          <w:marBottom w:val="0"/>
          <w:divBdr>
            <w:top w:val="none" w:sz="0" w:space="0" w:color="auto"/>
            <w:left w:val="none" w:sz="0" w:space="0" w:color="auto"/>
            <w:bottom w:val="none" w:sz="0" w:space="0" w:color="auto"/>
            <w:right w:val="none" w:sz="0" w:space="0" w:color="auto"/>
          </w:divBdr>
          <w:divsChild>
            <w:div w:id="545805">
              <w:marLeft w:val="0"/>
              <w:marRight w:val="0"/>
              <w:marTop w:val="0"/>
              <w:marBottom w:val="0"/>
              <w:divBdr>
                <w:top w:val="none" w:sz="0" w:space="0" w:color="auto"/>
                <w:left w:val="none" w:sz="0" w:space="0" w:color="auto"/>
                <w:bottom w:val="none" w:sz="0" w:space="0" w:color="auto"/>
                <w:right w:val="none" w:sz="0" w:space="0" w:color="auto"/>
              </w:divBdr>
              <w:divsChild>
                <w:div w:id="1560674434">
                  <w:marLeft w:val="0"/>
                  <w:marRight w:val="0"/>
                  <w:marTop w:val="0"/>
                  <w:marBottom w:val="0"/>
                  <w:divBdr>
                    <w:top w:val="none" w:sz="0" w:space="0" w:color="auto"/>
                    <w:left w:val="none" w:sz="0" w:space="0" w:color="auto"/>
                    <w:bottom w:val="none" w:sz="0" w:space="0" w:color="auto"/>
                    <w:right w:val="none" w:sz="0" w:space="0" w:color="auto"/>
                  </w:divBdr>
                  <w:divsChild>
                    <w:div w:id="1517770180">
                      <w:marLeft w:val="0"/>
                      <w:marRight w:val="0"/>
                      <w:marTop w:val="0"/>
                      <w:marBottom w:val="0"/>
                      <w:divBdr>
                        <w:top w:val="none" w:sz="0" w:space="0" w:color="auto"/>
                        <w:left w:val="none" w:sz="0" w:space="0" w:color="auto"/>
                        <w:bottom w:val="none" w:sz="0" w:space="0" w:color="auto"/>
                        <w:right w:val="none" w:sz="0" w:space="0" w:color="auto"/>
                      </w:divBdr>
                      <w:divsChild>
                        <w:div w:id="1214997186">
                          <w:marLeft w:val="0"/>
                          <w:marRight w:val="0"/>
                          <w:marTop w:val="0"/>
                          <w:marBottom w:val="0"/>
                          <w:divBdr>
                            <w:top w:val="none" w:sz="0" w:space="0" w:color="auto"/>
                            <w:left w:val="none" w:sz="0" w:space="0" w:color="auto"/>
                            <w:bottom w:val="none" w:sz="0" w:space="0" w:color="auto"/>
                            <w:right w:val="none" w:sz="0" w:space="0" w:color="auto"/>
                          </w:divBdr>
                          <w:divsChild>
                            <w:div w:id="708453217">
                              <w:marLeft w:val="0"/>
                              <w:marRight w:val="0"/>
                              <w:marTop w:val="0"/>
                              <w:marBottom w:val="0"/>
                              <w:divBdr>
                                <w:top w:val="none" w:sz="0" w:space="0" w:color="auto"/>
                                <w:left w:val="none" w:sz="0" w:space="0" w:color="auto"/>
                                <w:bottom w:val="none" w:sz="0" w:space="0" w:color="auto"/>
                                <w:right w:val="none" w:sz="0" w:space="0" w:color="auto"/>
                              </w:divBdr>
                              <w:divsChild>
                                <w:div w:id="954563133">
                                  <w:marLeft w:val="0"/>
                                  <w:marRight w:val="0"/>
                                  <w:marTop w:val="30"/>
                                  <w:marBottom w:val="0"/>
                                  <w:divBdr>
                                    <w:top w:val="none" w:sz="0" w:space="0" w:color="auto"/>
                                    <w:left w:val="none" w:sz="0" w:space="0" w:color="auto"/>
                                    <w:bottom w:val="none" w:sz="0" w:space="0" w:color="auto"/>
                                    <w:right w:val="none" w:sz="0" w:space="0" w:color="auto"/>
                                  </w:divBdr>
                                  <w:divsChild>
                                    <w:div w:id="566844097">
                                      <w:marLeft w:val="0"/>
                                      <w:marRight w:val="0"/>
                                      <w:marTop w:val="0"/>
                                      <w:marBottom w:val="0"/>
                                      <w:divBdr>
                                        <w:top w:val="single" w:sz="6" w:space="0" w:color="000000"/>
                                        <w:left w:val="single" w:sz="6" w:space="0" w:color="000000"/>
                                        <w:bottom w:val="single" w:sz="6" w:space="0" w:color="000000"/>
                                        <w:right w:val="single" w:sz="6" w:space="0" w:color="000000"/>
                                      </w:divBdr>
                                      <w:divsChild>
                                        <w:div w:id="1096511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5550456">
      <w:bodyDiv w:val="1"/>
      <w:marLeft w:val="0"/>
      <w:marRight w:val="0"/>
      <w:marTop w:val="0"/>
      <w:marBottom w:val="0"/>
      <w:divBdr>
        <w:top w:val="none" w:sz="0" w:space="0" w:color="auto"/>
        <w:left w:val="none" w:sz="0" w:space="0" w:color="auto"/>
        <w:bottom w:val="none" w:sz="0" w:space="0" w:color="auto"/>
        <w:right w:val="none" w:sz="0" w:space="0" w:color="auto"/>
      </w:divBdr>
      <w:divsChild>
        <w:div w:id="324208563">
          <w:marLeft w:val="0"/>
          <w:marRight w:val="0"/>
          <w:marTop w:val="0"/>
          <w:marBottom w:val="0"/>
          <w:divBdr>
            <w:top w:val="none" w:sz="0" w:space="0" w:color="auto"/>
            <w:left w:val="none" w:sz="0" w:space="0" w:color="auto"/>
            <w:bottom w:val="none" w:sz="0" w:space="0" w:color="auto"/>
            <w:right w:val="none" w:sz="0" w:space="0" w:color="auto"/>
          </w:divBdr>
          <w:divsChild>
            <w:div w:id="1017274111">
              <w:marLeft w:val="0"/>
              <w:marRight w:val="0"/>
              <w:marTop w:val="0"/>
              <w:marBottom w:val="0"/>
              <w:divBdr>
                <w:top w:val="none" w:sz="0" w:space="0" w:color="auto"/>
                <w:left w:val="none" w:sz="0" w:space="0" w:color="auto"/>
                <w:bottom w:val="none" w:sz="0" w:space="0" w:color="auto"/>
                <w:right w:val="none" w:sz="0" w:space="0" w:color="auto"/>
              </w:divBdr>
              <w:divsChild>
                <w:div w:id="199055094">
                  <w:marLeft w:val="0"/>
                  <w:marRight w:val="0"/>
                  <w:marTop w:val="0"/>
                  <w:marBottom w:val="0"/>
                  <w:divBdr>
                    <w:top w:val="none" w:sz="0" w:space="0" w:color="auto"/>
                    <w:left w:val="none" w:sz="0" w:space="0" w:color="auto"/>
                    <w:bottom w:val="none" w:sz="0" w:space="0" w:color="auto"/>
                    <w:right w:val="none" w:sz="0" w:space="0" w:color="auto"/>
                  </w:divBdr>
                  <w:divsChild>
                    <w:div w:id="1127308902">
                      <w:marLeft w:val="0"/>
                      <w:marRight w:val="0"/>
                      <w:marTop w:val="0"/>
                      <w:marBottom w:val="0"/>
                      <w:divBdr>
                        <w:top w:val="none" w:sz="0" w:space="0" w:color="auto"/>
                        <w:left w:val="none" w:sz="0" w:space="0" w:color="auto"/>
                        <w:bottom w:val="none" w:sz="0" w:space="0" w:color="auto"/>
                        <w:right w:val="none" w:sz="0" w:space="0" w:color="auto"/>
                      </w:divBdr>
                      <w:divsChild>
                        <w:div w:id="549071453">
                          <w:marLeft w:val="0"/>
                          <w:marRight w:val="0"/>
                          <w:marTop w:val="0"/>
                          <w:marBottom w:val="0"/>
                          <w:divBdr>
                            <w:top w:val="none" w:sz="0" w:space="0" w:color="auto"/>
                            <w:left w:val="none" w:sz="0" w:space="0" w:color="auto"/>
                            <w:bottom w:val="none" w:sz="0" w:space="0" w:color="auto"/>
                            <w:right w:val="none" w:sz="0" w:space="0" w:color="auto"/>
                          </w:divBdr>
                          <w:divsChild>
                            <w:div w:id="1578401478">
                              <w:marLeft w:val="0"/>
                              <w:marRight w:val="0"/>
                              <w:marTop w:val="0"/>
                              <w:marBottom w:val="0"/>
                              <w:divBdr>
                                <w:top w:val="none" w:sz="0" w:space="0" w:color="auto"/>
                                <w:left w:val="none" w:sz="0" w:space="0" w:color="auto"/>
                                <w:bottom w:val="none" w:sz="0" w:space="0" w:color="auto"/>
                                <w:right w:val="none" w:sz="0" w:space="0" w:color="auto"/>
                              </w:divBdr>
                              <w:divsChild>
                                <w:div w:id="1090127741">
                                  <w:marLeft w:val="0"/>
                                  <w:marRight w:val="0"/>
                                  <w:marTop w:val="30"/>
                                  <w:marBottom w:val="0"/>
                                  <w:divBdr>
                                    <w:top w:val="none" w:sz="0" w:space="0" w:color="auto"/>
                                    <w:left w:val="none" w:sz="0" w:space="0" w:color="auto"/>
                                    <w:bottom w:val="none" w:sz="0" w:space="0" w:color="auto"/>
                                    <w:right w:val="none" w:sz="0" w:space="0" w:color="auto"/>
                                  </w:divBdr>
                                  <w:divsChild>
                                    <w:div w:id="50929014">
                                      <w:marLeft w:val="0"/>
                                      <w:marRight w:val="0"/>
                                      <w:marTop w:val="0"/>
                                      <w:marBottom w:val="0"/>
                                      <w:divBdr>
                                        <w:top w:val="single" w:sz="6" w:space="0" w:color="000000"/>
                                        <w:left w:val="single" w:sz="6" w:space="0" w:color="000000"/>
                                        <w:bottom w:val="single" w:sz="6" w:space="0" w:color="000000"/>
                                        <w:right w:val="single" w:sz="6" w:space="0" w:color="000000"/>
                                      </w:divBdr>
                                      <w:divsChild>
                                        <w:div w:id="444273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84210201">
      <w:bodyDiv w:val="1"/>
      <w:marLeft w:val="0"/>
      <w:marRight w:val="0"/>
      <w:marTop w:val="0"/>
      <w:marBottom w:val="0"/>
      <w:divBdr>
        <w:top w:val="none" w:sz="0" w:space="0" w:color="auto"/>
        <w:left w:val="none" w:sz="0" w:space="0" w:color="auto"/>
        <w:bottom w:val="none" w:sz="0" w:space="0" w:color="auto"/>
        <w:right w:val="none" w:sz="0" w:space="0" w:color="auto"/>
      </w:divBdr>
      <w:divsChild>
        <w:div w:id="884483974">
          <w:marLeft w:val="0"/>
          <w:marRight w:val="0"/>
          <w:marTop w:val="0"/>
          <w:marBottom w:val="0"/>
          <w:divBdr>
            <w:top w:val="none" w:sz="0" w:space="0" w:color="auto"/>
            <w:left w:val="none" w:sz="0" w:space="0" w:color="auto"/>
            <w:bottom w:val="none" w:sz="0" w:space="0" w:color="auto"/>
            <w:right w:val="none" w:sz="0" w:space="0" w:color="auto"/>
          </w:divBdr>
          <w:divsChild>
            <w:div w:id="664432789">
              <w:marLeft w:val="0"/>
              <w:marRight w:val="0"/>
              <w:marTop w:val="0"/>
              <w:marBottom w:val="0"/>
              <w:divBdr>
                <w:top w:val="none" w:sz="0" w:space="0" w:color="auto"/>
                <w:left w:val="none" w:sz="0" w:space="0" w:color="auto"/>
                <w:bottom w:val="none" w:sz="0" w:space="0" w:color="auto"/>
                <w:right w:val="none" w:sz="0" w:space="0" w:color="auto"/>
              </w:divBdr>
              <w:divsChild>
                <w:div w:id="2118215485">
                  <w:marLeft w:val="0"/>
                  <w:marRight w:val="0"/>
                  <w:marTop w:val="0"/>
                  <w:marBottom w:val="0"/>
                  <w:divBdr>
                    <w:top w:val="none" w:sz="0" w:space="0" w:color="auto"/>
                    <w:left w:val="none" w:sz="0" w:space="0" w:color="auto"/>
                    <w:bottom w:val="none" w:sz="0" w:space="0" w:color="auto"/>
                    <w:right w:val="none" w:sz="0" w:space="0" w:color="auto"/>
                  </w:divBdr>
                  <w:divsChild>
                    <w:div w:id="556356417">
                      <w:marLeft w:val="0"/>
                      <w:marRight w:val="0"/>
                      <w:marTop w:val="0"/>
                      <w:marBottom w:val="0"/>
                      <w:divBdr>
                        <w:top w:val="none" w:sz="0" w:space="0" w:color="auto"/>
                        <w:left w:val="none" w:sz="0" w:space="0" w:color="auto"/>
                        <w:bottom w:val="none" w:sz="0" w:space="0" w:color="auto"/>
                        <w:right w:val="none" w:sz="0" w:space="0" w:color="auto"/>
                      </w:divBdr>
                      <w:divsChild>
                        <w:div w:id="624703753">
                          <w:marLeft w:val="0"/>
                          <w:marRight w:val="0"/>
                          <w:marTop w:val="0"/>
                          <w:marBottom w:val="0"/>
                          <w:divBdr>
                            <w:top w:val="none" w:sz="0" w:space="0" w:color="auto"/>
                            <w:left w:val="none" w:sz="0" w:space="0" w:color="auto"/>
                            <w:bottom w:val="none" w:sz="0" w:space="0" w:color="auto"/>
                            <w:right w:val="none" w:sz="0" w:space="0" w:color="auto"/>
                          </w:divBdr>
                          <w:divsChild>
                            <w:div w:id="225192136">
                              <w:marLeft w:val="0"/>
                              <w:marRight w:val="0"/>
                              <w:marTop w:val="0"/>
                              <w:marBottom w:val="0"/>
                              <w:divBdr>
                                <w:top w:val="none" w:sz="0" w:space="0" w:color="auto"/>
                                <w:left w:val="none" w:sz="0" w:space="0" w:color="auto"/>
                                <w:bottom w:val="none" w:sz="0" w:space="0" w:color="auto"/>
                                <w:right w:val="none" w:sz="0" w:space="0" w:color="auto"/>
                              </w:divBdr>
                              <w:divsChild>
                                <w:div w:id="1631012292">
                                  <w:marLeft w:val="0"/>
                                  <w:marRight w:val="0"/>
                                  <w:marTop w:val="30"/>
                                  <w:marBottom w:val="0"/>
                                  <w:divBdr>
                                    <w:top w:val="none" w:sz="0" w:space="0" w:color="auto"/>
                                    <w:left w:val="none" w:sz="0" w:space="0" w:color="auto"/>
                                    <w:bottom w:val="none" w:sz="0" w:space="0" w:color="auto"/>
                                    <w:right w:val="none" w:sz="0" w:space="0" w:color="auto"/>
                                  </w:divBdr>
                                  <w:divsChild>
                                    <w:div w:id="1781143242">
                                      <w:marLeft w:val="0"/>
                                      <w:marRight w:val="0"/>
                                      <w:marTop w:val="0"/>
                                      <w:marBottom w:val="0"/>
                                      <w:divBdr>
                                        <w:top w:val="single" w:sz="6" w:space="0" w:color="000000"/>
                                        <w:left w:val="single" w:sz="6" w:space="0" w:color="000000"/>
                                        <w:bottom w:val="single" w:sz="6" w:space="0" w:color="000000"/>
                                        <w:right w:val="single" w:sz="6" w:space="0" w:color="000000"/>
                                      </w:divBdr>
                                      <w:divsChild>
                                        <w:div w:id="1849635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1689373">
      <w:bodyDiv w:val="1"/>
      <w:marLeft w:val="0"/>
      <w:marRight w:val="0"/>
      <w:marTop w:val="0"/>
      <w:marBottom w:val="0"/>
      <w:divBdr>
        <w:top w:val="none" w:sz="0" w:space="0" w:color="auto"/>
        <w:left w:val="none" w:sz="0" w:space="0" w:color="auto"/>
        <w:bottom w:val="none" w:sz="0" w:space="0" w:color="auto"/>
        <w:right w:val="none" w:sz="0" w:space="0" w:color="auto"/>
      </w:divBdr>
    </w:div>
    <w:div w:id="1714764297">
      <w:bodyDiv w:val="1"/>
      <w:marLeft w:val="0"/>
      <w:marRight w:val="0"/>
      <w:marTop w:val="0"/>
      <w:marBottom w:val="0"/>
      <w:divBdr>
        <w:top w:val="none" w:sz="0" w:space="0" w:color="auto"/>
        <w:left w:val="none" w:sz="0" w:space="0" w:color="auto"/>
        <w:bottom w:val="none" w:sz="0" w:space="0" w:color="auto"/>
        <w:right w:val="none" w:sz="0" w:space="0" w:color="auto"/>
      </w:divBdr>
      <w:divsChild>
        <w:div w:id="2130933451">
          <w:marLeft w:val="0"/>
          <w:marRight w:val="0"/>
          <w:marTop w:val="0"/>
          <w:marBottom w:val="0"/>
          <w:divBdr>
            <w:top w:val="none" w:sz="0" w:space="0" w:color="auto"/>
            <w:left w:val="none" w:sz="0" w:space="0" w:color="auto"/>
            <w:bottom w:val="none" w:sz="0" w:space="0" w:color="auto"/>
            <w:right w:val="none" w:sz="0" w:space="0" w:color="auto"/>
          </w:divBdr>
          <w:divsChild>
            <w:div w:id="984312623">
              <w:marLeft w:val="0"/>
              <w:marRight w:val="0"/>
              <w:marTop w:val="0"/>
              <w:marBottom w:val="0"/>
              <w:divBdr>
                <w:top w:val="none" w:sz="0" w:space="0" w:color="auto"/>
                <w:left w:val="none" w:sz="0" w:space="0" w:color="auto"/>
                <w:bottom w:val="none" w:sz="0" w:space="0" w:color="auto"/>
                <w:right w:val="none" w:sz="0" w:space="0" w:color="auto"/>
              </w:divBdr>
              <w:divsChild>
                <w:div w:id="1266033374">
                  <w:marLeft w:val="0"/>
                  <w:marRight w:val="0"/>
                  <w:marTop w:val="0"/>
                  <w:marBottom w:val="0"/>
                  <w:divBdr>
                    <w:top w:val="none" w:sz="0" w:space="0" w:color="auto"/>
                    <w:left w:val="none" w:sz="0" w:space="0" w:color="auto"/>
                    <w:bottom w:val="none" w:sz="0" w:space="0" w:color="auto"/>
                    <w:right w:val="none" w:sz="0" w:space="0" w:color="auto"/>
                  </w:divBdr>
                  <w:divsChild>
                    <w:div w:id="1287467230">
                      <w:marLeft w:val="0"/>
                      <w:marRight w:val="0"/>
                      <w:marTop w:val="0"/>
                      <w:marBottom w:val="0"/>
                      <w:divBdr>
                        <w:top w:val="none" w:sz="0" w:space="0" w:color="auto"/>
                        <w:left w:val="none" w:sz="0" w:space="0" w:color="auto"/>
                        <w:bottom w:val="none" w:sz="0" w:space="0" w:color="auto"/>
                        <w:right w:val="none" w:sz="0" w:space="0" w:color="auto"/>
                      </w:divBdr>
                      <w:divsChild>
                        <w:div w:id="24333136">
                          <w:marLeft w:val="0"/>
                          <w:marRight w:val="0"/>
                          <w:marTop w:val="0"/>
                          <w:marBottom w:val="0"/>
                          <w:divBdr>
                            <w:top w:val="none" w:sz="0" w:space="0" w:color="auto"/>
                            <w:left w:val="none" w:sz="0" w:space="0" w:color="auto"/>
                            <w:bottom w:val="none" w:sz="0" w:space="0" w:color="auto"/>
                            <w:right w:val="none" w:sz="0" w:space="0" w:color="auto"/>
                          </w:divBdr>
                          <w:divsChild>
                            <w:div w:id="700206569">
                              <w:marLeft w:val="0"/>
                              <w:marRight w:val="0"/>
                              <w:marTop w:val="0"/>
                              <w:marBottom w:val="0"/>
                              <w:divBdr>
                                <w:top w:val="none" w:sz="0" w:space="0" w:color="auto"/>
                                <w:left w:val="none" w:sz="0" w:space="0" w:color="auto"/>
                                <w:bottom w:val="none" w:sz="0" w:space="0" w:color="auto"/>
                                <w:right w:val="none" w:sz="0" w:space="0" w:color="auto"/>
                              </w:divBdr>
                              <w:divsChild>
                                <w:div w:id="1168053934">
                                  <w:marLeft w:val="0"/>
                                  <w:marRight w:val="0"/>
                                  <w:marTop w:val="30"/>
                                  <w:marBottom w:val="0"/>
                                  <w:divBdr>
                                    <w:top w:val="none" w:sz="0" w:space="0" w:color="auto"/>
                                    <w:left w:val="none" w:sz="0" w:space="0" w:color="auto"/>
                                    <w:bottom w:val="none" w:sz="0" w:space="0" w:color="auto"/>
                                    <w:right w:val="none" w:sz="0" w:space="0" w:color="auto"/>
                                  </w:divBdr>
                                  <w:divsChild>
                                    <w:div w:id="494151151">
                                      <w:marLeft w:val="0"/>
                                      <w:marRight w:val="0"/>
                                      <w:marTop w:val="0"/>
                                      <w:marBottom w:val="0"/>
                                      <w:divBdr>
                                        <w:top w:val="single" w:sz="6" w:space="0" w:color="000000"/>
                                        <w:left w:val="single" w:sz="6" w:space="0" w:color="000000"/>
                                        <w:bottom w:val="single" w:sz="6" w:space="0" w:color="000000"/>
                                        <w:right w:val="single" w:sz="6" w:space="0" w:color="000000"/>
                                      </w:divBdr>
                                      <w:divsChild>
                                        <w:div w:id="69496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2217427">
      <w:bodyDiv w:val="1"/>
      <w:marLeft w:val="0"/>
      <w:marRight w:val="0"/>
      <w:marTop w:val="0"/>
      <w:marBottom w:val="0"/>
      <w:divBdr>
        <w:top w:val="none" w:sz="0" w:space="0" w:color="auto"/>
        <w:left w:val="none" w:sz="0" w:space="0" w:color="auto"/>
        <w:bottom w:val="none" w:sz="0" w:space="0" w:color="auto"/>
        <w:right w:val="none" w:sz="0" w:space="0" w:color="auto"/>
      </w:divBdr>
    </w:div>
    <w:div w:id="1771513563">
      <w:bodyDiv w:val="1"/>
      <w:marLeft w:val="0"/>
      <w:marRight w:val="0"/>
      <w:marTop w:val="0"/>
      <w:marBottom w:val="0"/>
      <w:divBdr>
        <w:top w:val="none" w:sz="0" w:space="0" w:color="auto"/>
        <w:left w:val="none" w:sz="0" w:space="0" w:color="auto"/>
        <w:bottom w:val="none" w:sz="0" w:space="0" w:color="auto"/>
        <w:right w:val="none" w:sz="0" w:space="0" w:color="auto"/>
      </w:divBdr>
    </w:div>
    <w:div w:id="1806463754">
      <w:bodyDiv w:val="1"/>
      <w:marLeft w:val="0"/>
      <w:marRight w:val="0"/>
      <w:marTop w:val="0"/>
      <w:marBottom w:val="0"/>
      <w:divBdr>
        <w:top w:val="none" w:sz="0" w:space="0" w:color="auto"/>
        <w:left w:val="none" w:sz="0" w:space="0" w:color="auto"/>
        <w:bottom w:val="none" w:sz="0" w:space="0" w:color="auto"/>
        <w:right w:val="none" w:sz="0" w:space="0" w:color="auto"/>
      </w:divBdr>
      <w:divsChild>
        <w:div w:id="176383876">
          <w:marLeft w:val="0"/>
          <w:marRight w:val="0"/>
          <w:marTop w:val="0"/>
          <w:marBottom w:val="0"/>
          <w:divBdr>
            <w:top w:val="none" w:sz="0" w:space="0" w:color="auto"/>
            <w:left w:val="none" w:sz="0" w:space="0" w:color="auto"/>
            <w:bottom w:val="none" w:sz="0" w:space="0" w:color="auto"/>
            <w:right w:val="none" w:sz="0" w:space="0" w:color="auto"/>
          </w:divBdr>
          <w:divsChild>
            <w:div w:id="1644311172">
              <w:marLeft w:val="0"/>
              <w:marRight w:val="0"/>
              <w:marTop w:val="0"/>
              <w:marBottom w:val="0"/>
              <w:divBdr>
                <w:top w:val="none" w:sz="0" w:space="0" w:color="auto"/>
                <w:left w:val="none" w:sz="0" w:space="0" w:color="auto"/>
                <w:bottom w:val="none" w:sz="0" w:space="0" w:color="auto"/>
                <w:right w:val="none" w:sz="0" w:space="0" w:color="auto"/>
              </w:divBdr>
              <w:divsChild>
                <w:div w:id="1755782379">
                  <w:marLeft w:val="0"/>
                  <w:marRight w:val="0"/>
                  <w:marTop w:val="0"/>
                  <w:marBottom w:val="0"/>
                  <w:divBdr>
                    <w:top w:val="none" w:sz="0" w:space="0" w:color="auto"/>
                    <w:left w:val="none" w:sz="0" w:space="0" w:color="auto"/>
                    <w:bottom w:val="none" w:sz="0" w:space="0" w:color="auto"/>
                    <w:right w:val="none" w:sz="0" w:space="0" w:color="auto"/>
                  </w:divBdr>
                  <w:divsChild>
                    <w:div w:id="1763918975">
                      <w:marLeft w:val="0"/>
                      <w:marRight w:val="0"/>
                      <w:marTop w:val="0"/>
                      <w:marBottom w:val="0"/>
                      <w:divBdr>
                        <w:top w:val="none" w:sz="0" w:space="0" w:color="auto"/>
                        <w:left w:val="none" w:sz="0" w:space="0" w:color="auto"/>
                        <w:bottom w:val="none" w:sz="0" w:space="0" w:color="auto"/>
                        <w:right w:val="none" w:sz="0" w:space="0" w:color="auto"/>
                      </w:divBdr>
                      <w:divsChild>
                        <w:div w:id="212272922">
                          <w:marLeft w:val="0"/>
                          <w:marRight w:val="0"/>
                          <w:marTop w:val="0"/>
                          <w:marBottom w:val="0"/>
                          <w:divBdr>
                            <w:top w:val="none" w:sz="0" w:space="0" w:color="auto"/>
                            <w:left w:val="none" w:sz="0" w:space="0" w:color="auto"/>
                            <w:bottom w:val="none" w:sz="0" w:space="0" w:color="auto"/>
                            <w:right w:val="none" w:sz="0" w:space="0" w:color="auto"/>
                          </w:divBdr>
                          <w:divsChild>
                            <w:div w:id="1178038577">
                              <w:marLeft w:val="0"/>
                              <w:marRight w:val="0"/>
                              <w:marTop w:val="0"/>
                              <w:marBottom w:val="0"/>
                              <w:divBdr>
                                <w:top w:val="none" w:sz="0" w:space="0" w:color="auto"/>
                                <w:left w:val="none" w:sz="0" w:space="0" w:color="auto"/>
                                <w:bottom w:val="none" w:sz="0" w:space="0" w:color="auto"/>
                                <w:right w:val="none" w:sz="0" w:space="0" w:color="auto"/>
                              </w:divBdr>
                              <w:divsChild>
                                <w:div w:id="679503074">
                                  <w:marLeft w:val="0"/>
                                  <w:marRight w:val="0"/>
                                  <w:marTop w:val="30"/>
                                  <w:marBottom w:val="0"/>
                                  <w:divBdr>
                                    <w:top w:val="none" w:sz="0" w:space="0" w:color="auto"/>
                                    <w:left w:val="none" w:sz="0" w:space="0" w:color="auto"/>
                                    <w:bottom w:val="none" w:sz="0" w:space="0" w:color="auto"/>
                                    <w:right w:val="none" w:sz="0" w:space="0" w:color="auto"/>
                                  </w:divBdr>
                                  <w:divsChild>
                                    <w:div w:id="1965110707">
                                      <w:marLeft w:val="0"/>
                                      <w:marRight w:val="0"/>
                                      <w:marTop w:val="0"/>
                                      <w:marBottom w:val="0"/>
                                      <w:divBdr>
                                        <w:top w:val="single" w:sz="6" w:space="0" w:color="000000"/>
                                        <w:left w:val="single" w:sz="6" w:space="0" w:color="000000"/>
                                        <w:bottom w:val="single" w:sz="6" w:space="0" w:color="000000"/>
                                        <w:right w:val="single" w:sz="6" w:space="0" w:color="000000"/>
                                      </w:divBdr>
                                      <w:divsChild>
                                        <w:div w:id="92166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9743647">
      <w:bodyDiv w:val="1"/>
      <w:marLeft w:val="0"/>
      <w:marRight w:val="0"/>
      <w:marTop w:val="0"/>
      <w:marBottom w:val="0"/>
      <w:divBdr>
        <w:top w:val="none" w:sz="0" w:space="0" w:color="auto"/>
        <w:left w:val="none" w:sz="0" w:space="0" w:color="auto"/>
        <w:bottom w:val="none" w:sz="0" w:space="0" w:color="auto"/>
        <w:right w:val="none" w:sz="0" w:space="0" w:color="auto"/>
      </w:divBdr>
      <w:divsChild>
        <w:div w:id="2092508582">
          <w:marLeft w:val="0"/>
          <w:marRight w:val="0"/>
          <w:marTop w:val="0"/>
          <w:marBottom w:val="0"/>
          <w:divBdr>
            <w:top w:val="none" w:sz="0" w:space="0" w:color="auto"/>
            <w:left w:val="none" w:sz="0" w:space="0" w:color="auto"/>
            <w:bottom w:val="none" w:sz="0" w:space="0" w:color="auto"/>
            <w:right w:val="none" w:sz="0" w:space="0" w:color="auto"/>
          </w:divBdr>
          <w:divsChild>
            <w:div w:id="424350317">
              <w:marLeft w:val="0"/>
              <w:marRight w:val="0"/>
              <w:marTop w:val="0"/>
              <w:marBottom w:val="0"/>
              <w:divBdr>
                <w:top w:val="none" w:sz="0" w:space="0" w:color="auto"/>
                <w:left w:val="none" w:sz="0" w:space="0" w:color="auto"/>
                <w:bottom w:val="none" w:sz="0" w:space="0" w:color="auto"/>
                <w:right w:val="none" w:sz="0" w:space="0" w:color="auto"/>
              </w:divBdr>
              <w:divsChild>
                <w:div w:id="865292267">
                  <w:marLeft w:val="0"/>
                  <w:marRight w:val="0"/>
                  <w:marTop w:val="0"/>
                  <w:marBottom w:val="0"/>
                  <w:divBdr>
                    <w:top w:val="none" w:sz="0" w:space="0" w:color="auto"/>
                    <w:left w:val="none" w:sz="0" w:space="0" w:color="auto"/>
                    <w:bottom w:val="none" w:sz="0" w:space="0" w:color="auto"/>
                    <w:right w:val="none" w:sz="0" w:space="0" w:color="auto"/>
                  </w:divBdr>
                  <w:divsChild>
                    <w:div w:id="1808815905">
                      <w:marLeft w:val="0"/>
                      <w:marRight w:val="0"/>
                      <w:marTop w:val="0"/>
                      <w:marBottom w:val="0"/>
                      <w:divBdr>
                        <w:top w:val="none" w:sz="0" w:space="0" w:color="auto"/>
                        <w:left w:val="none" w:sz="0" w:space="0" w:color="auto"/>
                        <w:bottom w:val="none" w:sz="0" w:space="0" w:color="auto"/>
                        <w:right w:val="none" w:sz="0" w:space="0" w:color="auto"/>
                      </w:divBdr>
                      <w:divsChild>
                        <w:div w:id="1004741410">
                          <w:marLeft w:val="0"/>
                          <w:marRight w:val="0"/>
                          <w:marTop w:val="0"/>
                          <w:marBottom w:val="0"/>
                          <w:divBdr>
                            <w:top w:val="none" w:sz="0" w:space="0" w:color="auto"/>
                            <w:left w:val="none" w:sz="0" w:space="0" w:color="auto"/>
                            <w:bottom w:val="none" w:sz="0" w:space="0" w:color="auto"/>
                            <w:right w:val="none" w:sz="0" w:space="0" w:color="auto"/>
                          </w:divBdr>
                          <w:divsChild>
                            <w:div w:id="1147011374">
                              <w:marLeft w:val="0"/>
                              <w:marRight w:val="0"/>
                              <w:marTop w:val="0"/>
                              <w:marBottom w:val="0"/>
                              <w:divBdr>
                                <w:top w:val="none" w:sz="0" w:space="0" w:color="auto"/>
                                <w:left w:val="none" w:sz="0" w:space="0" w:color="auto"/>
                                <w:bottom w:val="none" w:sz="0" w:space="0" w:color="auto"/>
                                <w:right w:val="none" w:sz="0" w:space="0" w:color="auto"/>
                              </w:divBdr>
                              <w:divsChild>
                                <w:div w:id="2123919920">
                                  <w:marLeft w:val="0"/>
                                  <w:marRight w:val="0"/>
                                  <w:marTop w:val="30"/>
                                  <w:marBottom w:val="0"/>
                                  <w:divBdr>
                                    <w:top w:val="none" w:sz="0" w:space="0" w:color="auto"/>
                                    <w:left w:val="none" w:sz="0" w:space="0" w:color="auto"/>
                                    <w:bottom w:val="none" w:sz="0" w:space="0" w:color="auto"/>
                                    <w:right w:val="none" w:sz="0" w:space="0" w:color="auto"/>
                                  </w:divBdr>
                                  <w:divsChild>
                                    <w:div w:id="484973897">
                                      <w:marLeft w:val="0"/>
                                      <w:marRight w:val="0"/>
                                      <w:marTop w:val="0"/>
                                      <w:marBottom w:val="0"/>
                                      <w:divBdr>
                                        <w:top w:val="single" w:sz="6" w:space="0" w:color="000000"/>
                                        <w:left w:val="single" w:sz="6" w:space="0" w:color="000000"/>
                                        <w:bottom w:val="single" w:sz="6" w:space="0" w:color="000000"/>
                                        <w:right w:val="single" w:sz="6" w:space="0" w:color="000000"/>
                                      </w:divBdr>
                                      <w:divsChild>
                                        <w:div w:id="2144958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6534263">
      <w:bodyDiv w:val="1"/>
      <w:marLeft w:val="0"/>
      <w:marRight w:val="0"/>
      <w:marTop w:val="0"/>
      <w:marBottom w:val="0"/>
      <w:divBdr>
        <w:top w:val="none" w:sz="0" w:space="0" w:color="auto"/>
        <w:left w:val="none" w:sz="0" w:space="0" w:color="auto"/>
        <w:bottom w:val="none" w:sz="0" w:space="0" w:color="auto"/>
        <w:right w:val="none" w:sz="0" w:space="0" w:color="auto"/>
      </w:divBdr>
      <w:divsChild>
        <w:div w:id="900557924">
          <w:marLeft w:val="0"/>
          <w:marRight w:val="0"/>
          <w:marTop w:val="0"/>
          <w:marBottom w:val="0"/>
          <w:divBdr>
            <w:top w:val="none" w:sz="0" w:space="0" w:color="auto"/>
            <w:left w:val="none" w:sz="0" w:space="0" w:color="auto"/>
            <w:bottom w:val="none" w:sz="0" w:space="0" w:color="auto"/>
            <w:right w:val="none" w:sz="0" w:space="0" w:color="auto"/>
          </w:divBdr>
          <w:divsChild>
            <w:div w:id="45417550">
              <w:marLeft w:val="0"/>
              <w:marRight w:val="0"/>
              <w:marTop w:val="0"/>
              <w:marBottom w:val="0"/>
              <w:divBdr>
                <w:top w:val="none" w:sz="0" w:space="0" w:color="auto"/>
                <w:left w:val="none" w:sz="0" w:space="0" w:color="auto"/>
                <w:bottom w:val="none" w:sz="0" w:space="0" w:color="auto"/>
                <w:right w:val="none" w:sz="0" w:space="0" w:color="auto"/>
              </w:divBdr>
              <w:divsChild>
                <w:div w:id="1481192365">
                  <w:marLeft w:val="0"/>
                  <w:marRight w:val="0"/>
                  <w:marTop w:val="0"/>
                  <w:marBottom w:val="0"/>
                  <w:divBdr>
                    <w:top w:val="none" w:sz="0" w:space="0" w:color="auto"/>
                    <w:left w:val="none" w:sz="0" w:space="0" w:color="auto"/>
                    <w:bottom w:val="none" w:sz="0" w:space="0" w:color="auto"/>
                    <w:right w:val="none" w:sz="0" w:space="0" w:color="auto"/>
                  </w:divBdr>
                  <w:divsChild>
                    <w:div w:id="351035845">
                      <w:marLeft w:val="0"/>
                      <w:marRight w:val="0"/>
                      <w:marTop w:val="0"/>
                      <w:marBottom w:val="0"/>
                      <w:divBdr>
                        <w:top w:val="none" w:sz="0" w:space="0" w:color="auto"/>
                        <w:left w:val="none" w:sz="0" w:space="0" w:color="auto"/>
                        <w:bottom w:val="none" w:sz="0" w:space="0" w:color="auto"/>
                        <w:right w:val="none" w:sz="0" w:space="0" w:color="auto"/>
                      </w:divBdr>
                      <w:divsChild>
                        <w:div w:id="1450927395">
                          <w:marLeft w:val="0"/>
                          <w:marRight w:val="0"/>
                          <w:marTop w:val="0"/>
                          <w:marBottom w:val="0"/>
                          <w:divBdr>
                            <w:top w:val="none" w:sz="0" w:space="0" w:color="auto"/>
                            <w:left w:val="none" w:sz="0" w:space="0" w:color="auto"/>
                            <w:bottom w:val="none" w:sz="0" w:space="0" w:color="auto"/>
                            <w:right w:val="none" w:sz="0" w:space="0" w:color="auto"/>
                          </w:divBdr>
                          <w:divsChild>
                            <w:div w:id="1217201712">
                              <w:marLeft w:val="0"/>
                              <w:marRight w:val="0"/>
                              <w:marTop w:val="0"/>
                              <w:marBottom w:val="0"/>
                              <w:divBdr>
                                <w:top w:val="none" w:sz="0" w:space="0" w:color="auto"/>
                                <w:left w:val="none" w:sz="0" w:space="0" w:color="auto"/>
                                <w:bottom w:val="none" w:sz="0" w:space="0" w:color="auto"/>
                                <w:right w:val="none" w:sz="0" w:space="0" w:color="auto"/>
                              </w:divBdr>
                              <w:divsChild>
                                <w:div w:id="1299141553">
                                  <w:marLeft w:val="0"/>
                                  <w:marRight w:val="0"/>
                                  <w:marTop w:val="30"/>
                                  <w:marBottom w:val="0"/>
                                  <w:divBdr>
                                    <w:top w:val="none" w:sz="0" w:space="0" w:color="auto"/>
                                    <w:left w:val="none" w:sz="0" w:space="0" w:color="auto"/>
                                    <w:bottom w:val="none" w:sz="0" w:space="0" w:color="auto"/>
                                    <w:right w:val="none" w:sz="0" w:space="0" w:color="auto"/>
                                  </w:divBdr>
                                  <w:divsChild>
                                    <w:div w:id="184293863">
                                      <w:marLeft w:val="0"/>
                                      <w:marRight w:val="0"/>
                                      <w:marTop w:val="0"/>
                                      <w:marBottom w:val="0"/>
                                      <w:divBdr>
                                        <w:top w:val="single" w:sz="6" w:space="0" w:color="000000"/>
                                        <w:left w:val="single" w:sz="6" w:space="0" w:color="000000"/>
                                        <w:bottom w:val="single" w:sz="6" w:space="0" w:color="000000"/>
                                        <w:right w:val="single" w:sz="6" w:space="0" w:color="000000"/>
                                      </w:divBdr>
                                      <w:divsChild>
                                        <w:div w:id="1868057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4000937">
      <w:bodyDiv w:val="1"/>
      <w:marLeft w:val="0"/>
      <w:marRight w:val="0"/>
      <w:marTop w:val="0"/>
      <w:marBottom w:val="0"/>
      <w:divBdr>
        <w:top w:val="none" w:sz="0" w:space="0" w:color="auto"/>
        <w:left w:val="none" w:sz="0" w:space="0" w:color="auto"/>
        <w:bottom w:val="none" w:sz="0" w:space="0" w:color="auto"/>
        <w:right w:val="none" w:sz="0" w:space="0" w:color="auto"/>
      </w:divBdr>
    </w:div>
    <w:div w:id="1980571073">
      <w:bodyDiv w:val="1"/>
      <w:marLeft w:val="0"/>
      <w:marRight w:val="0"/>
      <w:marTop w:val="0"/>
      <w:marBottom w:val="0"/>
      <w:divBdr>
        <w:top w:val="none" w:sz="0" w:space="0" w:color="auto"/>
        <w:left w:val="none" w:sz="0" w:space="0" w:color="auto"/>
        <w:bottom w:val="none" w:sz="0" w:space="0" w:color="auto"/>
        <w:right w:val="none" w:sz="0" w:space="0" w:color="auto"/>
      </w:divBdr>
      <w:divsChild>
        <w:div w:id="1863125446">
          <w:marLeft w:val="0"/>
          <w:marRight w:val="0"/>
          <w:marTop w:val="0"/>
          <w:marBottom w:val="0"/>
          <w:divBdr>
            <w:top w:val="none" w:sz="0" w:space="0" w:color="auto"/>
            <w:left w:val="none" w:sz="0" w:space="0" w:color="auto"/>
            <w:bottom w:val="none" w:sz="0" w:space="0" w:color="auto"/>
            <w:right w:val="none" w:sz="0" w:space="0" w:color="auto"/>
          </w:divBdr>
          <w:divsChild>
            <w:div w:id="895900184">
              <w:marLeft w:val="0"/>
              <w:marRight w:val="0"/>
              <w:marTop w:val="0"/>
              <w:marBottom w:val="0"/>
              <w:divBdr>
                <w:top w:val="none" w:sz="0" w:space="0" w:color="auto"/>
                <w:left w:val="none" w:sz="0" w:space="0" w:color="auto"/>
                <w:bottom w:val="none" w:sz="0" w:space="0" w:color="auto"/>
                <w:right w:val="none" w:sz="0" w:space="0" w:color="auto"/>
              </w:divBdr>
              <w:divsChild>
                <w:div w:id="1631129095">
                  <w:marLeft w:val="0"/>
                  <w:marRight w:val="0"/>
                  <w:marTop w:val="0"/>
                  <w:marBottom w:val="0"/>
                  <w:divBdr>
                    <w:top w:val="none" w:sz="0" w:space="0" w:color="auto"/>
                    <w:left w:val="none" w:sz="0" w:space="0" w:color="auto"/>
                    <w:bottom w:val="none" w:sz="0" w:space="0" w:color="auto"/>
                    <w:right w:val="none" w:sz="0" w:space="0" w:color="auto"/>
                  </w:divBdr>
                  <w:divsChild>
                    <w:div w:id="448091561">
                      <w:marLeft w:val="0"/>
                      <w:marRight w:val="0"/>
                      <w:marTop w:val="0"/>
                      <w:marBottom w:val="0"/>
                      <w:divBdr>
                        <w:top w:val="none" w:sz="0" w:space="0" w:color="auto"/>
                        <w:left w:val="none" w:sz="0" w:space="0" w:color="auto"/>
                        <w:bottom w:val="none" w:sz="0" w:space="0" w:color="auto"/>
                        <w:right w:val="none" w:sz="0" w:space="0" w:color="auto"/>
                      </w:divBdr>
                      <w:divsChild>
                        <w:div w:id="1062751348">
                          <w:marLeft w:val="0"/>
                          <w:marRight w:val="0"/>
                          <w:marTop w:val="0"/>
                          <w:marBottom w:val="0"/>
                          <w:divBdr>
                            <w:top w:val="none" w:sz="0" w:space="0" w:color="auto"/>
                            <w:left w:val="none" w:sz="0" w:space="0" w:color="auto"/>
                            <w:bottom w:val="none" w:sz="0" w:space="0" w:color="auto"/>
                            <w:right w:val="none" w:sz="0" w:space="0" w:color="auto"/>
                          </w:divBdr>
                          <w:divsChild>
                            <w:div w:id="836992664">
                              <w:marLeft w:val="0"/>
                              <w:marRight w:val="0"/>
                              <w:marTop w:val="0"/>
                              <w:marBottom w:val="0"/>
                              <w:divBdr>
                                <w:top w:val="none" w:sz="0" w:space="0" w:color="auto"/>
                                <w:left w:val="none" w:sz="0" w:space="0" w:color="auto"/>
                                <w:bottom w:val="none" w:sz="0" w:space="0" w:color="auto"/>
                                <w:right w:val="none" w:sz="0" w:space="0" w:color="auto"/>
                              </w:divBdr>
                              <w:divsChild>
                                <w:div w:id="2070152807">
                                  <w:marLeft w:val="0"/>
                                  <w:marRight w:val="0"/>
                                  <w:marTop w:val="30"/>
                                  <w:marBottom w:val="0"/>
                                  <w:divBdr>
                                    <w:top w:val="none" w:sz="0" w:space="0" w:color="auto"/>
                                    <w:left w:val="none" w:sz="0" w:space="0" w:color="auto"/>
                                    <w:bottom w:val="none" w:sz="0" w:space="0" w:color="auto"/>
                                    <w:right w:val="none" w:sz="0" w:space="0" w:color="auto"/>
                                  </w:divBdr>
                                  <w:divsChild>
                                    <w:div w:id="2079084766">
                                      <w:marLeft w:val="0"/>
                                      <w:marRight w:val="0"/>
                                      <w:marTop w:val="0"/>
                                      <w:marBottom w:val="0"/>
                                      <w:divBdr>
                                        <w:top w:val="single" w:sz="6" w:space="0" w:color="000000"/>
                                        <w:left w:val="single" w:sz="6" w:space="0" w:color="000000"/>
                                        <w:bottom w:val="single" w:sz="6" w:space="0" w:color="000000"/>
                                        <w:right w:val="single" w:sz="6" w:space="0" w:color="000000"/>
                                      </w:divBdr>
                                      <w:divsChild>
                                        <w:div w:id="2795296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5647293">
      <w:bodyDiv w:val="1"/>
      <w:marLeft w:val="0"/>
      <w:marRight w:val="0"/>
      <w:marTop w:val="0"/>
      <w:marBottom w:val="0"/>
      <w:divBdr>
        <w:top w:val="none" w:sz="0" w:space="0" w:color="auto"/>
        <w:left w:val="none" w:sz="0" w:space="0" w:color="auto"/>
        <w:bottom w:val="none" w:sz="0" w:space="0" w:color="auto"/>
        <w:right w:val="none" w:sz="0" w:space="0" w:color="auto"/>
      </w:divBdr>
      <w:divsChild>
        <w:div w:id="602802623">
          <w:marLeft w:val="0"/>
          <w:marRight w:val="0"/>
          <w:marTop w:val="0"/>
          <w:marBottom w:val="0"/>
          <w:divBdr>
            <w:top w:val="none" w:sz="0" w:space="0" w:color="auto"/>
            <w:left w:val="none" w:sz="0" w:space="0" w:color="auto"/>
            <w:bottom w:val="none" w:sz="0" w:space="0" w:color="auto"/>
            <w:right w:val="none" w:sz="0" w:space="0" w:color="auto"/>
          </w:divBdr>
          <w:divsChild>
            <w:div w:id="679430607">
              <w:marLeft w:val="0"/>
              <w:marRight w:val="0"/>
              <w:marTop w:val="0"/>
              <w:marBottom w:val="0"/>
              <w:divBdr>
                <w:top w:val="none" w:sz="0" w:space="0" w:color="auto"/>
                <w:left w:val="none" w:sz="0" w:space="0" w:color="auto"/>
                <w:bottom w:val="none" w:sz="0" w:space="0" w:color="auto"/>
                <w:right w:val="none" w:sz="0" w:space="0" w:color="auto"/>
              </w:divBdr>
              <w:divsChild>
                <w:div w:id="363099782">
                  <w:marLeft w:val="0"/>
                  <w:marRight w:val="0"/>
                  <w:marTop w:val="0"/>
                  <w:marBottom w:val="0"/>
                  <w:divBdr>
                    <w:top w:val="none" w:sz="0" w:space="0" w:color="auto"/>
                    <w:left w:val="none" w:sz="0" w:space="0" w:color="auto"/>
                    <w:bottom w:val="none" w:sz="0" w:space="0" w:color="auto"/>
                    <w:right w:val="none" w:sz="0" w:space="0" w:color="auto"/>
                  </w:divBdr>
                  <w:divsChild>
                    <w:div w:id="1294217100">
                      <w:marLeft w:val="0"/>
                      <w:marRight w:val="0"/>
                      <w:marTop w:val="0"/>
                      <w:marBottom w:val="0"/>
                      <w:divBdr>
                        <w:top w:val="none" w:sz="0" w:space="0" w:color="auto"/>
                        <w:left w:val="none" w:sz="0" w:space="0" w:color="auto"/>
                        <w:bottom w:val="none" w:sz="0" w:space="0" w:color="auto"/>
                        <w:right w:val="none" w:sz="0" w:space="0" w:color="auto"/>
                      </w:divBdr>
                      <w:divsChild>
                        <w:div w:id="651446266">
                          <w:marLeft w:val="0"/>
                          <w:marRight w:val="0"/>
                          <w:marTop w:val="0"/>
                          <w:marBottom w:val="0"/>
                          <w:divBdr>
                            <w:top w:val="none" w:sz="0" w:space="0" w:color="auto"/>
                            <w:left w:val="none" w:sz="0" w:space="0" w:color="auto"/>
                            <w:bottom w:val="none" w:sz="0" w:space="0" w:color="auto"/>
                            <w:right w:val="none" w:sz="0" w:space="0" w:color="auto"/>
                          </w:divBdr>
                          <w:divsChild>
                            <w:div w:id="59180981">
                              <w:marLeft w:val="0"/>
                              <w:marRight w:val="0"/>
                              <w:marTop w:val="0"/>
                              <w:marBottom w:val="0"/>
                              <w:divBdr>
                                <w:top w:val="none" w:sz="0" w:space="0" w:color="auto"/>
                                <w:left w:val="none" w:sz="0" w:space="0" w:color="auto"/>
                                <w:bottom w:val="none" w:sz="0" w:space="0" w:color="auto"/>
                                <w:right w:val="none" w:sz="0" w:space="0" w:color="auto"/>
                              </w:divBdr>
                              <w:divsChild>
                                <w:div w:id="4019496">
                                  <w:marLeft w:val="0"/>
                                  <w:marRight w:val="0"/>
                                  <w:marTop w:val="30"/>
                                  <w:marBottom w:val="0"/>
                                  <w:divBdr>
                                    <w:top w:val="none" w:sz="0" w:space="0" w:color="auto"/>
                                    <w:left w:val="none" w:sz="0" w:space="0" w:color="auto"/>
                                    <w:bottom w:val="none" w:sz="0" w:space="0" w:color="auto"/>
                                    <w:right w:val="none" w:sz="0" w:space="0" w:color="auto"/>
                                  </w:divBdr>
                                  <w:divsChild>
                                    <w:div w:id="818886503">
                                      <w:marLeft w:val="0"/>
                                      <w:marRight w:val="0"/>
                                      <w:marTop w:val="0"/>
                                      <w:marBottom w:val="0"/>
                                      <w:divBdr>
                                        <w:top w:val="single" w:sz="6" w:space="0" w:color="000000"/>
                                        <w:left w:val="single" w:sz="6" w:space="0" w:color="000000"/>
                                        <w:bottom w:val="single" w:sz="6" w:space="0" w:color="000000"/>
                                        <w:right w:val="single" w:sz="6" w:space="0" w:color="000000"/>
                                      </w:divBdr>
                                      <w:divsChild>
                                        <w:div w:id="242298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2441117">
      <w:bodyDiv w:val="1"/>
      <w:marLeft w:val="0"/>
      <w:marRight w:val="0"/>
      <w:marTop w:val="0"/>
      <w:marBottom w:val="0"/>
      <w:divBdr>
        <w:top w:val="none" w:sz="0" w:space="0" w:color="auto"/>
        <w:left w:val="none" w:sz="0" w:space="0" w:color="auto"/>
        <w:bottom w:val="none" w:sz="0" w:space="0" w:color="auto"/>
        <w:right w:val="none" w:sz="0" w:space="0" w:color="auto"/>
      </w:divBdr>
      <w:divsChild>
        <w:div w:id="1514683766">
          <w:marLeft w:val="0"/>
          <w:marRight w:val="0"/>
          <w:marTop w:val="0"/>
          <w:marBottom w:val="0"/>
          <w:divBdr>
            <w:top w:val="none" w:sz="0" w:space="0" w:color="auto"/>
            <w:left w:val="none" w:sz="0" w:space="0" w:color="auto"/>
            <w:bottom w:val="none" w:sz="0" w:space="0" w:color="auto"/>
            <w:right w:val="none" w:sz="0" w:space="0" w:color="auto"/>
          </w:divBdr>
          <w:divsChild>
            <w:div w:id="625699406">
              <w:marLeft w:val="0"/>
              <w:marRight w:val="0"/>
              <w:marTop w:val="0"/>
              <w:marBottom w:val="0"/>
              <w:divBdr>
                <w:top w:val="none" w:sz="0" w:space="0" w:color="auto"/>
                <w:left w:val="none" w:sz="0" w:space="0" w:color="auto"/>
                <w:bottom w:val="none" w:sz="0" w:space="0" w:color="auto"/>
                <w:right w:val="none" w:sz="0" w:space="0" w:color="auto"/>
              </w:divBdr>
              <w:divsChild>
                <w:div w:id="349456113">
                  <w:marLeft w:val="0"/>
                  <w:marRight w:val="0"/>
                  <w:marTop w:val="0"/>
                  <w:marBottom w:val="0"/>
                  <w:divBdr>
                    <w:top w:val="none" w:sz="0" w:space="0" w:color="auto"/>
                    <w:left w:val="none" w:sz="0" w:space="0" w:color="auto"/>
                    <w:bottom w:val="none" w:sz="0" w:space="0" w:color="auto"/>
                    <w:right w:val="none" w:sz="0" w:space="0" w:color="auto"/>
                  </w:divBdr>
                  <w:divsChild>
                    <w:div w:id="1304583569">
                      <w:marLeft w:val="0"/>
                      <w:marRight w:val="0"/>
                      <w:marTop w:val="0"/>
                      <w:marBottom w:val="0"/>
                      <w:divBdr>
                        <w:top w:val="none" w:sz="0" w:space="0" w:color="auto"/>
                        <w:left w:val="none" w:sz="0" w:space="0" w:color="auto"/>
                        <w:bottom w:val="none" w:sz="0" w:space="0" w:color="auto"/>
                        <w:right w:val="none" w:sz="0" w:space="0" w:color="auto"/>
                      </w:divBdr>
                      <w:divsChild>
                        <w:div w:id="59184191">
                          <w:marLeft w:val="0"/>
                          <w:marRight w:val="0"/>
                          <w:marTop w:val="0"/>
                          <w:marBottom w:val="0"/>
                          <w:divBdr>
                            <w:top w:val="none" w:sz="0" w:space="0" w:color="auto"/>
                            <w:left w:val="none" w:sz="0" w:space="0" w:color="auto"/>
                            <w:bottom w:val="none" w:sz="0" w:space="0" w:color="auto"/>
                            <w:right w:val="none" w:sz="0" w:space="0" w:color="auto"/>
                          </w:divBdr>
                          <w:divsChild>
                            <w:div w:id="825166855">
                              <w:marLeft w:val="0"/>
                              <w:marRight w:val="0"/>
                              <w:marTop w:val="0"/>
                              <w:marBottom w:val="0"/>
                              <w:divBdr>
                                <w:top w:val="none" w:sz="0" w:space="0" w:color="auto"/>
                                <w:left w:val="none" w:sz="0" w:space="0" w:color="auto"/>
                                <w:bottom w:val="none" w:sz="0" w:space="0" w:color="auto"/>
                                <w:right w:val="none" w:sz="0" w:space="0" w:color="auto"/>
                              </w:divBdr>
                              <w:divsChild>
                                <w:div w:id="642661551">
                                  <w:marLeft w:val="0"/>
                                  <w:marRight w:val="0"/>
                                  <w:marTop w:val="30"/>
                                  <w:marBottom w:val="0"/>
                                  <w:divBdr>
                                    <w:top w:val="none" w:sz="0" w:space="0" w:color="auto"/>
                                    <w:left w:val="none" w:sz="0" w:space="0" w:color="auto"/>
                                    <w:bottom w:val="none" w:sz="0" w:space="0" w:color="auto"/>
                                    <w:right w:val="none" w:sz="0" w:space="0" w:color="auto"/>
                                  </w:divBdr>
                                  <w:divsChild>
                                    <w:div w:id="9416445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1815267">
      <w:bodyDiv w:val="1"/>
      <w:marLeft w:val="0"/>
      <w:marRight w:val="0"/>
      <w:marTop w:val="0"/>
      <w:marBottom w:val="0"/>
      <w:divBdr>
        <w:top w:val="none" w:sz="0" w:space="0" w:color="auto"/>
        <w:left w:val="none" w:sz="0" w:space="0" w:color="auto"/>
        <w:bottom w:val="none" w:sz="0" w:space="0" w:color="auto"/>
        <w:right w:val="none" w:sz="0" w:space="0" w:color="auto"/>
      </w:divBdr>
      <w:divsChild>
        <w:div w:id="1087994331">
          <w:marLeft w:val="0"/>
          <w:marRight w:val="0"/>
          <w:marTop w:val="0"/>
          <w:marBottom w:val="0"/>
          <w:divBdr>
            <w:top w:val="none" w:sz="0" w:space="0" w:color="auto"/>
            <w:left w:val="none" w:sz="0" w:space="0" w:color="auto"/>
            <w:bottom w:val="none" w:sz="0" w:space="0" w:color="auto"/>
            <w:right w:val="none" w:sz="0" w:space="0" w:color="auto"/>
          </w:divBdr>
          <w:divsChild>
            <w:div w:id="536747302">
              <w:marLeft w:val="0"/>
              <w:marRight w:val="0"/>
              <w:marTop w:val="0"/>
              <w:marBottom w:val="0"/>
              <w:divBdr>
                <w:top w:val="none" w:sz="0" w:space="0" w:color="auto"/>
                <w:left w:val="none" w:sz="0" w:space="0" w:color="auto"/>
                <w:bottom w:val="none" w:sz="0" w:space="0" w:color="auto"/>
                <w:right w:val="none" w:sz="0" w:space="0" w:color="auto"/>
              </w:divBdr>
              <w:divsChild>
                <w:div w:id="1120997938">
                  <w:marLeft w:val="0"/>
                  <w:marRight w:val="0"/>
                  <w:marTop w:val="0"/>
                  <w:marBottom w:val="0"/>
                  <w:divBdr>
                    <w:top w:val="none" w:sz="0" w:space="0" w:color="auto"/>
                    <w:left w:val="none" w:sz="0" w:space="0" w:color="auto"/>
                    <w:bottom w:val="none" w:sz="0" w:space="0" w:color="auto"/>
                    <w:right w:val="none" w:sz="0" w:space="0" w:color="auto"/>
                  </w:divBdr>
                  <w:divsChild>
                    <w:div w:id="393502955">
                      <w:marLeft w:val="0"/>
                      <w:marRight w:val="0"/>
                      <w:marTop w:val="0"/>
                      <w:marBottom w:val="0"/>
                      <w:divBdr>
                        <w:top w:val="none" w:sz="0" w:space="0" w:color="auto"/>
                        <w:left w:val="none" w:sz="0" w:space="0" w:color="auto"/>
                        <w:bottom w:val="none" w:sz="0" w:space="0" w:color="auto"/>
                        <w:right w:val="none" w:sz="0" w:space="0" w:color="auto"/>
                      </w:divBdr>
                      <w:divsChild>
                        <w:div w:id="804346613">
                          <w:marLeft w:val="0"/>
                          <w:marRight w:val="0"/>
                          <w:marTop w:val="0"/>
                          <w:marBottom w:val="0"/>
                          <w:divBdr>
                            <w:top w:val="none" w:sz="0" w:space="0" w:color="auto"/>
                            <w:left w:val="none" w:sz="0" w:space="0" w:color="auto"/>
                            <w:bottom w:val="none" w:sz="0" w:space="0" w:color="auto"/>
                            <w:right w:val="none" w:sz="0" w:space="0" w:color="auto"/>
                          </w:divBdr>
                          <w:divsChild>
                            <w:div w:id="2129347076">
                              <w:marLeft w:val="0"/>
                              <w:marRight w:val="0"/>
                              <w:marTop w:val="0"/>
                              <w:marBottom w:val="0"/>
                              <w:divBdr>
                                <w:top w:val="none" w:sz="0" w:space="0" w:color="auto"/>
                                <w:left w:val="none" w:sz="0" w:space="0" w:color="auto"/>
                                <w:bottom w:val="none" w:sz="0" w:space="0" w:color="auto"/>
                                <w:right w:val="none" w:sz="0" w:space="0" w:color="auto"/>
                              </w:divBdr>
                              <w:divsChild>
                                <w:div w:id="125899400">
                                  <w:marLeft w:val="0"/>
                                  <w:marRight w:val="0"/>
                                  <w:marTop w:val="30"/>
                                  <w:marBottom w:val="0"/>
                                  <w:divBdr>
                                    <w:top w:val="none" w:sz="0" w:space="0" w:color="auto"/>
                                    <w:left w:val="none" w:sz="0" w:space="0" w:color="auto"/>
                                    <w:bottom w:val="none" w:sz="0" w:space="0" w:color="auto"/>
                                    <w:right w:val="none" w:sz="0" w:space="0" w:color="auto"/>
                                  </w:divBdr>
                                  <w:divsChild>
                                    <w:div w:id="1581716278">
                                      <w:marLeft w:val="0"/>
                                      <w:marRight w:val="0"/>
                                      <w:marTop w:val="0"/>
                                      <w:marBottom w:val="0"/>
                                      <w:divBdr>
                                        <w:top w:val="single" w:sz="6" w:space="0" w:color="000000"/>
                                        <w:left w:val="single" w:sz="6" w:space="0" w:color="000000"/>
                                        <w:bottom w:val="single" w:sz="6" w:space="0" w:color="000000"/>
                                        <w:right w:val="single" w:sz="6" w:space="0" w:color="000000"/>
                                      </w:divBdr>
                                      <w:divsChild>
                                        <w:div w:id="253781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5811062">
      <w:bodyDiv w:val="1"/>
      <w:marLeft w:val="0"/>
      <w:marRight w:val="0"/>
      <w:marTop w:val="0"/>
      <w:marBottom w:val="0"/>
      <w:divBdr>
        <w:top w:val="none" w:sz="0" w:space="0" w:color="auto"/>
        <w:left w:val="none" w:sz="0" w:space="0" w:color="auto"/>
        <w:bottom w:val="none" w:sz="0" w:space="0" w:color="auto"/>
        <w:right w:val="none" w:sz="0" w:space="0" w:color="auto"/>
      </w:divBdr>
      <w:divsChild>
        <w:div w:id="1040322534">
          <w:marLeft w:val="0"/>
          <w:marRight w:val="0"/>
          <w:marTop w:val="0"/>
          <w:marBottom w:val="0"/>
          <w:divBdr>
            <w:top w:val="none" w:sz="0" w:space="0" w:color="auto"/>
            <w:left w:val="none" w:sz="0" w:space="0" w:color="auto"/>
            <w:bottom w:val="none" w:sz="0" w:space="0" w:color="auto"/>
            <w:right w:val="none" w:sz="0" w:space="0" w:color="auto"/>
          </w:divBdr>
          <w:divsChild>
            <w:div w:id="1720546564">
              <w:marLeft w:val="0"/>
              <w:marRight w:val="0"/>
              <w:marTop w:val="0"/>
              <w:marBottom w:val="0"/>
              <w:divBdr>
                <w:top w:val="none" w:sz="0" w:space="0" w:color="auto"/>
                <w:left w:val="none" w:sz="0" w:space="0" w:color="auto"/>
                <w:bottom w:val="none" w:sz="0" w:space="0" w:color="auto"/>
                <w:right w:val="none" w:sz="0" w:space="0" w:color="auto"/>
              </w:divBdr>
              <w:divsChild>
                <w:div w:id="998652508">
                  <w:marLeft w:val="0"/>
                  <w:marRight w:val="0"/>
                  <w:marTop w:val="0"/>
                  <w:marBottom w:val="0"/>
                  <w:divBdr>
                    <w:top w:val="none" w:sz="0" w:space="0" w:color="auto"/>
                    <w:left w:val="none" w:sz="0" w:space="0" w:color="auto"/>
                    <w:bottom w:val="none" w:sz="0" w:space="0" w:color="auto"/>
                    <w:right w:val="none" w:sz="0" w:space="0" w:color="auto"/>
                  </w:divBdr>
                  <w:divsChild>
                    <w:div w:id="91320656">
                      <w:marLeft w:val="0"/>
                      <w:marRight w:val="0"/>
                      <w:marTop w:val="0"/>
                      <w:marBottom w:val="0"/>
                      <w:divBdr>
                        <w:top w:val="none" w:sz="0" w:space="0" w:color="auto"/>
                        <w:left w:val="none" w:sz="0" w:space="0" w:color="auto"/>
                        <w:bottom w:val="none" w:sz="0" w:space="0" w:color="auto"/>
                        <w:right w:val="none" w:sz="0" w:space="0" w:color="auto"/>
                      </w:divBdr>
                      <w:divsChild>
                        <w:div w:id="1895117227">
                          <w:marLeft w:val="0"/>
                          <w:marRight w:val="0"/>
                          <w:marTop w:val="0"/>
                          <w:marBottom w:val="0"/>
                          <w:divBdr>
                            <w:top w:val="none" w:sz="0" w:space="0" w:color="auto"/>
                            <w:left w:val="none" w:sz="0" w:space="0" w:color="auto"/>
                            <w:bottom w:val="none" w:sz="0" w:space="0" w:color="auto"/>
                            <w:right w:val="none" w:sz="0" w:space="0" w:color="auto"/>
                          </w:divBdr>
                          <w:divsChild>
                            <w:div w:id="226259165">
                              <w:marLeft w:val="0"/>
                              <w:marRight w:val="0"/>
                              <w:marTop w:val="0"/>
                              <w:marBottom w:val="0"/>
                              <w:divBdr>
                                <w:top w:val="none" w:sz="0" w:space="0" w:color="auto"/>
                                <w:left w:val="none" w:sz="0" w:space="0" w:color="auto"/>
                                <w:bottom w:val="none" w:sz="0" w:space="0" w:color="auto"/>
                                <w:right w:val="none" w:sz="0" w:space="0" w:color="auto"/>
                              </w:divBdr>
                              <w:divsChild>
                                <w:div w:id="1014726608">
                                  <w:marLeft w:val="0"/>
                                  <w:marRight w:val="0"/>
                                  <w:marTop w:val="30"/>
                                  <w:marBottom w:val="0"/>
                                  <w:divBdr>
                                    <w:top w:val="none" w:sz="0" w:space="0" w:color="auto"/>
                                    <w:left w:val="none" w:sz="0" w:space="0" w:color="auto"/>
                                    <w:bottom w:val="none" w:sz="0" w:space="0" w:color="auto"/>
                                    <w:right w:val="none" w:sz="0" w:space="0" w:color="auto"/>
                                  </w:divBdr>
                                  <w:divsChild>
                                    <w:div w:id="1829712848">
                                      <w:marLeft w:val="0"/>
                                      <w:marRight w:val="0"/>
                                      <w:marTop w:val="0"/>
                                      <w:marBottom w:val="0"/>
                                      <w:divBdr>
                                        <w:top w:val="single" w:sz="6" w:space="0" w:color="000000"/>
                                        <w:left w:val="single" w:sz="6" w:space="0" w:color="000000"/>
                                        <w:bottom w:val="single" w:sz="6" w:space="0" w:color="000000"/>
                                        <w:right w:val="single" w:sz="6" w:space="0" w:color="000000"/>
                                      </w:divBdr>
                                      <w:divsChild>
                                        <w:div w:id="329867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82018548">
      <w:bodyDiv w:val="1"/>
      <w:marLeft w:val="0"/>
      <w:marRight w:val="0"/>
      <w:marTop w:val="0"/>
      <w:marBottom w:val="0"/>
      <w:divBdr>
        <w:top w:val="none" w:sz="0" w:space="0" w:color="auto"/>
        <w:left w:val="none" w:sz="0" w:space="0" w:color="auto"/>
        <w:bottom w:val="none" w:sz="0" w:space="0" w:color="auto"/>
        <w:right w:val="none" w:sz="0" w:space="0" w:color="auto"/>
      </w:divBdr>
    </w:div>
    <w:div w:id="2091541832">
      <w:bodyDiv w:val="1"/>
      <w:marLeft w:val="0"/>
      <w:marRight w:val="0"/>
      <w:marTop w:val="0"/>
      <w:marBottom w:val="0"/>
      <w:divBdr>
        <w:top w:val="none" w:sz="0" w:space="0" w:color="auto"/>
        <w:left w:val="none" w:sz="0" w:space="0" w:color="auto"/>
        <w:bottom w:val="none" w:sz="0" w:space="0" w:color="auto"/>
        <w:right w:val="none" w:sz="0" w:space="0" w:color="auto"/>
      </w:divBdr>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6094325">
      <w:bodyDiv w:val="1"/>
      <w:marLeft w:val="0"/>
      <w:marRight w:val="0"/>
      <w:marTop w:val="0"/>
      <w:marBottom w:val="0"/>
      <w:divBdr>
        <w:top w:val="none" w:sz="0" w:space="0" w:color="auto"/>
        <w:left w:val="none" w:sz="0" w:space="0" w:color="auto"/>
        <w:bottom w:val="none" w:sz="0" w:space="0" w:color="auto"/>
        <w:right w:val="none" w:sz="0" w:space="0" w:color="auto"/>
      </w:divBdr>
      <w:divsChild>
        <w:div w:id="462697729">
          <w:marLeft w:val="0"/>
          <w:marRight w:val="0"/>
          <w:marTop w:val="0"/>
          <w:marBottom w:val="0"/>
          <w:divBdr>
            <w:top w:val="none" w:sz="0" w:space="0" w:color="auto"/>
            <w:left w:val="none" w:sz="0" w:space="0" w:color="auto"/>
            <w:bottom w:val="none" w:sz="0" w:space="0" w:color="auto"/>
            <w:right w:val="none" w:sz="0" w:space="0" w:color="auto"/>
          </w:divBdr>
          <w:divsChild>
            <w:div w:id="365524731">
              <w:marLeft w:val="0"/>
              <w:marRight w:val="0"/>
              <w:marTop w:val="0"/>
              <w:marBottom w:val="0"/>
              <w:divBdr>
                <w:top w:val="none" w:sz="0" w:space="0" w:color="auto"/>
                <w:left w:val="none" w:sz="0" w:space="0" w:color="auto"/>
                <w:bottom w:val="none" w:sz="0" w:space="0" w:color="auto"/>
                <w:right w:val="none" w:sz="0" w:space="0" w:color="auto"/>
              </w:divBdr>
              <w:divsChild>
                <w:div w:id="837158119">
                  <w:marLeft w:val="0"/>
                  <w:marRight w:val="0"/>
                  <w:marTop w:val="0"/>
                  <w:marBottom w:val="0"/>
                  <w:divBdr>
                    <w:top w:val="none" w:sz="0" w:space="0" w:color="auto"/>
                    <w:left w:val="none" w:sz="0" w:space="0" w:color="auto"/>
                    <w:bottom w:val="none" w:sz="0" w:space="0" w:color="auto"/>
                    <w:right w:val="none" w:sz="0" w:space="0" w:color="auto"/>
                  </w:divBdr>
                  <w:divsChild>
                    <w:div w:id="962660337">
                      <w:marLeft w:val="0"/>
                      <w:marRight w:val="0"/>
                      <w:marTop w:val="0"/>
                      <w:marBottom w:val="0"/>
                      <w:divBdr>
                        <w:top w:val="none" w:sz="0" w:space="0" w:color="auto"/>
                        <w:left w:val="none" w:sz="0" w:space="0" w:color="auto"/>
                        <w:bottom w:val="none" w:sz="0" w:space="0" w:color="auto"/>
                        <w:right w:val="none" w:sz="0" w:space="0" w:color="auto"/>
                      </w:divBdr>
                      <w:divsChild>
                        <w:div w:id="1991250983">
                          <w:marLeft w:val="0"/>
                          <w:marRight w:val="0"/>
                          <w:marTop w:val="0"/>
                          <w:marBottom w:val="0"/>
                          <w:divBdr>
                            <w:top w:val="none" w:sz="0" w:space="0" w:color="auto"/>
                            <w:left w:val="none" w:sz="0" w:space="0" w:color="auto"/>
                            <w:bottom w:val="none" w:sz="0" w:space="0" w:color="auto"/>
                            <w:right w:val="none" w:sz="0" w:space="0" w:color="auto"/>
                          </w:divBdr>
                          <w:divsChild>
                            <w:div w:id="666133130">
                              <w:marLeft w:val="0"/>
                              <w:marRight w:val="0"/>
                              <w:marTop w:val="0"/>
                              <w:marBottom w:val="0"/>
                              <w:divBdr>
                                <w:top w:val="none" w:sz="0" w:space="0" w:color="auto"/>
                                <w:left w:val="none" w:sz="0" w:space="0" w:color="auto"/>
                                <w:bottom w:val="none" w:sz="0" w:space="0" w:color="auto"/>
                                <w:right w:val="none" w:sz="0" w:space="0" w:color="auto"/>
                              </w:divBdr>
                              <w:divsChild>
                                <w:div w:id="518588271">
                                  <w:marLeft w:val="0"/>
                                  <w:marRight w:val="0"/>
                                  <w:marTop w:val="30"/>
                                  <w:marBottom w:val="0"/>
                                  <w:divBdr>
                                    <w:top w:val="none" w:sz="0" w:space="0" w:color="auto"/>
                                    <w:left w:val="none" w:sz="0" w:space="0" w:color="auto"/>
                                    <w:bottom w:val="none" w:sz="0" w:space="0" w:color="auto"/>
                                    <w:right w:val="none" w:sz="0" w:space="0" w:color="auto"/>
                                  </w:divBdr>
                                  <w:divsChild>
                                    <w:div w:id="2117215445">
                                      <w:marLeft w:val="0"/>
                                      <w:marRight w:val="0"/>
                                      <w:marTop w:val="0"/>
                                      <w:marBottom w:val="0"/>
                                      <w:divBdr>
                                        <w:top w:val="single" w:sz="6" w:space="0" w:color="000000"/>
                                        <w:left w:val="single" w:sz="6" w:space="0" w:color="000000"/>
                                        <w:bottom w:val="single" w:sz="6" w:space="0" w:color="000000"/>
                                        <w:right w:val="single" w:sz="6" w:space="0" w:color="000000"/>
                                      </w:divBdr>
                                      <w:divsChild>
                                        <w:div w:id="1081413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8572041">
      <w:bodyDiv w:val="1"/>
      <w:marLeft w:val="0"/>
      <w:marRight w:val="0"/>
      <w:marTop w:val="0"/>
      <w:marBottom w:val="0"/>
      <w:divBdr>
        <w:top w:val="none" w:sz="0" w:space="0" w:color="auto"/>
        <w:left w:val="none" w:sz="0" w:space="0" w:color="auto"/>
        <w:bottom w:val="none" w:sz="0" w:space="0" w:color="auto"/>
        <w:right w:val="none" w:sz="0" w:space="0" w:color="auto"/>
      </w:divBdr>
      <w:divsChild>
        <w:div w:id="2018342680">
          <w:marLeft w:val="0"/>
          <w:marRight w:val="0"/>
          <w:marTop w:val="0"/>
          <w:marBottom w:val="0"/>
          <w:divBdr>
            <w:top w:val="none" w:sz="0" w:space="0" w:color="auto"/>
            <w:left w:val="none" w:sz="0" w:space="0" w:color="auto"/>
            <w:bottom w:val="none" w:sz="0" w:space="0" w:color="auto"/>
            <w:right w:val="none" w:sz="0" w:space="0" w:color="auto"/>
          </w:divBdr>
          <w:divsChild>
            <w:div w:id="332686803">
              <w:marLeft w:val="0"/>
              <w:marRight w:val="0"/>
              <w:marTop w:val="0"/>
              <w:marBottom w:val="0"/>
              <w:divBdr>
                <w:top w:val="none" w:sz="0" w:space="0" w:color="auto"/>
                <w:left w:val="none" w:sz="0" w:space="0" w:color="auto"/>
                <w:bottom w:val="none" w:sz="0" w:space="0" w:color="auto"/>
                <w:right w:val="none" w:sz="0" w:space="0" w:color="auto"/>
              </w:divBdr>
              <w:divsChild>
                <w:div w:id="1079787018">
                  <w:marLeft w:val="0"/>
                  <w:marRight w:val="0"/>
                  <w:marTop w:val="0"/>
                  <w:marBottom w:val="0"/>
                  <w:divBdr>
                    <w:top w:val="none" w:sz="0" w:space="0" w:color="auto"/>
                    <w:left w:val="none" w:sz="0" w:space="0" w:color="auto"/>
                    <w:bottom w:val="none" w:sz="0" w:space="0" w:color="auto"/>
                    <w:right w:val="none" w:sz="0" w:space="0" w:color="auto"/>
                  </w:divBdr>
                  <w:divsChild>
                    <w:div w:id="673193914">
                      <w:marLeft w:val="0"/>
                      <w:marRight w:val="0"/>
                      <w:marTop w:val="0"/>
                      <w:marBottom w:val="0"/>
                      <w:divBdr>
                        <w:top w:val="none" w:sz="0" w:space="0" w:color="auto"/>
                        <w:left w:val="none" w:sz="0" w:space="0" w:color="auto"/>
                        <w:bottom w:val="none" w:sz="0" w:space="0" w:color="auto"/>
                        <w:right w:val="none" w:sz="0" w:space="0" w:color="auto"/>
                      </w:divBdr>
                      <w:divsChild>
                        <w:div w:id="1293556739">
                          <w:marLeft w:val="0"/>
                          <w:marRight w:val="0"/>
                          <w:marTop w:val="0"/>
                          <w:marBottom w:val="0"/>
                          <w:divBdr>
                            <w:top w:val="none" w:sz="0" w:space="0" w:color="auto"/>
                            <w:left w:val="none" w:sz="0" w:space="0" w:color="auto"/>
                            <w:bottom w:val="none" w:sz="0" w:space="0" w:color="auto"/>
                            <w:right w:val="none" w:sz="0" w:space="0" w:color="auto"/>
                          </w:divBdr>
                          <w:divsChild>
                            <w:div w:id="160511172">
                              <w:marLeft w:val="0"/>
                              <w:marRight w:val="0"/>
                              <w:marTop w:val="0"/>
                              <w:marBottom w:val="0"/>
                              <w:divBdr>
                                <w:top w:val="none" w:sz="0" w:space="0" w:color="auto"/>
                                <w:left w:val="none" w:sz="0" w:space="0" w:color="auto"/>
                                <w:bottom w:val="none" w:sz="0" w:space="0" w:color="auto"/>
                                <w:right w:val="none" w:sz="0" w:space="0" w:color="auto"/>
                              </w:divBdr>
                              <w:divsChild>
                                <w:div w:id="916138387">
                                  <w:marLeft w:val="0"/>
                                  <w:marRight w:val="0"/>
                                  <w:marTop w:val="30"/>
                                  <w:marBottom w:val="0"/>
                                  <w:divBdr>
                                    <w:top w:val="none" w:sz="0" w:space="0" w:color="auto"/>
                                    <w:left w:val="none" w:sz="0" w:space="0" w:color="auto"/>
                                    <w:bottom w:val="none" w:sz="0" w:space="0" w:color="auto"/>
                                    <w:right w:val="none" w:sz="0" w:space="0" w:color="auto"/>
                                  </w:divBdr>
                                  <w:divsChild>
                                    <w:div w:id="1331980750">
                                      <w:marLeft w:val="0"/>
                                      <w:marRight w:val="0"/>
                                      <w:marTop w:val="0"/>
                                      <w:marBottom w:val="0"/>
                                      <w:divBdr>
                                        <w:top w:val="single" w:sz="6" w:space="0" w:color="000000"/>
                                        <w:left w:val="single" w:sz="6" w:space="0" w:color="000000"/>
                                        <w:bottom w:val="single" w:sz="6" w:space="0" w:color="000000"/>
                                        <w:right w:val="single" w:sz="6" w:space="0" w:color="000000"/>
                                      </w:divBdr>
                                      <w:divsChild>
                                        <w:div w:id="16621987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chart" Target="charts/chart9.xml"/><Relationship Id="rId39" Type="http://schemas.openxmlformats.org/officeDocument/2006/relationships/image" Target="media/image11.png"/><Relationship Id="rId21" Type="http://schemas.openxmlformats.org/officeDocument/2006/relationships/chart" Target="charts/chart4.xml"/><Relationship Id="rId34" Type="http://schemas.openxmlformats.org/officeDocument/2006/relationships/image" Target="media/image7.png"/><Relationship Id="rId42" Type="http://schemas.openxmlformats.org/officeDocument/2006/relationships/hyperlink" Target="https://zielonagora.stat.gov.pl/osrodki/osrodek-badan-koniunktury/obk-dane/" TargetMode="External"/><Relationship Id="rId47" Type="http://schemas.openxmlformats.org/officeDocument/2006/relationships/hyperlink" Target="mailto:obslugaprasowa@stat.gov.pl" TargetMode="External"/><Relationship Id="rId50" Type="http://schemas.openxmlformats.org/officeDocument/2006/relationships/image" Target="media/image15.png"/><Relationship Id="rId55" Type="http://schemas.openxmlformats.org/officeDocument/2006/relationships/hyperlink" Target="https://stat.gov.pl/obszary-tematyczne/inne-opracowania/informacje-o-sytuacji-spoleczno-gospodarczej/biuletyn-statystyczny-nr-102019,4,93.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12.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eader" Target="header4.xml"/><Relationship Id="rId53" Type="http://schemas.openxmlformats.org/officeDocument/2006/relationships/hyperlink" Target="https://kielce.stat.gov.pl/opracowania-biezace/komunikaty-i-biuletyny/inne-opracowania/biuletyn-statystyczny-wojewodztwa-swietokrzyskiego-i-kwartal-2020,3,40.html" TargetMode="External"/><Relationship Id="rId58" Type="http://schemas.openxmlformats.org/officeDocument/2006/relationships/footer" Target="footer6.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image" Target="media/image8.png"/><Relationship Id="rId43" Type="http://schemas.openxmlformats.org/officeDocument/2006/relationships/header" Target="header3.xml"/><Relationship Id="rId48" Type="http://schemas.openxmlformats.org/officeDocument/2006/relationships/image" Target="media/image13.png"/><Relationship Id="rId56" Type="http://schemas.openxmlformats.org/officeDocument/2006/relationships/hyperlink" Target="https://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hyperlink" Target="https://stat.gov.pl/obszary-tematyczne/inne-opracowania/informacje-o-sytuacji-spoleczno-gospodarczej/sytuacja-spoleczno-gospodarcza-kraju-w-lipcu-2020-r-,1,99.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image" Target="media/image10.png"/><Relationship Id="rId46" Type="http://schemas.openxmlformats.org/officeDocument/2006/relationships/footer" Target="footer5.xml"/><Relationship Id="rId59" Type="http://schemas.openxmlformats.org/officeDocument/2006/relationships/fontTable" Target="fontTable.xml"/><Relationship Id="rId20" Type="http://schemas.openxmlformats.org/officeDocument/2006/relationships/chart" Target="charts/chart3.xml"/><Relationship Id="rId41" Type="http://schemas.openxmlformats.org/officeDocument/2006/relationships/chart" Target="charts/chart18.xml"/><Relationship Id="rId54"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image" Target="media/image14.png"/><Relationship Id="rId57"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chart" Target="charts/chart14.xml"/><Relationship Id="rId44" Type="http://schemas.openxmlformats.org/officeDocument/2006/relationships/footer" Target="footer4.xml"/><Relationship Id="rId52" Type="http://schemas.openxmlformats.org/officeDocument/2006/relationships/hyperlink" Target="https://stat.gov.pl/obszary-tematyczne/inne-opracowania/informacje-o-sytuacji-spoleczno-gospodarczej/biuletyn-statystyczny-nr-72020,4,102.html"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ie01\WOBR_zasoby\Komunikaty\2020\Komunikat%2007.2020\wykresy\Dynamika%20przeci&#281;tnego%20zatrudnieni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MFKIE01\WOBR_zasoby\Komunikaty\2020\Komunikat%2007.2020\wykresy\Mieszkania_VII_2020.xlsx"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vmfkie01\WOBR_zasoby\Komunikaty\2020\Komunikat%2007.2020\wykresy\Nak&#322;ady%20inwestycyjne.xlsx" TargetMode="External"/><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1" Type="http://schemas.openxmlformats.org/officeDocument/2006/relationships/oleObject" Target="file:///\\vmfkie01\WOBR_zasoby\Komunikaty\2020\Komunikat%2007.2020\wykresy\wska&#378;nik%20rentowno&#347;ci%20netto.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vmfkie01\WOBR_zasoby\Komunikaty\2020\Komunikat%2007.2020\wykresy\COVID-19.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vmfkie01\WOBR_zasoby\Komunikaty\2020\Komunikat%2007.2020\wykresy\COVID-19.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vmfkie01\WOBR_zasoby\Komunikaty\2020\Komunikat%2007.2020\wykresy\COVID-19.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vmfkie01\WOBR_zasoby\Komunikaty\2020\Komunikat%2007.2020\wykresy\Pomioty_gospodarki_narodowej.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vmfkie01\WOBR_zasoby\Komunikaty\2020\Komunikat%2007.2020\wykresy\KONIUNKTURA\26wobr_wykres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vmfkie01\WOBR_zasoby\Komunikaty\2020\Komunikat%2007.2020\wykresy\KONIUNKTURA\26wobr_wykres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kie01\WOBR_zasoby\Komunikaty\2020\Komunikat%2007.2020\wykresy\Stopa%20bezrobocia%20rejestrowaneg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mfkie01\WOBR_zasoby\Komunikaty\2020\Komunikat%2007.2020\wykresy\Dynamika%20przeci&#281;tnego%20wynagrodzenia.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kie01\WOBR_zasoby\Komunikaty\2020\Komunikat%2007.2020\wykresy\VII%202020%20Wynagrodzenia%20CHOINKA.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kie01\WOBR_zasoby\Komunikaty\2020\Komunikat%2007.2020\wykresy\Przeci&#281;tne%20ceny%20skupu%20zb&#243;&#380;%20i%20ceny%20targowiskowe%20ziemniak&#243;w.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vmfkie01\WOBR_zasoby\Komunikaty\2020\Komunikat%2007.2020\wykresy\Przeci&#281;tne%20ceny%20skupu%20&#380;ywca.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kie01\WOBR_zasoby\Komunikaty\2020\Komunikat%2007.2020\wykresy\Relacja%20przeci&#281;tnych%20cen%20skupu%20&#380;w%20do%20c&#3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vmfkie01\WOBR_zasoby\Komunikaty\2020\Komunikat%2007.2020\wykresy\Dynamika%20produkcji%20sprzedanej%20przemys&#322;u.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FKIE01\WOBR_zasoby\Komunikaty\2020\Komunikat%2007.2020\wykresy\dynamika_mieszka&#324;_oddanych_do_u&#380;ytkowania_baza_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19E-2"/>
          <c:y val="8.3837652420697267E-2"/>
          <c:w val="0.94637296860595588"/>
          <c:h val="0.65303036099677514"/>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zatr_wynagr!$A$10:$B$52</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zatr_wynagr!$C$10:$C$52</c:f>
              <c:numCache>
                <c:formatCode>General</c:formatCode>
                <c:ptCount val="43"/>
                <c:pt idx="0" formatCode="0.0">
                  <c:v>106.4</c:v>
                </c:pt>
                <c:pt idx="1">
                  <c:v>106.7</c:v>
                </c:pt>
                <c:pt idx="2">
                  <c:v>106.8</c:v>
                </c:pt>
                <c:pt idx="3" formatCode="0.0">
                  <c:v>107</c:v>
                </c:pt>
                <c:pt idx="4" formatCode="0.0">
                  <c:v>107</c:v>
                </c:pt>
                <c:pt idx="5">
                  <c:v>107.2</c:v>
                </c:pt>
                <c:pt idx="6">
                  <c:v>107.5</c:v>
                </c:pt>
                <c:pt idx="7">
                  <c:v>107.6</c:v>
                </c:pt>
                <c:pt idx="8">
                  <c:v>107.7</c:v>
                </c:pt>
                <c:pt idx="9" formatCode="0.0">
                  <c:v>107.8</c:v>
                </c:pt>
                <c:pt idx="10">
                  <c:v>108.1</c:v>
                </c:pt>
                <c:pt idx="11">
                  <c:v>108.3</c:v>
                </c:pt>
                <c:pt idx="12">
                  <c:v>110.5</c:v>
                </c:pt>
                <c:pt idx="13" formatCode="0.0">
                  <c:v>110.7</c:v>
                </c:pt>
                <c:pt idx="14">
                  <c:v>110.8</c:v>
                </c:pt>
                <c:pt idx="15">
                  <c:v>110.9</c:v>
                </c:pt>
                <c:pt idx="16" formatCode="0.0">
                  <c:v>110.9</c:v>
                </c:pt>
                <c:pt idx="17">
                  <c:v>111.1</c:v>
                </c:pt>
                <c:pt idx="18" formatCode="0.0">
                  <c:v>111.2</c:v>
                </c:pt>
                <c:pt idx="19" formatCode="0.0">
                  <c:v>111.2</c:v>
                </c:pt>
                <c:pt idx="20">
                  <c:v>111.1</c:v>
                </c:pt>
                <c:pt idx="21">
                  <c:v>111.1</c:v>
                </c:pt>
                <c:pt idx="22">
                  <c:v>111.2</c:v>
                </c:pt>
                <c:pt idx="23">
                  <c:v>111.2</c:v>
                </c:pt>
                <c:pt idx="24">
                  <c:v>113.6</c:v>
                </c:pt>
                <c:pt idx="25">
                  <c:v>113.8</c:v>
                </c:pt>
                <c:pt idx="26" formatCode="0.0">
                  <c:v>114</c:v>
                </c:pt>
                <c:pt idx="27" formatCode="0.0">
                  <c:v>114</c:v>
                </c:pt>
                <c:pt idx="28">
                  <c:v>113.8</c:v>
                </c:pt>
                <c:pt idx="29" formatCode="0.0">
                  <c:v>114</c:v>
                </c:pt>
                <c:pt idx="30" formatCode="0.0">
                  <c:v>114.1</c:v>
                </c:pt>
                <c:pt idx="31" formatCode="0.0">
                  <c:v>114</c:v>
                </c:pt>
                <c:pt idx="32" formatCode="0.0">
                  <c:v>113.9</c:v>
                </c:pt>
                <c:pt idx="33" formatCode="0.0">
                  <c:v>113.9</c:v>
                </c:pt>
                <c:pt idx="34" formatCode="0.0">
                  <c:v>114.1</c:v>
                </c:pt>
                <c:pt idx="35" formatCode="0.0">
                  <c:v>114.1</c:v>
                </c:pt>
                <c:pt idx="36" formatCode="0.0">
                  <c:v>114.9</c:v>
                </c:pt>
                <c:pt idx="37" formatCode="0.0">
                  <c:v>115</c:v>
                </c:pt>
                <c:pt idx="38" formatCode="0.0">
                  <c:v>114.4</c:v>
                </c:pt>
                <c:pt idx="39" formatCode="0.0">
                  <c:v>111.7</c:v>
                </c:pt>
                <c:pt idx="40" formatCode="0.0">
                  <c:v>110.1</c:v>
                </c:pt>
                <c:pt idx="41" formatCode="0.0">
                  <c:v>110.3</c:v>
                </c:pt>
                <c:pt idx="42" formatCode="0.0">
                  <c:v>111.5</c:v>
                </c:pt>
              </c:numCache>
            </c:numRef>
          </c:val>
          <c:smooth val="0"/>
        </c:ser>
        <c:ser>
          <c:idx val="0"/>
          <c:order val="1"/>
          <c:tx>
            <c:strRef>
              <c:f>zatr_wynagr!$D$8</c:f>
              <c:strCache>
                <c:ptCount val="1"/>
                <c:pt idx="0">
                  <c:v>Świętokrzyskie</c:v>
                </c:pt>
              </c:strCache>
            </c:strRef>
          </c:tx>
          <c:spPr>
            <a:ln w="28575">
              <a:solidFill>
                <a:srgbClr val="7030A0"/>
              </a:solidFill>
            </a:ln>
          </c:spPr>
          <c:marker>
            <c:symbol val="none"/>
          </c:marker>
          <c:cat>
            <c:multiLvlStrRef>
              <c:f>zatr_wynagr!$A$10:$B$52</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zatr_wynagr!$D$10:$D$52</c:f>
              <c:numCache>
                <c:formatCode>0.0</c:formatCode>
                <c:ptCount val="43"/>
                <c:pt idx="0">
                  <c:v>104.84409850243523</c:v>
                </c:pt>
                <c:pt idx="1">
                  <c:v>105.21006873321498</c:v>
                </c:pt>
                <c:pt idx="2">
                  <c:v>107.71450680504348</c:v>
                </c:pt>
                <c:pt idx="3">
                  <c:v>107.5934271018253</c:v>
                </c:pt>
                <c:pt idx="4">
                  <c:v>107.80281305475897</c:v>
                </c:pt>
                <c:pt idx="5">
                  <c:v>108.17242478037235</c:v>
                </c:pt>
                <c:pt idx="6">
                  <c:v>108.43370203468523</c:v>
                </c:pt>
                <c:pt idx="7">
                  <c:v>107.90295416268377</c:v>
                </c:pt>
                <c:pt idx="8">
                  <c:v>107.92662387910239</c:v>
                </c:pt>
                <c:pt idx="9">
                  <c:v>108.28349037279801</c:v>
                </c:pt>
                <c:pt idx="10">
                  <c:v>108.4291501661432</c:v>
                </c:pt>
                <c:pt idx="11">
                  <c:v>108.46283399335427</c:v>
                </c:pt>
                <c:pt idx="12">
                  <c:v>110.94451272247258</c:v>
                </c:pt>
                <c:pt idx="13">
                  <c:v>110.91173926896992</c:v>
                </c:pt>
                <c:pt idx="14" formatCode="General">
                  <c:v>111.2</c:v>
                </c:pt>
                <c:pt idx="15">
                  <c:v>111.3623742546315</c:v>
                </c:pt>
                <c:pt idx="16">
                  <c:v>111.8</c:v>
                </c:pt>
                <c:pt idx="17" formatCode="General">
                  <c:v>112.1</c:v>
                </c:pt>
                <c:pt idx="18">
                  <c:v>112.2</c:v>
                </c:pt>
                <c:pt idx="19">
                  <c:v>112.1</c:v>
                </c:pt>
                <c:pt idx="20" formatCode="General">
                  <c:v>112.2</c:v>
                </c:pt>
                <c:pt idx="21" formatCode="General">
                  <c:v>112.8</c:v>
                </c:pt>
                <c:pt idx="22" formatCode="General">
                  <c:v>112.9</c:v>
                </c:pt>
                <c:pt idx="23" formatCode="General">
                  <c:v>112.6</c:v>
                </c:pt>
                <c:pt idx="24" formatCode="General">
                  <c:v>115.3</c:v>
                </c:pt>
                <c:pt idx="25" formatCode="General">
                  <c:v>115.3</c:v>
                </c:pt>
                <c:pt idx="26" formatCode="General">
                  <c:v>115.3</c:v>
                </c:pt>
                <c:pt idx="27" formatCode="General">
                  <c:v>115.1</c:v>
                </c:pt>
                <c:pt idx="28" formatCode="General">
                  <c:v>114.9</c:v>
                </c:pt>
                <c:pt idx="29" formatCode="General">
                  <c:v>115.2</c:v>
                </c:pt>
                <c:pt idx="30" formatCode="General">
                  <c:v>115.2</c:v>
                </c:pt>
                <c:pt idx="31" formatCode="General">
                  <c:v>115.2</c:v>
                </c:pt>
                <c:pt idx="32" formatCode="General">
                  <c:v>115.1</c:v>
                </c:pt>
                <c:pt idx="33" formatCode="General">
                  <c:v>113.4</c:v>
                </c:pt>
                <c:pt idx="34" formatCode="General">
                  <c:v>113.3</c:v>
                </c:pt>
                <c:pt idx="35" formatCode="General">
                  <c:v>112.8</c:v>
                </c:pt>
                <c:pt idx="36" formatCode="General">
                  <c:v>112.8</c:v>
                </c:pt>
                <c:pt idx="37">
                  <c:v>114.95470890800674</c:v>
                </c:pt>
                <c:pt idx="38" formatCode="General">
                  <c:v>114.1</c:v>
                </c:pt>
                <c:pt idx="39" formatCode="General">
                  <c:v>111.8</c:v>
                </c:pt>
                <c:pt idx="40">
                  <c:v>110.55123128044062</c:v>
                </c:pt>
                <c:pt idx="41">
                  <c:v>111</c:v>
                </c:pt>
                <c:pt idx="42">
                  <c:v>111.8</c:v>
                </c:pt>
              </c:numCache>
            </c:numRef>
          </c:val>
          <c:smooth val="0"/>
        </c:ser>
        <c:dLbls>
          <c:showLegendKey val="0"/>
          <c:showVal val="0"/>
          <c:showCatName val="0"/>
          <c:showSerName val="0"/>
          <c:showPercent val="0"/>
          <c:showBubbleSize val="0"/>
        </c:dLbls>
        <c:smooth val="0"/>
        <c:axId val="1963475168"/>
        <c:axId val="1963486048"/>
      </c:lineChart>
      <c:catAx>
        <c:axId val="1963475168"/>
        <c:scaling>
          <c:orientation val="minMax"/>
        </c:scaling>
        <c:delete val="0"/>
        <c:axPos val="b"/>
        <c:numFmt formatCode="#.##0\.00" sourceLinked="0"/>
        <c:majorTickMark val="none"/>
        <c:minorTickMark val="none"/>
        <c:tickLblPos val="nextTo"/>
        <c:spPr>
          <a:ln w="9525">
            <a:solidFill>
              <a:schemeClr val="tx1"/>
            </a:solidFill>
          </a:ln>
        </c:spPr>
        <c:txPr>
          <a:bodyPr rot="0" vert="horz"/>
          <a:lstStyle/>
          <a:p>
            <a:pPr>
              <a:defRPr sz="750" b="0" i="0" u="none" strike="noStrike" baseline="0">
                <a:solidFill>
                  <a:srgbClr val="000000"/>
                </a:solidFill>
                <a:latin typeface="Fira Sans"/>
                <a:ea typeface="Fira Sans"/>
                <a:cs typeface="Fira Sans"/>
              </a:defRPr>
            </a:pPr>
            <a:endParaRPr lang="pl-PL"/>
          </a:p>
        </c:txPr>
        <c:crossAx val="1963486048"/>
        <c:crosses val="autoZero"/>
        <c:auto val="1"/>
        <c:lblAlgn val="ctr"/>
        <c:lblOffset val="100"/>
        <c:noMultiLvlLbl val="0"/>
      </c:catAx>
      <c:valAx>
        <c:axId val="1963486048"/>
        <c:scaling>
          <c:orientation val="minMax"/>
          <c:min val="100"/>
        </c:scaling>
        <c:delete val="0"/>
        <c:axPos val="l"/>
        <c:majorGridlines>
          <c:spPr>
            <a:ln w="9525">
              <a:solidFill>
                <a:srgbClr val="D9D9D9"/>
              </a:solidFill>
            </a:ln>
          </c:spPr>
        </c:majorGridlines>
        <c:numFmt formatCode="0" sourceLinked="0"/>
        <c:majorTickMark val="none"/>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963475168"/>
        <c:crosses val="autoZero"/>
        <c:crossBetween val="between"/>
        <c:majorUnit val="2"/>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5995352540293857"/>
          <c:y val="0.91032760439828753"/>
          <c:w val="0.3193136997207715"/>
          <c:h val="6.6447275485913115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Arkusz1!$A$27:$A$40</c:f>
              <c:strCache>
                <c:ptCount val="14"/>
                <c:pt idx="0">
                  <c:v>kazimierski</c:v>
                </c:pt>
                <c:pt idx="1">
                  <c:v>pińczowski</c:v>
                </c:pt>
                <c:pt idx="2">
                  <c:v>opatowski</c:v>
                </c:pt>
                <c:pt idx="3">
                  <c:v>skarżyski</c:v>
                </c:pt>
                <c:pt idx="4">
                  <c:v>sandomierski</c:v>
                </c:pt>
                <c:pt idx="5">
                  <c:v>włoszczowski</c:v>
                </c:pt>
                <c:pt idx="6">
                  <c:v>starachowicki</c:v>
                </c:pt>
                <c:pt idx="7">
                  <c:v>konecki</c:v>
                </c:pt>
                <c:pt idx="8">
                  <c:v>ostrowiecki</c:v>
                </c:pt>
                <c:pt idx="9">
                  <c:v>buski</c:v>
                </c:pt>
                <c:pt idx="10">
                  <c:v>staszowski</c:v>
                </c:pt>
                <c:pt idx="11">
                  <c:v>jędrzejowski</c:v>
                </c:pt>
                <c:pt idx="12">
                  <c:v>kielecki</c:v>
                </c:pt>
                <c:pt idx="13">
                  <c:v>m.Kielce</c:v>
                </c:pt>
              </c:strCache>
            </c:strRef>
          </c:cat>
          <c:val>
            <c:numRef>
              <c:f>Arkusz1!$B$27:$B$40</c:f>
              <c:numCache>
                <c:formatCode>#,##0</c:formatCode>
                <c:ptCount val="14"/>
                <c:pt idx="0">
                  <c:v>18</c:v>
                </c:pt>
                <c:pt idx="1">
                  <c:v>24</c:v>
                </c:pt>
                <c:pt idx="2">
                  <c:v>30</c:v>
                </c:pt>
                <c:pt idx="3">
                  <c:v>53</c:v>
                </c:pt>
                <c:pt idx="4">
                  <c:v>63</c:v>
                </c:pt>
                <c:pt idx="5">
                  <c:v>66</c:v>
                </c:pt>
                <c:pt idx="6">
                  <c:v>69</c:v>
                </c:pt>
                <c:pt idx="7">
                  <c:v>75</c:v>
                </c:pt>
                <c:pt idx="8">
                  <c:v>78</c:v>
                </c:pt>
                <c:pt idx="9">
                  <c:v>92</c:v>
                </c:pt>
                <c:pt idx="10">
                  <c:v>166</c:v>
                </c:pt>
                <c:pt idx="11">
                  <c:v>188</c:v>
                </c:pt>
                <c:pt idx="12">
                  <c:v>450</c:v>
                </c:pt>
                <c:pt idx="13">
                  <c:v>1146</c:v>
                </c:pt>
              </c:numCache>
            </c:numRef>
          </c:val>
        </c:ser>
        <c:dLbls>
          <c:showLegendKey val="0"/>
          <c:showVal val="0"/>
          <c:showCatName val="0"/>
          <c:showSerName val="0"/>
          <c:showPercent val="0"/>
          <c:showBubbleSize val="0"/>
        </c:dLbls>
        <c:gapWidth val="77"/>
        <c:axId val="1990330032"/>
        <c:axId val="1990330576"/>
      </c:barChart>
      <c:catAx>
        <c:axId val="199033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990330576"/>
        <c:crosses val="autoZero"/>
        <c:auto val="1"/>
        <c:lblAlgn val="ctr"/>
        <c:lblOffset val="100"/>
        <c:noMultiLvlLbl val="0"/>
      </c:catAx>
      <c:valAx>
        <c:axId val="1990330576"/>
        <c:scaling>
          <c:orientation val="minMax"/>
          <c:max val="12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990330032"/>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56990247067825E-2"/>
          <c:y val="0.12030837729442234"/>
          <c:w val="0.59260197511282309"/>
          <c:h val="0.80694680491671211"/>
        </c:manualLayout>
      </c:layout>
      <c:barChart>
        <c:barDir val="col"/>
        <c:grouping val="clustered"/>
        <c:varyColors val="0"/>
        <c:ser>
          <c:idx val="0"/>
          <c:order val="0"/>
          <c:tx>
            <c:strRef>
              <c:f>Arkusz1!$A$3</c:f>
              <c:strCache>
                <c:ptCount val="1"/>
                <c:pt idx="0">
                  <c:v>Ogółem</c:v>
                </c:pt>
              </c:strCache>
            </c:strRef>
          </c:tx>
          <c:spPr>
            <a:solidFill>
              <a:schemeClr val="bg1">
                <a:lumMod val="65000"/>
              </a:schemeClr>
            </a:solidFill>
          </c:spPr>
          <c:invertIfNegative val="0"/>
          <c:cat>
            <c:strRef>
              <c:f>Arkusz1!$C$2:$F$2</c:f>
              <c:strCache>
                <c:ptCount val="4"/>
                <c:pt idx="0">
                  <c:v>I-VI 2017</c:v>
                </c:pt>
                <c:pt idx="1">
                  <c:v>I-VI 2018</c:v>
                </c:pt>
                <c:pt idx="2">
                  <c:v>I-VI 2019</c:v>
                </c:pt>
                <c:pt idx="3">
                  <c:v>I-VI 2020</c:v>
                </c:pt>
              </c:strCache>
            </c:strRef>
          </c:cat>
          <c:val>
            <c:numRef>
              <c:f>Arkusz1!$C$3:$F$3</c:f>
              <c:numCache>
                <c:formatCode>0.0</c:formatCode>
                <c:ptCount val="4"/>
                <c:pt idx="0">
                  <c:v>19.268817204301069</c:v>
                </c:pt>
                <c:pt idx="1">
                  <c:v>-4.8864046159394263</c:v>
                </c:pt>
                <c:pt idx="2">
                  <c:v>24.872037914691941</c:v>
                </c:pt>
                <c:pt idx="3">
                  <c:v>8.2000000000000011</c:v>
                </c:pt>
              </c:numCache>
            </c:numRef>
          </c:val>
        </c:ser>
        <c:ser>
          <c:idx val="1"/>
          <c:order val="1"/>
          <c:tx>
            <c:strRef>
              <c:f>Arkusz1!$A$4</c:f>
              <c:strCache>
                <c:ptCount val="1"/>
                <c:pt idx="0">
                  <c:v>   budynki i budowle</c:v>
                </c:pt>
              </c:strCache>
            </c:strRef>
          </c:tx>
          <c:spPr>
            <a:solidFill>
              <a:srgbClr val="522398"/>
            </a:solidFill>
          </c:spPr>
          <c:invertIfNegative val="0"/>
          <c:cat>
            <c:strRef>
              <c:f>Arkusz1!$C$2:$F$2</c:f>
              <c:strCache>
                <c:ptCount val="4"/>
                <c:pt idx="0">
                  <c:v>I-VI 2017</c:v>
                </c:pt>
                <c:pt idx="1">
                  <c:v>I-VI 2018</c:v>
                </c:pt>
                <c:pt idx="2">
                  <c:v>I-VI 2019</c:v>
                </c:pt>
                <c:pt idx="3">
                  <c:v>I-VI 2020</c:v>
                </c:pt>
              </c:strCache>
            </c:strRef>
          </c:cat>
          <c:val>
            <c:numRef>
              <c:f>Arkusz1!$C$4:$F$4</c:f>
              <c:numCache>
                <c:formatCode>0.0</c:formatCode>
                <c:ptCount val="4"/>
                <c:pt idx="0">
                  <c:v>7.3359073359073363</c:v>
                </c:pt>
                <c:pt idx="1">
                  <c:v>10.791366906474819</c:v>
                </c:pt>
                <c:pt idx="2">
                  <c:v>10.443722943722932</c:v>
                </c:pt>
                <c:pt idx="3">
                  <c:v>27.1</c:v>
                </c:pt>
              </c:numCache>
            </c:numRef>
          </c:val>
        </c:ser>
        <c:ser>
          <c:idx val="2"/>
          <c:order val="2"/>
          <c:tx>
            <c:strRef>
              <c:f>Arkusz1!$A$5</c:f>
              <c:strCache>
                <c:ptCount val="1"/>
                <c:pt idx="0">
                  <c:v>   maszyny, urządzenia techniczne, narzędzia i wyposażenie</c:v>
                </c:pt>
              </c:strCache>
            </c:strRef>
          </c:tx>
          <c:spPr>
            <a:solidFill>
              <a:srgbClr val="743AAB"/>
            </a:solidFill>
          </c:spPr>
          <c:invertIfNegative val="0"/>
          <c:cat>
            <c:strRef>
              <c:f>Arkusz1!$C$2:$F$2</c:f>
              <c:strCache>
                <c:ptCount val="4"/>
                <c:pt idx="0">
                  <c:v>I-VI 2017</c:v>
                </c:pt>
                <c:pt idx="1">
                  <c:v>I-VI 2018</c:v>
                </c:pt>
                <c:pt idx="2">
                  <c:v>I-VI 2019</c:v>
                </c:pt>
                <c:pt idx="3">
                  <c:v>I-VI 2020</c:v>
                </c:pt>
              </c:strCache>
            </c:strRef>
          </c:cat>
          <c:val>
            <c:numRef>
              <c:f>Arkusz1!$C$5:$F$5</c:f>
              <c:numCache>
                <c:formatCode>0.0</c:formatCode>
                <c:ptCount val="4"/>
                <c:pt idx="0">
                  <c:v>33.652740513606766</c:v>
                </c:pt>
                <c:pt idx="1">
                  <c:v>-13.994837969601377</c:v>
                </c:pt>
                <c:pt idx="2">
                  <c:v>30.543514504834938</c:v>
                </c:pt>
                <c:pt idx="3">
                  <c:v>2.4</c:v>
                </c:pt>
              </c:numCache>
            </c:numRef>
          </c:val>
        </c:ser>
        <c:ser>
          <c:idx val="3"/>
          <c:order val="3"/>
          <c:tx>
            <c:strRef>
              <c:f>Arkusz1!$A$6</c:f>
              <c:strCache>
                <c:ptCount val="1"/>
                <c:pt idx="0">
                  <c:v>   środki transportu</c:v>
                </c:pt>
              </c:strCache>
            </c:strRef>
          </c:tx>
          <c:spPr>
            <a:solidFill>
              <a:srgbClr val="BA9DE1"/>
            </a:solidFill>
          </c:spPr>
          <c:invertIfNegative val="0"/>
          <c:cat>
            <c:strRef>
              <c:f>Arkusz1!$C$2:$F$2</c:f>
              <c:strCache>
                <c:ptCount val="4"/>
                <c:pt idx="0">
                  <c:v>I-VI 2017</c:v>
                </c:pt>
                <c:pt idx="1">
                  <c:v>I-VI 2018</c:v>
                </c:pt>
                <c:pt idx="2">
                  <c:v>I-VI 2019</c:v>
                </c:pt>
                <c:pt idx="3">
                  <c:v>I-VI 2020</c:v>
                </c:pt>
              </c:strCache>
            </c:strRef>
          </c:cat>
          <c:val>
            <c:numRef>
              <c:f>Arkusz1!$C$6:$F$6</c:f>
              <c:numCache>
                <c:formatCode>0.0</c:formatCode>
                <c:ptCount val="4"/>
                <c:pt idx="0">
                  <c:v>-13.084112149532698</c:v>
                </c:pt>
                <c:pt idx="1">
                  <c:v>13.709677419354833</c:v>
                </c:pt>
                <c:pt idx="2">
                  <c:v>48.463356973995282</c:v>
                </c:pt>
                <c:pt idx="3">
                  <c:v>-17.899999999999999</c:v>
                </c:pt>
              </c:numCache>
            </c:numRef>
          </c:val>
        </c:ser>
        <c:dLbls>
          <c:showLegendKey val="0"/>
          <c:showVal val="0"/>
          <c:showCatName val="0"/>
          <c:showSerName val="0"/>
          <c:showPercent val="0"/>
          <c:showBubbleSize val="0"/>
        </c:dLbls>
        <c:gapWidth val="150"/>
        <c:axId val="1990325136"/>
        <c:axId val="1990321328"/>
      </c:barChart>
      <c:catAx>
        <c:axId val="1990325136"/>
        <c:scaling>
          <c:orientation val="minMax"/>
        </c:scaling>
        <c:delete val="0"/>
        <c:axPos val="b"/>
        <c:majorGridlines/>
        <c:numFmt formatCode="General" sourceLinked="0"/>
        <c:majorTickMark val="none"/>
        <c:minorTickMark val="none"/>
        <c:tickLblPos val="low"/>
        <c:txPr>
          <a:bodyPr/>
          <a:lstStyle/>
          <a:p>
            <a:pPr>
              <a:defRPr sz="800">
                <a:latin typeface="Fira Sans" panose="020B0503050000020004" pitchFamily="34" charset="0"/>
                <a:cs typeface="Arial" pitchFamily="34" charset="0"/>
              </a:defRPr>
            </a:pPr>
            <a:endParaRPr lang="pl-PL"/>
          </a:p>
        </c:txPr>
        <c:crossAx val="1990321328"/>
        <c:crosses val="autoZero"/>
        <c:auto val="1"/>
        <c:lblAlgn val="ctr"/>
        <c:lblOffset val="100"/>
        <c:tickLblSkip val="1"/>
        <c:noMultiLvlLbl val="0"/>
      </c:catAx>
      <c:valAx>
        <c:axId val="1990321328"/>
        <c:scaling>
          <c:orientation val="minMax"/>
          <c:max val="50"/>
          <c:min val="-20"/>
        </c:scaling>
        <c:delete val="0"/>
        <c:axPos val="l"/>
        <c:majorGridlines/>
        <c:numFmt formatCode="0" sourceLinked="0"/>
        <c:majorTickMark val="out"/>
        <c:minorTickMark val="none"/>
        <c:tickLblPos val="nextTo"/>
        <c:txPr>
          <a:bodyPr/>
          <a:lstStyle/>
          <a:p>
            <a:pPr>
              <a:defRPr sz="800">
                <a:latin typeface="Fira Sans" panose="020B0503050000020004" pitchFamily="34" charset="0"/>
                <a:cs typeface="Arial" pitchFamily="34" charset="0"/>
              </a:defRPr>
            </a:pPr>
            <a:endParaRPr lang="pl-PL"/>
          </a:p>
        </c:txPr>
        <c:crossAx val="1990325136"/>
        <c:crosses val="autoZero"/>
        <c:crossBetween val="between"/>
        <c:majorUnit val="10"/>
      </c:valAx>
      <c:spPr>
        <a:solidFill>
          <a:srgbClr val="F2F2F2"/>
        </a:solidFill>
        <a:ln w="3175">
          <a:solidFill>
            <a:sysClr val="windowText" lastClr="000000"/>
          </a:solidFill>
        </a:ln>
      </c:spPr>
    </c:plotArea>
    <c:legend>
      <c:legendPos val="r"/>
      <c:legendEntry>
        <c:idx val="0"/>
        <c:txPr>
          <a:bodyPr/>
          <a:lstStyle/>
          <a:p>
            <a:pPr>
              <a:defRPr sz="800">
                <a:latin typeface="Fira Sans" panose="020B0503050000020004" pitchFamily="34" charset="0"/>
                <a:cs typeface="Arial" pitchFamily="34" charset="0"/>
              </a:defRPr>
            </a:pPr>
            <a:endParaRPr lang="pl-PL"/>
          </a:p>
        </c:txPr>
      </c:legendEntry>
      <c:legendEntry>
        <c:idx val="1"/>
        <c:txPr>
          <a:bodyPr/>
          <a:lstStyle/>
          <a:p>
            <a:pPr>
              <a:defRPr sz="800">
                <a:latin typeface="Fira Sans" panose="020B0503050000020004" pitchFamily="34" charset="0"/>
                <a:cs typeface="Arial" pitchFamily="34" charset="0"/>
              </a:defRPr>
            </a:pPr>
            <a:endParaRPr lang="pl-PL"/>
          </a:p>
        </c:txPr>
      </c:legendEntry>
      <c:legendEntry>
        <c:idx val="2"/>
        <c:txPr>
          <a:bodyPr/>
          <a:lstStyle/>
          <a:p>
            <a:pPr>
              <a:defRPr sz="800">
                <a:latin typeface="Fira Sans" panose="020B0503050000020004" pitchFamily="34" charset="0"/>
                <a:cs typeface="Arial" pitchFamily="34" charset="0"/>
              </a:defRPr>
            </a:pPr>
            <a:endParaRPr lang="pl-PL"/>
          </a:p>
        </c:txPr>
      </c:legendEntry>
      <c:legendEntry>
        <c:idx val="3"/>
        <c:txPr>
          <a:bodyPr/>
          <a:lstStyle/>
          <a:p>
            <a:pPr>
              <a:defRPr sz="800">
                <a:latin typeface="Fira Sans" panose="020B0503050000020004" pitchFamily="34" charset="0"/>
                <a:cs typeface="Arial" pitchFamily="34" charset="0"/>
              </a:defRPr>
            </a:pPr>
            <a:endParaRPr lang="pl-PL"/>
          </a:p>
        </c:txPr>
      </c:legendEntry>
      <c:layout>
        <c:manualLayout>
          <c:xMode val="edge"/>
          <c:yMode val="edge"/>
          <c:x val="0.67669208255442914"/>
          <c:y val="0.33216489634673263"/>
          <c:w val="0.31100768519043037"/>
          <c:h val="0.46692237727709796"/>
        </c:manualLayout>
      </c:layout>
      <c:overlay val="0"/>
      <c:spPr>
        <a:ln>
          <a:noFill/>
        </a:ln>
      </c:spPr>
      <c:txPr>
        <a:bodyPr/>
        <a:lstStyle/>
        <a:p>
          <a:pPr>
            <a:defRPr sz="800">
              <a:latin typeface="Arial" pitchFamily="34" charset="0"/>
              <a:cs typeface="Arial" pitchFamily="34" charset="0"/>
            </a:defRPr>
          </a:pPr>
          <a:endParaRPr lang="pl-PL"/>
        </a:p>
      </c:txPr>
    </c:legend>
    <c:plotVisOnly val="1"/>
    <c:dispBlanksAs val="gap"/>
    <c:showDLblsOverMax val="0"/>
  </c:chart>
  <c:spPr>
    <a:ln>
      <a:no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993066904372808E-2"/>
          <c:y val="0.11523630974699592"/>
          <c:w val="0.9339622641509433"/>
          <c:h val="0.55543432497558953"/>
        </c:manualLayout>
      </c:layout>
      <c:barChart>
        <c:barDir val="col"/>
        <c:grouping val="clustered"/>
        <c:varyColors val="0"/>
        <c:ser>
          <c:idx val="0"/>
          <c:order val="0"/>
          <c:tx>
            <c:strRef>
              <c:f>Arkusz1!$C$2</c:f>
              <c:strCache>
                <c:ptCount val="1"/>
                <c:pt idx="0">
                  <c:v>Polska</c:v>
                </c:pt>
              </c:strCache>
            </c:strRef>
          </c:tx>
          <c:spPr>
            <a:solidFill>
              <a:schemeClr val="bg1">
                <a:lumMod val="65000"/>
              </a:schemeClr>
            </a:solidFill>
            <a:ln w="28575">
              <a:noFill/>
            </a:ln>
          </c:spPr>
          <c:invertIfNegative val="0"/>
          <c:cat>
            <c:multiLvlStrRef>
              <c:f>Arkusz1!$A$35:$B$48</c:f>
              <c:multiLvlStrCache>
                <c:ptCount val="14"/>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lvl>
                <c:lvl>
                  <c:pt idx="0">
                    <c:v>2017</c:v>
                  </c:pt>
                  <c:pt idx="4">
                    <c:v>2018</c:v>
                  </c:pt>
                  <c:pt idx="8">
                    <c:v>2019</c:v>
                  </c:pt>
                  <c:pt idx="12">
                    <c:v>2020</c:v>
                  </c:pt>
                </c:lvl>
              </c:multiLvlStrCache>
            </c:multiLvlStrRef>
          </c:cat>
          <c:val>
            <c:numRef>
              <c:f>Arkusz1!$C$35:$C$48</c:f>
              <c:numCache>
                <c:formatCode>0.0</c:formatCode>
                <c:ptCount val="14"/>
                <c:pt idx="0">
                  <c:v>4.4000000000000004</c:v>
                </c:pt>
                <c:pt idx="1">
                  <c:v>4.9000000000000004</c:v>
                </c:pt>
                <c:pt idx="2">
                  <c:v>4.5999999999999996</c:v>
                </c:pt>
                <c:pt idx="3">
                  <c:v>4.4000000000000004</c:v>
                </c:pt>
                <c:pt idx="4">
                  <c:v>3.9</c:v>
                </c:pt>
                <c:pt idx="5">
                  <c:v>4.3</c:v>
                </c:pt>
                <c:pt idx="6">
                  <c:v>4.2</c:v>
                </c:pt>
                <c:pt idx="7">
                  <c:v>3.7</c:v>
                </c:pt>
                <c:pt idx="8">
                  <c:v>3.4</c:v>
                </c:pt>
                <c:pt idx="9">
                  <c:v>4.2</c:v>
                </c:pt>
                <c:pt idx="10">
                  <c:v>4</c:v>
                </c:pt>
                <c:pt idx="11">
                  <c:v>3.7</c:v>
                </c:pt>
                <c:pt idx="12">
                  <c:v>2.4</c:v>
                </c:pt>
                <c:pt idx="13">
                  <c:v>3.4</c:v>
                </c:pt>
              </c:numCache>
            </c:numRef>
          </c:val>
        </c:ser>
        <c:ser>
          <c:idx val="1"/>
          <c:order val="1"/>
          <c:tx>
            <c:strRef>
              <c:f>Arkusz1!$D$2</c:f>
              <c:strCache>
                <c:ptCount val="1"/>
                <c:pt idx="0">
                  <c:v>Świętokrzyskie</c:v>
                </c:pt>
              </c:strCache>
            </c:strRef>
          </c:tx>
          <c:spPr>
            <a:solidFill>
              <a:srgbClr val="7030A0"/>
            </a:solidFill>
            <a:ln w="28575">
              <a:noFill/>
            </a:ln>
          </c:spPr>
          <c:invertIfNegative val="0"/>
          <c:cat>
            <c:multiLvlStrRef>
              <c:f>Arkusz1!$A$35:$B$48</c:f>
              <c:multiLvlStrCache>
                <c:ptCount val="14"/>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lvl>
                <c:lvl>
                  <c:pt idx="0">
                    <c:v>2017</c:v>
                  </c:pt>
                  <c:pt idx="4">
                    <c:v>2018</c:v>
                  </c:pt>
                  <c:pt idx="8">
                    <c:v>2019</c:v>
                  </c:pt>
                  <c:pt idx="12">
                    <c:v>2020</c:v>
                  </c:pt>
                </c:lvl>
              </c:multiLvlStrCache>
            </c:multiLvlStrRef>
          </c:cat>
          <c:val>
            <c:numRef>
              <c:f>Arkusz1!$D$35:$D$48</c:f>
              <c:numCache>
                <c:formatCode>0.0</c:formatCode>
                <c:ptCount val="14"/>
                <c:pt idx="0">
                  <c:v>2.4</c:v>
                </c:pt>
                <c:pt idx="1">
                  <c:v>4.5999999999999996</c:v>
                </c:pt>
                <c:pt idx="2">
                  <c:v>4.5</c:v>
                </c:pt>
                <c:pt idx="3">
                  <c:v>5.6</c:v>
                </c:pt>
                <c:pt idx="4">
                  <c:v>3</c:v>
                </c:pt>
                <c:pt idx="5">
                  <c:v>3.6</c:v>
                </c:pt>
                <c:pt idx="6">
                  <c:v>4.0999999999999996</c:v>
                </c:pt>
                <c:pt idx="7">
                  <c:v>4</c:v>
                </c:pt>
                <c:pt idx="8">
                  <c:v>4.8</c:v>
                </c:pt>
                <c:pt idx="9">
                  <c:v>4.3</c:v>
                </c:pt>
                <c:pt idx="10">
                  <c:v>4.0999999999999996</c:v>
                </c:pt>
                <c:pt idx="11">
                  <c:v>3.6</c:v>
                </c:pt>
                <c:pt idx="12">
                  <c:v>4.0999999999999996</c:v>
                </c:pt>
                <c:pt idx="13">
                  <c:v>4.4000000000000004</c:v>
                </c:pt>
              </c:numCache>
            </c:numRef>
          </c:val>
        </c:ser>
        <c:dLbls>
          <c:showLegendKey val="0"/>
          <c:showVal val="0"/>
          <c:showCatName val="0"/>
          <c:showSerName val="0"/>
          <c:showPercent val="0"/>
          <c:showBubbleSize val="0"/>
        </c:dLbls>
        <c:gapWidth val="100"/>
        <c:axId val="1990331120"/>
        <c:axId val="1990320784"/>
      </c:barChart>
      <c:catAx>
        <c:axId val="1990331120"/>
        <c:scaling>
          <c:orientation val="minMax"/>
        </c:scaling>
        <c:delete val="0"/>
        <c:axPos val="b"/>
        <c:numFmt formatCode="#,##0.00" sourceLinked="0"/>
        <c:majorTickMark val="out"/>
        <c:minorTickMark val="none"/>
        <c:tickLblPos val="low"/>
        <c:spPr>
          <a:ln w="9525">
            <a:solidFill>
              <a:schemeClr val="tx1">
                <a:lumMod val="75000"/>
                <a:lumOff val="25000"/>
              </a:schemeClr>
            </a:solidFill>
          </a:ln>
        </c:spPr>
        <c:txPr>
          <a:bodyPr rot="-5400000" vert="horz"/>
          <a:lstStyle/>
          <a:p>
            <a:pPr>
              <a:defRPr sz="800" b="0" i="0" u="none" strike="noStrike" baseline="0">
                <a:solidFill>
                  <a:srgbClr val="000000"/>
                </a:solidFill>
                <a:latin typeface="Fira Sans"/>
                <a:ea typeface="Fira Sans"/>
                <a:cs typeface="Fira Sans"/>
              </a:defRPr>
            </a:pPr>
            <a:endParaRPr lang="pl-PL"/>
          </a:p>
        </c:txPr>
        <c:crossAx val="1990320784"/>
        <c:crosses val="autoZero"/>
        <c:auto val="1"/>
        <c:lblAlgn val="ctr"/>
        <c:lblOffset val="100"/>
        <c:noMultiLvlLbl val="0"/>
      </c:catAx>
      <c:valAx>
        <c:axId val="1990320784"/>
        <c:scaling>
          <c:orientation val="minMax"/>
          <c:max val="6"/>
          <c:min val="0"/>
        </c:scaling>
        <c:delete val="0"/>
        <c:axPos val="l"/>
        <c:majorGridlines>
          <c:spPr>
            <a:ln>
              <a:solidFill>
                <a:schemeClr val="bg1">
                  <a:lumMod val="50000"/>
                </a:schemeClr>
              </a:solidFill>
            </a:ln>
          </c:spPr>
        </c:majorGridlines>
        <c:title>
          <c:tx>
            <c:rich>
              <a:bodyPr rot="0" vert="horz"/>
              <a:lstStyle/>
              <a:p>
                <a:pPr algn="ctr">
                  <a:defRPr sz="700" b="1" i="1" u="none" strike="noStrike" baseline="0">
                    <a:solidFill>
                      <a:srgbClr val="000000"/>
                    </a:solidFill>
                    <a:latin typeface="Arial"/>
                    <a:ea typeface="Arial"/>
                    <a:cs typeface="Arial"/>
                  </a:defRPr>
                </a:pPr>
                <a:r>
                  <a:rPr lang="pl-PL"/>
                  <a:t>%</a:t>
                </a:r>
              </a:p>
            </c:rich>
          </c:tx>
          <c:layout>
            <c:manualLayout>
              <c:xMode val="edge"/>
              <c:yMode val="edge"/>
              <c:x val="1.6778749264475947E-2"/>
              <c:y val="3.2979978978106395E-2"/>
            </c:manualLayout>
          </c:layout>
          <c:overlay val="0"/>
        </c:title>
        <c:numFmt formatCode="0.0" sourceLinked="0"/>
        <c:majorTickMark val="out"/>
        <c:minorTickMark val="none"/>
        <c:tickLblPos val="nextTo"/>
        <c:spPr>
          <a:ln w="317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990331120"/>
        <c:crosses val="autoZero"/>
        <c:crossBetween val="between"/>
        <c:majorUnit val="1"/>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5.0237126952537535E-2"/>
          <c:y val="0.91470801644674982"/>
          <c:w val="0.29357297370795693"/>
          <c:h val="7.5087832450977721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872829563651168"/>
          <c:w val="0.92138525927502302"/>
          <c:h val="0.64243783119408293"/>
        </c:manualLayout>
      </c:layout>
      <c:barChart>
        <c:barDir val="col"/>
        <c:grouping val="clustered"/>
        <c:varyColors val="0"/>
        <c:ser>
          <c:idx val="0"/>
          <c:order val="0"/>
          <c:tx>
            <c:strRef>
              <c:f>'wykres 1'!$B$3</c:f>
              <c:strCache>
                <c:ptCount val="1"/>
                <c:pt idx="0">
                  <c:v>Polska</c:v>
                </c:pt>
              </c:strCache>
            </c:strRef>
          </c:tx>
          <c:spPr>
            <a:solidFill>
              <a:srgbClr val="7F7F7F"/>
            </a:solidFill>
            <a:ln>
              <a:noFill/>
            </a:ln>
            <a:effectLst/>
          </c:spPr>
          <c:invertIfNegative val="0"/>
          <c:cat>
            <c:strRef>
              <c:f>'wykres 1'!$C$2:$F$2</c:f>
              <c:strCache>
                <c:ptCount val="4"/>
                <c:pt idx="0">
                  <c:v>IV</c:v>
                </c:pt>
                <c:pt idx="1">
                  <c:v>V</c:v>
                </c:pt>
                <c:pt idx="2">
                  <c:v>VI</c:v>
                </c:pt>
                <c:pt idx="3">
                  <c:v>VII</c:v>
                </c:pt>
              </c:strCache>
            </c:strRef>
          </c:cat>
          <c:val>
            <c:numRef>
              <c:f>'wykres 1'!$C$3:$F$3</c:f>
              <c:numCache>
                <c:formatCode>General</c:formatCode>
                <c:ptCount val="4"/>
                <c:pt idx="0">
                  <c:v>9.6244438628631226</c:v>
                </c:pt>
                <c:pt idx="1">
                  <c:v>6.7682946776145769</c:v>
                </c:pt>
                <c:pt idx="2">
                  <c:v>4.6499072043192164</c:v>
                </c:pt>
                <c:pt idx="3">
                  <c:v>3.9945744320108512</c:v>
                </c:pt>
              </c:numCache>
            </c:numRef>
          </c:val>
        </c:ser>
        <c:ser>
          <c:idx val="1"/>
          <c:order val="1"/>
          <c:tx>
            <c:strRef>
              <c:f>'wykres 1'!$B$4</c:f>
              <c:strCache>
                <c:ptCount val="1"/>
                <c:pt idx="0">
                  <c:v>Świętokrzyskie</c:v>
                </c:pt>
              </c:strCache>
            </c:strRef>
          </c:tx>
          <c:spPr>
            <a:solidFill>
              <a:srgbClr val="7030A0"/>
            </a:solidFill>
            <a:ln>
              <a:noFill/>
            </a:ln>
            <a:effectLst/>
          </c:spPr>
          <c:invertIfNegative val="0"/>
          <c:cat>
            <c:strRef>
              <c:f>'wykres 1'!$C$2:$F$2</c:f>
              <c:strCache>
                <c:ptCount val="4"/>
                <c:pt idx="0">
                  <c:v>IV</c:v>
                </c:pt>
                <c:pt idx="1">
                  <c:v>V</c:v>
                </c:pt>
                <c:pt idx="2">
                  <c:v>VI</c:v>
                </c:pt>
                <c:pt idx="3">
                  <c:v>VII</c:v>
                </c:pt>
              </c:strCache>
            </c:strRef>
          </c:cat>
          <c:val>
            <c:numRef>
              <c:f>'wykres 1'!$C$4:$F$4</c:f>
              <c:numCache>
                <c:formatCode>General</c:formatCode>
                <c:ptCount val="4"/>
                <c:pt idx="0">
                  <c:v>8.0783353733170138</c:v>
                </c:pt>
                <c:pt idx="1">
                  <c:v>4.2839657282741745</c:v>
                </c:pt>
                <c:pt idx="2">
                  <c:v>3.6989795918367352</c:v>
                </c:pt>
                <c:pt idx="3">
                  <c:v>3.0808729139922977</c:v>
                </c:pt>
              </c:numCache>
            </c:numRef>
          </c:val>
        </c:ser>
        <c:dLbls>
          <c:showLegendKey val="0"/>
          <c:showVal val="0"/>
          <c:showCatName val="0"/>
          <c:showSerName val="0"/>
          <c:showPercent val="0"/>
          <c:showBubbleSize val="0"/>
        </c:dLbls>
        <c:gapWidth val="219"/>
        <c:overlap val="-27"/>
        <c:axId val="1990321872"/>
        <c:axId val="1990332752"/>
      </c:barChart>
      <c:catAx>
        <c:axId val="199032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32752"/>
        <c:crosses val="autoZero"/>
        <c:auto val="1"/>
        <c:lblAlgn val="ctr"/>
        <c:lblOffset val="100"/>
        <c:noMultiLvlLbl val="0"/>
      </c:catAx>
      <c:valAx>
        <c:axId val="1990332752"/>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1872"/>
        <c:crosses val="autoZero"/>
        <c:crossBetween val="between"/>
        <c:majorUnit val="2"/>
      </c:valAx>
      <c:spPr>
        <a:noFill/>
        <a:ln>
          <a:noFill/>
        </a:ln>
        <a:effectLst/>
      </c:spPr>
    </c:plotArea>
    <c:legend>
      <c:legendPos val="b"/>
      <c:layout>
        <c:manualLayout>
          <c:xMode val="edge"/>
          <c:yMode val="edge"/>
          <c:x val="0.23652067815847341"/>
          <c:y val="0.8895109433119528"/>
          <c:w val="0.39963112719018234"/>
          <c:h val="7.9660546546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7535250183253173"/>
        </c:manualLayout>
      </c:layout>
      <c:barChart>
        <c:barDir val="col"/>
        <c:grouping val="clustered"/>
        <c:varyColors val="0"/>
        <c:ser>
          <c:idx val="0"/>
          <c:order val="0"/>
          <c:tx>
            <c:strRef>
              <c:f>'wykres 2'!$C$4</c:f>
              <c:strCache>
                <c:ptCount val="1"/>
                <c:pt idx="0">
                  <c:v>IV</c:v>
                </c:pt>
              </c:strCache>
            </c:strRef>
          </c:tx>
          <c:spPr>
            <a:solidFill>
              <a:srgbClr val="532398"/>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2'!$C$5,'wykres 2'!$C$8:$C$11)</c:f>
              <c:numCache>
                <c:formatCode>General</c:formatCode>
                <c:ptCount val="5"/>
                <c:pt idx="0">
                  <c:v>9.5563139931740615</c:v>
                </c:pt>
                <c:pt idx="1">
                  <c:v>2.5316455696202529</c:v>
                </c:pt>
                <c:pt idx="2">
                  <c:v>9.0909090909090935</c:v>
                </c:pt>
                <c:pt idx="3">
                  <c:v>19.565217391304341</c:v>
                </c:pt>
                <c:pt idx="4">
                  <c:v>26.086956521739129</c:v>
                </c:pt>
              </c:numCache>
            </c:numRef>
          </c:val>
        </c:ser>
        <c:ser>
          <c:idx val="3"/>
          <c:order val="1"/>
          <c:tx>
            <c:strRef>
              <c:f>'wykres 2'!$D$4</c:f>
              <c:strCache>
                <c:ptCount val="1"/>
                <c:pt idx="0">
                  <c:v>V</c:v>
                </c:pt>
              </c:strCache>
            </c:strRef>
          </c:tx>
          <c:spPr>
            <a:solidFill>
              <a:srgbClr val="9275B2"/>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2'!$D$5,'wykres 2'!$D$8:$D$11)</c:f>
              <c:numCache>
                <c:formatCode>General</c:formatCode>
                <c:ptCount val="5"/>
                <c:pt idx="0">
                  <c:v>6.1433447098976108</c:v>
                </c:pt>
                <c:pt idx="1">
                  <c:v>2.5316455696202529</c:v>
                </c:pt>
                <c:pt idx="2">
                  <c:v>5.3475935828877006</c:v>
                </c:pt>
                <c:pt idx="3">
                  <c:v>2.1739130434782608</c:v>
                </c:pt>
                <c:pt idx="4">
                  <c:v>4.3478260869565215</c:v>
                </c:pt>
              </c:numCache>
            </c:numRef>
          </c:val>
        </c:ser>
        <c:ser>
          <c:idx val="4"/>
          <c:order val="2"/>
          <c:tx>
            <c:strRef>
              <c:f>'wykres 2'!$E$4</c:f>
              <c:strCache>
                <c:ptCount val="1"/>
                <c:pt idx="0">
                  <c:v>VI</c:v>
                </c:pt>
              </c:strCache>
            </c:strRef>
          </c:tx>
          <c:spPr>
            <a:solidFill>
              <a:srgbClr val="B4A0CE"/>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2'!$E$5,'wykres 2'!$E$8:$E$11)</c:f>
              <c:numCache>
                <c:formatCode>General</c:formatCode>
                <c:ptCount val="5"/>
                <c:pt idx="0">
                  <c:v>5.4347826086956514</c:v>
                </c:pt>
                <c:pt idx="1">
                  <c:v>1.3513513513513513</c:v>
                </c:pt>
                <c:pt idx="2">
                  <c:v>2.1164021164021163</c:v>
                </c:pt>
                <c:pt idx="3">
                  <c:v>2.2222222222222228</c:v>
                </c:pt>
                <c:pt idx="4">
                  <c:v>17.39130434782609</c:v>
                </c:pt>
              </c:numCache>
            </c:numRef>
          </c:val>
        </c:ser>
        <c:ser>
          <c:idx val="5"/>
          <c:order val="3"/>
          <c:tx>
            <c:strRef>
              <c:f>'wykres 2'!$F$4</c:f>
              <c:strCache>
                <c:ptCount val="1"/>
                <c:pt idx="0">
                  <c:v>VII</c:v>
                </c:pt>
              </c:strCache>
            </c:strRef>
          </c:tx>
          <c:spPr>
            <a:solidFill>
              <a:srgbClr val="D9DCF0"/>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2'!$F$5,'wykres 2'!$F$8:$F$11)</c:f>
              <c:numCache>
                <c:formatCode>General</c:formatCode>
                <c:ptCount val="5"/>
                <c:pt idx="0">
                  <c:v>5.1094890510948909</c:v>
                </c:pt>
                <c:pt idx="1">
                  <c:v>2.7027027027027031</c:v>
                </c:pt>
                <c:pt idx="2">
                  <c:v>1.0582010582010579</c:v>
                </c:pt>
                <c:pt idx="3">
                  <c:v>2.3809523809523809</c:v>
                </c:pt>
                <c:pt idx="4">
                  <c:v>8.6956521739130448</c:v>
                </c:pt>
              </c:numCache>
            </c:numRef>
          </c:val>
        </c:ser>
        <c:dLbls>
          <c:showLegendKey val="0"/>
          <c:showVal val="0"/>
          <c:showCatName val="0"/>
          <c:showSerName val="0"/>
          <c:showPercent val="0"/>
          <c:showBubbleSize val="0"/>
        </c:dLbls>
        <c:gapWidth val="219"/>
        <c:overlap val="-27"/>
        <c:axId val="1990322416"/>
        <c:axId val="1990334384"/>
      </c:barChart>
      <c:catAx>
        <c:axId val="199032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34384"/>
        <c:crosses val="autoZero"/>
        <c:auto val="1"/>
        <c:lblAlgn val="ctr"/>
        <c:lblOffset val="100"/>
        <c:noMultiLvlLbl val="0"/>
      </c:catAx>
      <c:valAx>
        <c:axId val="1990334384"/>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2416"/>
        <c:crosses val="autoZero"/>
        <c:crossBetween val="between"/>
        <c:majorUnit val="5"/>
      </c:valAx>
      <c:spPr>
        <a:noFill/>
        <a:ln>
          <a:noFill/>
        </a:ln>
        <a:effectLst/>
      </c:spPr>
    </c:plotArea>
    <c:legend>
      <c:legendPos val="b"/>
      <c:layout>
        <c:manualLayout>
          <c:xMode val="edge"/>
          <c:yMode val="edge"/>
          <c:x val="0.1452293868671822"/>
          <c:y val="0.8895109433119528"/>
          <c:w val="0.43521921921921936"/>
          <c:h val="7.462782734857829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5671070777169807"/>
        </c:manualLayout>
      </c:layout>
      <c:barChart>
        <c:barDir val="col"/>
        <c:grouping val="clustered"/>
        <c:varyColors val="0"/>
        <c:ser>
          <c:idx val="0"/>
          <c:order val="0"/>
          <c:tx>
            <c:strRef>
              <c:f>'wykres 3'!$B$4</c:f>
              <c:strCache>
                <c:ptCount val="1"/>
                <c:pt idx="0">
                  <c:v>Zmiana liczby zamówień</c:v>
                </c:pt>
              </c:strCache>
            </c:strRef>
          </c:tx>
          <c:spPr>
            <a:solidFill>
              <a:srgbClr val="532398"/>
            </a:solidFill>
            <a:ln>
              <a:noFill/>
            </a:ln>
            <a:effectLst/>
          </c:spPr>
          <c:invertIfNegative val="0"/>
          <c:cat>
            <c:strRef>
              <c:f>'wykres 3'!$C$3:$F$3</c:f>
              <c:strCache>
                <c:ptCount val="4"/>
                <c:pt idx="0">
                  <c:v>IV</c:v>
                </c:pt>
                <c:pt idx="1">
                  <c:v>V</c:v>
                </c:pt>
                <c:pt idx="2">
                  <c:v>VI</c:v>
                </c:pt>
                <c:pt idx="3">
                  <c:v>VII</c:v>
                </c:pt>
              </c:strCache>
            </c:strRef>
          </c:cat>
          <c:val>
            <c:numRef>
              <c:f>'wykres 3'!$C$4:$F$4</c:f>
              <c:numCache>
                <c:formatCode>General</c:formatCode>
                <c:ptCount val="4"/>
                <c:pt idx="0">
                  <c:v>6.487148102815179</c:v>
                </c:pt>
                <c:pt idx="1">
                  <c:v>2.8151774785801713</c:v>
                </c:pt>
                <c:pt idx="2">
                  <c:v>1.7857142857142854</c:v>
                </c:pt>
                <c:pt idx="3">
                  <c:v>2.3106546854942227</c:v>
                </c:pt>
              </c:numCache>
            </c:numRef>
          </c:val>
        </c:ser>
        <c:ser>
          <c:idx val="3"/>
          <c:order val="1"/>
          <c:tx>
            <c:strRef>
              <c:f>'wykres 3'!$B$5</c:f>
              <c:strCache>
                <c:ptCount val="1"/>
                <c:pt idx="0">
                  <c:v>Zmiana wymiaru etatów pracowników</c:v>
                </c:pt>
              </c:strCache>
            </c:strRef>
          </c:tx>
          <c:spPr>
            <a:solidFill>
              <a:srgbClr val="9275B2"/>
            </a:solidFill>
            <a:ln>
              <a:noFill/>
            </a:ln>
            <a:effectLst/>
          </c:spPr>
          <c:invertIfNegative val="0"/>
          <c:cat>
            <c:strRef>
              <c:f>'wykres 3'!$C$3:$F$3</c:f>
              <c:strCache>
                <c:ptCount val="4"/>
                <c:pt idx="0">
                  <c:v>IV</c:v>
                </c:pt>
                <c:pt idx="1">
                  <c:v>V</c:v>
                </c:pt>
                <c:pt idx="2">
                  <c:v>VI</c:v>
                </c:pt>
                <c:pt idx="3">
                  <c:v>VII</c:v>
                </c:pt>
              </c:strCache>
            </c:strRef>
          </c:cat>
          <c:val>
            <c:numRef>
              <c:f>'wykres 3'!$C$5:$F$5</c:f>
              <c:numCache>
                <c:formatCode>General</c:formatCode>
                <c:ptCount val="4"/>
                <c:pt idx="0">
                  <c:v>1.3463892288861692</c:v>
                </c:pt>
                <c:pt idx="1">
                  <c:v>1.1015911872705018</c:v>
                </c:pt>
                <c:pt idx="2">
                  <c:v>1.5306122448979591</c:v>
                </c:pt>
                <c:pt idx="3">
                  <c:v>0.89858793324775343</c:v>
                </c:pt>
              </c:numCache>
            </c:numRef>
          </c:val>
        </c:ser>
        <c:ser>
          <c:idx val="4"/>
          <c:order val="2"/>
          <c:tx>
            <c:strRef>
              <c:f>'wykres 3'!$B$6</c:f>
              <c:strCache>
                <c:ptCount val="1"/>
                <c:pt idx="0">
                  <c:v>Przebywanie pracowników na tzw. "postoju"</c:v>
                </c:pt>
              </c:strCache>
            </c:strRef>
          </c:tx>
          <c:spPr>
            <a:solidFill>
              <a:srgbClr val="B4A0CE"/>
            </a:solidFill>
            <a:ln>
              <a:noFill/>
            </a:ln>
            <a:effectLst/>
          </c:spPr>
          <c:invertIfNegative val="0"/>
          <c:cat>
            <c:strRef>
              <c:f>'wykres 3'!$C$3:$F$3</c:f>
              <c:strCache>
                <c:ptCount val="4"/>
                <c:pt idx="0">
                  <c:v>IV</c:v>
                </c:pt>
                <c:pt idx="1">
                  <c:v>V</c:v>
                </c:pt>
                <c:pt idx="2">
                  <c:v>VI</c:v>
                </c:pt>
                <c:pt idx="3">
                  <c:v>VII</c:v>
                </c:pt>
              </c:strCache>
            </c:strRef>
          </c:cat>
          <c:val>
            <c:numRef>
              <c:f>'wykres 3'!$C$6:$F$6</c:f>
              <c:numCache>
                <c:formatCode>General</c:formatCode>
                <c:ptCount val="4"/>
                <c:pt idx="0">
                  <c:v>1.2239902080783351</c:v>
                </c:pt>
                <c:pt idx="1">
                  <c:v>0.36719706242350064</c:v>
                </c:pt>
                <c:pt idx="2">
                  <c:v>0.51020408163265296</c:v>
                </c:pt>
                <c:pt idx="3">
                  <c:v>0.12836970474967907</c:v>
                </c:pt>
              </c:numCache>
            </c:numRef>
          </c:val>
        </c:ser>
        <c:ser>
          <c:idx val="5"/>
          <c:order val="3"/>
          <c:tx>
            <c:strRef>
              <c:f>'wykres 3'!$B$7</c:f>
              <c:strCache>
                <c:ptCount val="1"/>
                <c:pt idx="0">
                  <c:v>Pozostałe przyczyny</c:v>
                </c:pt>
              </c:strCache>
            </c:strRef>
          </c:tx>
          <c:spPr>
            <a:solidFill>
              <a:srgbClr val="D9DCF0"/>
            </a:solidFill>
            <a:ln>
              <a:noFill/>
            </a:ln>
            <a:effectLst/>
          </c:spPr>
          <c:invertIfNegative val="0"/>
          <c:cat>
            <c:strRef>
              <c:f>'wykres 3'!$C$3:$F$3</c:f>
              <c:strCache>
                <c:ptCount val="4"/>
                <c:pt idx="0">
                  <c:v>IV</c:v>
                </c:pt>
                <c:pt idx="1">
                  <c:v>V</c:v>
                </c:pt>
                <c:pt idx="2">
                  <c:v>VI</c:v>
                </c:pt>
                <c:pt idx="3">
                  <c:v>VII</c:v>
                </c:pt>
              </c:strCache>
            </c:strRef>
          </c:cat>
          <c:val>
            <c:numRef>
              <c:f>'wykres 3'!$C$7:$F$7</c:f>
              <c:numCache>
                <c:formatCode>General</c:formatCode>
                <c:ptCount val="4"/>
                <c:pt idx="0">
                  <c:v>11.138310893512848</c:v>
                </c:pt>
                <c:pt idx="1">
                  <c:v>6.9767441860465125</c:v>
                </c:pt>
                <c:pt idx="2">
                  <c:v>5.8673469387755084</c:v>
                </c:pt>
                <c:pt idx="3">
                  <c:v>6.9319640564826708</c:v>
                </c:pt>
              </c:numCache>
            </c:numRef>
          </c:val>
        </c:ser>
        <c:dLbls>
          <c:showLegendKey val="0"/>
          <c:showVal val="0"/>
          <c:showCatName val="0"/>
          <c:showSerName val="0"/>
          <c:showPercent val="0"/>
          <c:showBubbleSize val="0"/>
        </c:dLbls>
        <c:gapWidth val="219"/>
        <c:overlap val="-27"/>
        <c:axId val="1990322960"/>
        <c:axId val="1990331664"/>
      </c:barChart>
      <c:catAx>
        <c:axId val="199032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31664"/>
        <c:crosses val="autoZero"/>
        <c:auto val="1"/>
        <c:lblAlgn val="ctr"/>
        <c:lblOffset val="100"/>
        <c:noMultiLvlLbl val="0"/>
      </c:catAx>
      <c:valAx>
        <c:axId val="1990331664"/>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2960"/>
        <c:crosses val="autoZero"/>
        <c:crossBetween val="between"/>
        <c:majorUnit val="2"/>
      </c:valAx>
      <c:spPr>
        <a:noFill/>
        <a:ln>
          <a:noFill/>
        </a:ln>
        <a:effectLst/>
      </c:spPr>
    </c:plotArea>
    <c:legend>
      <c:legendPos val="b"/>
      <c:layout>
        <c:manualLayout>
          <c:xMode val="edge"/>
          <c:yMode val="edge"/>
          <c:x val="0.2011710657379949"/>
          <c:y val="0.83172916944703945"/>
          <c:w val="0.77421791972973064"/>
          <c:h val="0.166308109791360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1283324621024"/>
          <c:y val="4.6344871915138593E-2"/>
          <c:w val="0.6957685117843585"/>
          <c:h val="0.87930783813204605"/>
        </c:manualLayout>
      </c:layout>
      <c:barChart>
        <c:barDir val="bar"/>
        <c:grouping val="clustered"/>
        <c:varyColors val="0"/>
        <c:ser>
          <c:idx val="0"/>
          <c:order val="0"/>
          <c:tx>
            <c:strRef>
              <c:f>Wykres!$B$4</c:f>
              <c:strCache>
                <c:ptCount val="1"/>
                <c:pt idx="0">
                  <c:v>wyrejestrowane</c:v>
                </c:pt>
              </c:strCache>
            </c:strRef>
          </c:tx>
          <c:spPr>
            <a:solidFill>
              <a:srgbClr val="A6A6A6"/>
            </a:solidFill>
          </c:spPr>
          <c:invertIfNegative val="0"/>
          <c:cat>
            <c:strRef>
              <c:f>Wykres!$A$6:$A$19</c:f>
              <c:strCache>
                <c:ptCount val="14"/>
                <c:pt idx="0">
                  <c:v>kazimierski</c:v>
                </c:pt>
                <c:pt idx="1">
                  <c:v>pińczowski</c:v>
                </c:pt>
                <c:pt idx="2">
                  <c:v>włoszczowski</c:v>
                </c:pt>
                <c:pt idx="3">
                  <c:v>skarżyski</c:v>
                </c:pt>
                <c:pt idx="4">
                  <c:v>starachowicki</c:v>
                </c:pt>
                <c:pt idx="5">
                  <c:v>opatowski</c:v>
                </c:pt>
                <c:pt idx="6">
                  <c:v>buski</c:v>
                </c:pt>
                <c:pt idx="7">
                  <c:v>ostrowiecki</c:v>
                </c:pt>
                <c:pt idx="8">
                  <c:v>sandomierski</c:v>
                </c:pt>
                <c:pt idx="9">
                  <c:v>jędrzejowski</c:v>
                </c:pt>
                <c:pt idx="10">
                  <c:v>staszowski</c:v>
                </c:pt>
                <c:pt idx="11">
                  <c:v>konecki</c:v>
                </c:pt>
                <c:pt idx="12">
                  <c:v>m.Kielce</c:v>
                </c:pt>
                <c:pt idx="13">
                  <c:v>kielecki</c:v>
                </c:pt>
              </c:strCache>
            </c:strRef>
          </c:cat>
          <c:val>
            <c:numRef>
              <c:f>Wykres!$B$6:$B$19</c:f>
              <c:numCache>
                <c:formatCode>General</c:formatCode>
                <c:ptCount val="14"/>
                <c:pt idx="0">
                  <c:v>8</c:v>
                </c:pt>
                <c:pt idx="1">
                  <c:v>8</c:v>
                </c:pt>
                <c:pt idx="2">
                  <c:v>9</c:v>
                </c:pt>
                <c:pt idx="3">
                  <c:v>18</c:v>
                </c:pt>
                <c:pt idx="4">
                  <c:v>11</c:v>
                </c:pt>
                <c:pt idx="5">
                  <c:v>6</c:v>
                </c:pt>
                <c:pt idx="6">
                  <c:v>20</c:v>
                </c:pt>
                <c:pt idx="7">
                  <c:v>11</c:v>
                </c:pt>
                <c:pt idx="8">
                  <c:v>17</c:v>
                </c:pt>
                <c:pt idx="9">
                  <c:v>15</c:v>
                </c:pt>
                <c:pt idx="10">
                  <c:v>12</c:v>
                </c:pt>
                <c:pt idx="11">
                  <c:v>23</c:v>
                </c:pt>
                <c:pt idx="12">
                  <c:v>75</c:v>
                </c:pt>
                <c:pt idx="13">
                  <c:v>36</c:v>
                </c:pt>
              </c:numCache>
            </c:numRef>
          </c:val>
        </c:ser>
        <c:ser>
          <c:idx val="1"/>
          <c:order val="1"/>
          <c:tx>
            <c:strRef>
              <c:f>Wykres!$C$4</c:f>
              <c:strCache>
                <c:ptCount val="1"/>
                <c:pt idx="0">
                  <c:v>nowo zarejestrowane</c:v>
                </c:pt>
              </c:strCache>
            </c:strRef>
          </c:tx>
          <c:spPr>
            <a:solidFill>
              <a:srgbClr val="7030A0"/>
            </a:solidFill>
          </c:spPr>
          <c:invertIfNegative val="0"/>
          <c:cat>
            <c:strRef>
              <c:f>Wykres!$A$6:$A$19</c:f>
              <c:strCache>
                <c:ptCount val="14"/>
                <c:pt idx="0">
                  <c:v>kazimierski</c:v>
                </c:pt>
                <c:pt idx="1">
                  <c:v>pińczowski</c:v>
                </c:pt>
                <c:pt idx="2">
                  <c:v>włoszczowski</c:v>
                </c:pt>
                <c:pt idx="3">
                  <c:v>skarżyski</c:v>
                </c:pt>
                <c:pt idx="4">
                  <c:v>starachowicki</c:v>
                </c:pt>
                <c:pt idx="5">
                  <c:v>opatowski</c:v>
                </c:pt>
                <c:pt idx="6">
                  <c:v>buski</c:v>
                </c:pt>
                <c:pt idx="7">
                  <c:v>ostrowiecki</c:v>
                </c:pt>
                <c:pt idx="8">
                  <c:v>sandomierski</c:v>
                </c:pt>
                <c:pt idx="9">
                  <c:v>jędrzejowski</c:v>
                </c:pt>
                <c:pt idx="10">
                  <c:v>staszowski</c:v>
                </c:pt>
                <c:pt idx="11">
                  <c:v>konecki</c:v>
                </c:pt>
                <c:pt idx="12">
                  <c:v>m.Kielce</c:v>
                </c:pt>
                <c:pt idx="13">
                  <c:v>kielecki</c:v>
                </c:pt>
              </c:strCache>
            </c:strRef>
          </c:cat>
          <c:val>
            <c:numRef>
              <c:f>Wykres!$C$6:$C$19</c:f>
              <c:numCache>
                <c:formatCode>General</c:formatCode>
                <c:ptCount val="14"/>
                <c:pt idx="0">
                  <c:v>19</c:v>
                </c:pt>
                <c:pt idx="1">
                  <c:v>26</c:v>
                </c:pt>
                <c:pt idx="2">
                  <c:v>34</c:v>
                </c:pt>
                <c:pt idx="3">
                  <c:v>36</c:v>
                </c:pt>
                <c:pt idx="4">
                  <c:v>40</c:v>
                </c:pt>
                <c:pt idx="5">
                  <c:v>43</c:v>
                </c:pt>
                <c:pt idx="6">
                  <c:v>48</c:v>
                </c:pt>
                <c:pt idx="7">
                  <c:v>48</c:v>
                </c:pt>
                <c:pt idx="8">
                  <c:v>49</c:v>
                </c:pt>
                <c:pt idx="9">
                  <c:v>50</c:v>
                </c:pt>
                <c:pt idx="10">
                  <c:v>51</c:v>
                </c:pt>
                <c:pt idx="11">
                  <c:v>62</c:v>
                </c:pt>
                <c:pt idx="12">
                  <c:v>189</c:v>
                </c:pt>
                <c:pt idx="13">
                  <c:v>199</c:v>
                </c:pt>
              </c:numCache>
            </c:numRef>
          </c:val>
        </c:ser>
        <c:dLbls>
          <c:showLegendKey val="0"/>
          <c:showVal val="0"/>
          <c:showCatName val="0"/>
          <c:showSerName val="0"/>
          <c:showPercent val="0"/>
          <c:showBubbleSize val="0"/>
        </c:dLbls>
        <c:gapWidth val="120"/>
        <c:axId val="1990329488"/>
        <c:axId val="1990323504"/>
      </c:barChart>
      <c:catAx>
        <c:axId val="1990329488"/>
        <c:scaling>
          <c:orientation val="minMax"/>
        </c:scaling>
        <c:delete val="0"/>
        <c:axPos val="l"/>
        <c:numFmt formatCode="General" sourceLinked="0"/>
        <c:majorTickMark val="none"/>
        <c:minorTickMark val="none"/>
        <c:tickLblPos val="nextTo"/>
        <c:spPr>
          <a:ln>
            <a:noFill/>
          </a:ln>
        </c:spPr>
        <c:txPr>
          <a:bodyPr/>
          <a:lstStyle/>
          <a:p>
            <a:pPr>
              <a:defRPr sz="800">
                <a:solidFill>
                  <a:srgbClr val="595959"/>
                </a:solidFill>
                <a:latin typeface="Fira Sans" panose="020B0503050000020004" pitchFamily="34" charset="0"/>
              </a:defRPr>
            </a:pPr>
            <a:endParaRPr lang="pl-PL"/>
          </a:p>
        </c:txPr>
        <c:crossAx val="1990323504"/>
        <c:crosses val="autoZero"/>
        <c:auto val="1"/>
        <c:lblAlgn val="ctr"/>
        <c:lblOffset val="100"/>
        <c:noMultiLvlLbl val="0"/>
      </c:catAx>
      <c:valAx>
        <c:axId val="1990323504"/>
        <c:scaling>
          <c:orientation val="minMax"/>
          <c:max val="200"/>
        </c:scaling>
        <c:delete val="0"/>
        <c:axPos val="b"/>
        <c:majorGridlines>
          <c:spPr>
            <a:ln>
              <a:solidFill>
                <a:srgbClr val="D9D9D9"/>
              </a:solidFill>
            </a:ln>
          </c:spPr>
        </c:majorGridlines>
        <c:numFmt formatCode="General" sourceLinked="1"/>
        <c:majorTickMark val="none"/>
        <c:minorTickMark val="none"/>
        <c:tickLblPos val="nextTo"/>
        <c:spPr>
          <a:ln>
            <a:noFill/>
          </a:ln>
        </c:spPr>
        <c:txPr>
          <a:bodyPr/>
          <a:lstStyle/>
          <a:p>
            <a:pPr>
              <a:defRPr sz="800">
                <a:solidFill>
                  <a:srgbClr val="595959"/>
                </a:solidFill>
                <a:latin typeface="Fira Sans" panose="020B0503050000020004" pitchFamily="34" charset="0"/>
              </a:defRPr>
            </a:pPr>
            <a:endParaRPr lang="pl-PL"/>
          </a:p>
        </c:txPr>
        <c:crossAx val="1990329488"/>
        <c:crosses val="autoZero"/>
        <c:crossBetween val="between"/>
        <c:majorUnit val="20"/>
      </c:valAx>
    </c:plotArea>
    <c:legend>
      <c:legendPos val="r"/>
      <c:layout/>
      <c:overlay val="0"/>
      <c:txPr>
        <a:bodyPr/>
        <a:lstStyle/>
        <a:p>
          <a:pPr>
            <a:defRPr sz="800">
              <a:latin typeface="Fira Sans" panose="020B0503050000020004"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'26'!$J$6</c:f>
              <c:strCache>
                <c:ptCount val="1"/>
                <c:pt idx="0">
                  <c:v>nieznaczne</c:v>
                </c:pt>
              </c:strCache>
            </c:strRef>
          </c:tx>
          <c:spPr>
            <a:solidFill>
              <a:srgbClr val="532398"/>
            </a:solidFill>
            <a:ln>
              <a:noFill/>
            </a:ln>
            <a:effectLst/>
          </c:spPr>
          <c:invertIfNegative val="0"/>
          <c:cat>
            <c:multiLvlStrRef>
              <c:f>'26'!$K$4:$T$5</c:f>
              <c:multiLvlStrCache>
                <c:ptCount val="10"/>
                <c:lvl>
                  <c:pt idx="0">
                    <c:v>VII</c:v>
                  </c:pt>
                  <c:pt idx="1">
                    <c:v>VIII</c:v>
                  </c:pt>
                  <c:pt idx="2">
                    <c:v>VII</c:v>
                  </c:pt>
                  <c:pt idx="3">
                    <c:v>VIII</c:v>
                  </c:pt>
                  <c:pt idx="4">
                    <c:v>VII</c:v>
                  </c:pt>
                  <c:pt idx="5">
                    <c:v>VIII</c:v>
                  </c:pt>
                  <c:pt idx="6">
                    <c:v>VII</c:v>
                  </c:pt>
                  <c:pt idx="7">
                    <c:v>VIII</c:v>
                  </c:pt>
                  <c:pt idx="8">
                    <c:v>VII</c:v>
                  </c:pt>
                  <c:pt idx="9">
                    <c:v>VIII</c:v>
                  </c:pt>
                </c:lvl>
                <c:lvl>
                  <c:pt idx="0">
                    <c:v>Przetwórstwo przemysłowe</c:v>
                  </c:pt>
                  <c:pt idx="2">
                    <c:v>Budownictwo</c:v>
                  </c:pt>
                  <c:pt idx="4">
                    <c:v>Handel hurtowy</c:v>
                  </c:pt>
                  <c:pt idx="6">
                    <c:v>Handel detaliczny</c:v>
                  </c:pt>
                  <c:pt idx="8">
                    <c:v>Usługi</c:v>
                  </c:pt>
                </c:lvl>
              </c:multiLvlStrCache>
            </c:multiLvlStrRef>
          </c:cat>
          <c:val>
            <c:numRef>
              <c:f>'26'!$K$6:$T$6</c:f>
              <c:numCache>
                <c:formatCode>0.0</c:formatCode>
                <c:ptCount val="10"/>
                <c:pt idx="0">
                  <c:v>55.6</c:v>
                </c:pt>
                <c:pt idx="1">
                  <c:v>59</c:v>
                </c:pt>
                <c:pt idx="2">
                  <c:v>50.9</c:v>
                </c:pt>
                <c:pt idx="3">
                  <c:v>50.9</c:v>
                </c:pt>
                <c:pt idx="4">
                  <c:v>54</c:v>
                </c:pt>
                <c:pt idx="5">
                  <c:v>52</c:v>
                </c:pt>
                <c:pt idx="6">
                  <c:v>44.1</c:v>
                </c:pt>
                <c:pt idx="7">
                  <c:v>44.1</c:v>
                </c:pt>
                <c:pt idx="8">
                  <c:v>17.399999999999999</c:v>
                </c:pt>
                <c:pt idx="9">
                  <c:v>88.3</c:v>
                </c:pt>
              </c:numCache>
            </c:numRef>
          </c:val>
        </c:ser>
        <c:ser>
          <c:idx val="1"/>
          <c:order val="1"/>
          <c:tx>
            <c:strRef>
              <c:f>'26'!$J$7</c:f>
              <c:strCache>
                <c:ptCount val="1"/>
                <c:pt idx="0">
                  <c:v>poważne</c:v>
                </c:pt>
              </c:strCache>
            </c:strRef>
          </c:tx>
          <c:spPr>
            <a:solidFill>
              <a:srgbClr val="9275B2"/>
            </a:solidFill>
            <a:ln>
              <a:noFill/>
            </a:ln>
            <a:effectLst/>
          </c:spPr>
          <c:invertIfNegative val="0"/>
          <c:cat>
            <c:multiLvlStrRef>
              <c:f>'26'!$K$4:$T$5</c:f>
              <c:multiLvlStrCache>
                <c:ptCount val="10"/>
                <c:lvl>
                  <c:pt idx="0">
                    <c:v>VII</c:v>
                  </c:pt>
                  <c:pt idx="1">
                    <c:v>VIII</c:v>
                  </c:pt>
                  <c:pt idx="2">
                    <c:v>VII</c:v>
                  </c:pt>
                  <c:pt idx="3">
                    <c:v>VIII</c:v>
                  </c:pt>
                  <c:pt idx="4">
                    <c:v>VII</c:v>
                  </c:pt>
                  <c:pt idx="5">
                    <c:v>VIII</c:v>
                  </c:pt>
                  <c:pt idx="6">
                    <c:v>VII</c:v>
                  </c:pt>
                  <c:pt idx="7">
                    <c:v>VIII</c:v>
                  </c:pt>
                  <c:pt idx="8">
                    <c:v>VII</c:v>
                  </c:pt>
                  <c:pt idx="9">
                    <c:v>VIII</c:v>
                  </c:pt>
                </c:lvl>
                <c:lvl>
                  <c:pt idx="0">
                    <c:v>Przetwórstwo przemysłowe</c:v>
                  </c:pt>
                  <c:pt idx="2">
                    <c:v>Budownictwo</c:v>
                  </c:pt>
                  <c:pt idx="4">
                    <c:v>Handel hurtowy</c:v>
                  </c:pt>
                  <c:pt idx="6">
                    <c:v>Handel detaliczny</c:v>
                  </c:pt>
                  <c:pt idx="8">
                    <c:v>Usługi</c:v>
                  </c:pt>
                </c:lvl>
              </c:multiLvlStrCache>
            </c:multiLvlStrRef>
          </c:cat>
          <c:val>
            <c:numRef>
              <c:f>'26'!$K$7:$T$7</c:f>
              <c:numCache>
                <c:formatCode>0.0</c:formatCode>
                <c:ptCount val="10"/>
                <c:pt idx="0">
                  <c:v>25.9</c:v>
                </c:pt>
                <c:pt idx="1">
                  <c:v>27</c:v>
                </c:pt>
                <c:pt idx="2">
                  <c:v>46.3</c:v>
                </c:pt>
                <c:pt idx="3">
                  <c:v>46.3</c:v>
                </c:pt>
                <c:pt idx="4">
                  <c:v>21.9</c:v>
                </c:pt>
                <c:pt idx="5">
                  <c:v>23.9</c:v>
                </c:pt>
                <c:pt idx="6">
                  <c:v>33.800000000000011</c:v>
                </c:pt>
                <c:pt idx="7">
                  <c:v>33.800000000000011</c:v>
                </c:pt>
                <c:pt idx="8">
                  <c:v>79.3</c:v>
                </c:pt>
                <c:pt idx="9">
                  <c:v>11.7</c:v>
                </c:pt>
              </c:numCache>
            </c:numRef>
          </c:val>
        </c:ser>
        <c:ser>
          <c:idx val="2"/>
          <c:order val="2"/>
          <c:tx>
            <c:strRef>
              <c:f>'26'!$J$8</c:f>
              <c:strCache>
                <c:ptCount val="1"/>
                <c:pt idx="0">
                  <c:v>zagrażające stabilności firmy</c:v>
                </c:pt>
              </c:strCache>
            </c:strRef>
          </c:tx>
          <c:spPr>
            <a:solidFill>
              <a:srgbClr val="B4A0CE"/>
            </a:solidFill>
            <a:ln>
              <a:noFill/>
            </a:ln>
            <a:effectLst/>
          </c:spPr>
          <c:invertIfNegative val="0"/>
          <c:cat>
            <c:multiLvlStrRef>
              <c:f>'26'!$K$4:$T$5</c:f>
              <c:multiLvlStrCache>
                <c:ptCount val="10"/>
                <c:lvl>
                  <c:pt idx="0">
                    <c:v>VII</c:v>
                  </c:pt>
                  <c:pt idx="1">
                    <c:v>VIII</c:v>
                  </c:pt>
                  <c:pt idx="2">
                    <c:v>VII</c:v>
                  </c:pt>
                  <c:pt idx="3">
                    <c:v>VIII</c:v>
                  </c:pt>
                  <c:pt idx="4">
                    <c:v>VII</c:v>
                  </c:pt>
                  <c:pt idx="5">
                    <c:v>VIII</c:v>
                  </c:pt>
                  <c:pt idx="6">
                    <c:v>VII</c:v>
                  </c:pt>
                  <c:pt idx="7">
                    <c:v>VIII</c:v>
                  </c:pt>
                  <c:pt idx="8">
                    <c:v>VII</c:v>
                  </c:pt>
                  <c:pt idx="9">
                    <c:v>VIII</c:v>
                  </c:pt>
                </c:lvl>
                <c:lvl>
                  <c:pt idx="0">
                    <c:v>Przetwórstwo przemysłowe</c:v>
                  </c:pt>
                  <c:pt idx="2">
                    <c:v>Budownictwo</c:v>
                  </c:pt>
                  <c:pt idx="4">
                    <c:v>Handel hurtowy</c:v>
                  </c:pt>
                  <c:pt idx="6">
                    <c:v>Handel detaliczny</c:v>
                  </c:pt>
                  <c:pt idx="8">
                    <c:v>Usługi</c:v>
                  </c:pt>
                </c:lvl>
              </c:multiLvlStrCache>
            </c:multiLvlStrRef>
          </c:cat>
          <c:val>
            <c:numRef>
              <c:f>'26'!$K$8:$T$8</c:f>
              <c:numCache>
                <c:formatCode>0.0</c:formatCode>
                <c:ptCount val="10"/>
                <c:pt idx="0">
                  <c:v>0.8</c:v>
                </c:pt>
                <c:pt idx="1">
                  <c:v>0.9</c:v>
                </c:pt>
                <c:pt idx="2">
                  <c:v>0</c:v>
                </c:pt>
                <c:pt idx="3">
                  <c:v>0</c:v>
                </c:pt>
                <c:pt idx="4">
                  <c:v>13.1</c:v>
                </c:pt>
                <c:pt idx="5">
                  <c:v>13.1</c:v>
                </c:pt>
                <c:pt idx="6">
                  <c:v>1.6</c:v>
                </c:pt>
                <c:pt idx="7">
                  <c:v>1.6</c:v>
                </c:pt>
                <c:pt idx="8">
                  <c:v>3.3</c:v>
                </c:pt>
                <c:pt idx="9">
                  <c:v>0</c:v>
                </c:pt>
              </c:numCache>
            </c:numRef>
          </c:val>
        </c:ser>
        <c:ser>
          <c:idx val="3"/>
          <c:order val="3"/>
          <c:tx>
            <c:strRef>
              <c:f>'26'!$J$9</c:f>
              <c:strCache>
                <c:ptCount val="1"/>
                <c:pt idx="0">
                  <c:v>brak negatywnych skutków</c:v>
                </c:pt>
              </c:strCache>
            </c:strRef>
          </c:tx>
          <c:spPr>
            <a:solidFill>
              <a:srgbClr val="D9DCF0"/>
            </a:solidFill>
            <a:ln>
              <a:noFill/>
            </a:ln>
            <a:effectLst/>
          </c:spPr>
          <c:invertIfNegative val="0"/>
          <c:cat>
            <c:multiLvlStrRef>
              <c:f>'26'!$K$4:$T$5</c:f>
              <c:multiLvlStrCache>
                <c:ptCount val="10"/>
                <c:lvl>
                  <c:pt idx="0">
                    <c:v>VII</c:v>
                  </c:pt>
                  <c:pt idx="1">
                    <c:v>VIII</c:v>
                  </c:pt>
                  <c:pt idx="2">
                    <c:v>VII</c:v>
                  </c:pt>
                  <c:pt idx="3">
                    <c:v>VIII</c:v>
                  </c:pt>
                  <c:pt idx="4">
                    <c:v>VII</c:v>
                  </c:pt>
                  <c:pt idx="5">
                    <c:v>VIII</c:v>
                  </c:pt>
                  <c:pt idx="6">
                    <c:v>VII</c:v>
                  </c:pt>
                  <c:pt idx="7">
                    <c:v>VIII</c:v>
                  </c:pt>
                  <c:pt idx="8">
                    <c:v>VII</c:v>
                  </c:pt>
                  <c:pt idx="9">
                    <c:v>VIII</c:v>
                  </c:pt>
                </c:lvl>
                <c:lvl>
                  <c:pt idx="0">
                    <c:v>Przetwórstwo przemysłowe</c:v>
                  </c:pt>
                  <c:pt idx="2">
                    <c:v>Budownictwo</c:v>
                  </c:pt>
                  <c:pt idx="4">
                    <c:v>Handel hurtowy</c:v>
                  </c:pt>
                  <c:pt idx="6">
                    <c:v>Handel detaliczny</c:v>
                  </c:pt>
                  <c:pt idx="8">
                    <c:v>Usługi</c:v>
                  </c:pt>
                </c:lvl>
              </c:multiLvlStrCache>
            </c:multiLvlStrRef>
          </c:cat>
          <c:val>
            <c:numRef>
              <c:f>'26'!$K$9:$T$9</c:f>
              <c:numCache>
                <c:formatCode>0.0</c:formatCode>
                <c:ptCount val="10"/>
                <c:pt idx="0">
                  <c:v>17.7</c:v>
                </c:pt>
                <c:pt idx="1">
                  <c:v>13.1</c:v>
                </c:pt>
                <c:pt idx="2">
                  <c:v>2.8</c:v>
                </c:pt>
                <c:pt idx="3">
                  <c:v>2.8</c:v>
                </c:pt>
                <c:pt idx="4">
                  <c:v>11</c:v>
                </c:pt>
                <c:pt idx="5">
                  <c:v>11</c:v>
                </c:pt>
                <c:pt idx="6">
                  <c:v>20.5</c:v>
                </c:pt>
                <c:pt idx="7">
                  <c:v>20.5</c:v>
                </c:pt>
                <c:pt idx="8">
                  <c:v>0</c:v>
                </c:pt>
                <c:pt idx="9">
                  <c:v>0</c:v>
                </c:pt>
              </c:numCache>
            </c:numRef>
          </c:val>
        </c:ser>
        <c:dLbls>
          <c:showLegendKey val="0"/>
          <c:showVal val="0"/>
          <c:showCatName val="0"/>
          <c:showSerName val="0"/>
          <c:showPercent val="0"/>
          <c:showBubbleSize val="0"/>
        </c:dLbls>
        <c:gapWidth val="150"/>
        <c:overlap val="100"/>
        <c:axId val="1990327856"/>
        <c:axId val="1990325680"/>
      </c:barChart>
      <c:catAx>
        <c:axId val="199032785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5680"/>
        <c:crosses val="autoZero"/>
        <c:auto val="1"/>
        <c:lblAlgn val="ctr"/>
        <c:lblOffset val="100"/>
        <c:noMultiLvlLbl val="0"/>
      </c:catAx>
      <c:valAx>
        <c:axId val="1990325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7856"/>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'26'!$C$58</c:f>
              <c:strCache>
                <c:ptCount val="1"/>
                <c:pt idx="0">
                  <c:v>  zmiana [%]</c:v>
                </c:pt>
              </c:strCache>
            </c:strRef>
          </c:tx>
          <c:spPr>
            <a:solidFill>
              <a:srgbClr val="9275B2"/>
            </a:solidFill>
            <a:ln>
              <a:noFill/>
            </a:ln>
            <a:effectLst/>
          </c:spPr>
          <c:invertIfNegative val="0"/>
          <c:cat>
            <c:strRef>
              <c:f>'26'!$D$57:$H$57</c:f>
              <c:strCache>
                <c:ptCount val="5"/>
                <c:pt idx="0">
                  <c:v>Przetwórstwo przemysłowe</c:v>
                </c:pt>
                <c:pt idx="1">
                  <c:v>Budownictwo</c:v>
                </c:pt>
                <c:pt idx="2">
                  <c:v>Handel hurtowy</c:v>
                </c:pt>
                <c:pt idx="3">
                  <c:v>Handel detaliczny</c:v>
                </c:pt>
                <c:pt idx="4">
                  <c:v>Usługi</c:v>
                </c:pt>
              </c:strCache>
            </c:strRef>
          </c:cat>
          <c:val>
            <c:numRef>
              <c:f>'26'!$D$58:$H$58</c:f>
              <c:numCache>
                <c:formatCode>0.0</c:formatCode>
                <c:ptCount val="5"/>
                <c:pt idx="0">
                  <c:v>-9.7000000000000011</c:v>
                </c:pt>
                <c:pt idx="1">
                  <c:v>-31.9</c:v>
                </c:pt>
                <c:pt idx="2">
                  <c:v>-17.100000000000001</c:v>
                </c:pt>
                <c:pt idx="3">
                  <c:v>-9.4</c:v>
                </c:pt>
                <c:pt idx="4">
                  <c:v>-11.6</c:v>
                </c:pt>
              </c:numCache>
            </c:numRef>
          </c:val>
        </c:ser>
        <c:dLbls>
          <c:showLegendKey val="0"/>
          <c:showVal val="0"/>
          <c:showCatName val="0"/>
          <c:showSerName val="0"/>
          <c:showPercent val="0"/>
          <c:showBubbleSize val="0"/>
        </c:dLbls>
        <c:gapWidth val="150"/>
        <c:axId val="1990320240"/>
        <c:axId val="1990324048"/>
      </c:barChart>
      <c:catAx>
        <c:axId val="199032024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4048"/>
        <c:crosses val="autoZero"/>
        <c:auto val="1"/>
        <c:lblAlgn val="ctr"/>
        <c:lblOffset val="100"/>
        <c:noMultiLvlLbl val="0"/>
      </c:catAx>
      <c:valAx>
        <c:axId val="1990324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9032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34E-2"/>
          <c:y val="0.10245035500436334"/>
          <c:w val="0.95913439156066616"/>
          <c:h val="0.58267424905220166"/>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bezrobocie!$B$147:$C$189</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bezrobocie!$D$147:$D$189</c:f>
              <c:numCache>
                <c:formatCode>0.0</c:formatCode>
                <c:ptCount val="43"/>
                <c:pt idx="0">
                  <c:v>8.5</c:v>
                </c:pt>
                <c:pt idx="1">
                  <c:v>8.4</c:v>
                </c:pt>
                <c:pt idx="2">
                  <c:v>8</c:v>
                </c:pt>
                <c:pt idx="3">
                  <c:v>7.6</c:v>
                </c:pt>
                <c:pt idx="4">
                  <c:v>7.3</c:v>
                </c:pt>
                <c:pt idx="5">
                  <c:v>7</c:v>
                </c:pt>
                <c:pt idx="6">
                  <c:v>7</c:v>
                </c:pt>
                <c:pt idx="7">
                  <c:v>7</c:v>
                </c:pt>
                <c:pt idx="8" formatCode="General">
                  <c:v>6.8</c:v>
                </c:pt>
                <c:pt idx="9">
                  <c:v>6.6</c:v>
                </c:pt>
                <c:pt idx="10">
                  <c:v>6.5</c:v>
                </c:pt>
                <c:pt idx="11">
                  <c:v>6.6</c:v>
                </c:pt>
                <c:pt idx="12">
                  <c:v>6.8</c:v>
                </c:pt>
                <c:pt idx="13">
                  <c:v>6.8</c:v>
                </c:pt>
                <c:pt idx="14">
                  <c:v>6.6</c:v>
                </c:pt>
                <c:pt idx="15">
                  <c:v>6.3</c:v>
                </c:pt>
                <c:pt idx="16" formatCode="General">
                  <c:v>6.1</c:v>
                </c:pt>
                <c:pt idx="17" formatCode="General">
                  <c:v>5.8</c:v>
                </c:pt>
                <c:pt idx="18" formatCode="General">
                  <c:v>5.8</c:v>
                </c:pt>
                <c:pt idx="19" formatCode="General">
                  <c:v>5.8</c:v>
                </c:pt>
                <c:pt idx="20" formatCode="General">
                  <c:v>5.7</c:v>
                </c:pt>
                <c:pt idx="21" formatCode="General">
                  <c:v>5.7</c:v>
                </c:pt>
                <c:pt idx="22" formatCode="General">
                  <c:v>5.7</c:v>
                </c:pt>
                <c:pt idx="23" formatCode="General">
                  <c:v>5.8</c:v>
                </c:pt>
                <c:pt idx="24" formatCode="General">
                  <c:v>6.1</c:v>
                </c:pt>
                <c:pt idx="25" formatCode="General">
                  <c:v>6.1</c:v>
                </c:pt>
                <c:pt idx="26" formatCode="General">
                  <c:v>5.9</c:v>
                </c:pt>
                <c:pt idx="27" formatCode="General">
                  <c:v>5.6</c:v>
                </c:pt>
                <c:pt idx="28">
                  <c:v>5.4</c:v>
                </c:pt>
                <c:pt idx="29" formatCode="General">
                  <c:v>5.3</c:v>
                </c:pt>
                <c:pt idx="30">
                  <c:v>5.2</c:v>
                </c:pt>
                <c:pt idx="31" formatCode="General">
                  <c:v>5.2</c:v>
                </c:pt>
                <c:pt idx="32" formatCode="General">
                  <c:v>5.0999999999999996</c:v>
                </c:pt>
                <c:pt idx="33">
                  <c:v>5</c:v>
                </c:pt>
                <c:pt idx="34" formatCode="General">
                  <c:v>5.0999999999999996</c:v>
                </c:pt>
                <c:pt idx="35" formatCode="General">
                  <c:v>5.2</c:v>
                </c:pt>
                <c:pt idx="36" formatCode="General">
                  <c:v>5.5</c:v>
                </c:pt>
                <c:pt idx="37" formatCode="General">
                  <c:v>5.5</c:v>
                </c:pt>
                <c:pt idx="38" formatCode="General">
                  <c:v>5.4</c:v>
                </c:pt>
                <c:pt idx="39" formatCode="General">
                  <c:v>5.8</c:v>
                </c:pt>
                <c:pt idx="40" formatCode="General">
                  <c:v>6</c:v>
                </c:pt>
                <c:pt idx="41" formatCode="General">
                  <c:v>6.1</c:v>
                </c:pt>
                <c:pt idx="42" formatCode="General">
                  <c:v>6.1</c:v>
                </c:pt>
              </c:numCache>
            </c:numRef>
          </c:val>
          <c:smooth val="0"/>
          <c:extLst xmlns:c16r2="http://schemas.microsoft.com/office/drawing/2015/06/chart">
            <c:ext xmlns:c16="http://schemas.microsoft.com/office/drawing/2014/chart" uri="{C3380CC4-5D6E-409C-BE32-E72D297353CC}">
              <c16:uniqueId val="{00000000-475D-4262-AE74-4B8095C96A0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bezrobocie!$B$147:$C$189</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bezrobocie!$E$147:$E$189</c:f>
              <c:numCache>
                <c:formatCode>0.0</c:formatCode>
                <c:ptCount val="43"/>
                <c:pt idx="0">
                  <c:v>11.1</c:v>
                </c:pt>
                <c:pt idx="1">
                  <c:v>10.9</c:v>
                </c:pt>
                <c:pt idx="2">
                  <c:v>10.4</c:v>
                </c:pt>
                <c:pt idx="3">
                  <c:v>9.8000000000000007</c:v>
                </c:pt>
                <c:pt idx="4">
                  <c:v>9.5</c:v>
                </c:pt>
                <c:pt idx="5">
                  <c:v>9.1</c:v>
                </c:pt>
                <c:pt idx="6">
                  <c:v>9.1</c:v>
                </c:pt>
                <c:pt idx="7">
                  <c:v>9.1</c:v>
                </c:pt>
                <c:pt idx="8" formatCode="General">
                  <c:v>8.9</c:v>
                </c:pt>
                <c:pt idx="9">
                  <c:v>8.6</c:v>
                </c:pt>
                <c:pt idx="10">
                  <c:v>8.6</c:v>
                </c:pt>
                <c:pt idx="11">
                  <c:v>8.8000000000000007</c:v>
                </c:pt>
                <c:pt idx="12" formatCode="General">
                  <c:v>9.3000000000000007</c:v>
                </c:pt>
                <c:pt idx="13">
                  <c:v>9.3000000000000007</c:v>
                </c:pt>
                <c:pt idx="14">
                  <c:v>9.1</c:v>
                </c:pt>
                <c:pt idx="15">
                  <c:v>8.7000000000000011</c:v>
                </c:pt>
                <c:pt idx="16" formatCode="General">
                  <c:v>8.4</c:v>
                </c:pt>
                <c:pt idx="17" formatCode="General">
                  <c:v>8.1</c:v>
                </c:pt>
                <c:pt idx="18" formatCode="General">
                  <c:v>8.2000000000000011</c:v>
                </c:pt>
                <c:pt idx="19" formatCode="General">
                  <c:v>8.2000000000000011</c:v>
                </c:pt>
                <c:pt idx="20" formatCode="General">
                  <c:v>8.1</c:v>
                </c:pt>
                <c:pt idx="21" formatCode="General">
                  <c:v>7.9</c:v>
                </c:pt>
                <c:pt idx="22" formatCode="General">
                  <c:v>8.1</c:v>
                </c:pt>
                <c:pt idx="23" formatCode="General">
                  <c:v>8.3000000000000007</c:v>
                </c:pt>
                <c:pt idx="24" formatCode="General">
                  <c:v>8.8000000000000007</c:v>
                </c:pt>
                <c:pt idx="25" formatCode="General">
                  <c:v>8.6</c:v>
                </c:pt>
                <c:pt idx="26" formatCode="General">
                  <c:v>8.3000000000000007</c:v>
                </c:pt>
                <c:pt idx="27">
                  <c:v>8</c:v>
                </c:pt>
                <c:pt idx="28">
                  <c:v>7.8</c:v>
                </c:pt>
                <c:pt idx="29" formatCode="General">
                  <c:v>7.6</c:v>
                </c:pt>
                <c:pt idx="30">
                  <c:v>7.7</c:v>
                </c:pt>
                <c:pt idx="31" formatCode="General">
                  <c:v>7.7</c:v>
                </c:pt>
                <c:pt idx="32" formatCode="General">
                  <c:v>7.7</c:v>
                </c:pt>
                <c:pt idx="33" formatCode="General">
                  <c:v>7.6</c:v>
                </c:pt>
                <c:pt idx="34" formatCode="General">
                  <c:v>7.7</c:v>
                </c:pt>
                <c:pt idx="35" formatCode="General">
                  <c:v>7.9</c:v>
                </c:pt>
                <c:pt idx="36" formatCode="General">
                  <c:v>8.3000000000000007</c:v>
                </c:pt>
                <c:pt idx="37" formatCode="General">
                  <c:v>8.3000000000000007</c:v>
                </c:pt>
                <c:pt idx="38">
                  <c:v>8</c:v>
                </c:pt>
                <c:pt idx="39" formatCode="General">
                  <c:v>8.3000000000000007</c:v>
                </c:pt>
                <c:pt idx="40">
                  <c:v>8.5</c:v>
                </c:pt>
                <c:pt idx="41">
                  <c:v>8.6</c:v>
                </c:pt>
                <c:pt idx="42">
                  <c:v>8.6</c:v>
                </c:pt>
              </c:numCache>
            </c:numRef>
          </c:val>
          <c:smooth val="0"/>
          <c:extLst xmlns:c16r2="http://schemas.microsoft.com/office/drawing/2015/06/chart">
            <c:ext xmlns:c16="http://schemas.microsoft.com/office/drawing/2014/chart" uri="{C3380CC4-5D6E-409C-BE32-E72D297353CC}">
              <c16:uniqueId val="{00000001-475D-4262-AE74-4B8095C96A03}"/>
            </c:ext>
          </c:extLst>
        </c:ser>
        <c:dLbls>
          <c:showLegendKey val="0"/>
          <c:showVal val="0"/>
          <c:showCatName val="0"/>
          <c:showSerName val="0"/>
          <c:showPercent val="0"/>
          <c:showBubbleSize val="0"/>
        </c:dLbls>
        <c:smooth val="0"/>
        <c:axId val="1963480608"/>
        <c:axId val="1963478976"/>
      </c:lineChart>
      <c:catAx>
        <c:axId val="1963480608"/>
        <c:scaling>
          <c:orientation val="minMax"/>
        </c:scaling>
        <c:delete val="0"/>
        <c:axPos val="b"/>
        <c:majorGridlines>
          <c:spPr>
            <a:ln w="6350">
              <a:noFill/>
            </a:ln>
          </c:spPr>
        </c:majorGridlines>
        <c:numFmt formatCode="#,##0.00" sourceLinked="0"/>
        <c:majorTickMark val="none"/>
        <c:minorTickMark val="none"/>
        <c:tickLblPos val="nextTo"/>
        <c:spPr>
          <a:ln w="317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78976"/>
        <c:crosses val="autoZero"/>
        <c:auto val="1"/>
        <c:lblAlgn val="ctr"/>
        <c:lblOffset val="100"/>
        <c:noMultiLvlLbl val="0"/>
      </c:catAx>
      <c:valAx>
        <c:axId val="1963478976"/>
        <c:scaling>
          <c:orientation val="minMax"/>
          <c:max val="12"/>
          <c:min val="0"/>
        </c:scaling>
        <c:delete val="0"/>
        <c:axPos val="l"/>
        <c:majorGridlines>
          <c:spPr>
            <a:ln w="9525">
              <a:solidFill>
                <a:schemeClr val="bg1">
                  <a:lumMod val="85000"/>
                </a:schemeClr>
              </a:solidFill>
            </a:ln>
          </c:spPr>
        </c:majorGridlines>
        <c:title>
          <c:tx>
            <c:rich>
              <a:bodyPr rot="0" vert="horz"/>
              <a:lstStyle/>
              <a:p>
                <a:pPr>
                  <a:defRPr sz="800" b="0">
                    <a:latin typeface="Fira Sans" panose="020B0503050000020004" pitchFamily="34" charset="0"/>
                    <a:ea typeface="Fira Sans" panose="020B0503050000020004" pitchFamily="34" charset="0"/>
                  </a:defRPr>
                </a:pPr>
                <a:r>
                  <a:rPr lang="pl-PL" sz="80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9.307972594963106E-3"/>
              <c:y val="6.5090965311577383E-3"/>
            </c:manualLayout>
          </c:layout>
          <c:overlay val="0"/>
        </c:title>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80608"/>
        <c:crosses val="autoZero"/>
        <c:crossBetween val="between"/>
        <c:majorUnit val="2"/>
      </c:valAx>
      <c:spPr>
        <a:noFill/>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87"/>
          <c:y val="0.92196995881486543"/>
          <c:w val="0.2871447201175325"/>
          <c:h val="7.3289658792650855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237143056441473E-2"/>
          <c:y val="7.9166988797968754E-2"/>
          <c:w val="0.94822059613682319"/>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wynagrodzenia!$A$138:$B$180</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wynagrodzenia!$D$138:$D$180</c:f>
              <c:numCache>
                <c:formatCode>0.0</c:formatCode>
                <c:ptCount val="43"/>
                <c:pt idx="0">
                  <c:v>103.78292865791077</c:v>
                </c:pt>
                <c:pt idx="1">
                  <c:v>104.45333029230288</c:v>
                </c:pt>
                <c:pt idx="2">
                  <c:v>111.07509323265577</c:v>
                </c:pt>
                <c:pt idx="3">
                  <c:v>108.92073343831359</c:v>
                </c:pt>
                <c:pt idx="4">
                  <c:v>106.5409653492373</c:v>
                </c:pt>
                <c:pt idx="5">
                  <c:v>109.38198335035824</c:v>
                </c:pt>
                <c:pt idx="6">
                  <c:v>109.22281452221448</c:v>
                </c:pt>
                <c:pt idx="7">
                  <c:v>109.00711164383065</c:v>
                </c:pt>
                <c:pt idx="8">
                  <c:v>108.53227414889565</c:v>
                </c:pt>
                <c:pt idx="9">
                  <c:v>110.98992820418256</c:v>
                </c:pt>
                <c:pt idx="10">
                  <c:v>111.87409163368845</c:v>
                </c:pt>
                <c:pt idx="11">
                  <c:v>120.6803011590693</c:v>
                </c:pt>
                <c:pt idx="12">
                  <c:v>111.33519839084195</c:v>
                </c:pt>
                <c:pt idx="13">
                  <c:v>111.60549423619587</c:v>
                </c:pt>
                <c:pt idx="14">
                  <c:v>118.56524830094557</c:v>
                </c:pt>
                <c:pt idx="15">
                  <c:v>117.44621379576409</c:v>
                </c:pt>
                <c:pt idx="16">
                  <c:v>113.95590344081275</c:v>
                </c:pt>
                <c:pt idx="17">
                  <c:v>117.63352833132349</c:v>
                </c:pt>
                <c:pt idx="18">
                  <c:v>117.07206999546274</c:v>
                </c:pt>
                <c:pt idx="19">
                  <c:v>116.42302027704113</c:v>
                </c:pt>
                <c:pt idx="20">
                  <c:v>115.78222016251719</c:v>
                </c:pt>
                <c:pt idx="21">
                  <c:v>119.41034742964182</c:v>
                </c:pt>
                <c:pt idx="22">
                  <c:v>120.50754474803526</c:v>
                </c:pt>
                <c:pt idx="23">
                  <c:v>127.98896494160979</c:v>
                </c:pt>
                <c:pt idx="24">
                  <c:v>119.6629308901565</c:v>
                </c:pt>
                <c:pt idx="25">
                  <c:v>120.09045448038415</c:v>
                </c:pt>
                <c:pt idx="26">
                  <c:v>125.30978475812888</c:v>
                </c:pt>
                <c:pt idx="27">
                  <c:v>125.83363460563255</c:v>
                </c:pt>
                <c:pt idx="28">
                  <c:v>122.72062231129638</c:v>
                </c:pt>
                <c:pt idx="29">
                  <c:v>123.85227385773314</c:v>
                </c:pt>
                <c:pt idx="30">
                  <c:v>125.74410213980167</c:v>
                </c:pt>
                <c:pt idx="31">
                  <c:v>124.3569555079451</c:v>
                </c:pt>
                <c:pt idx="32">
                  <c:v>123.36942939430926</c:v>
                </c:pt>
                <c:pt idx="33">
                  <c:v>126.49238974040438</c:v>
                </c:pt>
                <c:pt idx="34">
                  <c:v>126.8847311963624</c:v>
                </c:pt>
                <c:pt idx="35">
                  <c:v>135.97894895193642</c:v>
                </c:pt>
                <c:pt idx="36">
                  <c:v>128.17943373748304</c:v>
                </c:pt>
                <c:pt idx="37">
                  <c:v>129.33631936643047</c:v>
                </c:pt>
                <c:pt idx="38">
                  <c:v>133.1876712096103</c:v>
                </c:pt>
                <c:pt idx="39">
                  <c:v>128.233056162818</c:v>
                </c:pt>
                <c:pt idx="40">
                  <c:v>124.22787347048703</c:v>
                </c:pt>
                <c:pt idx="41">
                  <c:v>128.25707706828493</c:v>
                </c:pt>
                <c:pt idx="42">
                  <c:v>130.57788475303354</c:v>
                </c:pt>
              </c:numCache>
            </c:numRef>
          </c:val>
          <c:smooth val="0"/>
        </c:ser>
        <c:ser>
          <c:idx val="0"/>
          <c:order val="1"/>
          <c:tx>
            <c:strRef>
              <c:f>wynagrodzenia!$C$53</c:f>
              <c:strCache>
                <c:ptCount val="1"/>
                <c:pt idx="0">
                  <c:v>Świętokrzyskie</c:v>
                </c:pt>
              </c:strCache>
            </c:strRef>
          </c:tx>
          <c:spPr>
            <a:ln w="28575">
              <a:solidFill>
                <a:srgbClr val="7030A0"/>
              </a:solidFill>
            </a:ln>
          </c:spPr>
          <c:marker>
            <c:symbol val="none"/>
          </c:marker>
          <c:cat>
            <c:multiLvlStrRef>
              <c:f>wynagrodzenia!$A$138:$B$180</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wynagrodzenia!$C$138:$C$180</c:f>
              <c:numCache>
                <c:formatCode>0.0</c:formatCode>
                <c:ptCount val="43"/>
                <c:pt idx="0">
                  <c:v>102.1540509469353</c:v>
                </c:pt>
                <c:pt idx="1">
                  <c:v>102.23126946670243</c:v>
                </c:pt>
                <c:pt idx="2">
                  <c:v>110.12196492319926</c:v>
                </c:pt>
                <c:pt idx="3">
                  <c:v>108.47963073412335</c:v>
                </c:pt>
                <c:pt idx="4">
                  <c:v>108.82509717143948</c:v>
                </c:pt>
                <c:pt idx="5">
                  <c:v>110.49768488505102</c:v>
                </c:pt>
                <c:pt idx="6">
                  <c:v>112.3892504905393</c:v>
                </c:pt>
                <c:pt idx="7">
                  <c:v>110.49624424102554</c:v>
                </c:pt>
                <c:pt idx="8">
                  <c:v>110.43227964629308</c:v>
                </c:pt>
                <c:pt idx="9">
                  <c:v>113.00728677748099</c:v>
                </c:pt>
                <c:pt idx="10">
                  <c:v>115.8499655686078</c:v>
                </c:pt>
                <c:pt idx="11">
                  <c:v>115.154710761899</c:v>
                </c:pt>
                <c:pt idx="12">
                  <c:v>110.22453877781524</c:v>
                </c:pt>
                <c:pt idx="13">
                  <c:v>109.87993672691439</c:v>
                </c:pt>
                <c:pt idx="14">
                  <c:v>117.10332587079728</c:v>
                </c:pt>
                <c:pt idx="15">
                  <c:v>116.00699576738786</c:v>
                </c:pt>
                <c:pt idx="16">
                  <c:v>116.45647670334547</c:v>
                </c:pt>
                <c:pt idx="17">
                  <c:v>114.44303261329945</c:v>
                </c:pt>
                <c:pt idx="18">
                  <c:v>119.33661223913539</c:v>
                </c:pt>
                <c:pt idx="19">
                  <c:v>117.28340637398541</c:v>
                </c:pt>
                <c:pt idx="20">
                  <c:v>115.59295467445767</c:v>
                </c:pt>
                <c:pt idx="21">
                  <c:v>119.25507178729177</c:v>
                </c:pt>
                <c:pt idx="22">
                  <c:v>122.78609029380495</c:v>
                </c:pt>
                <c:pt idx="23">
                  <c:v>122.7460403898959</c:v>
                </c:pt>
                <c:pt idx="24">
                  <c:v>120.05290044861657</c:v>
                </c:pt>
                <c:pt idx="25">
                  <c:v>117.26467800165385</c:v>
                </c:pt>
                <c:pt idx="26">
                  <c:v>122.54636712796088</c:v>
                </c:pt>
                <c:pt idx="27">
                  <c:v>124.56153999083752</c:v>
                </c:pt>
                <c:pt idx="28">
                  <c:v>125.0332068447879</c:v>
                </c:pt>
                <c:pt idx="29">
                  <c:v>122.15912201390508</c:v>
                </c:pt>
                <c:pt idx="30">
                  <c:v>127.50045380286804</c:v>
                </c:pt>
                <c:pt idx="31">
                  <c:v>124.06682283247901</c:v>
                </c:pt>
                <c:pt idx="32">
                  <c:v>123.54675033927165</c:v>
                </c:pt>
                <c:pt idx="33">
                  <c:v>127.19935920153746</c:v>
                </c:pt>
                <c:pt idx="34">
                  <c:v>128.63798632540696</c:v>
                </c:pt>
                <c:pt idx="35">
                  <c:v>131.40892104406359</c:v>
                </c:pt>
                <c:pt idx="36">
                  <c:v>128.66074850100995</c:v>
                </c:pt>
                <c:pt idx="37">
                  <c:v>127.4572344821029</c:v>
                </c:pt>
                <c:pt idx="38">
                  <c:v>128.32104463979582</c:v>
                </c:pt>
                <c:pt idx="39">
                  <c:v>123.4384139085537</c:v>
                </c:pt>
                <c:pt idx="40">
                  <c:v>124.50967680591931</c:v>
                </c:pt>
                <c:pt idx="41">
                  <c:v>123.93485983974277</c:v>
                </c:pt>
                <c:pt idx="42">
                  <c:v>132.20761409180355</c:v>
                </c:pt>
              </c:numCache>
            </c:numRef>
          </c:val>
          <c:smooth val="0"/>
        </c:ser>
        <c:dLbls>
          <c:showLegendKey val="0"/>
          <c:showVal val="0"/>
          <c:showCatName val="0"/>
          <c:showSerName val="0"/>
          <c:showPercent val="0"/>
          <c:showBubbleSize val="0"/>
        </c:dLbls>
        <c:smooth val="0"/>
        <c:axId val="1963479520"/>
        <c:axId val="1963477344"/>
      </c:lineChart>
      <c:catAx>
        <c:axId val="196347952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63477344"/>
        <c:crosses val="autoZero"/>
        <c:auto val="1"/>
        <c:lblAlgn val="ctr"/>
        <c:lblOffset val="100"/>
        <c:noMultiLvlLbl val="0"/>
      </c:catAx>
      <c:valAx>
        <c:axId val="1963477344"/>
        <c:scaling>
          <c:orientation val="minMax"/>
          <c:max val="140"/>
          <c:min val="100"/>
        </c:scaling>
        <c:delete val="0"/>
        <c:axPos val="l"/>
        <c:majorGridlines>
          <c:spPr>
            <a:ln w="6350">
              <a:solidFill>
                <a:schemeClr val="tx1"/>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963479520"/>
        <c:crosses val="autoZero"/>
        <c:crossBetween val="between"/>
        <c:majorUnit val="5"/>
      </c:valAx>
      <c:spPr>
        <a:noFill/>
        <a:ln w="25400">
          <a:noFill/>
        </a:ln>
      </c:spPr>
    </c:plotArea>
    <c:legend>
      <c:legendPos val="r"/>
      <c:legendEntry>
        <c:idx val="1"/>
        <c:txPr>
          <a:bodyPr/>
          <a:lstStyle/>
          <a:p>
            <a:pPr>
              <a:defRPr sz="735" b="0" i="0" u="none" strike="noStrike" baseline="0">
                <a:solidFill>
                  <a:srgbClr val="000000"/>
                </a:solidFill>
                <a:latin typeface="Fira Sans"/>
                <a:ea typeface="Fira Sans"/>
                <a:cs typeface="Fira Sans"/>
              </a:defRPr>
            </a:pPr>
            <a:endParaRPr lang="pl-PL"/>
          </a:p>
        </c:txPr>
      </c:legendEntry>
      <c:layout>
        <c:manualLayout>
          <c:xMode val="edge"/>
          <c:yMode val="edge"/>
          <c:x val="0.36819995438714492"/>
          <c:y val="0.9137534866965159"/>
          <c:w val="0.29308717853567273"/>
          <c:h val="7.0590293860326253E-2"/>
        </c:manualLayout>
      </c:layout>
      <c:overlay val="0"/>
      <c:spPr>
        <a:ln>
          <a:noFill/>
        </a:ln>
      </c:spPr>
      <c:txPr>
        <a:bodyPr/>
        <a:lstStyle/>
        <a:p>
          <a:pPr>
            <a:defRPr sz="735"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5167205700857305"/>
          <c:y val="1.5220551085139132E-2"/>
          <c:w val="0.50237607511777849"/>
          <c:h val="0.87522613478405709"/>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7030A0"/>
              </a:solidFill>
              <a:ln w="25400">
                <a:noFill/>
              </a:ln>
            </c:spPr>
          </c:dPt>
          <c:dPt>
            <c:idx val="4"/>
            <c:invertIfNegative val="0"/>
            <c:bubble3D val="0"/>
            <c:spPr>
              <a:solidFill>
                <a:srgbClr val="CBA9E5"/>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43E-3"/>
                  <c:y val="3.5062412847990075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9"/>
              <c:layout>
                <c:manualLayout>
                  <c:x val="-5.5524440649446071E-3"/>
                  <c:y val="3.54301611292868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Fira Sans"/>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Arkusz1!$A$25:$A$34</c:f>
              <c:strCache>
                <c:ptCount val="10"/>
                <c:pt idx="0">
                  <c:v>Obsługa rynku nieruchomości    </c:v>
                </c:pt>
                <c:pt idx="1">
                  <c:v>Przetwórstwo przemysłowe </c:v>
                </c:pt>
                <c:pt idx="2">
                  <c:v>Informacja i komunikacja </c:v>
                </c:pt>
                <c:pt idx="3">
                  <c:v>Dostawa wody; gospodarowanie ściekami i odpadami; rekultywacja    </c:v>
                </c:pt>
                <c:pt idx="4">
                  <c:v>Budownictwo</c:v>
                </c:pt>
                <c:pt idx="5">
                  <c:v>Handel; naprawa pojazdów samochodowych    </c:v>
                </c:pt>
                <c:pt idx="6">
                  <c:v>Działalność profesjonalna, naukowa i techniczna  </c:v>
                </c:pt>
                <c:pt idx="7">
                  <c:v>Transport i gospodarka magazynowa </c:v>
                </c:pt>
                <c:pt idx="8">
                  <c:v>Zakwaterowanie i gastronomia    </c:v>
                </c:pt>
                <c:pt idx="9">
                  <c:v>Administrowanie i działalność wspierająca    </c:v>
                </c:pt>
              </c:strCache>
            </c:strRef>
          </c:cat>
          <c:val>
            <c:numRef>
              <c:f>Arkusz1!$B$25:$B$34</c:f>
              <c:numCache>
                <c:formatCode>0.0</c:formatCode>
                <c:ptCount val="10"/>
                <c:pt idx="0">
                  <c:v>31.158180577924323</c:v>
                </c:pt>
                <c:pt idx="1">
                  <c:v>5.7716154987806494</c:v>
                </c:pt>
                <c:pt idx="2">
                  <c:v>3.4569106612414942</c:v>
                </c:pt>
                <c:pt idx="3">
                  <c:v>2.4158274290670785</c:v>
                </c:pt>
                <c:pt idx="4">
                  <c:v>-0.57360918297740682</c:v>
                </c:pt>
                <c:pt idx="5">
                  <c:v>-9.4981137585567232</c:v>
                </c:pt>
                <c:pt idx="6">
                  <c:v>-10.951751011770753</c:v>
                </c:pt>
                <c:pt idx="7">
                  <c:v>-18.982715446693785</c:v>
                </c:pt>
                <c:pt idx="8">
                  <c:v>-24.406068227238151</c:v>
                </c:pt>
                <c:pt idx="9">
                  <c:v>-29.521258627565928</c:v>
                </c:pt>
              </c:numCache>
            </c:numRef>
          </c:val>
        </c:ser>
        <c:dLbls>
          <c:showLegendKey val="0"/>
          <c:showVal val="0"/>
          <c:showCatName val="0"/>
          <c:showSerName val="0"/>
          <c:showPercent val="0"/>
          <c:showBubbleSize val="0"/>
        </c:dLbls>
        <c:gapWidth val="60"/>
        <c:axId val="1963483328"/>
        <c:axId val="1963487136"/>
      </c:barChart>
      <c:catAx>
        <c:axId val="1963483328"/>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1963487136"/>
        <c:crossesAt val="0"/>
        <c:auto val="1"/>
        <c:lblAlgn val="ctr"/>
        <c:lblOffset val="100"/>
        <c:noMultiLvlLbl val="0"/>
      </c:catAx>
      <c:valAx>
        <c:axId val="1963487136"/>
        <c:scaling>
          <c:orientation val="minMax"/>
          <c:max val="35"/>
          <c:min val="-35"/>
        </c:scaling>
        <c:delete val="0"/>
        <c:axPos val="b"/>
        <c:majorGridlines>
          <c:spPr>
            <a:ln>
              <a:solidFill>
                <a:schemeClr val="bg1">
                  <a:lumMod val="75000"/>
                </a:schemeClr>
              </a:solidFill>
            </a:ln>
          </c:spPr>
        </c:majorGridlines>
        <c:numFmt formatCode="0" sourceLinked="0"/>
        <c:majorTickMark val="out"/>
        <c:minorTickMark val="none"/>
        <c:tickLblPos val="high"/>
        <c:spPr>
          <a:ln w="9525">
            <a:solidFill>
              <a:srgbClr val="868686"/>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63483328"/>
        <c:crosses val="max"/>
        <c:crossBetween val="between"/>
        <c:majorUnit val="5"/>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3034630911417E-2"/>
          <c:y val="0.1162606855886863"/>
          <c:w val="0.93405088143509662"/>
          <c:h val="0.58997035345525373"/>
        </c:manualLayout>
      </c:layout>
      <c:lineChart>
        <c:grouping val="standard"/>
        <c:varyColors val="0"/>
        <c:ser>
          <c:idx val="0"/>
          <c:order val="0"/>
          <c:tx>
            <c:strRef>
              <c:f>ceny_zbóż_targ_ziemniaków!$C$3</c:f>
              <c:strCache>
                <c:ptCount val="1"/>
                <c:pt idx="0">
                  <c:v>pszenica</c:v>
                </c:pt>
              </c:strCache>
            </c:strRef>
          </c:tx>
          <c:spPr>
            <a:ln w="28575">
              <a:solidFill>
                <a:srgbClr val="7030A0"/>
              </a:solidFill>
            </a:ln>
          </c:spPr>
          <c:marker>
            <c:symbol val="none"/>
          </c:marker>
          <c:cat>
            <c:multiLvlStrRef>
              <c:f>ceny_zbóż_targ_ziemniaków!$A$148:$B$190</c:f>
              <c:multiLvlStrCache>
                <c:ptCount val="43"/>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ceny_zbóż_targ_ziemniaków!$C$148:$C$190</c:f>
              <c:numCache>
                <c:formatCode>0.00</c:formatCode>
                <c:ptCount val="43"/>
                <c:pt idx="0">
                  <c:v>63.92</c:v>
                </c:pt>
                <c:pt idx="1">
                  <c:v>64.069999999999993</c:v>
                </c:pt>
                <c:pt idx="2">
                  <c:v>66.2</c:v>
                </c:pt>
                <c:pt idx="3">
                  <c:v>66.95</c:v>
                </c:pt>
                <c:pt idx="4">
                  <c:v>70.760000000000005</c:v>
                </c:pt>
                <c:pt idx="5">
                  <c:v>73.39</c:v>
                </c:pt>
                <c:pt idx="6">
                  <c:v>71.36999999999999</c:v>
                </c:pt>
                <c:pt idx="7">
                  <c:v>62.91</c:v>
                </c:pt>
                <c:pt idx="8" formatCode="General">
                  <c:v>63.93</c:v>
                </c:pt>
                <c:pt idx="9">
                  <c:v>63.11</c:v>
                </c:pt>
                <c:pt idx="10">
                  <c:v>66.209999999999994</c:v>
                </c:pt>
                <c:pt idx="11">
                  <c:v>67.649999999999991</c:v>
                </c:pt>
                <c:pt idx="12">
                  <c:v>65.95</c:v>
                </c:pt>
                <c:pt idx="13">
                  <c:v>65.239999999999995</c:v>
                </c:pt>
                <c:pt idx="14" formatCode="General">
                  <c:v>63.99</c:v>
                </c:pt>
                <c:pt idx="15">
                  <c:v>65.149999999999991</c:v>
                </c:pt>
                <c:pt idx="16">
                  <c:v>66.760000000000005</c:v>
                </c:pt>
                <c:pt idx="17">
                  <c:v>66.739999999999995</c:v>
                </c:pt>
                <c:pt idx="18">
                  <c:v>67.649999999999991</c:v>
                </c:pt>
                <c:pt idx="19">
                  <c:v>73.92</c:v>
                </c:pt>
                <c:pt idx="20">
                  <c:v>79.930000000000007</c:v>
                </c:pt>
                <c:pt idx="21">
                  <c:v>78.11999999999999</c:v>
                </c:pt>
                <c:pt idx="22">
                  <c:v>82.77</c:v>
                </c:pt>
                <c:pt idx="23">
                  <c:v>82.179999999999993</c:v>
                </c:pt>
                <c:pt idx="24">
                  <c:v>82.36</c:v>
                </c:pt>
                <c:pt idx="25">
                  <c:v>82.75</c:v>
                </c:pt>
                <c:pt idx="26">
                  <c:v>80.56</c:v>
                </c:pt>
                <c:pt idx="27">
                  <c:v>78.53</c:v>
                </c:pt>
                <c:pt idx="28">
                  <c:v>77.75</c:v>
                </c:pt>
                <c:pt idx="29">
                  <c:v>74.61</c:v>
                </c:pt>
                <c:pt idx="30">
                  <c:v>66.989999999999995</c:v>
                </c:pt>
                <c:pt idx="31">
                  <c:v>65.61</c:v>
                </c:pt>
                <c:pt idx="32">
                  <c:v>66.599999999999994</c:v>
                </c:pt>
                <c:pt idx="33">
                  <c:v>64.709999999999994</c:v>
                </c:pt>
                <c:pt idx="34">
                  <c:v>64.95</c:v>
                </c:pt>
                <c:pt idx="35">
                  <c:v>66.569999999999993</c:v>
                </c:pt>
                <c:pt idx="36">
                  <c:v>66.84</c:v>
                </c:pt>
                <c:pt idx="37">
                  <c:v>68.56</c:v>
                </c:pt>
                <c:pt idx="38">
                  <c:v>69.489999999999995</c:v>
                </c:pt>
                <c:pt idx="39">
                  <c:v>74.92</c:v>
                </c:pt>
                <c:pt idx="40">
                  <c:v>83.4</c:v>
                </c:pt>
                <c:pt idx="41">
                  <c:v>77.8</c:v>
                </c:pt>
                <c:pt idx="42">
                  <c:v>72.11999999999999</c:v>
                </c:pt>
              </c:numCache>
            </c:numRef>
          </c:val>
          <c:smooth val="0"/>
          <c:extLst xmlns:c16r2="http://schemas.microsoft.com/office/drawing/2015/06/chart">
            <c:ext xmlns:c16="http://schemas.microsoft.com/office/drawing/2014/chart" uri="{C3380CC4-5D6E-409C-BE32-E72D297353CC}">
              <c16:uniqueId val="{00000000-5901-42A0-A6D6-304C49949E61}"/>
            </c:ext>
          </c:extLst>
        </c:ser>
        <c:ser>
          <c:idx val="1"/>
          <c:order val="1"/>
          <c:tx>
            <c:strRef>
              <c:f>ceny_zbóż_targ_ziemniaków!$D$3</c:f>
              <c:strCache>
                <c:ptCount val="1"/>
                <c:pt idx="0">
                  <c:v>żyto</c:v>
                </c:pt>
              </c:strCache>
            </c:strRef>
          </c:tx>
          <c:spPr>
            <a:ln w="28575">
              <a:solidFill>
                <a:srgbClr val="B07BD7"/>
              </a:solidFill>
            </a:ln>
          </c:spPr>
          <c:marker>
            <c:symbol val="none"/>
          </c:marker>
          <c:cat>
            <c:multiLvlStrRef>
              <c:f>ceny_zbóż_targ_ziemniaków!$A$148:$B$190</c:f>
              <c:multiLvlStrCache>
                <c:ptCount val="43"/>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ceny_zbóż_targ_ziemniaków!$D$148:$D$190</c:f>
              <c:numCache>
                <c:formatCode>0.00</c:formatCode>
                <c:ptCount val="43"/>
                <c:pt idx="0">
                  <c:v>51.99</c:v>
                </c:pt>
                <c:pt idx="1">
                  <c:v>52</c:v>
                </c:pt>
                <c:pt idx="2">
                  <c:v>55</c:v>
                </c:pt>
                <c:pt idx="3">
                  <c:v>57</c:v>
                </c:pt>
                <c:pt idx="4">
                  <c:v>60</c:v>
                </c:pt>
                <c:pt idx="5">
                  <c:v>62</c:v>
                </c:pt>
                <c:pt idx="6">
                  <c:v>62</c:v>
                </c:pt>
                <c:pt idx="7">
                  <c:v>55.449999999999996</c:v>
                </c:pt>
                <c:pt idx="8">
                  <c:v>58</c:v>
                </c:pt>
                <c:pt idx="9">
                  <c:v>57.190000000000005</c:v>
                </c:pt>
                <c:pt idx="10">
                  <c:v>57.190000000000005</c:v>
                </c:pt>
                <c:pt idx="11">
                  <c:v>57.190000000000005</c:v>
                </c:pt>
                <c:pt idx="12">
                  <c:v>58.03</c:v>
                </c:pt>
                <c:pt idx="13">
                  <c:v>58.03</c:v>
                </c:pt>
                <c:pt idx="14">
                  <c:v>58.03</c:v>
                </c:pt>
                <c:pt idx="15">
                  <c:v>58.03</c:v>
                </c:pt>
                <c:pt idx="16">
                  <c:v>58.03</c:v>
                </c:pt>
                <c:pt idx="17">
                  <c:v>58.03</c:v>
                </c:pt>
                <c:pt idx="18">
                  <c:v>62.08</c:v>
                </c:pt>
                <c:pt idx="19">
                  <c:v>61.11</c:v>
                </c:pt>
                <c:pt idx="20">
                  <c:v>59.44</c:v>
                </c:pt>
                <c:pt idx="21">
                  <c:v>64.040000000000006</c:v>
                </c:pt>
                <c:pt idx="22">
                  <c:v>64.040000000000006</c:v>
                </c:pt>
                <c:pt idx="23">
                  <c:v>60.59</c:v>
                </c:pt>
                <c:pt idx="24">
                  <c:v>36</c:v>
                </c:pt>
                <c:pt idx="25">
                  <c:v>36</c:v>
                </c:pt>
                <c:pt idx="26">
                  <c:v>36</c:v>
                </c:pt>
                <c:pt idx="27">
                  <c:v>65.149999999999991</c:v>
                </c:pt>
                <c:pt idx="28">
                  <c:v>70.33</c:v>
                </c:pt>
                <c:pt idx="29">
                  <c:v>72.92</c:v>
                </c:pt>
                <c:pt idx="30">
                  <c:v>65</c:v>
                </c:pt>
                <c:pt idx="31">
                  <c:v>59.68</c:v>
                </c:pt>
                <c:pt idx="32">
                  <c:v>61</c:v>
                </c:pt>
                <c:pt idx="33">
                  <c:v>47.17</c:v>
                </c:pt>
                <c:pt idx="34">
                  <c:v>47.17</c:v>
                </c:pt>
                <c:pt idx="35">
                  <c:v>50.08</c:v>
                </c:pt>
                <c:pt idx="36">
                  <c:v>50.620000000000005</c:v>
                </c:pt>
                <c:pt idx="37">
                  <c:v>50.04</c:v>
                </c:pt>
                <c:pt idx="38">
                  <c:v>49.96</c:v>
                </c:pt>
                <c:pt idx="39">
                  <c:v>49.96</c:v>
                </c:pt>
                <c:pt idx="40">
                  <c:v>49.96</c:v>
                </c:pt>
                <c:pt idx="41">
                  <c:v>52.2</c:v>
                </c:pt>
                <c:pt idx="42">
                  <c:v>54.97</c:v>
                </c:pt>
              </c:numCache>
            </c:numRef>
          </c:val>
          <c:smooth val="0"/>
          <c:extLst xmlns:c16r2="http://schemas.microsoft.com/office/drawing/2015/06/chart">
            <c:ext xmlns:c16="http://schemas.microsoft.com/office/drawing/2014/chart" uri="{C3380CC4-5D6E-409C-BE32-E72D297353CC}">
              <c16:uniqueId val="{00000001-5901-42A0-A6D6-304C49949E61}"/>
            </c:ext>
          </c:extLst>
        </c:ser>
        <c:ser>
          <c:idx val="2"/>
          <c:order val="2"/>
          <c:tx>
            <c:strRef>
              <c:f>ceny_zbóż_targ_ziemniaków!$E$3</c:f>
              <c:strCache>
                <c:ptCount val="1"/>
                <c:pt idx="0">
                  <c:v>ziemniaki</c:v>
                </c:pt>
              </c:strCache>
            </c:strRef>
          </c:tx>
          <c:spPr>
            <a:ln>
              <a:solidFill>
                <a:srgbClr val="D3B5E9"/>
              </a:solidFill>
            </a:ln>
          </c:spPr>
          <c:marker>
            <c:symbol val="none"/>
          </c:marker>
          <c:cat>
            <c:multiLvlStrRef>
              <c:f>ceny_zbóż_targ_ziemniaków!$A$148:$B$190</c:f>
              <c:multiLvlStrCache>
                <c:ptCount val="43"/>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ceny_zbóż_targ_ziemniaków!$E$148:$E$190</c:f>
              <c:numCache>
                <c:formatCode>0.00</c:formatCode>
                <c:ptCount val="43"/>
                <c:pt idx="0">
                  <c:v>62.7</c:v>
                </c:pt>
                <c:pt idx="1">
                  <c:v>70.489999999999995</c:v>
                </c:pt>
                <c:pt idx="2">
                  <c:v>65.22</c:v>
                </c:pt>
                <c:pt idx="3">
                  <c:v>66.069999999999993</c:v>
                </c:pt>
                <c:pt idx="4">
                  <c:v>72.989999999999995</c:v>
                </c:pt>
                <c:pt idx="5">
                  <c:v>67.27</c:v>
                </c:pt>
                <c:pt idx="6">
                  <c:v>63.64</c:v>
                </c:pt>
                <c:pt idx="7">
                  <c:v>73.33</c:v>
                </c:pt>
                <c:pt idx="8">
                  <c:v>71.78</c:v>
                </c:pt>
                <c:pt idx="9">
                  <c:v>70.61999999999999</c:v>
                </c:pt>
                <c:pt idx="10">
                  <c:v>66.669999999999987</c:v>
                </c:pt>
                <c:pt idx="11">
                  <c:v>69.510000000000005</c:v>
                </c:pt>
                <c:pt idx="12">
                  <c:v>70.05</c:v>
                </c:pt>
                <c:pt idx="13">
                  <c:v>67.63</c:v>
                </c:pt>
                <c:pt idx="14">
                  <c:v>67.02</c:v>
                </c:pt>
                <c:pt idx="15">
                  <c:v>66.06</c:v>
                </c:pt>
                <c:pt idx="16">
                  <c:v>64.83</c:v>
                </c:pt>
                <c:pt idx="17">
                  <c:v>70.97</c:v>
                </c:pt>
                <c:pt idx="18">
                  <c:v>81.56</c:v>
                </c:pt>
                <c:pt idx="19">
                  <c:v>82.03</c:v>
                </c:pt>
                <c:pt idx="20">
                  <c:v>82.27</c:v>
                </c:pt>
                <c:pt idx="21">
                  <c:v>79.400000000000006</c:v>
                </c:pt>
                <c:pt idx="22">
                  <c:v>80.86</c:v>
                </c:pt>
                <c:pt idx="23">
                  <c:v>88.36999999999999</c:v>
                </c:pt>
                <c:pt idx="24">
                  <c:v>91.45</c:v>
                </c:pt>
                <c:pt idx="25">
                  <c:v>105.97</c:v>
                </c:pt>
                <c:pt idx="26">
                  <c:v>104.92</c:v>
                </c:pt>
                <c:pt idx="27">
                  <c:v>120.88</c:v>
                </c:pt>
                <c:pt idx="28">
                  <c:v>164.86</c:v>
                </c:pt>
                <c:pt idx="29">
                  <c:v>190.63</c:v>
                </c:pt>
                <c:pt idx="30">
                  <c:v>202</c:v>
                </c:pt>
                <c:pt idx="31">
                  <c:v>230</c:v>
                </c:pt>
                <c:pt idx="32">
                  <c:v>215.55</c:v>
                </c:pt>
                <c:pt idx="33">
                  <c:v>189.63</c:v>
                </c:pt>
                <c:pt idx="34">
                  <c:v>186.15</c:v>
                </c:pt>
                <c:pt idx="35">
                  <c:v>170.53</c:v>
                </c:pt>
                <c:pt idx="36">
                  <c:v>176.79</c:v>
                </c:pt>
                <c:pt idx="37">
                  <c:v>157.68</c:v>
                </c:pt>
                <c:pt idx="38">
                  <c:v>167.76</c:v>
                </c:pt>
                <c:pt idx="42">
                  <c:v>111.25</c:v>
                </c:pt>
              </c:numCache>
            </c:numRef>
          </c:val>
          <c:smooth val="0"/>
          <c:extLst xmlns:c16r2="http://schemas.microsoft.com/office/drawing/2015/06/chart">
            <c:ext xmlns:c16="http://schemas.microsoft.com/office/drawing/2014/chart" uri="{C3380CC4-5D6E-409C-BE32-E72D297353CC}">
              <c16:uniqueId val="{00000002-5901-42A0-A6D6-304C49949E61}"/>
            </c:ext>
          </c:extLst>
        </c:ser>
        <c:dLbls>
          <c:showLegendKey val="0"/>
          <c:showVal val="0"/>
          <c:showCatName val="0"/>
          <c:showSerName val="0"/>
          <c:showPercent val="0"/>
          <c:showBubbleSize val="0"/>
        </c:dLbls>
        <c:smooth val="0"/>
        <c:axId val="1963475712"/>
        <c:axId val="1963484416"/>
      </c:lineChart>
      <c:catAx>
        <c:axId val="196347571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50">
                <a:latin typeface="Fira Sans" panose="020B0503050000020004" pitchFamily="34" charset="0"/>
                <a:ea typeface="Fira Sans" panose="020B0503050000020004" pitchFamily="34" charset="0"/>
                <a:cs typeface="Arial" pitchFamily="34" charset="0"/>
              </a:defRPr>
            </a:pPr>
            <a:endParaRPr lang="pl-PL"/>
          </a:p>
        </c:txPr>
        <c:crossAx val="1963484416"/>
        <c:crosses val="autoZero"/>
        <c:auto val="1"/>
        <c:lblAlgn val="ctr"/>
        <c:lblOffset val="100"/>
        <c:noMultiLvlLbl val="0"/>
      </c:catAx>
      <c:valAx>
        <c:axId val="1963484416"/>
        <c:scaling>
          <c:orientation val="minMax"/>
          <c:max val="240"/>
        </c:scaling>
        <c:delete val="0"/>
        <c:axPos val="l"/>
        <c:majorGridlines>
          <c:spPr>
            <a:ln w="9525">
              <a:solidFill>
                <a:schemeClr val="bg1">
                  <a:lumMod val="85000"/>
                </a:schemeClr>
              </a:solidFill>
            </a:ln>
          </c:spPr>
        </c:majorGridlines>
        <c:title>
          <c:tx>
            <c:rich>
              <a:bodyPr rot="0" vert="horz"/>
              <a:lstStyle/>
              <a:p>
                <a:pPr>
                  <a:defRPr sz="700" b="0" i="1">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a:t>
                </a:r>
                <a:r>
                  <a:rPr lang="pl-PL" sz="700" b="0" i="1" baseline="0">
                    <a:latin typeface="Fira Sans" panose="020B0503050000020004" pitchFamily="34" charset="0"/>
                    <a:ea typeface="Fira Sans" panose="020B0503050000020004" pitchFamily="34" charset="0"/>
                    <a:cs typeface="Arial" pitchFamily="34" charset="0"/>
                  </a:rPr>
                  <a:t> za 1 dt</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0296754278043604E-3"/>
              <c:y val="1.624472712675296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75712"/>
        <c:crosses val="autoZero"/>
        <c:crossBetween val="between"/>
        <c:majorUnit val="30"/>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2995160802132611"/>
          <c:y val="0.90973503611197948"/>
          <c:w val="0.34031228078472242"/>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59253988882457653"/>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przeciętne_c_skupu_żywca_i_mlek!$A$124:$B$166</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przeciętne_c_skupu_żywca_i_mlek!$C$124:$C$166</c:f>
              <c:numCache>
                <c:formatCode>0.00</c:formatCode>
                <c:ptCount val="43"/>
                <c:pt idx="0">
                  <c:v>6.3599999999999994</c:v>
                </c:pt>
                <c:pt idx="1">
                  <c:v>6.17</c:v>
                </c:pt>
                <c:pt idx="2">
                  <c:v>6.29</c:v>
                </c:pt>
                <c:pt idx="3">
                  <c:v>6.39</c:v>
                </c:pt>
                <c:pt idx="4">
                  <c:v>6.4700000000000006</c:v>
                </c:pt>
                <c:pt idx="5">
                  <c:v>6.4</c:v>
                </c:pt>
                <c:pt idx="6">
                  <c:v>6.74</c:v>
                </c:pt>
                <c:pt idx="7">
                  <c:v>6.6199999999999992</c:v>
                </c:pt>
                <c:pt idx="8">
                  <c:v>6.78</c:v>
                </c:pt>
                <c:pt idx="9">
                  <c:v>6.8199999999999994</c:v>
                </c:pt>
                <c:pt idx="10">
                  <c:v>6.91</c:v>
                </c:pt>
                <c:pt idx="11">
                  <c:v>7.1099999999999994</c:v>
                </c:pt>
                <c:pt idx="12">
                  <c:v>6.85</c:v>
                </c:pt>
                <c:pt idx="13">
                  <c:v>6.81</c:v>
                </c:pt>
                <c:pt idx="14">
                  <c:v>7.13</c:v>
                </c:pt>
                <c:pt idx="15">
                  <c:v>7.08</c:v>
                </c:pt>
                <c:pt idx="16">
                  <c:v>6.94</c:v>
                </c:pt>
                <c:pt idx="17">
                  <c:v>6.81</c:v>
                </c:pt>
                <c:pt idx="18">
                  <c:v>6.8199999999999994</c:v>
                </c:pt>
                <c:pt idx="19">
                  <c:v>7.08</c:v>
                </c:pt>
                <c:pt idx="20">
                  <c:v>6.9700000000000006</c:v>
                </c:pt>
                <c:pt idx="21">
                  <c:v>6.92</c:v>
                </c:pt>
                <c:pt idx="22">
                  <c:v>6.83</c:v>
                </c:pt>
                <c:pt idx="23">
                  <c:v>7</c:v>
                </c:pt>
                <c:pt idx="24">
                  <c:v>7.1199999999999992</c:v>
                </c:pt>
                <c:pt idx="25">
                  <c:v>6.8199999999999994</c:v>
                </c:pt>
                <c:pt idx="26">
                  <c:v>6.75</c:v>
                </c:pt>
                <c:pt idx="27">
                  <c:v>7</c:v>
                </c:pt>
                <c:pt idx="28">
                  <c:v>6.75</c:v>
                </c:pt>
                <c:pt idx="29">
                  <c:v>6.49</c:v>
                </c:pt>
                <c:pt idx="30">
                  <c:v>6.05</c:v>
                </c:pt>
                <c:pt idx="31">
                  <c:v>6.21</c:v>
                </c:pt>
                <c:pt idx="32">
                  <c:v>6.23</c:v>
                </c:pt>
                <c:pt idx="33">
                  <c:v>6.2700000000000005</c:v>
                </c:pt>
                <c:pt idx="34">
                  <c:v>6.33</c:v>
                </c:pt>
                <c:pt idx="35">
                  <c:v>6.4700000000000006</c:v>
                </c:pt>
                <c:pt idx="36">
                  <c:v>6.48</c:v>
                </c:pt>
                <c:pt idx="37">
                  <c:v>6.63</c:v>
                </c:pt>
                <c:pt idx="38">
                  <c:v>6.54</c:v>
                </c:pt>
                <c:pt idx="39">
                  <c:v>6.25</c:v>
                </c:pt>
                <c:pt idx="40">
                  <c:v>6.37</c:v>
                </c:pt>
                <c:pt idx="41">
                  <c:v>6.34</c:v>
                </c:pt>
                <c:pt idx="42">
                  <c:v>6.08</c:v>
                </c:pt>
              </c:numCache>
            </c:numRef>
          </c:val>
          <c:smooth val="0"/>
          <c:extLst xmlns:c16r2="http://schemas.microsoft.com/office/drawing/2015/06/chart">
            <c:ext xmlns:c16="http://schemas.microsoft.com/office/drawing/2014/chart" uri="{C3380CC4-5D6E-409C-BE32-E72D297353CC}">
              <c16:uniqueId val="{00000000-0586-434D-A95F-848D2B9E4B15}"/>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przeciętne_c_skupu_żywca_i_mlek!$A$124:$B$166</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przeciętne_c_skupu_żywca_i_mlek!$D$124:$D$166</c:f>
              <c:numCache>
                <c:formatCode>0.00</c:formatCode>
                <c:ptCount val="43"/>
                <c:pt idx="0">
                  <c:v>4.7699999999999996</c:v>
                </c:pt>
                <c:pt idx="1">
                  <c:v>4.7699999999999996</c:v>
                </c:pt>
                <c:pt idx="2">
                  <c:v>4.8499999999999996</c:v>
                </c:pt>
                <c:pt idx="3">
                  <c:v>5.3199999999999994</c:v>
                </c:pt>
                <c:pt idx="4">
                  <c:v>5.5</c:v>
                </c:pt>
                <c:pt idx="5">
                  <c:v>5.57</c:v>
                </c:pt>
                <c:pt idx="6">
                  <c:v>5.4300000000000006</c:v>
                </c:pt>
                <c:pt idx="7">
                  <c:v>5.3599999999999994</c:v>
                </c:pt>
                <c:pt idx="8">
                  <c:v>5.23</c:v>
                </c:pt>
                <c:pt idx="9">
                  <c:v>4.87</c:v>
                </c:pt>
                <c:pt idx="10">
                  <c:v>4.7</c:v>
                </c:pt>
                <c:pt idx="11">
                  <c:v>4.6199999999999992</c:v>
                </c:pt>
                <c:pt idx="12">
                  <c:v>4.29</c:v>
                </c:pt>
                <c:pt idx="13">
                  <c:v>4.3899999999999997</c:v>
                </c:pt>
                <c:pt idx="14">
                  <c:v>4.6199999999999992</c:v>
                </c:pt>
                <c:pt idx="15">
                  <c:v>4.53</c:v>
                </c:pt>
                <c:pt idx="16">
                  <c:v>4.41</c:v>
                </c:pt>
                <c:pt idx="17">
                  <c:v>4.6199999999999992</c:v>
                </c:pt>
                <c:pt idx="18">
                  <c:v>4.67</c:v>
                </c:pt>
                <c:pt idx="19">
                  <c:v>4.99</c:v>
                </c:pt>
                <c:pt idx="20">
                  <c:v>4.72</c:v>
                </c:pt>
                <c:pt idx="21">
                  <c:v>4.4400000000000004</c:v>
                </c:pt>
                <c:pt idx="22">
                  <c:v>4.24</c:v>
                </c:pt>
                <c:pt idx="23">
                  <c:v>4.17</c:v>
                </c:pt>
                <c:pt idx="24">
                  <c:v>4.09</c:v>
                </c:pt>
                <c:pt idx="25">
                  <c:v>4.2</c:v>
                </c:pt>
                <c:pt idx="26">
                  <c:v>4.4800000000000004</c:v>
                </c:pt>
                <c:pt idx="27">
                  <c:v>5.8</c:v>
                </c:pt>
                <c:pt idx="28">
                  <c:v>5.41</c:v>
                </c:pt>
                <c:pt idx="29">
                  <c:v>5.81</c:v>
                </c:pt>
                <c:pt idx="30">
                  <c:v>5.6899999999999995</c:v>
                </c:pt>
                <c:pt idx="31">
                  <c:v>5.81</c:v>
                </c:pt>
                <c:pt idx="32">
                  <c:v>5.9</c:v>
                </c:pt>
                <c:pt idx="33">
                  <c:v>5.9700000000000006</c:v>
                </c:pt>
                <c:pt idx="34">
                  <c:v>6.07</c:v>
                </c:pt>
                <c:pt idx="35">
                  <c:v>6.39</c:v>
                </c:pt>
                <c:pt idx="36">
                  <c:v>6</c:v>
                </c:pt>
                <c:pt idx="37">
                  <c:v>6.24</c:v>
                </c:pt>
                <c:pt idx="38">
                  <c:v>6.35</c:v>
                </c:pt>
                <c:pt idx="39">
                  <c:v>5.94</c:v>
                </c:pt>
                <c:pt idx="40">
                  <c:v>5.17</c:v>
                </c:pt>
                <c:pt idx="41">
                  <c:v>5.64</c:v>
                </c:pt>
                <c:pt idx="42">
                  <c:v>5.08</c:v>
                </c:pt>
              </c:numCache>
            </c:numRef>
          </c:val>
          <c:smooth val="0"/>
          <c:extLst xmlns:c16r2="http://schemas.microsoft.com/office/drawing/2015/06/chart">
            <c:ext xmlns:c16="http://schemas.microsoft.com/office/drawing/2014/chart" uri="{C3380CC4-5D6E-409C-BE32-E72D297353CC}">
              <c16:uniqueId val="{00000001-0586-434D-A95F-848D2B9E4B15}"/>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przeciętne_c_skupu_żywca_i_mlek!$A$124:$B$166</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przeciętne_c_skupu_żywca_i_mlek!$E$124:$E$166</c:f>
              <c:numCache>
                <c:formatCode>0.00</c:formatCode>
                <c:ptCount val="43"/>
                <c:pt idx="0">
                  <c:v>3.21</c:v>
                </c:pt>
                <c:pt idx="1">
                  <c:v>3.52</c:v>
                </c:pt>
                <c:pt idx="2">
                  <c:v>3.68</c:v>
                </c:pt>
                <c:pt idx="3">
                  <c:v>3.4</c:v>
                </c:pt>
                <c:pt idx="4">
                  <c:v>3.51</c:v>
                </c:pt>
                <c:pt idx="5">
                  <c:v>3.7</c:v>
                </c:pt>
                <c:pt idx="6">
                  <c:v>4.04</c:v>
                </c:pt>
                <c:pt idx="7">
                  <c:v>4.5199999999999996</c:v>
                </c:pt>
                <c:pt idx="8">
                  <c:v>3.8699999999999997</c:v>
                </c:pt>
                <c:pt idx="9">
                  <c:v>3.8099999999999996</c:v>
                </c:pt>
                <c:pt idx="10">
                  <c:v>3.63</c:v>
                </c:pt>
                <c:pt idx="11">
                  <c:v>3.48</c:v>
                </c:pt>
                <c:pt idx="12">
                  <c:v>3.2800000000000002</c:v>
                </c:pt>
                <c:pt idx="13">
                  <c:v>3.73</c:v>
                </c:pt>
                <c:pt idx="14">
                  <c:v>3.56</c:v>
                </c:pt>
                <c:pt idx="15">
                  <c:v>3.46</c:v>
                </c:pt>
                <c:pt idx="16">
                  <c:v>3.67</c:v>
                </c:pt>
                <c:pt idx="17">
                  <c:v>3.82</c:v>
                </c:pt>
                <c:pt idx="18">
                  <c:v>4.2300000000000004</c:v>
                </c:pt>
                <c:pt idx="19">
                  <c:v>4.3899999999999997</c:v>
                </c:pt>
                <c:pt idx="20">
                  <c:v>4.1399999999999997</c:v>
                </c:pt>
                <c:pt idx="21">
                  <c:v>3.9099999999999997</c:v>
                </c:pt>
                <c:pt idx="22">
                  <c:v>3.48</c:v>
                </c:pt>
                <c:pt idx="23">
                  <c:v>3.17</c:v>
                </c:pt>
                <c:pt idx="24">
                  <c:v>3.18</c:v>
                </c:pt>
                <c:pt idx="25">
                  <c:v>3.61</c:v>
                </c:pt>
                <c:pt idx="26">
                  <c:v>3.74</c:v>
                </c:pt>
                <c:pt idx="27">
                  <c:v>3.8299999999999996</c:v>
                </c:pt>
                <c:pt idx="28">
                  <c:v>3.65</c:v>
                </c:pt>
                <c:pt idx="29">
                  <c:v>3.8299999999999996</c:v>
                </c:pt>
                <c:pt idx="30">
                  <c:v>3.94</c:v>
                </c:pt>
                <c:pt idx="31">
                  <c:v>4.13</c:v>
                </c:pt>
                <c:pt idx="32">
                  <c:v>3.86</c:v>
                </c:pt>
                <c:pt idx="33">
                  <c:v>3.86</c:v>
                </c:pt>
                <c:pt idx="34">
                  <c:v>3.65</c:v>
                </c:pt>
                <c:pt idx="35">
                  <c:v>3.92</c:v>
                </c:pt>
                <c:pt idx="36">
                  <c:v>3.53</c:v>
                </c:pt>
                <c:pt idx="37">
                  <c:v>3.65</c:v>
                </c:pt>
                <c:pt idx="38">
                  <c:v>3.53</c:v>
                </c:pt>
                <c:pt idx="39">
                  <c:v>2.71</c:v>
                </c:pt>
                <c:pt idx="40">
                  <c:v>3.3899999999999997</c:v>
                </c:pt>
                <c:pt idx="41">
                  <c:v>3.32</c:v>
                </c:pt>
                <c:pt idx="42">
                  <c:v>3.79</c:v>
                </c:pt>
              </c:numCache>
            </c:numRef>
          </c:val>
          <c:smooth val="0"/>
          <c:extLst xmlns:c16r2="http://schemas.microsoft.com/office/drawing/2015/06/chart">
            <c:ext xmlns:c16="http://schemas.microsoft.com/office/drawing/2014/chart" uri="{C3380CC4-5D6E-409C-BE32-E72D297353CC}">
              <c16:uniqueId val="{00000002-0586-434D-A95F-848D2B9E4B15}"/>
            </c:ext>
          </c:extLst>
        </c:ser>
        <c:dLbls>
          <c:showLegendKey val="0"/>
          <c:showVal val="0"/>
          <c:showCatName val="0"/>
          <c:showSerName val="0"/>
          <c:showPercent val="0"/>
          <c:showBubbleSize val="0"/>
        </c:dLbls>
        <c:marker val="1"/>
        <c:smooth val="0"/>
        <c:axId val="1963487680"/>
        <c:axId val="1963488224"/>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przeciętne_c_skupu_żywca_i_mlek!$A$124:$B$166</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przeciętne_c_skupu_żywca_i_mlek!$F$124:$F$166</c:f>
              <c:numCache>
                <c:formatCode>0.00</c:formatCode>
                <c:ptCount val="43"/>
                <c:pt idx="0">
                  <c:v>1.27</c:v>
                </c:pt>
                <c:pt idx="1">
                  <c:v>1.26</c:v>
                </c:pt>
                <c:pt idx="2">
                  <c:v>1.23</c:v>
                </c:pt>
                <c:pt idx="3">
                  <c:v>1.22</c:v>
                </c:pt>
                <c:pt idx="4">
                  <c:v>1.24</c:v>
                </c:pt>
                <c:pt idx="5">
                  <c:v>1.23</c:v>
                </c:pt>
                <c:pt idx="6">
                  <c:v>1.26</c:v>
                </c:pt>
                <c:pt idx="7">
                  <c:v>1.32</c:v>
                </c:pt>
                <c:pt idx="8">
                  <c:v>1.35</c:v>
                </c:pt>
                <c:pt idx="9">
                  <c:v>1.3800000000000001</c:v>
                </c:pt>
                <c:pt idx="10">
                  <c:v>1.3900000000000001</c:v>
                </c:pt>
                <c:pt idx="11">
                  <c:v>1.41</c:v>
                </c:pt>
                <c:pt idx="12">
                  <c:v>1.32</c:v>
                </c:pt>
                <c:pt idx="13">
                  <c:v>1.24</c:v>
                </c:pt>
                <c:pt idx="14">
                  <c:v>1.22</c:v>
                </c:pt>
                <c:pt idx="15">
                  <c:v>1.21</c:v>
                </c:pt>
                <c:pt idx="16">
                  <c:v>1.2</c:v>
                </c:pt>
                <c:pt idx="17">
                  <c:v>1.22</c:v>
                </c:pt>
                <c:pt idx="18">
                  <c:v>1.21</c:v>
                </c:pt>
                <c:pt idx="19">
                  <c:v>1.21</c:v>
                </c:pt>
                <c:pt idx="20">
                  <c:v>1.23</c:v>
                </c:pt>
                <c:pt idx="21">
                  <c:v>1.28</c:v>
                </c:pt>
                <c:pt idx="22">
                  <c:v>1.3</c:v>
                </c:pt>
                <c:pt idx="23">
                  <c:v>1.32</c:v>
                </c:pt>
                <c:pt idx="24">
                  <c:v>1.31</c:v>
                </c:pt>
                <c:pt idx="25">
                  <c:v>1.29</c:v>
                </c:pt>
                <c:pt idx="26">
                  <c:v>1.29</c:v>
                </c:pt>
                <c:pt idx="27">
                  <c:v>1.28</c:v>
                </c:pt>
                <c:pt idx="28">
                  <c:v>1.28</c:v>
                </c:pt>
                <c:pt idx="29">
                  <c:v>1.26</c:v>
                </c:pt>
                <c:pt idx="30">
                  <c:v>1.22</c:v>
                </c:pt>
                <c:pt idx="31">
                  <c:v>1.22</c:v>
                </c:pt>
                <c:pt idx="32">
                  <c:v>1.24</c:v>
                </c:pt>
                <c:pt idx="33">
                  <c:v>1.27</c:v>
                </c:pt>
                <c:pt idx="34">
                  <c:v>1.21</c:v>
                </c:pt>
                <c:pt idx="35">
                  <c:v>1.32</c:v>
                </c:pt>
                <c:pt idx="36">
                  <c:v>1.32</c:v>
                </c:pt>
                <c:pt idx="37">
                  <c:v>1.32</c:v>
                </c:pt>
                <c:pt idx="38">
                  <c:v>1.31</c:v>
                </c:pt>
                <c:pt idx="39">
                  <c:v>1.26</c:v>
                </c:pt>
                <c:pt idx="40">
                  <c:v>1.23</c:v>
                </c:pt>
                <c:pt idx="41">
                  <c:v>1.23</c:v>
                </c:pt>
                <c:pt idx="42">
                  <c:v>1.23</c:v>
                </c:pt>
              </c:numCache>
            </c:numRef>
          </c:val>
          <c:smooth val="0"/>
          <c:extLst xmlns:c16r2="http://schemas.microsoft.com/office/drawing/2015/06/chart">
            <c:ext xmlns:c16="http://schemas.microsoft.com/office/drawing/2014/chart" uri="{C3380CC4-5D6E-409C-BE32-E72D297353CC}">
              <c16:uniqueId val="{00000003-0586-434D-A95F-848D2B9E4B15}"/>
            </c:ext>
          </c:extLst>
        </c:ser>
        <c:dLbls>
          <c:showLegendKey val="0"/>
          <c:showVal val="0"/>
          <c:showCatName val="0"/>
          <c:showSerName val="0"/>
          <c:showPercent val="0"/>
          <c:showBubbleSize val="0"/>
        </c:dLbls>
        <c:marker val="1"/>
        <c:smooth val="0"/>
        <c:axId val="1963481152"/>
        <c:axId val="1963477888"/>
      </c:lineChart>
      <c:catAx>
        <c:axId val="196348768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50">
                <a:latin typeface="Fira Sans" panose="020B0503050000020004" pitchFamily="34" charset="0"/>
                <a:ea typeface="Fira Sans" panose="020B0503050000020004" pitchFamily="34" charset="0"/>
                <a:cs typeface="Arial" pitchFamily="34" charset="0"/>
              </a:defRPr>
            </a:pPr>
            <a:endParaRPr lang="pl-PL"/>
          </a:p>
        </c:txPr>
        <c:crossAx val="1963488224"/>
        <c:crosses val="autoZero"/>
        <c:auto val="1"/>
        <c:lblAlgn val="ctr"/>
        <c:lblOffset val="100"/>
        <c:noMultiLvlLbl val="0"/>
      </c:catAx>
      <c:valAx>
        <c:axId val="1963488224"/>
        <c:scaling>
          <c:orientation val="minMax"/>
        </c:scaling>
        <c:delete val="0"/>
        <c:axPos val="l"/>
        <c:majorGridlines>
          <c:spPr>
            <a:ln w="9525">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a:t>
                </a:r>
                <a:r>
                  <a:rPr lang="pl-PL" sz="750" b="0" i="1" baseline="0">
                    <a:latin typeface="Fira Sans" panose="020B0503050000020004" pitchFamily="34" charset="0"/>
                    <a:ea typeface="Fira Sans" panose="020B0503050000020004" pitchFamily="34" charset="0"/>
                    <a:cs typeface="Arial" pitchFamily="34" charset="0"/>
                  </a:rPr>
                  <a:t> kg</a:t>
                </a:r>
                <a:endParaRPr lang="pl-PL" sz="75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6E-3"/>
              <c:y val="3.471192314552914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87680"/>
        <c:crosses val="autoZero"/>
        <c:crossBetween val="between"/>
        <c:majorUnit val="1"/>
      </c:valAx>
      <c:valAx>
        <c:axId val="1963477888"/>
        <c:scaling>
          <c:orientation val="minMax"/>
          <c:max val="2"/>
        </c:scaling>
        <c:delete val="0"/>
        <c:axPos val="r"/>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81152"/>
        <c:crosses val="max"/>
        <c:crossBetween val="between"/>
        <c:majorUnit val="0.25"/>
      </c:valAx>
      <c:catAx>
        <c:axId val="1963481152"/>
        <c:scaling>
          <c:orientation val="minMax"/>
        </c:scaling>
        <c:delete val="1"/>
        <c:axPos val="b"/>
        <c:numFmt formatCode="General" sourceLinked="1"/>
        <c:majorTickMark val="out"/>
        <c:minorTickMark val="none"/>
        <c:tickLblPos val="none"/>
        <c:crossAx val="1963477888"/>
        <c:crosses val="autoZero"/>
        <c:auto val="1"/>
        <c:lblAlgn val="ctr"/>
        <c:lblOffset val="100"/>
        <c:noMultiLvlLbl val="0"/>
      </c:cat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82"/>
          <c:y val="0.93184963512803398"/>
          <c:w val="0.48433978771521585"/>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02167721462449E-2"/>
          <c:y val="8.8168823005661409E-2"/>
          <c:w val="0.94728790623931669"/>
          <c:h val="0.62498634144336052"/>
        </c:manualLayout>
      </c:layout>
      <c:lineChart>
        <c:grouping val="standard"/>
        <c:varyColors val="0"/>
        <c:ser>
          <c:idx val="0"/>
          <c:order val="0"/>
          <c:tx>
            <c:strRef>
              <c:f>rolnictwo!$D$3</c:f>
              <c:strCache>
                <c:ptCount val="1"/>
                <c:pt idx="0">
                  <c:v>Polska</c:v>
                </c:pt>
              </c:strCache>
            </c:strRef>
          </c:tx>
          <c:spPr>
            <a:ln w="28575">
              <a:solidFill>
                <a:schemeClr val="bg1">
                  <a:lumMod val="50000"/>
                </a:schemeClr>
              </a:solidFill>
            </a:ln>
          </c:spPr>
          <c:marker>
            <c:symbol val="none"/>
          </c:marker>
          <c:cat>
            <c:multiLvlStrRef>
              <c:f>rolnictwo!$A$148:$B$190</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rolnictwo!$D$148:$D$190</c:f>
              <c:numCache>
                <c:formatCode>0.0</c:formatCode>
                <c:ptCount val="43"/>
                <c:pt idx="0" formatCode="General">
                  <c:v>8.3000000000000007</c:v>
                </c:pt>
                <c:pt idx="1">
                  <c:v>8</c:v>
                </c:pt>
                <c:pt idx="2" formatCode="General">
                  <c:v>8.2000000000000011</c:v>
                </c:pt>
                <c:pt idx="3" formatCode="General">
                  <c:v>8.8000000000000007</c:v>
                </c:pt>
                <c:pt idx="4" formatCode="General">
                  <c:v>8.7000000000000011</c:v>
                </c:pt>
                <c:pt idx="5" formatCode="General">
                  <c:v>8.8000000000000007</c:v>
                </c:pt>
                <c:pt idx="6">
                  <c:v>8</c:v>
                </c:pt>
                <c:pt idx="7" formatCode="General">
                  <c:v>8.2000000000000011</c:v>
                </c:pt>
                <c:pt idx="8" formatCode="General">
                  <c:v>8.2000000000000011</c:v>
                </c:pt>
                <c:pt idx="9" formatCode="General">
                  <c:v>7.5</c:v>
                </c:pt>
                <c:pt idx="10" formatCode="General">
                  <c:v>7.2</c:v>
                </c:pt>
                <c:pt idx="11">
                  <c:v>7</c:v>
                </c:pt>
                <c:pt idx="12" formatCode="General">
                  <c:v>6.5</c:v>
                </c:pt>
                <c:pt idx="13" formatCode="General">
                  <c:v>6.8</c:v>
                </c:pt>
                <c:pt idx="14" formatCode="General">
                  <c:v>7.1</c:v>
                </c:pt>
                <c:pt idx="15" formatCode="General">
                  <c:v>6.9</c:v>
                </c:pt>
                <c:pt idx="16" formatCode="General">
                  <c:v>6.8</c:v>
                </c:pt>
                <c:pt idx="17" formatCode="General">
                  <c:v>7.3</c:v>
                </c:pt>
                <c:pt idx="18" formatCode="General">
                  <c:v>7.2</c:v>
                </c:pt>
                <c:pt idx="19" formatCode="General">
                  <c:v>7.3</c:v>
                </c:pt>
                <c:pt idx="20" formatCode="General">
                  <c:v>6.7</c:v>
                </c:pt>
                <c:pt idx="21" formatCode="General">
                  <c:v>6.2</c:v>
                </c:pt>
                <c:pt idx="22" formatCode="General">
                  <c:v>5.9</c:v>
                </c:pt>
                <c:pt idx="23" formatCode="General">
                  <c:v>5.9</c:v>
                </c:pt>
                <c:pt idx="24" formatCode="General">
                  <c:v>5.5</c:v>
                </c:pt>
                <c:pt idx="25" formatCode="General">
                  <c:v>5.6</c:v>
                </c:pt>
                <c:pt idx="26">
                  <c:v>6</c:v>
                </c:pt>
                <c:pt idx="27" formatCode="General">
                  <c:v>7.5</c:v>
                </c:pt>
                <c:pt idx="28" formatCode="General">
                  <c:v>7.7</c:v>
                </c:pt>
                <c:pt idx="29" formatCode="General">
                  <c:v>7.5</c:v>
                </c:pt>
                <c:pt idx="30" formatCode="General">
                  <c:v>7.5</c:v>
                </c:pt>
                <c:pt idx="31">
                  <c:v>8</c:v>
                </c:pt>
                <c:pt idx="32" formatCode="General">
                  <c:v>8.2000000000000011</c:v>
                </c:pt>
                <c:pt idx="33" formatCode="General">
                  <c:v>8.2000000000000011</c:v>
                </c:pt>
                <c:pt idx="34" formatCode="General">
                  <c:v>8.6</c:v>
                </c:pt>
                <c:pt idx="35" formatCode="General">
                  <c:v>8.9</c:v>
                </c:pt>
                <c:pt idx="36" formatCode="General">
                  <c:v>8.6</c:v>
                </c:pt>
                <c:pt idx="37" formatCode="General">
                  <c:v>9.1</c:v>
                </c:pt>
                <c:pt idx="38">
                  <c:v>9</c:v>
                </c:pt>
                <c:pt idx="42" formatCode="General">
                  <c:v>7.5</c:v>
                </c:pt>
              </c:numCache>
            </c:numRef>
          </c:val>
          <c:smooth val="0"/>
          <c:extLst xmlns:c16r2="http://schemas.microsoft.com/office/drawing/2015/06/chart">
            <c:ext xmlns:c16="http://schemas.microsoft.com/office/drawing/2014/chart" uri="{C3380CC4-5D6E-409C-BE32-E72D297353CC}">
              <c16:uniqueId val="{00000001-8E91-4502-8277-AA3B79CA8969}"/>
            </c:ext>
          </c:extLst>
        </c:ser>
        <c:ser>
          <c:idx val="1"/>
          <c:order val="1"/>
          <c:tx>
            <c:strRef>
              <c:f>rolnictwo!$C$3</c:f>
              <c:strCache>
                <c:ptCount val="1"/>
                <c:pt idx="0">
                  <c:v>Świętokrzyskie</c:v>
                </c:pt>
              </c:strCache>
            </c:strRef>
          </c:tx>
          <c:spPr>
            <a:ln w="28575">
              <a:solidFill>
                <a:srgbClr val="7030A0"/>
              </a:solidFill>
            </a:ln>
          </c:spPr>
          <c:marker>
            <c:symbol val="none"/>
          </c:marker>
          <c:cat>
            <c:multiLvlStrRef>
              <c:f>rolnictwo!$A$148:$B$190</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rolnictwo!$C$148:$C$190</c:f>
              <c:numCache>
                <c:formatCode>General</c:formatCode>
                <c:ptCount val="43"/>
                <c:pt idx="0">
                  <c:v>8.8000000000000007</c:v>
                </c:pt>
                <c:pt idx="1">
                  <c:v>8.2000000000000011</c:v>
                </c:pt>
                <c:pt idx="2">
                  <c:v>8.5</c:v>
                </c:pt>
                <c:pt idx="3">
                  <c:v>9.3000000000000007</c:v>
                </c:pt>
                <c:pt idx="4">
                  <c:v>9.1</c:v>
                </c:pt>
                <c:pt idx="5">
                  <c:v>10.1</c:v>
                </c:pt>
                <c:pt idx="6">
                  <c:v>8.9</c:v>
                </c:pt>
                <c:pt idx="7">
                  <c:v>8.7000000000000011</c:v>
                </c:pt>
                <c:pt idx="8">
                  <c:v>8.9</c:v>
                </c:pt>
                <c:pt idx="9">
                  <c:v>8.4</c:v>
                </c:pt>
                <c:pt idx="10">
                  <c:v>7.9</c:v>
                </c:pt>
                <c:pt idx="11" formatCode="0.0">
                  <c:v>8</c:v>
                </c:pt>
                <c:pt idx="12">
                  <c:v>7.6</c:v>
                </c:pt>
                <c:pt idx="13">
                  <c:v>7.5</c:v>
                </c:pt>
                <c:pt idx="14">
                  <c:v>8.1</c:v>
                </c:pt>
                <c:pt idx="15">
                  <c:v>7.4</c:v>
                </c:pt>
                <c:pt idx="16">
                  <c:v>7.4</c:v>
                </c:pt>
                <c:pt idx="17">
                  <c:v>7.9</c:v>
                </c:pt>
                <c:pt idx="18">
                  <c:v>8.1</c:v>
                </c:pt>
                <c:pt idx="19">
                  <c:v>8.3000000000000007</c:v>
                </c:pt>
                <c:pt idx="20">
                  <c:v>7.1</c:v>
                </c:pt>
                <c:pt idx="21">
                  <c:v>6.9</c:v>
                </c:pt>
                <c:pt idx="22">
                  <c:v>6.5</c:v>
                </c:pt>
                <c:pt idx="23">
                  <c:v>6.3</c:v>
                </c:pt>
                <c:pt idx="24">
                  <c:v>6.3</c:v>
                </c:pt>
                <c:pt idx="25">
                  <c:v>6.5</c:v>
                </c:pt>
                <c:pt idx="26">
                  <c:v>6.7</c:v>
                </c:pt>
                <c:pt idx="27">
                  <c:v>7.7</c:v>
                </c:pt>
                <c:pt idx="28">
                  <c:v>7.6</c:v>
                </c:pt>
                <c:pt idx="29">
                  <c:v>8.4</c:v>
                </c:pt>
                <c:pt idx="30">
                  <c:v>8.4</c:v>
                </c:pt>
                <c:pt idx="31">
                  <c:v>9.4</c:v>
                </c:pt>
                <c:pt idx="32">
                  <c:v>9.1</c:v>
                </c:pt>
                <c:pt idx="33">
                  <c:v>9.2000000000000011</c:v>
                </c:pt>
                <c:pt idx="34">
                  <c:v>9.5</c:v>
                </c:pt>
                <c:pt idx="35">
                  <c:v>10.6</c:v>
                </c:pt>
                <c:pt idx="36">
                  <c:v>9.6</c:v>
                </c:pt>
                <c:pt idx="37">
                  <c:v>9.6</c:v>
                </c:pt>
                <c:pt idx="38">
                  <c:v>9.8000000000000007</c:v>
                </c:pt>
                <c:pt idx="42">
                  <c:v>7.9</c:v>
                </c:pt>
              </c:numCache>
            </c:numRef>
          </c:val>
          <c:smooth val="0"/>
          <c:extLst xmlns:c16r2="http://schemas.microsoft.com/office/drawing/2015/06/chart">
            <c:ext xmlns:c16="http://schemas.microsoft.com/office/drawing/2014/chart" uri="{C3380CC4-5D6E-409C-BE32-E72D297353CC}">
              <c16:uniqueId val="{00000000-8E91-4502-8277-AA3B79CA8969}"/>
            </c:ext>
          </c:extLst>
        </c:ser>
        <c:dLbls>
          <c:showLegendKey val="0"/>
          <c:showVal val="0"/>
          <c:showCatName val="0"/>
          <c:showSerName val="0"/>
          <c:showPercent val="0"/>
          <c:showBubbleSize val="0"/>
        </c:dLbls>
        <c:smooth val="0"/>
        <c:axId val="1963478432"/>
        <c:axId val="1963481696"/>
      </c:lineChart>
      <c:catAx>
        <c:axId val="196347843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81696"/>
        <c:crosses val="autoZero"/>
        <c:auto val="1"/>
        <c:lblAlgn val="ctr"/>
        <c:lblOffset val="100"/>
        <c:noMultiLvlLbl val="0"/>
      </c:catAx>
      <c:valAx>
        <c:axId val="1963481696"/>
        <c:scaling>
          <c:orientation val="minMax"/>
        </c:scaling>
        <c:delete val="0"/>
        <c:axPos val="l"/>
        <c:majorGridlines>
          <c:spPr>
            <a:ln w="9525">
              <a:solidFill>
                <a:schemeClr val="bg1">
                  <a:lumMod val="85000"/>
                </a:schemeClr>
              </a:solidFill>
            </a:ln>
          </c:spPr>
        </c:majorGridlines>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963478432"/>
        <c:crosses val="autoZero"/>
        <c:crossBetween val="between"/>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8599733293309468"/>
          <c:y val="0.91796968395452283"/>
          <c:w val="0.29008814935869004"/>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51"/>
          <c:h val="0.60553696159784443"/>
        </c:manualLayout>
      </c:layout>
      <c:lineChart>
        <c:grouping val="standard"/>
        <c:varyColors val="0"/>
        <c:ser>
          <c:idx val="0"/>
          <c:order val="0"/>
          <c:tx>
            <c:strRef>
              <c:f>'Przemysł (2)'!$D$19</c:f>
              <c:strCache>
                <c:ptCount val="1"/>
                <c:pt idx="0">
                  <c:v>Polska</c:v>
                </c:pt>
              </c:strCache>
            </c:strRef>
          </c:tx>
          <c:spPr>
            <a:ln w="28575">
              <a:solidFill>
                <a:srgbClr val="7030A0"/>
              </a:solidFill>
            </a:ln>
          </c:spPr>
          <c:marker>
            <c:symbol val="none"/>
          </c:marker>
          <c:cat>
            <c:multiLvlStrRef>
              <c:f>'Przemysł (2)'!$A$32:$B$74</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'Przemysł (2)'!$D$32:$D$74</c:f>
              <c:numCache>
                <c:formatCode>0.0</c:formatCode>
                <c:ptCount val="43"/>
                <c:pt idx="0">
                  <c:v>102.3</c:v>
                </c:pt>
                <c:pt idx="1">
                  <c:v>101.2</c:v>
                </c:pt>
                <c:pt idx="2">
                  <c:v>118.8</c:v>
                </c:pt>
                <c:pt idx="3">
                  <c:v>103</c:v>
                </c:pt>
                <c:pt idx="4">
                  <c:v>108.6</c:v>
                </c:pt>
                <c:pt idx="5">
                  <c:v>111.4</c:v>
                </c:pt>
                <c:pt idx="6">
                  <c:v>102</c:v>
                </c:pt>
                <c:pt idx="7">
                  <c:v>108</c:v>
                </c:pt>
                <c:pt idx="8">
                  <c:v>114.1</c:v>
                </c:pt>
                <c:pt idx="9">
                  <c:v>119.9</c:v>
                </c:pt>
                <c:pt idx="10">
                  <c:v>118.6</c:v>
                </c:pt>
                <c:pt idx="11">
                  <c:v>106.8</c:v>
                </c:pt>
                <c:pt idx="12">
                  <c:v>111.1</c:v>
                </c:pt>
                <c:pt idx="13">
                  <c:v>108.6</c:v>
                </c:pt>
                <c:pt idx="14">
                  <c:v>120.8</c:v>
                </c:pt>
                <c:pt idx="15">
                  <c:v>112.6</c:v>
                </c:pt>
                <c:pt idx="16">
                  <c:v>114.2</c:v>
                </c:pt>
                <c:pt idx="17">
                  <c:v>118.9</c:v>
                </c:pt>
                <c:pt idx="18">
                  <c:v>112.5</c:v>
                </c:pt>
                <c:pt idx="19">
                  <c:v>113.4</c:v>
                </c:pt>
                <c:pt idx="20">
                  <c:v>117.2</c:v>
                </c:pt>
                <c:pt idx="21">
                  <c:v>128.80000000000001</c:v>
                </c:pt>
                <c:pt idx="22">
                  <c:v>124</c:v>
                </c:pt>
                <c:pt idx="23">
                  <c:v>109.8</c:v>
                </c:pt>
                <c:pt idx="24">
                  <c:v>117.8</c:v>
                </c:pt>
                <c:pt idx="25">
                  <c:v>116.1</c:v>
                </c:pt>
                <c:pt idx="26">
                  <c:v>127.5</c:v>
                </c:pt>
                <c:pt idx="27">
                  <c:v>123</c:v>
                </c:pt>
                <c:pt idx="28">
                  <c:v>122.9</c:v>
                </c:pt>
                <c:pt idx="29">
                  <c:v>115.8</c:v>
                </c:pt>
                <c:pt idx="30">
                  <c:v>119</c:v>
                </c:pt>
                <c:pt idx="31">
                  <c:v>111.7</c:v>
                </c:pt>
                <c:pt idx="32">
                  <c:v>123.7</c:v>
                </c:pt>
                <c:pt idx="33">
                  <c:v>133.6</c:v>
                </c:pt>
                <c:pt idx="34">
                  <c:v>125.8</c:v>
                </c:pt>
                <c:pt idx="35" formatCode="General">
                  <c:v>114</c:v>
                </c:pt>
                <c:pt idx="36">
                  <c:v>119.1</c:v>
                </c:pt>
                <c:pt idx="37">
                  <c:v>121.7</c:v>
                </c:pt>
                <c:pt idx="38">
                  <c:v>124.4</c:v>
                </c:pt>
                <c:pt idx="39">
                  <c:v>92.7</c:v>
                </c:pt>
                <c:pt idx="40">
                  <c:v>102.2</c:v>
                </c:pt>
                <c:pt idx="41">
                  <c:v>116.4</c:v>
                </c:pt>
                <c:pt idx="42">
                  <c:v>120.4</c:v>
                </c:pt>
              </c:numCache>
            </c:numRef>
          </c:val>
          <c:smooth val="0"/>
        </c:ser>
        <c:ser>
          <c:idx val="1"/>
          <c:order val="1"/>
          <c:tx>
            <c:strRef>
              <c:f>'Przemysł (2)'!$C$19</c:f>
              <c:strCache>
                <c:ptCount val="1"/>
                <c:pt idx="0">
                  <c:v>Świętokrzyskie</c:v>
                </c:pt>
              </c:strCache>
            </c:strRef>
          </c:tx>
          <c:spPr>
            <a:ln w="28575">
              <a:solidFill>
                <a:schemeClr val="bg1">
                  <a:lumMod val="65000"/>
                </a:schemeClr>
              </a:solidFill>
            </a:ln>
          </c:spPr>
          <c:marker>
            <c:symbol val="none"/>
          </c:marker>
          <c:cat>
            <c:multiLvlStrRef>
              <c:f>'Przemysł (2)'!$A$32:$B$74</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2017</c:v>
                  </c:pt>
                  <c:pt idx="12">
                    <c:v>2018</c:v>
                  </c:pt>
                  <c:pt idx="24">
                    <c:v>2019</c:v>
                  </c:pt>
                  <c:pt idx="36">
                    <c:v>2020</c:v>
                  </c:pt>
                </c:lvl>
              </c:multiLvlStrCache>
            </c:multiLvlStrRef>
          </c:cat>
          <c:val>
            <c:numRef>
              <c:f>'Przemysł (2)'!$C$32:$C$74</c:f>
              <c:numCache>
                <c:formatCode>0.0</c:formatCode>
                <c:ptCount val="43"/>
                <c:pt idx="0">
                  <c:v>88.020577016664518</c:v>
                </c:pt>
                <c:pt idx="1">
                  <c:v>85.535832662126467</c:v>
                </c:pt>
                <c:pt idx="2">
                  <c:v>119.24354208156494</c:v>
                </c:pt>
                <c:pt idx="3">
                  <c:v>103.77323175233114</c:v>
                </c:pt>
                <c:pt idx="4">
                  <c:v>111.11295245026442</c:v>
                </c:pt>
                <c:pt idx="5">
                  <c:v>116.05626144668702</c:v>
                </c:pt>
                <c:pt idx="6">
                  <c:v>111.98346532508417</c:v>
                </c:pt>
                <c:pt idx="7">
                  <c:v>114.23469345742859</c:v>
                </c:pt>
                <c:pt idx="8">
                  <c:v>118.63476438168267</c:v>
                </c:pt>
                <c:pt idx="9">
                  <c:v>129.31028434466864</c:v>
                </c:pt>
                <c:pt idx="10">
                  <c:v>124.41776533307853</c:v>
                </c:pt>
                <c:pt idx="11">
                  <c:v>103.76914810951732</c:v>
                </c:pt>
                <c:pt idx="12">
                  <c:v>104.2</c:v>
                </c:pt>
                <c:pt idx="13">
                  <c:v>104.23646449872732</c:v>
                </c:pt>
                <c:pt idx="14">
                  <c:v>114.77797799329534</c:v>
                </c:pt>
                <c:pt idx="15">
                  <c:v>110.8272420070242</c:v>
                </c:pt>
                <c:pt idx="16">
                  <c:v>114.85626932486518</c:v>
                </c:pt>
                <c:pt idx="17">
                  <c:v>124.42796153353027</c:v>
                </c:pt>
                <c:pt idx="18">
                  <c:v>125.89609049538332</c:v>
                </c:pt>
                <c:pt idx="19">
                  <c:v>122.6227921425033</c:v>
                </c:pt>
                <c:pt idx="20">
                  <c:v>123.62974101057148</c:v>
                </c:pt>
                <c:pt idx="21">
                  <c:v>133.3768543307045</c:v>
                </c:pt>
                <c:pt idx="22">
                  <c:v>128.15460310308842</c:v>
                </c:pt>
                <c:pt idx="23">
                  <c:v>113.70759377645608</c:v>
                </c:pt>
                <c:pt idx="24">
                  <c:v>107.16245910775089</c:v>
                </c:pt>
                <c:pt idx="25">
                  <c:v>116.12454759523128</c:v>
                </c:pt>
                <c:pt idx="26">
                  <c:v>129.42983544029431</c:v>
                </c:pt>
                <c:pt idx="27">
                  <c:v>122.3494544555215</c:v>
                </c:pt>
                <c:pt idx="28">
                  <c:v>127.72072508872697</c:v>
                </c:pt>
                <c:pt idx="29">
                  <c:v>120.45443768457869</c:v>
                </c:pt>
                <c:pt idx="30">
                  <c:v>130.95268315079943</c:v>
                </c:pt>
                <c:pt idx="31">
                  <c:v>114.29441996022658</c:v>
                </c:pt>
                <c:pt idx="32">
                  <c:v>133.40933761842214</c:v>
                </c:pt>
                <c:pt idx="33">
                  <c:v>133.08815988550938</c:v>
                </c:pt>
                <c:pt idx="34">
                  <c:v>131.23499658143345</c:v>
                </c:pt>
                <c:pt idx="35">
                  <c:v>126.58001548325306</c:v>
                </c:pt>
                <c:pt idx="36">
                  <c:v>112.65621378009524</c:v>
                </c:pt>
                <c:pt idx="37">
                  <c:v>116.67256110305435</c:v>
                </c:pt>
                <c:pt idx="38">
                  <c:v>134.94057460777992</c:v>
                </c:pt>
                <c:pt idx="39">
                  <c:v>104.64046635510694</c:v>
                </c:pt>
                <c:pt idx="40">
                  <c:v>116.67256110305435</c:v>
                </c:pt>
                <c:pt idx="41">
                  <c:v>123.47323578692897</c:v>
                </c:pt>
                <c:pt idx="42">
                  <c:v>124.10797636887283</c:v>
                </c:pt>
              </c:numCache>
            </c:numRef>
          </c:val>
          <c:smooth val="0"/>
        </c:ser>
        <c:dLbls>
          <c:showLegendKey val="0"/>
          <c:showVal val="0"/>
          <c:showCatName val="0"/>
          <c:showSerName val="0"/>
          <c:showPercent val="0"/>
          <c:showBubbleSize val="0"/>
        </c:dLbls>
        <c:smooth val="0"/>
        <c:axId val="1963480064"/>
        <c:axId val="1990335472"/>
      </c:lineChart>
      <c:catAx>
        <c:axId val="196348006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90335472"/>
        <c:crosses val="autoZero"/>
        <c:auto val="1"/>
        <c:lblAlgn val="ctr"/>
        <c:lblOffset val="100"/>
        <c:noMultiLvlLbl val="0"/>
      </c:catAx>
      <c:valAx>
        <c:axId val="1990335472"/>
        <c:scaling>
          <c:orientation val="minMax"/>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963480064"/>
        <c:crosses val="autoZero"/>
        <c:crossBetween val="between"/>
      </c:valAx>
      <c:spPr>
        <a:noFill/>
        <a:ln w="25400">
          <a:noFill/>
        </a:ln>
      </c:spPr>
    </c:plotArea>
    <c:legend>
      <c:legendPos val="r"/>
      <c:legendEntry>
        <c:idx val="0"/>
        <c:txPr>
          <a:bodyPr/>
          <a:lstStyle/>
          <a:p>
            <a:pPr>
              <a:defRPr sz="735" b="0" i="0" u="none" strike="noStrike" baseline="0">
                <a:solidFill>
                  <a:srgbClr val="000000"/>
                </a:solidFill>
                <a:latin typeface="Fira Sans"/>
                <a:ea typeface="Fira Sans"/>
                <a:cs typeface="Fira Sans"/>
              </a:defRPr>
            </a:pPr>
            <a:endParaRPr lang="pl-PL"/>
          </a:p>
        </c:txPr>
      </c:legendEntry>
      <c:layout>
        <c:manualLayout>
          <c:xMode val="edge"/>
          <c:yMode val="edge"/>
          <c:x val="0.37219683301176765"/>
          <c:y val="0.91894931421510073"/>
          <c:w val="0.27947882011437325"/>
          <c:h val="5.4055986192387384E-2"/>
        </c:manualLayout>
      </c:layout>
      <c:overlay val="0"/>
      <c:spPr>
        <a:ln>
          <a:noFill/>
        </a:ln>
      </c:spPr>
      <c:txPr>
        <a:bodyPr/>
        <a:lstStyle/>
        <a:p>
          <a:pPr>
            <a:defRPr sz="735"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404E-2"/>
          <c:w val="0.93405088143509662"/>
          <c:h val="0.64368234607544372"/>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wykres_komunikat!$A$17:$B$59</c:f>
              <c:multiLvlStrCache>
                <c:ptCount val="43"/>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lvl>
                <c:lvl>
                  <c:pt idx="0">
                    <c:v>2017</c:v>
                  </c:pt>
                  <c:pt idx="12">
                    <c:v>2018</c:v>
                  </c:pt>
                  <c:pt idx="24">
                    <c:v>2019</c:v>
                  </c:pt>
                  <c:pt idx="36">
                    <c:v>2020</c:v>
                  </c:pt>
                </c:lvl>
              </c:multiLvlStrCache>
            </c:multiLvlStrRef>
          </c:cat>
          <c:val>
            <c:numRef>
              <c:f>wykres_komunikat!$C$17:$C$59</c:f>
              <c:numCache>
                <c:formatCode>0.0</c:formatCode>
                <c:ptCount val="43"/>
                <c:pt idx="0">
                  <c:v>130.49029622063341</c:v>
                </c:pt>
                <c:pt idx="1">
                  <c:v>126.31702838849395</c:v>
                </c:pt>
                <c:pt idx="2">
                  <c:v>127.7576254613129</c:v>
                </c:pt>
                <c:pt idx="3">
                  <c:v>122.92704921923209</c:v>
                </c:pt>
                <c:pt idx="4">
                  <c:v>124.5337596102611</c:v>
                </c:pt>
                <c:pt idx="5">
                  <c:v>122.38689303692584</c:v>
                </c:pt>
                <c:pt idx="6">
                  <c:v>124.42096497163379</c:v>
                </c:pt>
                <c:pt idx="7">
                  <c:v>124.93215392825918</c:v>
                </c:pt>
                <c:pt idx="8">
                  <c:v>122.6021651814351</c:v>
                </c:pt>
                <c:pt idx="9">
                  <c:v>121.79524661209328</c:v>
                </c:pt>
                <c:pt idx="10">
                  <c:v>122.87129322013047</c:v>
                </c:pt>
                <c:pt idx="11">
                  <c:v>120.73711504221083</c:v>
                </c:pt>
                <c:pt idx="12">
                  <c:v>127.72386789240718</c:v>
                </c:pt>
                <c:pt idx="13">
                  <c:v>140.88790546584434</c:v>
                </c:pt>
                <c:pt idx="14">
                  <c:v>140.78793805002687</c:v>
                </c:pt>
                <c:pt idx="15">
                  <c:v>138.81769424272628</c:v>
                </c:pt>
                <c:pt idx="16">
                  <c:v>134.10025119890381</c:v>
                </c:pt>
                <c:pt idx="17">
                  <c:v>129.42188037394865</c:v>
                </c:pt>
                <c:pt idx="18">
                  <c:v>129.3694373601208</c:v>
                </c:pt>
                <c:pt idx="19">
                  <c:v>131.53394574585252</c:v>
                </c:pt>
                <c:pt idx="20">
                  <c:v>128.04768530854324</c:v>
                </c:pt>
                <c:pt idx="21">
                  <c:v>127.79717273165028</c:v>
                </c:pt>
                <c:pt idx="22">
                  <c:v>126.96336286452565</c:v>
                </c:pt>
                <c:pt idx="23">
                  <c:v>125.28721625335959</c:v>
                </c:pt>
                <c:pt idx="24">
                  <c:v>148.15287708546143</c:v>
                </c:pt>
                <c:pt idx="25">
                  <c:v>152.65759615837297</c:v>
                </c:pt>
                <c:pt idx="26">
                  <c:v>149.566287102167</c:v>
                </c:pt>
                <c:pt idx="27">
                  <c:v>154.46865062413966</c:v>
                </c:pt>
                <c:pt idx="28">
                  <c:v>152.36355332267638</c:v>
                </c:pt>
                <c:pt idx="29">
                  <c:v>147.69721414501458</c:v>
                </c:pt>
                <c:pt idx="30">
                  <c:v>144.93311820121792</c:v>
                </c:pt>
                <c:pt idx="31">
                  <c:v>146.15917426504811</c:v>
                </c:pt>
                <c:pt idx="32">
                  <c:v>143.80199544068458</c:v>
                </c:pt>
                <c:pt idx="33">
                  <c:v>143.00405860906645</c:v>
                </c:pt>
                <c:pt idx="34">
                  <c:v>142.5418358557894</c:v>
                </c:pt>
                <c:pt idx="35">
                  <c:v>140.42623772095516</c:v>
                </c:pt>
                <c:pt idx="36">
                  <c:v>157.61831801157643</c:v>
                </c:pt>
                <c:pt idx="37">
                  <c:v>160.27493997457742</c:v>
                </c:pt>
                <c:pt idx="38">
                  <c:v>156.52777339683942</c:v>
                </c:pt>
                <c:pt idx="39">
                  <c:v>150.32986852722007</c:v>
                </c:pt>
                <c:pt idx="40">
                  <c:v>151.92205221892371</c:v>
                </c:pt>
                <c:pt idx="41">
                  <c:v>151.66182034205676</c:v>
                </c:pt>
                <c:pt idx="42">
                  <c:v>154.5555092905845</c:v>
                </c:pt>
              </c:numCache>
            </c:numRef>
          </c:val>
          <c:smooth val="0"/>
          <c:extLst xmlns:c16r2="http://schemas.microsoft.com/office/drawing/2015/06/chart">
            <c:ext xmlns:c16="http://schemas.microsoft.com/office/drawing/2014/chart" uri="{C3380CC4-5D6E-409C-BE32-E72D297353CC}">
              <c16:uniqueId val="{00000000-97BB-4B07-866D-1D8BBA95DE51}"/>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wykres_komunikat!$A$17:$B$59</c:f>
              <c:multiLvlStrCache>
                <c:ptCount val="43"/>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lvl>
                <c:lvl>
                  <c:pt idx="0">
                    <c:v>2017</c:v>
                  </c:pt>
                  <c:pt idx="12">
                    <c:v>2018</c:v>
                  </c:pt>
                  <c:pt idx="24">
                    <c:v>2019</c:v>
                  </c:pt>
                  <c:pt idx="36">
                    <c:v>2020</c:v>
                  </c:pt>
                </c:lvl>
              </c:multiLvlStrCache>
            </c:multiLvlStrRef>
          </c:cat>
          <c:val>
            <c:numRef>
              <c:f>wykres_komunikat!$D$17:$D$59</c:f>
              <c:numCache>
                <c:formatCode>0.0</c:formatCode>
                <c:ptCount val="43"/>
                <c:pt idx="0">
                  <c:v>198.77300613496928</c:v>
                </c:pt>
                <c:pt idx="1">
                  <c:v>139.72972972972966</c:v>
                </c:pt>
                <c:pt idx="2">
                  <c:v>112.09800918836142</c:v>
                </c:pt>
                <c:pt idx="3">
                  <c:v>104.47247706422016</c:v>
                </c:pt>
                <c:pt idx="4">
                  <c:v>114.04741000877962</c:v>
                </c:pt>
                <c:pt idx="5">
                  <c:v>105.25252525252525</c:v>
                </c:pt>
                <c:pt idx="6">
                  <c:v>105</c:v>
                </c:pt>
                <c:pt idx="7">
                  <c:v>110.90047393364928</c:v>
                </c:pt>
                <c:pt idx="8">
                  <c:v>112.55453223460975</c:v>
                </c:pt>
                <c:pt idx="9">
                  <c:v>102.78338039532068</c:v>
                </c:pt>
                <c:pt idx="10">
                  <c:v>97.168141592920307</c:v>
                </c:pt>
                <c:pt idx="11">
                  <c:v>92.431798181284819</c:v>
                </c:pt>
                <c:pt idx="12">
                  <c:v>223.31288343558282</c:v>
                </c:pt>
                <c:pt idx="13">
                  <c:v>190.54054054054055</c:v>
                </c:pt>
                <c:pt idx="14">
                  <c:v>159.57120980091884</c:v>
                </c:pt>
                <c:pt idx="15">
                  <c:v>142.08715596330268</c:v>
                </c:pt>
                <c:pt idx="16">
                  <c:v>127.04126426690084</c:v>
                </c:pt>
                <c:pt idx="17">
                  <c:v>115.55555555555551</c:v>
                </c:pt>
                <c:pt idx="18">
                  <c:v>120.29411764705884</c:v>
                </c:pt>
                <c:pt idx="19">
                  <c:v>117.32490784623482</c:v>
                </c:pt>
                <c:pt idx="20">
                  <c:v>126.46631119728551</c:v>
                </c:pt>
                <c:pt idx="21">
                  <c:v>112.50504235578856</c:v>
                </c:pt>
                <c:pt idx="22">
                  <c:v>105.20353982300885</c:v>
                </c:pt>
                <c:pt idx="23">
                  <c:v>95.541214432384862</c:v>
                </c:pt>
                <c:pt idx="24">
                  <c:v>220.24539877300612</c:v>
                </c:pt>
                <c:pt idx="25">
                  <c:v>188.37837837837841</c:v>
                </c:pt>
                <c:pt idx="26">
                  <c:v>137.05972434915768</c:v>
                </c:pt>
                <c:pt idx="27">
                  <c:v>130.50458715596329</c:v>
                </c:pt>
                <c:pt idx="28">
                  <c:v>128.00702370500437</c:v>
                </c:pt>
                <c:pt idx="29">
                  <c:v>115.69023569023571</c:v>
                </c:pt>
                <c:pt idx="30">
                  <c:v>123.05882352941175</c:v>
                </c:pt>
                <c:pt idx="31">
                  <c:v>126.2243285939968</c:v>
                </c:pt>
                <c:pt idx="32">
                  <c:v>130.44110518662143</c:v>
                </c:pt>
                <c:pt idx="33">
                  <c:v>123.84025816861637</c:v>
                </c:pt>
                <c:pt idx="34">
                  <c:v>116.84955752212386</c:v>
                </c:pt>
                <c:pt idx="35">
                  <c:v>114.05104136110296</c:v>
                </c:pt>
                <c:pt idx="36">
                  <c:v>269.93865030674846</c:v>
                </c:pt>
                <c:pt idx="37">
                  <c:v>171.8918918918919</c:v>
                </c:pt>
                <c:pt idx="38">
                  <c:v>123.12404287901987</c:v>
                </c:pt>
                <c:pt idx="39">
                  <c:v>126.72018348623855</c:v>
                </c:pt>
                <c:pt idx="40">
                  <c:v>122.82704126426691</c:v>
                </c:pt>
                <c:pt idx="41">
                  <c:v>134.41077441077439</c:v>
                </c:pt>
                <c:pt idx="42">
                  <c:v>148.11764705882359</c:v>
                </c:pt>
              </c:numCache>
            </c:numRef>
          </c:val>
          <c:smooth val="0"/>
          <c:extLst xmlns:c16r2="http://schemas.microsoft.com/office/drawing/2015/06/chart">
            <c:ext xmlns:c16="http://schemas.microsoft.com/office/drawing/2014/chart" uri="{C3380CC4-5D6E-409C-BE32-E72D297353CC}">
              <c16:uniqueId val="{00000001-97BB-4B07-866D-1D8BBA95DE51}"/>
            </c:ext>
          </c:extLst>
        </c:ser>
        <c:dLbls>
          <c:showLegendKey val="0"/>
          <c:showVal val="0"/>
          <c:showCatName val="0"/>
          <c:showSerName val="0"/>
          <c:showPercent val="0"/>
          <c:showBubbleSize val="0"/>
        </c:dLbls>
        <c:smooth val="0"/>
        <c:axId val="1990333840"/>
        <c:axId val="1990333296"/>
      </c:lineChart>
      <c:catAx>
        <c:axId val="1990333840"/>
        <c:scaling>
          <c:orientation val="minMax"/>
        </c:scaling>
        <c:delete val="0"/>
        <c:axPos val="b"/>
        <c:numFmt formatCode="#,##0.00" sourceLinked="0"/>
        <c:majorTickMark val="out"/>
        <c:minorTickMark val="none"/>
        <c:tickLblPos val="nextTo"/>
        <c:spPr>
          <a:ln w="9525">
            <a:solidFill>
              <a:sysClr val="windowText" lastClr="000000"/>
            </a:solidFill>
          </a:ln>
        </c:spPr>
        <c:txPr>
          <a:bodyPr rot="-5400000" vert="horz"/>
          <a:lstStyle/>
          <a:p>
            <a:pPr>
              <a:defRPr/>
            </a:pPr>
            <a:endParaRPr lang="pl-PL"/>
          </a:p>
        </c:txPr>
        <c:crossAx val="1990333296"/>
        <c:crosses val="autoZero"/>
        <c:auto val="1"/>
        <c:lblAlgn val="ctr"/>
        <c:lblOffset val="100"/>
        <c:noMultiLvlLbl val="0"/>
      </c:catAx>
      <c:valAx>
        <c:axId val="1990333296"/>
        <c:scaling>
          <c:orientation val="minMax"/>
          <c:max val="280"/>
          <c:min val="8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crossAx val="1990333840"/>
        <c:crosses val="autoZero"/>
        <c:crossBetween val="between"/>
        <c:majorUnit val="20"/>
      </c:valAx>
      <c:spPr>
        <a:noFill/>
      </c:spPr>
    </c:plotArea>
    <c:legend>
      <c:legendPos val="b"/>
      <c:layout>
        <c:manualLayout>
          <c:xMode val="edge"/>
          <c:yMode val="edge"/>
          <c:x val="0.36715359839265943"/>
          <c:y val="0.93583190815108075"/>
          <c:w val="0.28182722530054644"/>
          <c:h val="6.027110098079845E-2"/>
        </c:manualLayout>
      </c:layout>
      <c:overlay val="0"/>
      <c:spPr>
        <a:ln>
          <a:noFill/>
        </a:ln>
      </c:sp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0.00072</cdr:y>
    </cdr:from>
    <cdr:to>
      <cdr:x>0</cdr:x>
      <cdr:y>0.00072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0.00072</cdr:y>
    </cdr:from>
    <cdr:to>
      <cdr:x>0</cdr:x>
      <cdr:y>0.00072</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0.41053</cdr:x>
      <cdr:y>0.85995</cdr:y>
    </cdr:from>
    <cdr:to>
      <cdr:x>0.442</cdr:x>
      <cdr:y>0.91324</cdr:y>
    </cdr:to>
    <cdr:sp macro="" textlink="">
      <cdr:nvSpPr>
        <cdr:cNvPr id="8" name="pole tekstowe 7"/>
        <cdr:cNvSpPr txBox="1"/>
      </cdr:nvSpPr>
      <cdr:spPr>
        <a:xfrm xmlns:a="http://schemas.openxmlformats.org/drawingml/2006/main">
          <a:off x="2382682" y="2432231"/>
          <a:ext cx="182649" cy="15072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0.41219</cdr:x>
      <cdr:y>0.00426</cdr:y>
    </cdr:from>
    <cdr:to>
      <cdr:x>0.43789</cdr:x>
      <cdr:y>0.06501</cdr:y>
    </cdr:to>
    <cdr:sp macro="" textlink="">
      <cdr:nvSpPr>
        <cdr:cNvPr id="9" name="pole tekstowe 1"/>
        <cdr:cNvSpPr txBox="1"/>
      </cdr:nvSpPr>
      <cdr:spPr bwMode="auto">
        <a:xfrm xmlns:a="http://schemas.openxmlformats.org/drawingml/2006/main">
          <a:off x="2392288" y="12047"/>
          <a:ext cx="149160" cy="17182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0.25886</cdr:x>
      <cdr:y>0.29949</cdr:y>
    </cdr:from>
    <cdr:to>
      <cdr:x>0.28859</cdr:x>
      <cdr:y>0.35082</cdr:y>
    </cdr:to>
    <cdr:sp macro="" textlink="">
      <cdr:nvSpPr>
        <cdr:cNvPr id="10" name="pole tekstowe 1"/>
        <cdr:cNvSpPr txBox="1"/>
      </cdr:nvSpPr>
      <cdr:spPr bwMode="auto">
        <a:xfrm xmlns:a="http://schemas.openxmlformats.org/drawingml/2006/main">
          <a:off x="1502417" y="847051"/>
          <a:ext cx="172550" cy="14518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0.41352</cdr:x>
      <cdr:y>0.44242</cdr:y>
    </cdr:from>
    <cdr:to>
      <cdr:x>0.43212</cdr:x>
      <cdr:y>0.50889</cdr:y>
    </cdr:to>
    <cdr:sp macro="" textlink="">
      <cdr:nvSpPr>
        <cdr:cNvPr id="30" name="pole tekstowe 1"/>
        <cdr:cNvSpPr txBox="1"/>
      </cdr:nvSpPr>
      <cdr:spPr bwMode="auto">
        <a:xfrm xmlns:a="http://schemas.openxmlformats.org/drawingml/2006/main">
          <a:off x="2400017" y="1251331"/>
          <a:ext cx="107953" cy="1880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0.41053</cdr:x>
      <cdr:y>0.68994</cdr:y>
    </cdr:from>
    <cdr:to>
      <cdr:x>0.42913</cdr:x>
      <cdr:y>0.75641</cdr:y>
    </cdr:to>
    <cdr:sp macro="" textlink="">
      <cdr:nvSpPr>
        <cdr:cNvPr id="31" name="pole tekstowe 1"/>
        <cdr:cNvSpPr txBox="1"/>
      </cdr:nvSpPr>
      <cdr:spPr bwMode="auto">
        <a:xfrm xmlns:a="http://schemas.openxmlformats.org/drawingml/2006/main">
          <a:off x="2382674" y="1951401"/>
          <a:ext cx="107953" cy="1880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0.40939</cdr:x>
      <cdr:y>0.78655</cdr:y>
    </cdr:from>
    <cdr:to>
      <cdr:x>0.43248</cdr:x>
      <cdr:y>0.85228</cdr:y>
    </cdr:to>
    <cdr:sp macro="" textlink="">
      <cdr:nvSpPr>
        <cdr:cNvPr id="32" name="pole tekstowe 1"/>
        <cdr:cNvSpPr txBox="1"/>
      </cdr:nvSpPr>
      <cdr:spPr bwMode="auto">
        <a:xfrm xmlns:a="http://schemas.openxmlformats.org/drawingml/2006/main">
          <a:off x="2376058" y="2224649"/>
          <a:ext cx="134012" cy="1859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0.97991</cdr:x>
      <cdr:y>0.86224</cdr:y>
    </cdr:from>
    <cdr:to>
      <cdr:x>0.99682</cdr:x>
      <cdr:y>0.92244</cdr:y>
    </cdr:to>
    <cdr:sp macro="" textlink="">
      <cdr:nvSpPr>
        <cdr:cNvPr id="22" name="pole tekstowe 1"/>
        <cdr:cNvSpPr txBox="1"/>
      </cdr:nvSpPr>
      <cdr:spPr>
        <a:xfrm xmlns:a="http://schemas.openxmlformats.org/drawingml/2006/main">
          <a:off x="5687291" y="2438707"/>
          <a:ext cx="98144" cy="1702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0.97211</cdr:x>
      <cdr:y>0.42045</cdr:y>
    </cdr:from>
    <cdr:to>
      <cdr:x>0.98002</cdr:x>
      <cdr:y>0.44037</cdr:y>
    </cdr:to>
    <cdr:sp macro="" textlink="">
      <cdr:nvSpPr>
        <cdr:cNvPr id="2" name="Elipsa 1"/>
        <cdr:cNvSpPr/>
      </cdr:nvSpPr>
      <cdr:spPr>
        <a:xfrm xmlns:a="http://schemas.openxmlformats.org/drawingml/2006/main">
          <a:off x="6638956" y="1139603"/>
          <a:ext cx="54000" cy="54000"/>
        </a:xfrm>
        <a:prstGeom xmlns:a="http://schemas.openxmlformats.org/drawingml/2006/main" prst="ellipse">
          <a:avLst/>
        </a:prstGeom>
        <a:solidFill xmlns:a="http://schemas.openxmlformats.org/drawingml/2006/main">
          <a:srgbClr val="D3B5E9"/>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3.xml><?xml version="1.0" encoding="utf-8"?>
<c:userShapes xmlns:c="http://schemas.openxmlformats.org/drawingml/2006/chart">
  <cdr:relSizeAnchor xmlns:cdr="http://schemas.openxmlformats.org/drawingml/2006/chartDrawing">
    <cdr:from>
      <cdr:x>0.97029</cdr:x>
      <cdr:y>0.2878</cdr:y>
    </cdr:from>
    <cdr:to>
      <cdr:x>0.97833</cdr:x>
      <cdr:y>0.30728</cdr:y>
    </cdr:to>
    <cdr:sp macro="" textlink="">
      <cdr:nvSpPr>
        <cdr:cNvPr id="2" name="Elipsa 1"/>
        <cdr:cNvSpPr/>
      </cdr:nvSpPr>
      <cdr:spPr>
        <a:xfrm xmlns:a="http://schemas.openxmlformats.org/drawingml/2006/main">
          <a:off x="6533905" y="793202"/>
          <a:ext cx="54145" cy="53671"/>
        </a:xfrm>
        <a:prstGeom xmlns:a="http://schemas.openxmlformats.org/drawingml/2006/main" prst="ellipse">
          <a:avLst/>
        </a:prstGeom>
        <a:solidFill xmlns:a="http://schemas.openxmlformats.org/drawingml/2006/main">
          <a:srgbClr val="7030A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0.9703</cdr:x>
      <cdr:y>0.31604</cdr:y>
    </cdr:from>
    <cdr:to>
      <cdr:x>0.97834</cdr:x>
      <cdr:y>0.33552</cdr:y>
    </cdr:to>
    <cdr:sp macro="" textlink="">
      <cdr:nvSpPr>
        <cdr:cNvPr id="3" name="Elipsa 2"/>
        <cdr:cNvSpPr/>
      </cdr:nvSpPr>
      <cdr:spPr>
        <a:xfrm xmlns:a="http://schemas.openxmlformats.org/drawingml/2006/main">
          <a:off x="6533984" y="871032"/>
          <a:ext cx="54145" cy="53671"/>
        </a:xfrm>
        <a:prstGeom xmlns:a="http://schemas.openxmlformats.org/drawingml/2006/main" prst="ellipse">
          <a:avLst/>
        </a:prstGeom>
        <a:solidFill xmlns:a="http://schemas.openxmlformats.org/drawingml/2006/main">
          <a:srgbClr val="7F7F7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userShapes>
</file>

<file path=word/drawings/drawing4.xml><?xml version="1.0" encoding="utf-8"?>
<c:userShapes xmlns:c="http://schemas.openxmlformats.org/drawingml/2006/chart">
  <cdr:relSizeAnchor xmlns:cdr="http://schemas.openxmlformats.org/drawingml/2006/chartDrawing">
    <cdr:from>
      <cdr:x>0.7202</cdr:x>
      <cdr:y>0.3937</cdr:y>
    </cdr:from>
    <cdr:to>
      <cdr:x>0.82841</cdr:x>
      <cdr:y>0.45093</cdr:y>
    </cdr:to>
    <cdr:sp macro="" textlink="">
      <cdr:nvSpPr>
        <cdr:cNvPr id="3" name="pole tekstowe 2"/>
        <cdr:cNvSpPr txBox="1"/>
      </cdr:nvSpPr>
      <cdr:spPr>
        <a:xfrm xmlns:a="http://schemas.openxmlformats.org/drawingml/2006/main">
          <a:off x="3718069" y="1574997"/>
          <a:ext cx="558656" cy="2289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pl-PL" sz="800">
              <a:latin typeface="Fira Sans" panose="020B0503050000020004" pitchFamily="34" charset="0"/>
              <a:cs typeface="Arial" pitchFamily="34" charset="0"/>
            </a:rPr>
            <a:t>w tym:</a:t>
          </a:r>
        </a:p>
      </cdr:txBody>
    </cdr:sp>
  </cdr:relSizeAnchor>
  <cdr:relSizeAnchor xmlns:cdr="http://schemas.openxmlformats.org/drawingml/2006/chartDrawing">
    <cdr:from>
      <cdr:x>0.02585</cdr:x>
      <cdr:y>0.01874</cdr:y>
    </cdr:from>
    <cdr:to>
      <cdr:x>0.06335</cdr:x>
      <cdr:y>0.07739</cdr:y>
    </cdr:to>
    <cdr:sp macro="" textlink="">
      <cdr:nvSpPr>
        <cdr:cNvPr id="4" name="pole tekstowe 3"/>
        <cdr:cNvSpPr txBox="1"/>
      </cdr:nvSpPr>
      <cdr:spPr>
        <a:xfrm xmlns:a="http://schemas.openxmlformats.org/drawingml/2006/main">
          <a:off x="171144" y="54071"/>
          <a:ext cx="248246" cy="1692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i="1">
              <a:latin typeface="Fira Sans" panose="020B0503050000020004" pitchFamily="34"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rPr>
            <a:t>%</a:t>
          </a:r>
        </a:p>
      </cdr:txBody>
    </cdr:sp>
  </cdr:relSizeAnchor>
</c:userShapes>
</file>

<file path=word/drawings/drawing8.xml><?xml version="1.0" encoding="utf-8"?>
<c:userShapes xmlns:c="http://schemas.openxmlformats.org/drawingml/2006/chart">
  <cdr:relSizeAnchor xmlns:cdr="http://schemas.openxmlformats.org/drawingml/2006/chartDrawing">
    <cdr:from>
      <cdr:x>0.09167</cdr:x>
      <cdr:y>0.00694</cdr:y>
    </cdr:from>
    <cdr:to>
      <cdr:x>0.31042</cdr:x>
      <cdr:y>0.125</cdr:y>
    </cdr:to>
    <cdr:sp macro="" textlink="">
      <cdr:nvSpPr>
        <cdr:cNvPr id="2" name="pole tekstowe 1"/>
        <cdr:cNvSpPr txBox="1"/>
      </cdr:nvSpPr>
      <cdr:spPr>
        <a:xfrm xmlns:a="http://schemas.openxmlformats.org/drawingml/2006/main">
          <a:off x="419100" y="19050"/>
          <a:ext cx="100012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9F9CB8D-D8A5-4813-AE3F-D5BA8CC2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9678</Words>
  <Characters>58073</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Rusak Ireneusz</cp:lastModifiedBy>
  <cp:revision>4</cp:revision>
  <cp:lastPrinted>2020-08-28T09:29:00Z</cp:lastPrinted>
  <dcterms:created xsi:type="dcterms:W3CDTF">2020-08-28T10:48:00Z</dcterms:created>
  <dcterms:modified xsi:type="dcterms:W3CDTF">2020-08-28T11:02:00Z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