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8F24E9" w14:textId="0A81299C" w:rsidR="00393761" w:rsidRPr="005E63D5" w:rsidRDefault="005E63D5" w:rsidP="00F049AB">
      <w:pPr>
        <w:pStyle w:val="Tytuinfomacjisygnalnej"/>
        <w:rPr>
          <w:lang w:val="en-US"/>
        </w:rPr>
      </w:pPr>
      <w:r w:rsidRPr="005E63D5">
        <w:rPr>
          <w:lang w:val="en-US"/>
        </w:rPr>
        <w:t xml:space="preserve">Price indices of construction and assembly production in </w:t>
      </w:r>
      <w:r w:rsidR="008E0088">
        <w:rPr>
          <w:lang w:val="en-US"/>
        </w:rPr>
        <w:t>November</w:t>
      </w:r>
      <w:r w:rsidR="002E61A5">
        <w:rPr>
          <w:lang w:val="en-US"/>
        </w:rPr>
        <w:t xml:space="preserve"> 2025</w:t>
      </w:r>
      <w:r w:rsidR="00F55197">
        <w:rPr>
          <w:rStyle w:val="Odwoanieprzypisudolnego"/>
          <w:lang w:val="en-US"/>
        </w:rPr>
        <w:footnoteReference w:id="1"/>
      </w:r>
    </w:p>
    <w:p w14:paraId="6887D52F" w14:textId="58BBC3E2" w:rsidR="00DE58F1" w:rsidRDefault="00D82FEA" w:rsidP="00F049AB">
      <w:pPr>
        <w:pStyle w:val="Lead"/>
        <w:rPr>
          <w:rFonts w:eastAsia="Times New Roman" w:cs="Times New Roman"/>
          <w:bCs/>
          <w:noProof w:val="0"/>
          <w:lang w:val="en-US" w:eastAsia="en-US"/>
        </w:rPr>
      </w:pPr>
      <w:r w:rsidRPr="00587CEE">
        <w:rPr>
          <w:color w:val="001D77"/>
        </w:rPr>
        <mc:AlternateContent>
          <mc:Choice Requires="wps">
            <w:drawing>
              <wp:anchor distT="45720" distB="45720" distL="114300" distR="114300" simplePos="0" relativeHeight="251657216" behindDoc="0" locked="0" layoutInCell="1" allowOverlap="1" wp14:anchorId="3280EC5A" wp14:editId="45E5005C">
                <wp:simplePos x="0" y="0"/>
                <wp:positionH relativeFrom="margin">
                  <wp:align>left</wp:align>
                </wp:positionH>
                <wp:positionV relativeFrom="paragraph">
                  <wp:posOffset>8255</wp:posOffset>
                </wp:positionV>
                <wp:extent cx="2204085" cy="1224915"/>
                <wp:effectExtent l="0" t="0" r="5715" b="0"/>
                <wp:wrapSquare wrapText="bothSides"/>
                <wp:docPr id="6" name="Pole tekstowe 2" descr="3.1% - the growth of producer prices in construction in comparison with November 2024&#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224915"/>
                        </a:xfrm>
                        <a:prstGeom prst="roundRect">
                          <a:avLst/>
                        </a:prstGeom>
                        <a:solidFill>
                          <a:srgbClr val="001D77"/>
                        </a:solidFill>
                        <a:ln w="9525">
                          <a:noFill/>
                          <a:miter lim="800000"/>
                          <a:headEnd/>
                          <a:tailEnd/>
                        </a:ln>
                      </wps:spPr>
                      <wps:txbx>
                        <w:txbxContent>
                          <w:p w14:paraId="107C994E" w14:textId="2BF4C25C" w:rsidR="00D82FEA" w:rsidRPr="005E63D5" w:rsidRDefault="00F84069" w:rsidP="00D82FEA">
                            <w:pPr>
                              <w:autoSpaceDE w:val="0"/>
                              <w:autoSpaceDN w:val="0"/>
                              <w:adjustRightInd w:val="0"/>
                              <w:spacing w:before="0" w:after="0" w:line="240" w:lineRule="auto"/>
                              <w:rPr>
                                <w:rFonts w:ascii="Fira Sans SemiBold" w:hAnsi="Fira Sans SemiBold"/>
                                <w:color w:val="FFFFFF" w:themeColor="background1"/>
                                <w:sz w:val="72"/>
                                <w:szCs w:val="72"/>
                                <w:lang w:val="en-US"/>
                              </w:rPr>
                            </w:pPr>
                            <w:r w:rsidRPr="004B4292">
                              <w:rPr>
                                <w:rStyle w:val="IkonawskanikaZnak"/>
                                <w:sz w:val="76"/>
                                <w:szCs w:val="76"/>
                              </w:rPr>
                              <w:sym w:font="Wingdings" w:char="F0F1"/>
                            </w:r>
                            <w:r w:rsidR="008E0088">
                              <w:rPr>
                                <w:rStyle w:val="WartowskanikaZnak"/>
                                <w:sz w:val="72"/>
                                <w:szCs w:val="72"/>
                                <w:lang w:val="en-US"/>
                              </w:rPr>
                              <w:t>3.</w:t>
                            </w:r>
                            <w:r w:rsidR="00CB3612">
                              <w:rPr>
                                <w:rStyle w:val="WartowskanikaZnak"/>
                                <w:sz w:val="72"/>
                                <w:szCs w:val="72"/>
                                <w:lang w:val="en-US"/>
                              </w:rPr>
                              <w:t>1</w:t>
                            </w:r>
                            <w:r w:rsidRPr="005E63D5">
                              <w:rPr>
                                <w:rStyle w:val="WartowskanikaZnak"/>
                                <w:sz w:val="72"/>
                                <w:szCs w:val="72"/>
                                <w:lang w:val="en-US"/>
                              </w:rPr>
                              <w:t>%</w:t>
                            </w:r>
                          </w:p>
                          <w:p w14:paraId="17120E3E" w14:textId="7310EF1A" w:rsidR="00D82FEA" w:rsidRPr="005E63D5" w:rsidRDefault="005E63D5" w:rsidP="00D82FEA">
                            <w:pPr>
                              <w:pStyle w:val="Opiswskanika"/>
                              <w:rPr>
                                <w:sz w:val="18"/>
                                <w:szCs w:val="20"/>
                                <w:lang w:val="en-US"/>
                              </w:rPr>
                            </w:pPr>
                            <w:r w:rsidRPr="005E63D5">
                              <w:rPr>
                                <w:lang w:val="en-US"/>
                              </w:rPr>
                              <w:t xml:space="preserve">the growth of producer prices in construction in comparison with </w:t>
                            </w:r>
                            <w:r w:rsidR="008E0088">
                              <w:rPr>
                                <w:lang w:val="en-US"/>
                              </w:rPr>
                              <w:t>November</w:t>
                            </w:r>
                            <w:r w:rsidR="002E61A5">
                              <w:rPr>
                                <w:lang w:val="en-US"/>
                              </w:rPr>
                              <w:t xml:space="preserve"> 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3280EC5A" id="Pole tekstowe 2" o:spid="_x0000_s1026" alt="3.1% - the growth of producer prices in construction in comparison with November 2024&#10;" style="position:absolute;margin-left:0;margin-top:.65pt;width:173.55pt;height:96.45pt;z-index:2516572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" fillcolor="#001d77" stroked="f">
                <v:stroke joinstyle="miter"/>
                <v:textbox>
                  <w:txbxContent>
                    <w:p w14:paraId="107C994E" w14:textId="2BF4C25C" w:rsidR="00D82FEA" w:rsidRPr="005E63D5" w:rsidRDefault="00F84069" w:rsidP="00D82FEA">
                      <w:pPr>
                        <w:autoSpaceDE w:val="0"/>
                        <w:autoSpaceDN w:val="0"/>
                        <w:adjustRightInd w:val="0"/>
                        <w:spacing w:before="0" w:after="0" w:line="240" w:lineRule="auto"/>
                        <w:rPr>
                          <w:rFonts w:ascii="Fira Sans SemiBold" w:hAnsi="Fira Sans SemiBold"/>
                          <w:color w:val="FFFFFF" w:themeColor="background1"/>
                          <w:sz w:val="72"/>
                          <w:szCs w:val="72"/>
                          <w:lang w:val="en-US"/>
                        </w:rPr>
                      </w:pPr>
                      <w:r w:rsidRPr="004B4292">
                        <w:rPr>
                          <w:rStyle w:val="IkonawskanikaZnak"/>
                          <w:sz w:val="76"/>
                          <w:szCs w:val="76"/>
                        </w:rPr>
                        <w:sym w:font="Wingdings" w:char="F0F1"/>
                      </w:r>
                      <w:r w:rsidR="008E0088">
                        <w:rPr>
                          <w:rStyle w:val="WartowskanikaZnak"/>
                          <w:sz w:val="72"/>
                          <w:szCs w:val="72"/>
                          <w:lang w:val="en-US"/>
                        </w:rPr>
                        <w:t>3.</w:t>
                      </w:r>
                      <w:r w:rsidR="00CB3612">
                        <w:rPr>
                          <w:rStyle w:val="WartowskanikaZnak"/>
                          <w:sz w:val="72"/>
                          <w:szCs w:val="72"/>
                          <w:lang w:val="en-US"/>
                        </w:rPr>
                        <w:t>1</w:t>
                      </w:r>
                      <w:r w:rsidRPr="005E63D5">
                        <w:rPr>
                          <w:rStyle w:val="WartowskanikaZnak"/>
                          <w:sz w:val="72"/>
                          <w:szCs w:val="72"/>
                          <w:lang w:val="en-US"/>
                        </w:rPr>
                        <w:t>%</w:t>
                      </w:r>
                    </w:p>
                    <w:p w14:paraId="17120E3E" w14:textId="7310EF1A" w:rsidR="00D82FEA" w:rsidRPr="005E63D5" w:rsidRDefault="005E63D5" w:rsidP="00D82FEA">
                      <w:pPr>
                        <w:pStyle w:val="Opiswskanika"/>
                        <w:rPr>
                          <w:sz w:val="18"/>
                          <w:szCs w:val="20"/>
                          <w:lang w:val="en-US"/>
                        </w:rPr>
                      </w:pPr>
                      <w:r w:rsidRPr="005E63D5">
                        <w:rPr>
                          <w:lang w:val="en-US"/>
                        </w:rPr>
                        <w:t xml:space="preserve">the growth of producer prices in construction in comparison with </w:t>
                      </w:r>
                      <w:r w:rsidR="008E0088">
                        <w:rPr>
                          <w:lang w:val="en-US"/>
                        </w:rPr>
                        <w:t>November</w:t>
                      </w:r>
                      <w:r w:rsidR="002E61A5">
                        <w:rPr>
                          <w:lang w:val="en-US"/>
                        </w:rPr>
                        <w:t xml:space="preserve"> 2024</w:t>
                      </w:r>
                    </w:p>
                  </w:txbxContent>
                </v:textbox>
                <w10:wrap type="square" anchorx="margin"/>
              </v:roundrect>
            </w:pict>
          </mc:Fallback>
        </mc:AlternateContent>
      </w:r>
      <w:r w:rsidR="005E63D5" w:rsidRPr="005E63D5">
        <w:rPr>
          <w:lang w:val="en-US"/>
        </w:rPr>
        <w:t xml:space="preserve"> </w:t>
      </w:r>
      <w:r w:rsidR="005E63D5" w:rsidRPr="00533B8F">
        <w:rPr>
          <w:lang w:val="en-US"/>
        </w:rPr>
        <w:br/>
      </w:r>
      <w:r w:rsidR="005E63D5" w:rsidRPr="000A1421">
        <w:rPr>
          <w:rFonts w:eastAsia="Times New Roman" w:cs="Times New Roman"/>
          <w:bCs/>
          <w:noProof w:val="0"/>
          <w:lang w:val="en-US" w:eastAsia="en-US"/>
        </w:rPr>
        <w:t xml:space="preserve">According to preliminary </w:t>
      </w:r>
      <w:r w:rsidR="005E63D5" w:rsidRPr="00F62DC7">
        <w:rPr>
          <w:rFonts w:eastAsia="Times New Roman" w:cs="Times New Roman"/>
          <w:bCs/>
          <w:noProof w:val="0"/>
          <w:lang w:val="en-US" w:eastAsia="en-US"/>
        </w:rPr>
        <w:t>data</w:t>
      </w:r>
      <w:r w:rsidR="005E63D5" w:rsidRPr="004D6F7F">
        <w:rPr>
          <w:rFonts w:eastAsia="Times New Roman" w:cs="Times New Roman"/>
          <w:bCs/>
          <w:noProof w:val="0"/>
          <w:lang w:val="en-US" w:eastAsia="en-US"/>
        </w:rPr>
        <w:t xml:space="preserve">, </w:t>
      </w:r>
      <w:r w:rsidR="004C34C6">
        <w:rPr>
          <w:rFonts w:eastAsia="Times New Roman" w:cs="Times New Roman"/>
          <w:bCs/>
          <w:noProof w:val="0"/>
          <w:lang w:val="en-US" w:eastAsia="en-US"/>
        </w:rPr>
        <w:t xml:space="preserve">in </w:t>
      </w:r>
      <w:r w:rsidR="008E0088">
        <w:rPr>
          <w:rFonts w:eastAsia="Times New Roman" w:cs="Times New Roman"/>
          <w:bCs/>
          <w:noProof w:val="0"/>
          <w:lang w:val="en-US" w:eastAsia="en-US"/>
        </w:rPr>
        <w:t>November</w:t>
      </w:r>
      <w:r w:rsidR="00EF3AE8">
        <w:rPr>
          <w:rFonts w:eastAsia="Times New Roman" w:cs="Times New Roman"/>
          <w:bCs/>
          <w:noProof w:val="0"/>
          <w:lang w:val="en-US" w:eastAsia="en-US"/>
        </w:rPr>
        <w:t> </w:t>
      </w:r>
      <w:r w:rsidR="002E61A5">
        <w:rPr>
          <w:rFonts w:eastAsia="Times New Roman" w:cs="Times New Roman"/>
          <w:bCs/>
          <w:noProof w:val="0"/>
          <w:lang w:val="en-US" w:eastAsia="en-US"/>
        </w:rPr>
        <w:t>2025</w:t>
      </w:r>
      <w:r w:rsidR="005E63D5" w:rsidRPr="009565D5">
        <w:rPr>
          <w:rFonts w:eastAsia="Times New Roman" w:cs="Times New Roman"/>
          <w:bCs/>
          <w:noProof w:val="0"/>
          <w:lang w:val="en-US" w:eastAsia="en-US"/>
        </w:rPr>
        <w:t xml:space="preserve"> the</w:t>
      </w:r>
      <w:r w:rsidR="005E63D5">
        <w:rPr>
          <w:rFonts w:eastAsia="Times New Roman" w:cs="Times New Roman"/>
          <w:bCs/>
          <w:noProof w:val="0"/>
          <w:lang w:val="en-US" w:eastAsia="en-US"/>
        </w:rPr>
        <w:t> </w:t>
      </w:r>
      <w:r w:rsidR="005E63D5" w:rsidRPr="009565D5">
        <w:rPr>
          <w:rFonts w:eastAsia="Times New Roman" w:cs="Times New Roman"/>
          <w:bCs/>
          <w:noProof w:val="0"/>
          <w:lang w:val="en-US" w:eastAsia="en-US"/>
        </w:rPr>
        <w:t>prices of construction and assembly production</w:t>
      </w:r>
      <w:r w:rsidR="005E63D5">
        <w:rPr>
          <w:rFonts w:eastAsia="Times New Roman" w:cs="Times New Roman"/>
          <w:bCs/>
          <w:noProof w:val="0"/>
          <w:lang w:val="en-US" w:eastAsia="en-US"/>
        </w:rPr>
        <w:t xml:space="preserve"> </w:t>
      </w:r>
      <w:r w:rsidR="00242B37" w:rsidRPr="00242B37">
        <w:rPr>
          <w:rFonts w:eastAsia="Times New Roman" w:cs="Times New Roman"/>
          <w:bCs/>
          <w:noProof w:val="0"/>
          <w:lang w:val="en-US" w:eastAsia="en-US"/>
        </w:rPr>
        <w:t xml:space="preserve">increased </w:t>
      </w:r>
      <w:r w:rsidR="00F41261">
        <w:rPr>
          <w:rFonts w:eastAsia="Times New Roman" w:cs="Times New Roman"/>
          <w:bCs/>
          <w:noProof w:val="0"/>
          <w:lang w:val="en-US" w:eastAsia="en-US"/>
        </w:rPr>
        <w:t xml:space="preserve">both </w:t>
      </w:r>
      <w:r w:rsidR="00242B37" w:rsidRPr="00242B37">
        <w:rPr>
          <w:rFonts w:eastAsia="Times New Roman" w:cs="Times New Roman"/>
          <w:bCs/>
          <w:noProof w:val="0"/>
          <w:lang w:val="en-US" w:eastAsia="en-US"/>
        </w:rPr>
        <w:t xml:space="preserve">compared to </w:t>
      </w:r>
      <w:r w:rsidR="008E0088">
        <w:rPr>
          <w:rFonts w:eastAsia="Times New Roman" w:cs="Times New Roman"/>
          <w:bCs/>
          <w:noProof w:val="0"/>
          <w:lang w:val="en-US" w:eastAsia="en-US"/>
        </w:rPr>
        <w:t>November</w:t>
      </w:r>
      <w:r w:rsidR="00456C4A">
        <w:rPr>
          <w:rFonts w:eastAsia="Times New Roman" w:cs="Times New Roman"/>
          <w:bCs/>
          <w:noProof w:val="0"/>
          <w:lang w:val="en-US" w:eastAsia="en-US"/>
        </w:rPr>
        <w:t xml:space="preserve"> 2024</w:t>
      </w:r>
      <w:r w:rsidR="00242B37" w:rsidRPr="00242B37">
        <w:rPr>
          <w:rFonts w:eastAsia="Times New Roman" w:cs="Times New Roman"/>
          <w:bCs/>
          <w:noProof w:val="0"/>
          <w:lang w:val="en-US" w:eastAsia="en-US"/>
        </w:rPr>
        <w:t xml:space="preserve"> (by</w:t>
      </w:r>
      <w:r w:rsidR="00242B37">
        <w:rPr>
          <w:rFonts w:eastAsia="Times New Roman" w:cs="Times New Roman"/>
          <w:bCs/>
          <w:noProof w:val="0"/>
          <w:lang w:val="en-US" w:eastAsia="en-US"/>
        </w:rPr>
        <w:t> </w:t>
      </w:r>
      <w:r w:rsidR="008E0088">
        <w:rPr>
          <w:rFonts w:eastAsia="Times New Roman" w:cs="Times New Roman"/>
          <w:bCs/>
          <w:noProof w:val="0"/>
          <w:lang w:val="en-US" w:eastAsia="en-US"/>
        </w:rPr>
        <w:t>3.</w:t>
      </w:r>
      <w:r w:rsidR="00CB3612">
        <w:rPr>
          <w:rFonts w:eastAsia="Times New Roman" w:cs="Times New Roman"/>
          <w:bCs/>
          <w:noProof w:val="0"/>
          <w:lang w:val="en-US" w:eastAsia="en-US"/>
        </w:rPr>
        <w:t>1</w:t>
      </w:r>
      <w:r w:rsidR="00242B37" w:rsidRPr="00242B37">
        <w:rPr>
          <w:rFonts w:eastAsia="Times New Roman" w:cs="Times New Roman"/>
          <w:bCs/>
          <w:noProof w:val="0"/>
          <w:lang w:val="en-US" w:eastAsia="en-US"/>
        </w:rPr>
        <w:t>%)</w:t>
      </w:r>
      <w:r w:rsidR="00456C4A">
        <w:rPr>
          <w:rFonts w:eastAsia="Times New Roman" w:cs="Times New Roman"/>
          <w:bCs/>
          <w:noProof w:val="0"/>
          <w:lang w:val="en-US" w:eastAsia="en-US"/>
        </w:rPr>
        <w:t xml:space="preserve"> </w:t>
      </w:r>
      <w:r w:rsidR="00F41261">
        <w:rPr>
          <w:rFonts w:eastAsia="Times New Roman" w:cs="Times New Roman"/>
          <w:bCs/>
          <w:noProof w:val="0"/>
          <w:lang w:val="en-US" w:eastAsia="en-US"/>
        </w:rPr>
        <w:t>as well as to</w:t>
      </w:r>
      <w:r w:rsidR="00456C4A" w:rsidRPr="00456C4A">
        <w:rPr>
          <w:rFonts w:eastAsia="Times New Roman" w:cs="Times New Roman"/>
          <w:bCs/>
          <w:noProof w:val="0"/>
          <w:lang w:val="en-US" w:eastAsia="en-US"/>
        </w:rPr>
        <w:t xml:space="preserve"> the previous month</w:t>
      </w:r>
      <w:r w:rsidR="00F41261">
        <w:rPr>
          <w:rFonts w:eastAsia="Times New Roman" w:cs="Times New Roman"/>
          <w:bCs/>
          <w:noProof w:val="0"/>
          <w:lang w:val="en-US" w:eastAsia="en-US"/>
        </w:rPr>
        <w:t xml:space="preserve"> (by 0.</w:t>
      </w:r>
      <w:r w:rsidR="008E0088">
        <w:rPr>
          <w:rFonts w:eastAsia="Times New Roman" w:cs="Times New Roman"/>
          <w:bCs/>
          <w:noProof w:val="0"/>
          <w:lang w:val="en-US" w:eastAsia="en-US"/>
        </w:rPr>
        <w:t>3</w:t>
      </w:r>
      <w:r w:rsidR="00F41261">
        <w:rPr>
          <w:rFonts w:eastAsia="Times New Roman" w:cs="Times New Roman"/>
          <w:bCs/>
          <w:noProof w:val="0"/>
          <w:lang w:val="en-US" w:eastAsia="en-US"/>
        </w:rPr>
        <w:t>%).</w:t>
      </w:r>
    </w:p>
    <w:p w14:paraId="3E0A6469" w14:textId="77777777" w:rsidR="00456C4A" w:rsidRPr="005E63D5" w:rsidRDefault="00456C4A" w:rsidP="00F049AB">
      <w:pPr>
        <w:pStyle w:val="Lead"/>
        <w:rPr>
          <w:rFonts w:eastAsia="Times New Roman" w:cs="Times New Roman"/>
          <w:bCs/>
          <w:noProof w:val="0"/>
          <w:lang w:val="en-US"/>
        </w:rPr>
      </w:pPr>
    </w:p>
    <w:p w14:paraId="2FBADF0C" w14:textId="77777777" w:rsidR="00D331C8" w:rsidRDefault="00D331C8" w:rsidP="005E63D5">
      <w:pPr>
        <w:rPr>
          <w:shd w:val="clear" w:color="auto" w:fill="FFFFFF"/>
          <w:lang w:val="en-US"/>
        </w:rPr>
      </w:pPr>
    </w:p>
    <w:p w14:paraId="2F0B8D1A" w14:textId="52EEBA5F" w:rsidR="00647C0F" w:rsidRPr="00647C0F" w:rsidRDefault="00647C0F" w:rsidP="00647C0F">
      <w:pPr>
        <w:rPr>
          <w:lang w:val="en-US"/>
        </w:rPr>
      </w:pPr>
      <w:r w:rsidRPr="00647C0F">
        <w:rPr>
          <w:lang w:val="en-US"/>
        </w:rPr>
        <w:t xml:space="preserve">In </w:t>
      </w:r>
      <w:r w:rsidR="008E0088">
        <w:rPr>
          <w:lang w:val="en-US"/>
        </w:rPr>
        <w:t>November</w:t>
      </w:r>
      <w:r w:rsidR="00456C4A">
        <w:rPr>
          <w:lang w:val="en-US"/>
        </w:rPr>
        <w:t xml:space="preserve"> </w:t>
      </w:r>
      <w:r w:rsidRPr="00647C0F">
        <w:rPr>
          <w:lang w:val="en-US"/>
        </w:rPr>
        <w:t xml:space="preserve">2025, compared to the previous month, </w:t>
      </w:r>
      <w:r w:rsidR="00EF3AE8" w:rsidRPr="00647C0F">
        <w:rPr>
          <w:lang w:val="en-US"/>
        </w:rPr>
        <w:t xml:space="preserve">prices for building construction </w:t>
      </w:r>
      <w:r w:rsidR="00F41261" w:rsidRPr="00647C0F">
        <w:rPr>
          <w:lang w:val="en-US"/>
        </w:rPr>
        <w:t xml:space="preserve">and </w:t>
      </w:r>
      <w:r w:rsidR="008E0088" w:rsidRPr="00647C0F">
        <w:rPr>
          <w:lang w:val="en-US"/>
        </w:rPr>
        <w:t xml:space="preserve">specialized construction </w:t>
      </w:r>
      <w:r w:rsidR="008E0088">
        <w:rPr>
          <w:lang w:val="en-US"/>
        </w:rPr>
        <w:t xml:space="preserve">activities </w:t>
      </w:r>
      <w:r w:rsidR="00F41261">
        <w:rPr>
          <w:lang w:val="en-US"/>
        </w:rPr>
        <w:t>both (</w:t>
      </w:r>
      <w:r w:rsidR="00F41261" w:rsidRPr="00647C0F">
        <w:rPr>
          <w:lang w:val="en-US"/>
        </w:rPr>
        <w:t>by 0.</w:t>
      </w:r>
      <w:r w:rsidR="008E0088">
        <w:rPr>
          <w:lang w:val="en-US"/>
        </w:rPr>
        <w:t>4</w:t>
      </w:r>
      <w:r w:rsidR="00F41261" w:rsidRPr="00647C0F">
        <w:rPr>
          <w:lang w:val="en-US"/>
        </w:rPr>
        <w:t>%</w:t>
      </w:r>
      <w:r w:rsidR="00F41261">
        <w:rPr>
          <w:lang w:val="en-US"/>
        </w:rPr>
        <w:t>)</w:t>
      </w:r>
      <w:r w:rsidR="00F41261" w:rsidRPr="00647C0F">
        <w:rPr>
          <w:lang w:val="en-US"/>
        </w:rPr>
        <w:t xml:space="preserve">, </w:t>
      </w:r>
      <w:r w:rsidR="00F41261">
        <w:rPr>
          <w:lang w:val="en-US"/>
        </w:rPr>
        <w:t>and</w:t>
      </w:r>
      <w:r w:rsidR="00F41261" w:rsidRPr="00647C0F">
        <w:rPr>
          <w:lang w:val="en-US"/>
        </w:rPr>
        <w:t xml:space="preserve"> prices for </w:t>
      </w:r>
      <w:r w:rsidR="008E0088" w:rsidRPr="00647C0F">
        <w:rPr>
          <w:lang w:val="en-US"/>
        </w:rPr>
        <w:t xml:space="preserve">civil engineering increased </w:t>
      </w:r>
      <w:r w:rsidR="00F41261">
        <w:rPr>
          <w:lang w:val="en-US"/>
        </w:rPr>
        <w:t>(by 0.</w:t>
      </w:r>
      <w:r w:rsidR="008E0088">
        <w:rPr>
          <w:lang w:val="en-US"/>
        </w:rPr>
        <w:t>2</w:t>
      </w:r>
      <w:r w:rsidR="00F41261">
        <w:rPr>
          <w:lang w:val="en-US"/>
        </w:rPr>
        <w:t>%)</w:t>
      </w:r>
      <w:r w:rsidR="00456C4A">
        <w:rPr>
          <w:lang w:val="en-US"/>
        </w:rPr>
        <w:t>.</w:t>
      </w:r>
    </w:p>
    <w:p w14:paraId="6930EBB2" w14:textId="42B99934" w:rsidR="00647C0F" w:rsidRDefault="00647C0F" w:rsidP="00647C0F">
      <w:pPr>
        <w:rPr>
          <w:lang w:val="en-US"/>
        </w:rPr>
      </w:pPr>
      <w:r w:rsidRPr="00647C0F">
        <w:rPr>
          <w:lang w:val="en-US"/>
        </w:rPr>
        <w:t xml:space="preserve">Compared to </w:t>
      </w:r>
      <w:r w:rsidR="008E0088">
        <w:rPr>
          <w:lang w:val="en-US"/>
        </w:rPr>
        <w:t xml:space="preserve">November </w:t>
      </w:r>
      <w:r w:rsidRPr="00647C0F">
        <w:rPr>
          <w:lang w:val="en-US"/>
        </w:rPr>
        <w:t xml:space="preserve">2024, there was an increase in prices for </w:t>
      </w:r>
      <w:r w:rsidR="008E0088" w:rsidRPr="00647C0F">
        <w:rPr>
          <w:lang w:val="en-US"/>
        </w:rPr>
        <w:t xml:space="preserve">construction of buildings </w:t>
      </w:r>
      <w:r w:rsidR="008E0088">
        <w:rPr>
          <w:lang w:val="en-US"/>
        </w:rPr>
        <w:t xml:space="preserve">, and </w:t>
      </w:r>
      <w:r w:rsidR="008E0088" w:rsidRPr="00647C0F">
        <w:rPr>
          <w:lang w:val="en-US"/>
        </w:rPr>
        <w:t xml:space="preserve">the specialized construction </w:t>
      </w:r>
      <w:r w:rsidR="008E0088">
        <w:rPr>
          <w:lang w:val="en-US"/>
        </w:rPr>
        <w:t>activities</w:t>
      </w:r>
      <w:r w:rsidR="008E0088" w:rsidRPr="00647C0F">
        <w:rPr>
          <w:lang w:val="en-US"/>
        </w:rPr>
        <w:t xml:space="preserve"> </w:t>
      </w:r>
      <w:r w:rsidR="008E0088">
        <w:rPr>
          <w:lang w:val="en-US"/>
        </w:rPr>
        <w:t xml:space="preserve">both </w:t>
      </w:r>
      <w:r w:rsidR="008E0088" w:rsidRPr="00647C0F">
        <w:rPr>
          <w:lang w:val="en-US"/>
        </w:rPr>
        <w:t xml:space="preserve">(by </w:t>
      </w:r>
      <w:r w:rsidR="008E0088">
        <w:rPr>
          <w:lang w:val="en-US"/>
        </w:rPr>
        <w:t>3.2</w:t>
      </w:r>
      <w:r w:rsidR="008E0088" w:rsidRPr="00647C0F">
        <w:rPr>
          <w:lang w:val="en-US"/>
        </w:rPr>
        <w:t>%)</w:t>
      </w:r>
      <w:bookmarkStart w:id="0" w:name="_GoBack"/>
      <w:bookmarkEnd w:id="0"/>
      <w:r w:rsidR="008E0088">
        <w:rPr>
          <w:lang w:val="en-US"/>
        </w:rPr>
        <w:t xml:space="preserve"> as well as</w:t>
      </w:r>
      <w:r w:rsidR="008E0088" w:rsidRPr="00647C0F">
        <w:rPr>
          <w:lang w:val="en-US"/>
        </w:rPr>
        <w:t xml:space="preserve"> </w:t>
      </w:r>
      <w:r w:rsidRPr="00647C0F">
        <w:rPr>
          <w:lang w:val="en-US"/>
        </w:rPr>
        <w:t xml:space="preserve">the construction of civil engineering (by </w:t>
      </w:r>
      <w:r w:rsidR="00F41261">
        <w:rPr>
          <w:lang w:val="en-US"/>
        </w:rPr>
        <w:t>3.0</w:t>
      </w:r>
      <w:r w:rsidRPr="00647C0F">
        <w:rPr>
          <w:lang w:val="en-US"/>
        </w:rPr>
        <w:t>%)</w:t>
      </w:r>
      <w:r w:rsidR="008E0088">
        <w:rPr>
          <w:lang w:val="en-US"/>
        </w:rPr>
        <w:t>.</w:t>
      </w:r>
    </w:p>
    <w:p w14:paraId="14CEEFEC" w14:textId="77777777" w:rsidR="005E63D5" w:rsidRDefault="005E63D5" w:rsidP="0014671E">
      <w:pPr>
        <w:pStyle w:val="Tytutablicy"/>
        <w:spacing w:before="240" w:after="0"/>
        <w:ind w:left="709" w:hanging="709"/>
        <w:rPr>
          <w:shd w:val="clear" w:color="auto" w:fill="FFFFFF"/>
          <w:lang w:val="en-US"/>
        </w:rPr>
      </w:pPr>
      <w:r>
        <w:rPr>
          <w:shd w:val="clear" w:color="auto" w:fill="FFFFFF"/>
          <w:lang w:val="en-US"/>
        </w:rPr>
        <w:t>Tabl</w:t>
      </w:r>
      <w:r w:rsidRPr="00442A25">
        <w:rPr>
          <w:shd w:val="clear" w:color="auto" w:fill="FFFFFF"/>
          <w:lang w:val="en-US"/>
        </w:rPr>
        <w:t>e 1</w:t>
      </w:r>
      <w:r w:rsidRPr="000740AC">
        <w:rPr>
          <w:shd w:val="clear" w:color="auto" w:fill="FFFFFF"/>
          <w:lang w:val="en-US"/>
        </w:rPr>
        <w:t xml:space="preserve">. Price indices of construction and assembly </w:t>
      </w:r>
      <w:r w:rsidRPr="00080B2A">
        <w:rPr>
          <w:shd w:val="clear" w:color="auto" w:fill="FFFFFF"/>
          <w:lang w:val="en-US"/>
        </w:rPr>
        <w:t>production</w:t>
      </w:r>
    </w:p>
    <w:tbl>
      <w:tblPr>
        <w:tblStyle w:val="Tabela-Siatka"/>
        <w:tblpPr w:leftFromText="141" w:rightFromText="141" w:vertAnchor="text" w:horzAnchor="margin" w:tblpY="182"/>
        <w:tblW w:w="7631" w:type="dxa"/>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Price indices of construction and assembly production"/>
        <w:tblDescription w:val="Price indices of construction and assembly  production in various reference periods: October 2025 to September 2025, October 2025 to the corresponding period of the previous year, i.e. October 2024, November 2025 to the corresponding period of the previous year, i.e. November 2024, November 2025 to October 2025, November 2025 to December 2024, cumulatively January - November 2025 to January - November 2024.  "/>
      </w:tblPr>
      <w:tblGrid>
        <w:gridCol w:w="2187"/>
        <w:gridCol w:w="907"/>
        <w:gridCol w:w="907"/>
        <w:gridCol w:w="907"/>
        <w:gridCol w:w="907"/>
        <w:gridCol w:w="908"/>
        <w:gridCol w:w="908"/>
      </w:tblGrid>
      <w:tr w:rsidR="00EA5441" w:rsidRPr="007A5D6D" w14:paraId="1FA57D6E" w14:textId="77777777" w:rsidTr="00EA5441">
        <w:tc>
          <w:tcPr>
            <w:tcW w:w="2187" w:type="dxa"/>
            <w:vMerge w:val="restart"/>
            <w:tcBorders>
              <w:top w:val="single" w:sz="4" w:space="0" w:color="auto"/>
            </w:tcBorders>
            <w:vAlign w:val="center"/>
          </w:tcPr>
          <w:p w14:paraId="61D6E58F" w14:textId="77777777" w:rsidR="00EA5441" w:rsidRPr="007A5D6D" w:rsidRDefault="00EA5441" w:rsidP="00EA5441">
            <w:pPr>
              <w:jc w:val="center"/>
              <w:rPr>
                <w:sz w:val="16"/>
                <w:szCs w:val="16"/>
                <w:shd w:val="clear" w:color="auto" w:fill="FFFFFF"/>
              </w:rPr>
            </w:pPr>
            <w:r>
              <w:rPr>
                <w:rFonts w:cs="Arial"/>
                <w:color w:val="000000" w:themeColor="text1"/>
                <w:sz w:val="16"/>
                <w:szCs w:val="16"/>
              </w:rPr>
              <w:t>S</w:t>
            </w:r>
            <w:r w:rsidR="00B50CFF">
              <w:rPr>
                <w:rFonts w:cs="Arial"/>
                <w:color w:val="000000" w:themeColor="text1"/>
                <w:sz w:val="16"/>
                <w:szCs w:val="16"/>
              </w:rPr>
              <w:t>pecification</w:t>
            </w:r>
          </w:p>
        </w:tc>
        <w:tc>
          <w:tcPr>
            <w:tcW w:w="1814" w:type="dxa"/>
            <w:gridSpan w:val="2"/>
            <w:tcBorders>
              <w:top w:val="single" w:sz="4" w:space="0" w:color="auto"/>
              <w:bottom w:val="single" w:sz="4" w:space="0" w:color="001D77"/>
            </w:tcBorders>
            <w:vAlign w:val="center"/>
          </w:tcPr>
          <w:p w14:paraId="0C317AF7" w14:textId="7FF745FA" w:rsidR="00EA5441" w:rsidRPr="007A5D6D" w:rsidRDefault="008E0088" w:rsidP="00EA5441">
            <w:pPr>
              <w:jc w:val="center"/>
              <w:rPr>
                <w:sz w:val="16"/>
                <w:szCs w:val="16"/>
                <w:shd w:val="clear" w:color="auto" w:fill="FFFFFF"/>
              </w:rPr>
            </w:pPr>
            <w:r>
              <w:rPr>
                <w:color w:val="000000" w:themeColor="text1"/>
                <w:sz w:val="16"/>
                <w:szCs w:val="16"/>
              </w:rPr>
              <w:t>10</w:t>
            </w:r>
            <w:r w:rsidR="00456C4A">
              <w:rPr>
                <w:color w:val="000000" w:themeColor="text1"/>
                <w:sz w:val="16"/>
                <w:szCs w:val="16"/>
              </w:rPr>
              <w:t xml:space="preserve"> </w:t>
            </w:r>
            <w:r w:rsidR="00EA5441" w:rsidRPr="007A5D6D">
              <w:rPr>
                <w:color w:val="000000" w:themeColor="text1"/>
                <w:sz w:val="16"/>
                <w:szCs w:val="16"/>
              </w:rPr>
              <w:t>202</w:t>
            </w:r>
            <w:r w:rsidR="00EA5441">
              <w:rPr>
                <w:color w:val="000000" w:themeColor="text1"/>
                <w:sz w:val="16"/>
                <w:szCs w:val="16"/>
              </w:rPr>
              <w:t>5</w:t>
            </w:r>
          </w:p>
        </w:tc>
        <w:tc>
          <w:tcPr>
            <w:tcW w:w="2722" w:type="dxa"/>
            <w:gridSpan w:val="3"/>
            <w:tcBorders>
              <w:top w:val="single" w:sz="4" w:space="0" w:color="auto"/>
              <w:bottom w:val="single" w:sz="4" w:space="0" w:color="001D77"/>
            </w:tcBorders>
            <w:vAlign w:val="center"/>
          </w:tcPr>
          <w:p w14:paraId="61470B4D" w14:textId="3D319B2B" w:rsidR="00EA5441" w:rsidRPr="007A5D6D" w:rsidRDefault="00F41261" w:rsidP="00EA5441">
            <w:pPr>
              <w:jc w:val="center"/>
              <w:rPr>
                <w:sz w:val="16"/>
                <w:szCs w:val="16"/>
                <w:shd w:val="clear" w:color="auto" w:fill="FFFFFF"/>
              </w:rPr>
            </w:pPr>
            <w:r>
              <w:rPr>
                <w:color w:val="000000" w:themeColor="text1"/>
                <w:sz w:val="16"/>
                <w:szCs w:val="16"/>
              </w:rPr>
              <w:t>1</w:t>
            </w:r>
            <w:r w:rsidR="008E0088">
              <w:rPr>
                <w:color w:val="000000" w:themeColor="text1"/>
                <w:sz w:val="16"/>
                <w:szCs w:val="16"/>
              </w:rPr>
              <w:t>1</w:t>
            </w:r>
            <w:r w:rsidR="00EA5441" w:rsidRPr="007A5D6D">
              <w:rPr>
                <w:color w:val="000000" w:themeColor="text1"/>
                <w:sz w:val="16"/>
                <w:szCs w:val="16"/>
              </w:rPr>
              <w:t xml:space="preserve"> 202</w:t>
            </w:r>
            <w:r w:rsidR="00EA5441">
              <w:rPr>
                <w:color w:val="000000" w:themeColor="text1"/>
                <w:sz w:val="16"/>
                <w:szCs w:val="16"/>
              </w:rPr>
              <w:t>5</w:t>
            </w:r>
          </w:p>
        </w:tc>
        <w:tc>
          <w:tcPr>
            <w:tcW w:w="908" w:type="dxa"/>
            <w:tcBorders>
              <w:top w:val="single" w:sz="4" w:space="0" w:color="auto"/>
              <w:bottom w:val="single" w:sz="4" w:space="0" w:color="001D77"/>
            </w:tcBorders>
            <w:vAlign w:val="center"/>
          </w:tcPr>
          <w:p w14:paraId="7D89844D" w14:textId="59C4A4FA" w:rsidR="00EA5441" w:rsidRPr="007A5D6D" w:rsidRDefault="00EA5441" w:rsidP="00EA5441">
            <w:pPr>
              <w:jc w:val="center"/>
              <w:rPr>
                <w:color w:val="000000" w:themeColor="text1"/>
                <w:sz w:val="16"/>
                <w:szCs w:val="16"/>
              </w:rPr>
            </w:pPr>
            <w:r w:rsidRPr="007A5D6D">
              <w:rPr>
                <w:color w:val="000000" w:themeColor="text1"/>
                <w:sz w:val="16"/>
                <w:szCs w:val="16"/>
              </w:rPr>
              <w:t>01-</w:t>
            </w:r>
            <w:r w:rsidR="00F41261">
              <w:rPr>
                <w:color w:val="000000" w:themeColor="text1"/>
                <w:sz w:val="16"/>
                <w:szCs w:val="16"/>
              </w:rPr>
              <w:t>1</w:t>
            </w:r>
            <w:r w:rsidR="008E0088">
              <w:rPr>
                <w:color w:val="000000" w:themeColor="text1"/>
                <w:sz w:val="16"/>
                <w:szCs w:val="16"/>
              </w:rPr>
              <w:t>1</w:t>
            </w:r>
            <w:r w:rsidRPr="007A5D6D">
              <w:rPr>
                <w:color w:val="000000" w:themeColor="text1"/>
                <w:sz w:val="16"/>
                <w:szCs w:val="16"/>
              </w:rPr>
              <w:t xml:space="preserve"> 202</w:t>
            </w:r>
            <w:r>
              <w:rPr>
                <w:color w:val="000000" w:themeColor="text1"/>
                <w:sz w:val="16"/>
                <w:szCs w:val="16"/>
              </w:rPr>
              <w:t>5</w:t>
            </w:r>
          </w:p>
        </w:tc>
      </w:tr>
      <w:tr w:rsidR="007F1D95" w:rsidRPr="00EA5441" w14:paraId="5C6B6905" w14:textId="77777777" w:rsidTr="00EA5441">
        <w:tc>
          <w:tcPr>
            <w:tcW w:w="2187" w:type="dxa"/>
            <w:vMerge/>
            <w:tcBorders>
              <w:bottom w:val="single" w:sz="12" w:space="0" w:color="001D77"/>
            </w:tcBorders>
          </w:tcPr>
          <w:p w14:paraId="2AC99764" w14:textId="77777777" w:rsidR="007F1D95" w:rsidRPr="007A5D6D" w:rsidRDefault="007F1D95" w:rsidP="007F1D95">
            <w:pPr>
              <w:jc w:val="center"/>
              <w:rPr>
                <w:sz w:val="16"/>
                <w:szCs w:val="16"/>
                <w:shd w:val="clear" w:color="auto" w:fill="FFFFFF"/>
              </w:rPr>
            </w:pPr>
          </w:p>
        </w:tc>
        <w:tc>
          <w:tcPr>
            <w:tcW w:w="907" w:type="dxa"/>
            <w:tcBorders>
              <w:top w:val="single" w:sz="4" w:space="0" w:color="001D77"/>
              <w:bottom w:val="single" w:sz="12" w:space="0" w:color="001D77"/>
            </w:tcBorders>
            <w:vAlign w:val="center"/>
          </w:tcPr>
          <w:p w14:paraId="12C1942C" w14:textId="4B63B7CB" w:rsidR="007F1D95" w:rsidRPr="007A5D6D" w:rsidRDefault="008E0088" w:rsidP="007F1D95">
            <w:pPr>
              <w:jc w:val="center"/>
              <w:rPr>
                <w:spacing w:val="-12"/>
                <w:sz w:val="16"/>
                <w:szCs w:val="16"/>
                <w:shd w:val="clear" w:color="auto" w:fill="FFFFFF"/>
              </w:rPr>
            </w:pPr>
            <w:r>
              <w:rPr>
                <w:color w:val="000000" w:themeColor="text1"/>
                <w:spacing w:val="-12"/>
                <w:sz w:val="16"/>
                <w:szCs w:val="16"/>
              </w:rPr>
              <w:t>09</w:t>
            </w:r>
            <w:r w:rsidR="007F1D95">
              <w:rPr>
                <w:color w:val="000000" w:themeColor="text1"/>
                <w:spacing w:val="-12"/>
                <w:sz w:val="16"/>
                <w:szCs w:val="16"/>
              </w:rPr>
              <w:t xml:space="preserve"> </w:t>
            </w:r>
            <w:r w:rsidR="007F1D95" w:rsidRPr="007A5D6D">
              <w:rPr>
                <w:color w:val="000000" w:themeColor="text1"/>
                <w:spacing w:val="-12"/>
                <w:sz w:val="16"/>
                <w:szCs w:val="16"/>
              </w:rPr>
              <w:t>202</w:t>
            </w:r>
            <w:r w:rsidR="007F1D95">
              <w:rPr>
                <w:color w:val="000000" w:themeColor="text1"/>
                <w:spacing w:val="-12"/>
                <w:sz w:val="16"/>
                <w:szCs w:val="16"/>
              </w:rPr>
              <w:t>5</w:t>
            </w:r>
            <w:r w:rsidR="007F1D95" w:rsidRPr="007A5D6D">
              <w:rPr>
                <w:color w:val="000000" w:themeColor="text1"/>
                <w:spacing w:val="-12"/>
                <w:sz w:val="16"/>
                <w:szCs w:val="16"/>
              </w:rPr>
              <w:t>=100</w:t>
            </w:r>
          </w:p>
        </w:tc>
        <w:tc>
          <w:tcPr>
            <w:tcW w:w="1814" w:type="dxa"/>
            <w:gridSpan w:val="2"/>
            <w:tcBorders>
              <w:top w:val="single" w:sz="4" w:space="0" w:color="001D77"/>
              <w:bottom w:val="single" w:sz="12" w:space="0" w:color="001D77"/>
            </w:tcBorders>
            <w:vAlign w:val="center"/>
          </w:tcPr>
          <w:p w14:paraId="275E2258" w14:textId="77777777" w:rsidR="007F1D95" w:rsidRPr="007A5D6D" w:rsidRDefault="007F1D95" w:rsidP="007F1D95">
            <w:pPr>
              <w:spacing w:after="0"/>
              <w:jc w:val="center"/>
              <w:rPr>
                <w:sz w:val="16"/>
                <w:szCs w:val="16"/>
                <w:shd w:val="clear" w:color="auto" w:fill="FFFFFF"/>
              </w:rPr>
            </w:pPr>
            <w:r>
              <w:rPr>
                <w:color w:val="000000" w:themeColor="text1"/>
                <w:spacing w:val="-12"/>
                <w:sz w:val="16"/>
                <w:szCs w:val="16"/>
              </w:rPr>
              <w:t>corresponding period 2024 = 100</w:t>
            </w:r>
          </w:p>
        </w:tc>
        <w:tc>
          <w:tcPr>
            <w:tcW w:w="907" w:type="dxa"/>
            <w:tcBorders>
              <w:top w:val="single" w:sz="4" w:space="0" w:color="001D77"/>
              <w:bottom w:val="single" w:sz="12" w:space="0" w:color="001D77"/>
            </w:tcBorders>
            <w:vAlign w:val="center"/>
          </w:tcPr>
          <w:p w14:paraId="615852F2" w14:textId="2C3A4C5B" w:rsidR="007F1D95" w:rsidRPr="007A5D6D" w:rsidRDefault="008E0088" w:rsidP="007F1D95">
            <w:pPr>
              <w:jc w:val="center"/>
              <w:rPr>
                <w:color w:val="000000" w:themeColor="text1"/>
                <w:spacing w:val="-12"/>
                <w:sz w:val="16"/>
                <w:szCs w:val="16"/>
              </w:rPr>
            </w:pPr>
            <w:r>
              <w:rPr>
                <w:color w:val="000000" w:themeColor="text1"/>
                <w:spacing w:val="-12"/>
                <w:sz w:val="16"/>
                <w:szCs w:val="16"/>
              </w:rPr>
              <w:t>10</w:t>
            </w:r>
            <w:r w:rsidR="00A3041D">
              <w:rPr>
                <w:color w:val="000000" w:themeColor="text1"/>
                <w:spacing w:val="-12"/>
                <w:sz w:val="16"/>
                <w:szCs w:val="16"/>
              </w:rPr>
              <w:t xml:space="preserve"> </w:t>
            </w:r>
            <w:r w:rsidR="007F1D95" w:rsidRPr="007A5D6D">
              <w:rPr>
                <w:color w:val="000000" w:themeColor="text1"/>
                <w:spacing w:val="-12"/>
                <w:sz w:val="16"/>
                <w:szCs w:val="16"/>
              </w:rPr>
              <w:t>202</w:t>
            </w:r>
            <w:r w:rsidR="007F1D95">
              <w:rPr>
                <w:color w:val="000000" w:themeColor="text1"/>
                <w:spacing w:val="-12"/>
                <w:sz w:val="16"/>
                <w:szCs w:val="16"/>
              </w:rPr>
              <w:t>5</w:t>
            </w:r>
            <w:r w:rsidR="007F1D95" w:rsidRPr="007A5D6D">
              <w:rPr>
                <w:color w:val="000000" w:themeColor="text1"/>
                <w:spacing w:val="-12"/>
                <w:sz w:val="16"/>
                <w:szCs w:val="16"/>
              </w:rPr>
              <w:t>=100</w:t>
            </w:r>
          </w:p>
        </w:tc>
        <w:tc>
          <w:tcPr>
            <w:tcW w:w="908" w:type="dxa"/>
            <w:tcBorders>
              <w:top w:val="single" w:sz="4" w:space="0" w:color="001D77"/>
              <w:bottom w:val="single" w:sz="12" w:space="0" w:color="001D77"/>
            </w:tcBorders>
            <w:vAlign w:val="center"/>
          </w:tcPr>
          <w:p w14:paraId="14730AF9" w14:textId="77777777" w:rsidR="007F1D95" w:rsidRPr="00EA5441" w:rsidRDefault="007F1D95" w:rsidP="007F1D95">
            <w:pPr>
              <w:jc w:val="center"/>
              <w:rPr>
                <w:color w:val="000000" w:themeColor="text1"/>
                <w:sz w:val="16"/>
                <w:szCs w:val="16"/>
              </w:rPr>
            </w:pPr>
            <w:r w:rsidRPr="00EA5441">
              <w:rPr>
                <w:sz w:val="16"/>
                <w:szCs w:val="16"/>
              </w:rPr>
              <w:t>12 2024=100</w:t>
            </w:r>
          </w:p>
        </w:tc>
        <w:tc>
          <w:tcPr>
            <w:tcW w:w="908" w:type="dxa"/>
            <w:tcBorders>
              <w:top w:val="single" w:sz="4" w:space="0" w:color="001D77"/>
              <w:bottom w:val="single" w:sz="12" w:space="0" w:color="001D77"/>
              <w:right w:val="nil"/>
            </w:tcBorders>
            <w:vAlign w:val="center"/>
          </w:tcPr>
          <w:p w14:paraId="1C78AC01" w14:textId="795E5235" w:rsidR="007F1D95" w:rsidRPr="00EA5441" w:rsidRDefault="007F1D95" w:rsidP="007F1D95">
            <w:pPr>
              <w:jc w:val="center"/>
              <w:rPr>
                <w:color w:val="000000" w:themeColor="text1"/>
                <w:sz w:val="16"/>
                <w:szCs w:val="16"/>
              </w:rPr>
            </w:pPr>
            <w:r w:rsidRPr="00EA5441">
              <w:rPr>
                <w:sz w:val="16"/>
                <w:szCs w:val="16"/>
              </w:rPr>
              <w:t>01-</w:t>
            </w:r>
            <w:r w:rsidR="00F41261">
              <w:rPr>
                <w:sz w:val="16"/>
                <w:szCs w:val="16"/>
              </w:rPr>
              <w:t>1</w:t>
            </w:r>
            <w:r w:rsidR="008E0088">
              <w:rPr>
                <w:sz w:val="16"/>
                <w:szCs w:val="16"/>
              </w:rPr>
              <w:t>1</w:t>
            </w:r>
            <w:r w:rsidRPr="00EA5441">
              <w:rPr>
                <w:sz w:val="16"/>
                <w:szCs w:val="16"/>
              </w:rPr>
              <w:t xml:space="preserve"> 2024=100</w:t>
            </w:r>
          </w:p>
        </w:tc>
      </w:tr>
      <w:tr w:rsidR="008E0088" w:rsidRPr="00A87BA2" w14:paraId="5B9DF4E2" w14:textId="77777777" w:rsidTr="00E626B6">
        <w:tc>
          <w:tcPr>
            <w:tcW w:w="2187" w:type="dxa"/>
            <w:tcBorders>
              <w:top w:val="single" w:sz="4" w:space="0" w:color="001D77"/>
            </w:tcBorders>
          </w:tcPr>
          <w:p w14:paraId="1FA8C9AC" w14:textId="77777777" w:rsidR="008E0088" w:rsidRPr="007A5D6D" w:rsidRDefault="008E0088" w:rsidP="008E0088">
            <w:pPr>
              <w:rPr>
                <w:sz w:val="16"/>
                <w:szCs w:val="16"/>
                <w:shd w:val="clear" w:color="auto" w:fill="FFFFFF"/>
              </w:rPr>
            </w:pPr>
            <w:r>
              <w:rPr>
                <w:b/>
                <w:color w:val="000000" w:themeColor="text1"/>
                <w:sz w:val="16"/>
                <w:szCs w:val="16"/>
              </w:rPr>
              <w:t>TOTAL</w:t>
            </w:r>
          </w:p>
        </w:tc>
        <w:tc>
          <w:tcPr>
            <w:tcW w:w="907" w:type="dxa"/>
            <w:vAlign w:val="center"/>
          </w:tcPr>
          <w:p w14:paraId="294D91B2" w14:textId="1927167C" w:rsidR="008E0088" w:rsidRPr="00020112" w:rsidRDefault="008E0088" w:rsidP="008E0088">
            <w:pPr>
              <w:jc w:val="right"/>
              <w:rPr>
                <w:rFonts w:cs="Arial"/>
                <w:b/>
                <w:color w:val="000000" w:themeColor="text1"/>
                <w:sz w:val="16"/>
                <w:szCs w:val="16"/>
              </w:rPr>
            </w:pPr>
            <w:r>
              <w:rPr>
                <w:rFonts w:cs="Arial"/>
                <w:b/>
                <w:color w:val="000000" w:themeColor="text1"/>
                <w:sz w:val="16"/>
                <w:szCs w:val="16"/>
              </w:rPr>
              <w:t>100.8</w:t>
            </w:r>
          </w:p>
        </w:tc>
        <w:tc>
          <w:tcPr>
            <w:tcW w:w="907" w:type="dxa"/>
            <w:vAlign w:val="center"/>
          </w:tcPr>
          <w:p w14:paraId="1FDB14B6" w14:textId="1F501207" w:rsidR="008E0088" w:rsidRPr="00020112" w:rsidRDefault="008E0088" w:rsidP="008E0088">
            <w:pPr>
              <w:jc w:val="right"/>
              <w:rPr>
                <w:rFonts w:cs="Arial"/>
                <w:b/>
                <w:color w:val="000000" w:themeColor="text1"/>
                <w:sz w:val="16"/>
                <w:szCs w:val="16"/>
              </w:rPr>
            </w:pPr>
            <w:r>
              <w:rPr>
                <w:rFonts w:cs="Arial"/>
                <w:b/>
                <w:color w:val="000000" w:themeColor="text1"/>
                <w:sz w:val="16"/>
                <w:szCs w:val="16"/>
              </w:rPr>
              <w:t>102.8*</w:t>
            </w:r>
          </w:p>
        </w:tc>
        <w:tc>
          <w:tcPr>
            <w:tcW w:w="907" w:type="dxa"/>
            <w:vAlign w:val="center"/>
          </w:tcPr>
          <w:p w14:paraId="32B642B0" w14:textId="1B04EFDF" w:rsidR="008E0088" w:rsidRPr="00020112" w:rsidRDefault="008E0088" w:rsidP="008E0088">
            <w:pPr>
              <w:jc w:val="right"/>
              <w:rPr>
                <w:rFonts w:cs="Arial"/>
                <w:b/>
                <w:color w:val="000000" w:themeColor="text1"/>
                <w:sz w:val="16"/>
                <w:szCs w:val="16"/>
              </w:rPr>
            </w:pPr>
            <w:r>
              <w:rPr>
                <w:rFonts w:cs="Arial"/>
                <w:b/>
                <w:color w:val="000000" w:themeColor="text1"/>
                <w:sz w:val="16"/>
                <w:szCs w:val="16"/>
              </w:rPr>
              <w:t>103.1</w:t>
            </w:r>
          </w:p>
        </w:tc>
        <w:tc>
          <w:tcPr>
            <w:tcW w:w="907" w:type="dxa"/>
            <w:vAlign w:val="center"/>
          </w:tcPr>
          <w:p w14:paraId="15293919" w14:textId="7F8A5B5F" w:rsidR="008E0088" w:rsidRPr="00020112" w:rsidRDefault="008E0088" w:rsidP="008E0088">
            <w:pPr>
              <w:jc w:val="right"/>
              <w:rPr>
                <w:rFonts w:cs="Arial"/>
                <w:b/>
                <w:color w:val="000000" w:themeColor="text1"/>
                <w:sz w:val="16"/>
                <w:szCs w:val="16"/>
              </w:rPr>
            </w:pPr>
            <w:r>
              <w:rPr>
                <w:rFonts w:cs="Arial"/>
                <w:b/>
                <w:color w:val="000000" w:themeColor="text1"/>
                <w:sz w:val="16"/>
                <w:szCs w:val="16"/>
              </w:rPr>
              <w:t>100.3</w:t>
            </w:r>
          </w:p>
        </w:tc>
        <w:tc>
          <w:tcPr>
            <w:tcW w:w="908" w:type="dxa"/>
            <w:vAlign w:val="center"/>
          </w:tcPr>
          <w:p w14:paraId="698041C8" w14:textId="2D217917" w:rsidR="008E0088" w:rsidRPr="008525F0" w:rsidRDefault="008E0088" w:rsidP="008E0088">
            <w:pPr>
              <w:jc w:val="right"/>
              <w:rPr>
                <w:rFonts w:cs="Arial"/>
                <w:b/>
                <w:color w:val="000000" w:themeColor="text1"/>
                <w:sz w:val="16"/>
                <w:szCs w:val="16"/>
              </w:rPr>
            </w:pPr>
            <w:r>
              <w:rPr>
                <w:rFonts w:cs="Arial"/>
                <w:b/>
                <w:color w:val="000000" w:themeColor="text1"/>
                <w:sz w:val="16"/>
                <w:szCs w:val="16"/>
              </w:rPr>
              <w:t>103.1</w:t>
            </w:r>
          </w:p>
        </w:tc>
        <w:tc>
          <w:tcPr>
            <w:tcW w:w="908" w:type="dxa"/>
            <w:vAlign w:val="center"/>
          </w:tcPr>
          <w:p w14:paraId="78687D5B" w14:textId="465DFE6D" w:rsidR="008E0088" w:rsidRPr="008525F0" w:rsidRDefault="008E0088" w:rsidP="008E0088">
            <w:pPr>
              <w:jc w:val="right"/>
              <w:rPr>
                <w:rFonts w:cs="Arial"/>
                <w:b/>
                <w:color w:val="000000" w:themeColor="text1"/>
                <w:sz w:val="16"/>
                <w:szCs w:val="16"/>
              </w:rPr>
            </w:pPr>
            <w:r>
              <w:rPr>
                <w:rFonts w:cs="Arial"/>
                <w:b/>
                <w:color w:val="000000" w:themeColor="text1"/>
                <w:sz w:val="16"/>
                <w:szCs w:val="16"/>
              </w:rPr>
              <w:t>103.2</w:t>
            </w:r>
          </w:p>
        </w:tc>
      </w:tr>
      <w:tr w:rsidR="008E0088" w:rsidRPr="00770DB6" w14:paraId="556FCCCF" w14:textId="77777777" w:rsidTr="00E626B6">
        <w:tc>
          <w:tcPr>
            <w:tcW w:w="2187" w:type="dxa"/>
          </w:tcPr>
          <w:p w14:paraId="55C8606F" w14:textId="77777777" w:rsidR="008E0088" w:rsidRPr="007A5D6D" w:rsidRDefault="008E0088" w:rsidP="008E0088">
            <w:pPr>
              <w:rPr>
                <w:sz w:val="16"/>
                <w:szCs w:val="16"/>
                <w:shd w:val="clear" w:color="auto" w:fill="FFFFFF"/>
              </w:rPr>
            </w:pPr>
            <w:r>
              <w:rPr>
                <w:sz w:val="16"/>
                <w:szCs w:val="16"/>
              </w:rPr>
              <w:t xml:space="preserve">Construction of </w:t>
            </w:r>
            <w:proofErr w:type="spellStart"/>
            <w:r>
              <w:rPr>
                <w:sz w:val="16"/>
                <w:szCs w:val="16"/>
              </w:rPr>
              <w:t>buildings</w:t>
            </w:r>
            <w:proofErr w:type="spellEnd"/>
          </w:p>
        </w:tc>
        <w:tc>
          <w:tcPr>
            <w:tcW w:w="907" w:type="dxa"/>
            <w:vAlign w:val="center"/>
          </w:tcPr>
          <w:p w14:paraId="03287678" w14:textId="6DB9B5BD" w:rsidR="008E0088" w:rsidRPr="00770DB6" w:rsidRDefault="008E0088" w:rsidP="008E0088">
            <w:pPr>
              <w:jc w:val="right"/>
              <w:rPr>
                <w:rFonts w:cs="Arial"/>
                <w:color w:val="000000" w:themeColor="text1"/>
                <w:sz w:val="16"/>
                <w:szCs w:val="16"/>
              </w:rPr>
            </w:pPr>
            <w:r>
              <w:rPr>
                <w:rFonts w:cs="Arial"/>
                <w:color w:val="000000" w:themeColor="text1"/>
                <w:sz w:val="16"/>
                <w:szCs w:val="16"/>
              </w:rPr>
              <w:t>100.8</w:t>
            </w:r>
          </w:p>
        </w:tc>
        <w:tc>
          <w:tcPr>
            <w:tcW w:w="907" w:type="dxa"/>
            <w:vAlign w:val="center"/>
          </w:tcPr>
          <w:p w14:paraId="42557B89" w14:textId="673D1D7F" w:rsidR="008E0088" w:rsidRPr="00770DB6" w:rsidRDefault="008E0088" w:rsidP="008E0088">
            <w:pPr>
              <w:jc w:val="right"/>
              <w:rPr>
                <w:rFonts w:cs="Arial"/>
                <w:color w:val="000000" w:themeColor="text1"/>
                <w:sz w:val="16"/>
                <w:szCs w:val="16"/>
              </w:rPr>
            </w:pPr>
            <w:r>
              <w:rPr>
                <w:rFonts w:cs="Arial"/>
                <w:color w:val="000000" w:themeColor="text1"/>
                <w:sz w:val="16"/>
                <w:szCs w:val="16"/>
              </w:rPr>
              <w:t>102.8</w:t>
            </w:r>
          </w:p>
        </w:tc>
        <w:tc>
          <w:tcPr>
            <w:tcW w:w="907" w:type="dxa"/>
            <w:vAlign w:val="center"/>
          </w:tcPr>
          <w:p w14:paraId="64711B79" w14:textId="04AE06AC" w:rsidR="008E0088" w:rsidRPr="00770DB6" w:rsidRDefault="008E0088" w:rsidP="008E0088">
            <w:pPr>
              <w:jc w:val="right"/>
              <w:rPr>
                <w:rFonts w:cs="Arial"/>
                <w:color w:val="000000" w:themeColor="text1"/>
                <w:sz w:val="16"/>
                <w:szCs w:val="16"/>
              </w:rPr>
            </w:pPr>
            <w:r>
              <w:rPr>
                <w:rFonts w:cs="Arial"/>
                <w:color w:val="000000" w:themeColor="text1"/>
                <w:sz w:val="16"/>
                <w:szCs w:val="16"/>
              </w:rPr>
              <w:t>103.2</w:t>
            </w:r>
          </w:p>
        </w:tc>
        <w:tc>
          <w:tcPr>
            <w:tcW w:w="907" w:type="dxa"/>
            <w:vAlign w:val="center"/>
          </w:tcPr>
          <w:p w14:paraId="6237E698" w14:textId="50886AA6" w:rsidR="008E0088" w:rsidRPr="00770DB6" w:rsidRDefault="008E0088" w:rsidP="008E0088">
            <w:pPr>
              <w:jc w:val="right"/>
              <w:rPr>
                <w:rFonts w:cs="Arial"/>
                <w:color w:val="000000" w:themeColor="text1"/>
                <w:sz w:val="16"/>
                <w:szCs w:val="16"/>
              </w:rPr>
            </w:pPr>
            <w:r>
              <w:rPr>
                <w:rFonts w:cs="Arial"/>
                <w:color w:val="000000" w:themeColor="text1"/>
                <w:sz w:val="16"/>
                <w:szCs w:val="16"/>
              </w:rPr>
              <w:t>100.4</w:t>
            </w:r>
          </w:p>
        </w:tc>
        <w:tc>
          <w:tcPr>
            <w:tcW w:w="908" w:type="dxa"/>
            <w:vAlign w:val="center"/>
          </w:tcPr>
          <w:p w14:paraId="159635CE" w14:textId="19EDFB89" w:rsidR="008E0088" w:rsidRDefault="008E0088" w:rsidP="008E0088">
            <w:pPr>
              <w:jc w:val="right"/>
              <w:rPr>
                <w:rFonts w:cs="Arial"/>
                <w:color w:val="000000" w:themeColor="text1"/>
                <w:sz w:val="16"/>
                <w:szCs w:val="16"/>
              </w:rPr>
            </w:pPr>
            <w:r>
              <w:rPr>
                <w:rFonts w:cs="Arial"/>
                <w:color w:val="000000" w:themeColor="text1"/>
                <w:sz w:val="16"/>
                <w:szCs w:val="16"/>
              </w:rPr>
              <w:t>103.1</w:t>
            </w:r>
          </w:p>
        </w:tc>
        <w:tc>
          <w:tcPr>
            <w:tcW w:w="908" w:type="dxa"/>
            <w:vAlign w:val="center"/>
          </w:tcPr>
          <w:p w14:paraId="3E9AD87B" w14:textId="3C27359D" w:rsidR="008E0088" w:rsidRPr="00770DB6" w:rsidRDefault="008E0088" w:rsidP="008E0088">
            <w:pPr>
              <w:jc w:val="right"/>
              <w:rPr>
                <w:rFonts w:cs="Arial"/>
                <w:color w:val="000000" w:themeColor="text1"/>
                <w:sz w:val="16"/>
                <w:szCs w:val="16"/>
              </w:rPr>
            </w:pPr>
            <w:r>
              <w:rPr>
                <w:rFonts w:cs="Arial"/>
                <w:color w:val="000000" w:themeColor="text1"/>
                <w:sz w:val="16"/>
                <w:szCs w:val="16"/>
              </w:rPr>
              <w:t>103.1</w:t>
            </w:r>
          </w:p>
        </w:tc>
      </w:tr>
      <w:tr w:rsidR="008E0088" w:rsidRPr="00770DB6" w14:paraId="1469F37A" w14:textId="77777777" w:rsidTr="002E0FB1">
        <w:tc>
          <w:tcPr>
            <w:tcW w:w="2187" w:type="dxa"/>
          </w:tcPr>
          <w:p w14:paraId="3D111125" w14:textId="77777777" w:rsidR="008E0088" w:rsidRPr="007A5D6D" w:rsidRDefault="008E0088" w:rsidP="008E0088">
            <w:pPr>
              <w:rPr>
                <w:sz w:val="16"/>
                <w:szCs w:val="16"/>
                <w:shd w:val="clear" w:color="auto" w:fill="FFFFFF"/>
              </w:rPr>
            </w:pPr>
            <w:r>
              <w:rPr>
                <w:color w:val="000000" w:themeColor="text1"/>
                <w:sz w:val="16"/>
                <w:szCs w:val="16"/>
                <w:lang w:val="en-US"/>
              </w:rPr>
              <w:t>Civil engineering</w:t>
            </w:r>
          </w:p>
        </w:tc>
        <w:tc>
          <w:tcPr>
            <w:tcW w:w="907" w:type="dxa"/>
            <w:shd w:val="clear" w:color="auto" w:fill="auto"/>
            <w:vAlign w:val="center"/>
          </w:tcPr>
          <w:p w14:paraId="52CB7A27" w14:textId="15864070" w:rsidR="008E0088" w:rsidRPr="00770DB6" w:rsidRDefault="008E0088" w:rsidP="008E0088">
            <w:pPr>
              <w:jc w:val="right"/>
              <w:rPr>
                <w:rFonts w:cs="Arial"/>
                <w:color w:val="000000" w:themeColor="text1"/>
                <w:sz w:val="16"/>
                <w:szCs w:val="16"/>
              </w:rPr>
            </w:pPr>
            <w:r>
              <w:rPr>
                <w:rFonts w:cs="Arial"/>
                <w:color w:val="000000" w:themeColor="text1"/>
                <w:sz w:val="16"/>
                <w:szCs w:val="16"/>
              </w:rPr>
              <w:t>100.7*</w:t>
            </w:r>
          </w:p>
        </w:tc>
        <w:tc>
          <w:tcPr>
            <w:tcW w:w="907" w:type="dxa"/>
            <w:vAlign w:val="center"/>
          </w:tcPr>
          <w:p w14:paraId="631A0F78" w14:textId="1AA2745F" w:rsidR="008E0088" w:rsidRPr="00770DB6" w:rsidRDefault="008E0088" w:rsidP="008E0088">
            <w:pPr>
              <w:jc w:val="right"/>
              <w:rPr>
                <w:rFonts w:cs="Arial"/>
                <w:color w:val="000000" w:themeColor="text1"/>
                <w:sz w:val="16"/>
                <w:szCs w:val="16"/>
              </w:rPr>
            </w:pPr>
            <w:r>
              <w:rPr>
                <w:rFonts w:cs="Arial"/>
                <w:color w:val="000000" w:themeColor="text1"/>
                <w:sz w:val="16"/>
                <w:szCs w:val="16"/>
              </w:rPr>
              <w:t>102.9*</w:t>
            </w:r>
          </w:p>
        </w:tc>
        <w:tc>
          <w:tcPr>
            <w:tcW w:w="907" w:type="dxa"/>
            <w:vAlign w:val="center"/>
          </w:tcPr>
          <w:p w14:paraId="79D05E9C" w14:textId="581F88A9" w:rsidR="008E0088" w:rsidRPr="00770DB6" w:rsidRDefault="008E0088" w:rsidP="008E0088">
            <w:pPr>
              <w:jc w:val="right"/>
              <w:rPr>
                <w:rFonts w:cs="Arial"/>
                <w:color w:val="000000" w:themeColor="text1"/>
                <w:sz w:val="16"/>
                <w:szCs w:val="16"/>
              </w:rPr>
            </w:pPr>
            <w:r>
              <w:rPr>
                <w:rFonts w:cs="Arial"/>
                <w:color w:val="000000" w:themeColor="text1"/>
                <w:sz w:val="16"/>
                <w:szCs w:val="16"/>
              </w:rPr>
              <w:t>103.0</w:t>
            </w:r>
          </w:p>
        </w:tc>
        <w:tc>
          <w:tcPr>
            <w:tcW w:w="907" w:type="dxa"/>
            <w:shd w:val="clear" w:color="auto" w:fill="auto"/>
            <w:vAlign w:val="center"/>
          </w:tcPr>
          <w:p w14:paraId="49CA75B7" w14:textId="13028E04" w:rsidR="008E0088" w:rsidRPr="00770DB6" w:rsidRDefault="008E0088" w:rsidP="008E0088">
            <w:pPr>
              <w:jc w:val="right"/>
              <w:rPr>
                <w:rFonts w:cs="Arial"/>
                <w:color w:val="000000" w:themeColor="text1"/>
                <w:sz w:val="16"/>
                <w:szCs w:val="16"/>
              </w:rPr>
            </w:pPr>
            <w:r>
              <w:rPr>
                <w:rFonts w:cs="Arial"/>
                <w:color w:val="000000" w:themeColor="text1"/>
                <w:sz w:val="16"/>
                <w:szCs w:val="16"/>
              </w:rPr>
              <w:t>100.2</w:t>
            </w:r>
          </w:p>
        </w:tc>
        <w:tc>
          <w:tcPr>
            <w:tcW w:w="908" w:type="dxa"/>
            <w:vAlign w:val="center"/>
          </w:tcPr>
          <w:p w14:paraId="7712CECF" w14:textId="29D6F9A0" w:rsidR="008E0088" w:rsidRDefault="008E0088" w:rsidP="008E0088">
            <w:pPr>
              <w:jc w:val="right"/>
              <w:rPr>
                <w:rFonts w:cs="Arial"/>
                <w:color w:val="000000" w:themeColor="text1"/>
                <w:sz w:val="16"/>
                <w:szCs w:val="16"/>
              </w:rPr>
            </w:pPr>
            <w:r>
              <w:rPr>
                <w:rFonts w:cs="Arial"/>
                <w:color w:val="000000" w:themeColor="text1"/>
                <w:sz w:val="16"/>
                <w:szCs w:val="16"/>
              </w:rPr>
              <w:t>103.0</w:t>
            </w:r>
          </w:p>
        </w:tc>
        <w:tc>
          <w:tcPr>
            <w:tcW w:w="908" w:type="dxa"/>
            <w:shd w:val="clear" w:color="auto" w:fill="auto"/>
            <w:vAlign w:val="center"/>
          </w:tcPr>
          <w:p w14:paraId="2794D988" w14:textId="44DF24C6" w:rsidR="008E0088" w:rsidRPr="00770DB6" w:rsidRDefault="008E0088" w:rsidP="008E0088">
            <w:pPr>
              <w:jc w:val="right"/>
              <w:rPr>
                <w:rFonts w:cs="Arial"/>
                <w:color w:val="000000" w:themeColor="text1"/>
                <w:sz w:val="16"/>
                <w:szCs w:val="16"/>
              </w:rPr>
            </w:pPr>
            <w:r>
              <w:rPr>
                <w:rFonts w:cs="Arial"/>
                <w:color w:val="000000" w:themeColor="text1"/>
                <w:sz w:val="16"/>
                <w:szCs w:val="16"/>
              </w:rPr>
              <w:t>103.3</w:t>
            </w:r>
          </w:p>
        </w:tc>
      </w:tr>
      <w:tr w:rsidR="008E0088" w:rsidRPr="00770DB6" w14:paraId="014EC1E3" w14:textId="77777777" w:rsidTr="00E626B6">
        <w:tc>
          <w:tcPr>
            <w:tcW w:w="2187" w:type="dxa"/>
          </w:tcPr>
          <w:p w14:paraId="3FAE4438" w14:textId="77777777" w:rsidR="008E0088" w:rsidRPr="007A5D6D" w:rsidRDefault="008E0088" w:rsidP="008E0088">
            <w:pPr>
              <w:rPr>
                <w:sz w:val="16"/>
                <w:szCs w:val="16"/>
                <w:shd w:val="clear" w:color="auto" w:fill="FFFFFF"/>
              </w:rPr>
            </w:pPr>
            <w:proofErr w:type="spellStart"/>
            <w:r w:rsidRPr="00B3218D">
              <w:rPr>
                <w:color w:val="000000" w:themeColor="text1"/>
                <w:sz w:val="16"/>
                <w:szCs w:val="16"/>
                <w:lang w:val="en-US"/>
              </w:rPr>
              <w:t>Specialised</w:t>
            </w:r>
            <w:proofErr w:type="spellEnd"/>
            <w:r w:rsidRPr="00B3218D">
              <w:rPr>
                <w:color w:val="000000" w:themeColor="text1"/>
                <w:sz w:val="16"/>
                <w:szCs w:val="16"/>
                <w:lang w:val="en-US"/>
              </w:rPr>
              <w:t xml:space="preserve"> construction activities</w:t>
            </w:r>
          </w:p>
        </w:tc>
        <w:tc>
          <w:tcPr>
            <w:tcW w:w="907" w:type="dxa"/>
            <w:vAlign w:val="center"/>
          </w:tcPr>
          <w:p w14:paraId="1B7BFB54" w14:textId="76C5C4DD" w:rsidR="008E0088" w:rsidRPr="00770DB6" w:rsidRDefault="008E0088" w:rsidP="008E0088">
            <w:pPr>
              <w:jc w:val="right"/>
              <w:rPr>
                <w:rFonts w:cs="Arial"/>
                <w:color w:val="000000" w:themeColor="text1"/>
                <w:sz w:val="16"/>
                <w:szCs w:val="16"/>
              </w:rPr>
            </w:pPr>
            <w:r>
              <w:rPr>
                <w:rFonts w:cs="Arial"/>
                <w:color w:val="000000" w:themeColor="text1"/>
                <w:sz w:val="16"/>
                <w:szCs w:val="16"/>
              </w:rPr>
              <w:t>100.8*</w:t>
            </w:r>
          </w:p>
        </w:tc>
        <w:tc>
          <w:tcPr>
            <w:tcW w:w="907" w:type="dxa"/>
            <w:vAlign w:val="center"/>
          </w:tcPr>
          <w:p w14:paraId="7E6576F7" w14:textId="51890028" w:rsidR="008E0088" w:rsidRPr="00770DB6" w:rsidRDefault="008E0088" w:rsidP="008E0088">
            <w:pPr>
              <w:jc w:val="right"/>
              <w:rPr>
                <w:rFonts w:cs="Arial"/>
                <w:color w:val="000000" w:themeColor="text1"/>
                <w:sz w:val="16"/>
                <w:szCs w:val="16"/>
              </w:rPr>
            </w:pPr>
            <w:r>
              <w:rPr>
                <w:rFonts w:cs="Arial"/>
                <w:color w:val="000000" w:themeColor="text1"/>
                <w:sz w:val="16"/>
                <w:szCs w:val="16"/>
              </w:rPr>
              <w:t>102.8*</w:t>
            </w:r>
          </w:p>
        </w:tc>
        <w:tc>
          <w:tcPr>
            <w:tcW w:w="907" w:type="dxa"/>
            <w:vAlign w:val="center"/>
          </w:tcPr>
          <w:p w14:paraId="1591DD71" w14:textId="6538B5D4" w:rsidR="008E0088" w:rsidRPr="00770DB6" w:rsidRDefault="008E0088" w:rsidP="008E0088">
            <w:pPr>
              <w:jc w:val="right"/>
              <w:rPr>
                <w:rFonts w:cs="Arial"/>
                <w:color w:val="000000" w:themeColor="text1"/>
                <w:sz w:val="16"/>
                <w:szCs w:val="16"/>
              </w:rPr>
            </w:pPr>
            <w:r>
              <w:rPr>
                <w:rFonts w:cs="Arial"/>
                <w:color w:val="000000" w:themeColor="text1"/>
                <w:sz w:val="16"/>
                <w:szCs w:val="16"/>
              </w:rPr>
              <w:t>103.2</w:t>
            </w:r>
          </w:p>
        </w:tc>
        <w:tc>
          <w:tcPr>
            <w:tcW w:w="907" w:type="dxa"/>
            <w:vAlign w:val="center"/>
          </w:tcPr>
          <w:p w14:paraId="17E8E755" w14:textId="01A9C4ED" w:rsidR="008E0088" w:rsidRPr="00770DB6" w:rsidRDefault="008E0088" w:rsidP="008E0088">
            <w:pPr>
              <w:jc w:val="right"/>
              <w:rPr>
                <w:rFonts w:cs="Arial"/>
                <w:color w:val="000000" w:themeColor="text1"/>
                <w:sz w:val="16"/>
                <w:szCs w:val="16"/>
              </w:rPr>
            </w:pPr>
            <w:r>
              <w:rPr>
                <w:rFonts w:cs="Arial"/>
                <w:color w:val="000000" w:themeColor="text1"/>
                <w:sz w:val="16"/>
                <w:szCs w:val="16"/>
              </w:rPr>
              <w:t>100.4</w:t>
            </w:r>
          </w:p>
        </w:tc>
        <w:tc>
          <w:tcPr>
            <w:tcW w:w="908" w:type="dxa"/>
            <w:vAlign w:val="center"/>
          </w:tcPr>
          <w:p w14:paraId="5CFF72F5" w14:textId="02516948" w:rsidR="008E0088" w:rsidRDefault="008E0088" w:rsidP="008E0088">
            <w:pPr>
              <w:jc w:val="right"/>
              <w:rPr>
                <w:rFonts w:cs="Arial"/>
                <w:color w:val="000000" w:themeColor="text1"/>
                <w:sz w:val="16"/>
                <w:szCs w:val="16"/>
              </w:rPr>
            </w:pPr>
            <w:r>
              <w:rPr>
                <w:rFonts w:cs="Arial"/>
                <w:color w:val="000000" w:themeColor="text1"/>
                <w:sz w:val="16"/>
                <w:szCs w:val="16"/>
              </w:rPr>
              <w:t>102.8</w:t>
            </w:r>
          </w:p>
        </w:tc>
        <w:tc>
          <w:tcPr>
            <w:tcW w:w="908" w:type="dxa"/>
            <w:shd w:val="clear" w:color="auto" w:fill="auto"/>
            <w:vAlign w:val="center"/>
          </w:tcPr>
          <w:p w14:paraId="4EE9FAFE" w14:textId="30394EB8" w:rsidR="008E0088" w:rsidRPr="00770DB6" w:rsidRDefault="008E0088" w:rsidP="008E0088">
            <w:pPr>
              <w:jc w:val="right"/>
              <w:rPr>
                <w:rFonts w:cs="Arial"/>
                <w:color w:val="000000" w:themeColor="text1"/>
                <w:sz w:val="16"/>
                <w:szCs w:val="16"/>
              </w:rPr>
            </w:pPr>
            <w:r>
              <w:rPr>
                <w:rFonts w:cs="Arial"/>
                <w:color w:val="000000" w:themeColor="text1"/>
                <w:sz w:val="16"/>
                <w:szCs w:val="16"/>
              </w:rPr>
              <w:t>103.1</w:t>
            </w:r>
          </w:p>
        </w:tc>
      </w:tr>
    </w:tbl>
    <w:p w14:paraId="4570CC40" w14:textId="77777777" w:rsidR="005E63D5" w:rsidRDefault="005E63D5" w:rsidP="00376ACC">
      <w:pPr>
        <w:rPr>
          <w:shd w:val="clear" w:color="auto" w:fill="FFFFFF"/>
          <w:lang w:val="en-US"/>
        </w:rPr>
      </w:pPr>
    </w:p>
    <w:p w14:paraId="1358823B" w14:textId="77777777" w:rsidR="005E63D5" w:rsidRPr="00EA5441" w:rsidRDefault="00EA5441" w:rsidP="00EA5441">
      <w:pPr>
        <w:pStyle w:val="Przypis"/>
      </w:pPr>
      <w:r>
        <w:t>* </w:t>
      </w:r>
      <w:r w:rsidRPr="00EA5441">
        <w:t>Data revised</w:t>
      </w:r>
    </w:p>
    <w:p w14:paraId="4588BB3E" w14:textId="77777777" w:rsidR="005E63D5" w:rsidRPr="00AA4CDA" w:rsidRDefault="005E63D5" w:rsidP="00376ACC">
      <w:pPr>
        <w:rPr>
          <w:rFonts w:eastAsia="Times New Roman" w:cs="Times New Roman"/>
          <w:szCs w:val="19"/>
          <w:lang w:val="en-US" w:eastAsia="pl-PL"/>
        </w:rPr>
      </w:pPr>
    </w:p>
    <w:p w14:paraId="29842100" w14:textId="77777777" w:rsidR="005E63D5" w:rsidRPr="00AA4CDA" w:rsidRDefault="005E63D5" w:rsidP="005E63D5">
      <w:pPr>
        <w:spacing w:line="288" w:lineRule="auto"/>
        <w:rPr>
          <w:rFonts w:eastAsia="Times New Roman" w:cs="Times New Roman"/>
          <w:szCs w:val="19"/>
          <w:lang w:val="en-US" w:eastAsia="pl-PL"/>
        </w:rPr>
      </w:pPr>
    </w:p>
    <w:p w14:paraId="4CF2D0EB" w14:textId="77777777" w:rsidR="00216634" w:rsidRPr="005E63D5" w:rsidRDefault="00216634" w:rsidP="00216634">
      <w:pPr>
        <w:spacing w:line="288" w:lineRule="auto"/>
        <w:rPr>
          <w:rFonts w:eastAsia="Times New Roman" w:cs="Times New Roman"/>
          <w:szCs w:val="19"/>
          <w:lang w:val="en-US" w:eastAsia="pl-PL"/>
        </w:rPr>
      </w:pPr>
    </w:p>
    <w:p w14:paraId="1A45B1FF" w14:textId="77777777" w:rsidR="00DA331D" w:rsidRPr="005E63D5" w:rsidRDefault="00DA331D" w:rsidP="00E95B8E">
      <w:pPr>
        <w:rPr>
          <w:sz w:val="16"/>
          <w:lang w:val="en-US"/>
        </w:rPr>
      </w:pPr>
    </w:p>
    <w:p w14:paraId="7ECA4951" w14:textId="77777777" w:rsidR="00694AF0" w:rsidRPr="005E63D5" w:rsidRDefault="00694AF0" w:rsidP="00E76D26">
      <w:pPr>
        <w:rPr>
          <w:sz w:val="18"/>
          <w:lang w:val="en-US"/>
        </w:rPr>
      </w:pPr>
    </w:p>
    <w:p w14:paraId="316BA5C8" w14:textId="77777777" w:rsidR="005E63D5" w:rsidRDefault="005E63D5" w:rsidP="005E63D5">
      <w:pPr>
        <w:spacing w:line="288" w:lineRule="auto"/>
        <w:rPr>
          <w:rFonts w:eastAsia="Times New Roman" w:cs="Times New Roman"/>
          <w:szCs w:val="19"/>
          <w:lang w:val="en-US" w:eastAsia="pl-PL"/>
        </w:rPr>
      </w:pPr>
    </w:p>
    <w:p w14:paraId="09C3BF27" w14:textId="77777777" w:rsidR="00376ACC" w:rsidRPr="00AA4CDA" w:rsidRDefault="00376ACC" w:rsidP="005E63D5">
      <w:pPr>
        <w:spacing w:line="288" w:lineRule="auto"/>
        <w:rPr>
          <w:rFonts w:eastAsia="Times New Roman" w:cs="Times New Roman"/>
          <w:szCs w:val="19"/>
          <w:lang w:val="en-US" w:eastAsia="pl-PL"/>
        </w:rPr>
      </w:pPr>
    </w:p>
    <w:p w14:paraId="3588F84F" w14:textId="77777777" w:rsidR="005E63D5" w:rsidRPr="00AA4CDA" w:rsidRDefault="005E63D5" w:rsidP="005E63D5">
      <w:pPr>
        <w:spacing w:line="288" w:lineRule="auto"/>
        <w:rPr>
          <w:rFonts w:eastAsia="Times New Roman" w:cs="Times New Roman"/>
          <w:szCs w:val="19"/>
          <w:lang w:val="en-US" w:eastAsia="pl-PL"/>
        </w:rPr>
      </w:pPr>
    </w:p>
    <w:p w14:paraId="62AAD0EE" w14:textId="77777777" w:rsidR="005E63D5" w:rsidRDefault="00B96A38" w:rsidP="00605DD2">
      <w:pPr>
        <w:pStyle w:val="tytuwykresu"/>
        <w:ind w:left="709" w:hanging="709"/>
        <w:rPr>
          <w:lang w:val="en-US"/>
        </w:rPr>
      </w:pPr>
      <w:r w:rsidRPr="00064496">
        <w:rPr>
          <w:rFonts w:ascii="Fira Sans SemiBold" w:eastAsia="Times New Roman" w:hAnsi="Fira Sans SemiBold" w:cs="Times New Roman"/>
          <w:bCs/>
          <w:noProof/>
          <w:spacing w:val="0"/>
          <w:szCs w:val="18"/>
          <w:lang w:eastAsia="pl-PL"/>
        </w:rPr>
        <mc:AlternateContent>
          <mc:Choice Requires="wps">
            <w:drawing>
              <wp:anchor distT="45720" distB="45720" distL="114300" distR="114300" simplePos="0" relativeHeight="251658240" behindDoc="1" locked="0" layoutInCell="1" allowOverlap="1" wp14:anchorId="42768B46" wp14:editId="5CC55FAB">
                <wp:simplePos x="0" y="0"/>
                <wp:positionH relativeFrom="column">
                  <wp:posOffset>5265420</wp:posOffset>
                </wp:positionH>
                <wp:positionV relativeFrom="paragraph">
                  <wp:posOffset>1002030</wp:posOffset>
                </wp:positionV>
                <wp:extent cx="1725295" cy="1173480"/>
                <wp:effectExtent l="0" t="0" r="0" b="0"/>
                <wp:wrapTight wrapText="bothSides">
                  <wp:wrapPolygon edited="0">
                    <wp:start x="715" y="0"/>
                    <wp:lineTo x="715" y="21039"/>
                    <wp:lineTo x="20749" y="21039"/>
                    <wp:lineTo x="20749" y="0"/>
                    <wp:lineTo x="715" y="0"/>
                  </wp:wrapPolygon>
                </wp:wrapTight>
                <wp:docPr id="2" name="Pole tekstowe 2" descr="The prices of construction and assembly production in November 2025 increased compared to the previous month by 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173480"/>
                        </a:xfrm>
                        <a:prstGeom prst="rect">
                          <a:avLst/>
                        </a:prstGeom>
                        <a:noFill/>
                        <a:ln w="9525">
                          <a:noFill/>
                          <a:miter lim="800000"/>
                          <a:headEnd/>
                          <a:tailEnd/>
                        </a:ln>
                      </wps:spPr>
                      <wps:txbx>
                        <w:txbxContent>
                          <w:p w14:paraId="1D7CC4EB" w14:textId="09794317" w:rsidR="005E63D5" w:rsidRPr="00533B8F" w:rsidRDefault="00C1692B" w:rsidP="005E63D5">
                            <w:pPr>
                              <w:spacing w:after="0"/>
                              <w:rPr>
                                <w:bCs/>
                                <w:lang w:val="en-US"/>
                              </w:rPr>
                            </w:pPr>
                            <w:r>
                              <w:rPr>
                                <w:rFonts w:eastAsia="Times New Roman" w:cs="Times New Roman"/>
                                <w:bCs/>
                                <w:color w:val="001D77"/>
                                <w:sz w:val="18"/>
                                <w:szCs w:val="18"/>
                                <w:lang w:val="en-US" w:eastAsia="pl-PL"/>
                              </w:rPr>
                              <w:t>The</w:t>
                            </w:r>
                            <w:r w:rsidR="005E63D5" w:rsidRPr="008D3318">
                              <w:rPr>
                                <w:rFonts w:eastAsia="Times New Roman" w:cs="Times New Roman"/>
                                <w:bCs/>
                                <w:color w:val="001D77"/>
                                <w:sz w:val="18"/>
                                <w:szCs w:val="18"/>
                                <w:lang w:val="en-US" w:eastAsia="pl-PL"/>
                              </w:rPr>
                              <w:t xml:space="preserve"> prices</w:t>
                            </w:r>
                            <w:r w:rsidR="005E63D5">
                              <w:rPr>
                                <w:rFonts w:eastAsia="Times New Roman" w:cs="Times New Roman"/>
                                <w:bCs/>
                                <w:color w:val="001D77"/>
                                <w:sz w:val="18"/>
                                <w:szCs w:val="18"/>
                                <w:lang w:val="en-US" w:eastAsia="pl-PL"/>
                              </w:rPr>
                              <w:t xml:space="preserve"> </w:t>
                            </w:r>
                            <w:r w:rsidR="005E63D5" w:rsidRPr="008D3318">
                              <w:rPr>
                                <w:rFonts w:eastAsia="Times New Roman" w:cs="Times New Roman"/>
                                <w:bCs/>
                                <w:color w:val="001D77"/>
                                <w:sz w:val="18"/>
                                <w:szCs w:val="18"/>
                                <w:lang w:val="en-US" w:eastAsia="pl-PL"/>
                              </w:rPr>
                              <w:t>of</w:t>
                            </w:r>
                            <w:r w:rsidR="005E63D5">
                              <w:rPr>
                                <w:rFonts w:eastAsia="Times New Roman" w:cs="Times New Roman"/>
                                <w:bCs/>
                                <w:color w:val="001D77"/>
                                <w:sz w:val="18"/>
                                <w:szCs w:val="18"/>
                                <w:lang w:val="en-US" w:eastAsia="pl-PL"/>
                              </w:rPr>
                              <w:t> </w:t>
                            </w:r>
                            <w:r w:rsidR="005E63D5" w:rsidRPr="008D3318">
                              <w:rPr>
                                <w:rFonts w:eastAsia="Times New Roman" w:cs="Times New Roman"/>
                                <w:bCs/>
                                <w:color w:val="001D77"/>
                                <w:sz w:val="18"/>
                                <w:szCs w:val="18"/>
                                <w:lang w:val="en-US" w:eastAsia="pl-PL"/>
                              </w:rPr>
                              <w:t>construction</w:t>
                            </w:r>
                            <w:r w:rsidR="005E63D5">
                              <w:rPr>
                                <w:rFonts w:eastAsia="Times New Roman" w:cs="Times New Roman"/>
                                <w:bCs/>
                                <w:color w:val="001D77"/>
                                <w:sz w:val="18"/>
                                <w:szCs w:val="18"/>
                                <w:lang w:val="en-US" w:eastAsia="pl-PL"/>
                              </w:rPr>
                              <w:t xml:space="preserve"> and assembly </w:t>
                            </w:r>
                            <w:r>
                              <w:rPr>
                                <w:rFonts w:eastAsia="Times New Roman" w:cs="Times New Roman"/>
                                <w:bCs/>
                                <w:color w:val="001D77"/>
                                <w:sz w:val="18"/>
                                <w:szCs w:val="18"/>
                                <w:lang w:val="en-US" w:eastAsia="pl-PL"/>
                              </w:rPr>
                              <w:t xml:space="preserve">production </w:t>
                            </w:r>
                            <w:r w:rsidRPr="00C1692B">
                              <w:rPr>
                                <w:rFonts w:eastAsia="Times New Roman" w:cs="Times New Roman"/>
                                <w:bCs/>
                                <w:color w:val="001D77"/>
                                <w:sz w:val="18"/>
                                <w:szCs w:val="18"/>
                                <w:lang w:val="en-US" w:eastAsia="pl-PL"/>
                              </w:rPr>
                              <w:t xml:space="preserve">in </w:t>
                            </w:r>
                            <w:r w:rsidR="008E0088">
                              <w:rPr>
                                <w:rFonts w:eastAsia="Times New Roman" w:cs="Times New Roman"/>
                                <w:bCs/>
                                <w:color w:val="001D77"/>
                                <w:sz w:val="18"/>
                                <w:szCs w:val="18"/>
                                <w:lang w:val="en-US" w:eastAsia="pl-PL"/>
                              </w:rPr>
                              <w:t>November</w:t>
                            </w:r>
                            <w:r w:rsidR="005E6398">
                              <w:rPr>
                                <w:rFonts w:eastAsia="Times New Roman" w:cs="Times New Roman"/>
                                <w:bCs/>
                                <w:color w:val="001D77"/>
                                <w:sz w:val="18"/>
                                <w:szCs w:val="18"/>
                                <w:lang w:val="en-US" w:eastAsia="pl-PL"/>
                              </w:rPr>
                              <w:t xml:space="preserve"> </w:t>
                            </w:r>
                            <w:r w:rsidRPr="00C1692B">
                              <w:rPr>
                                <w:rFonts w:eastAsia="Times New Roman" w:cs="Times New Roman"/>
                                <w:bCs/>
                                <w:color w:val="001D77"/>
                                <w:sz w:val="18"/>
                                <w:szCs w:val="18"/>
                                <w:lang w:val="en-US" w:eastAsia="pl-PL"/>
                              </w:rPr>
                              <w:t xml:space="preserve">2025 </w:t>
                            </w:r>
                            <w:r w:rsidR="008E770A">
                              <w:rPr>
                                <w:rFonts w:eastAsia="Times New Roman" w:cs="Times New Roman"/>
                                <w:bCs/>
                                <w:color w:val="001D77"/>
                                <w:sz w:val="18"/>
                                <w:szCs w:val="18"/>
                                <w:lang w:val="en-US" w:eastAsia="pl-PL"/>
                              </w:rPr>
                              <w:t>increased</w:t>
                            </w:r>
                            <w:r w:rsidR="00456C4A" w:rsidRPr="00456C4A">
                              <w:rPr>
                                <w:rFonts w:eastAsia="Times New Roman" w:cs="Times New Roman"/>
                                <w:bCs/>
                                <w:color w:val="001D77"/>
                                <w:sz w:val="18"/>
                                <w:szCs w:val="18"/>
                                <w:lang w:val="en-US" w:eastAsia="pl-PL"/>
                              </w:rPr>
                              <w:t xml:space="preserve"> </w:t>
                            </w:r>
                            <w:r w:rsidR="008E770A">
                              <w:rPr>
                                <w:rFonts w:eastAsia="Times New Roman" w:cs="Times New Roman"/>
                                <w:bCs/>
                                <w:color w:val="001D77"/>
                                <w:sz w:val="18"/>
                                <w:szCs w:val="18"/>
                                <w:lang w:val="en-US" w:eastAsia="pl-PL"/>
                              </w:rPr>
                              <w:t>compared to</w:t>
                            </w:r>
                            <w:r w:rsidR="00456C4A" w:rsidRPr="00456C4A">
                              <w:rPr>
                                <w:rFonts w:eastAsia="Times New Roman" w:cs="Times New Roman"/>
                                <w:bCs/>
                                <w:color w:val="001D77"/>
                                <w:sz w:val="18"/>
                                <w:szCs w:val="18"/>
                                <w:lang w:val="en-US" w:eastAsia="pl-PL"/>
                              </w:rPr>
                              <w:t xml:space="preserve"> the previous month</w:t>
                            </w:r>
                            <w:r w:rsidR="008E770A">
                              <w:rPr>
                                <w:rFonts w:eastAsia="Times New Roman" w:cs="Times New Roman"/>
                                <w:bCs/>
                                <w:color w:val="001D77"/>
                                <w:sz w:val="18"/>
                                <w:szCs w:val="18"/>
                                <w:lang w:val="en-US" w:eastAsia="pl-PL"/>
                              </w:rPr>
                              <w:t xml:space="preserve"> by 0,</w:t>
                            </w:r>
                            <w:r w:rsidR="008E0088">
                              <w:rPr>
                                <w:rFonts w:eastAsia="Times New Roman" w:cs="Times New Roman"/>
                                <w:bCs/>
                                <w:color w:val="001D77"/>
                                <w:sz w:val="18"/>
                                <w:szCs w:val="18"/>
                                <w:lang w:val="en-US" w:eastAsia="pl-PL"/>
                              </w:rPr>
                              <w:t>3</w:t>
                            </w:r>
                            <w:r w:rsidR="008E770A">
                              <w:rPr>
                                <w:rFonts w:eastAsia="Times New Roman" w:cs="Times New Roman"/>
                                <w:bCs/>
                                <w:color w:val="001D77"/>
                                <w:sz w:val="18"/>
                                <w:szCs w:val="18"/>
                                <w:lang w:val="en-US" w:eastAsia="pl-PL"/>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2768B46" id="_x0000_t202" coordsize="21600,21600" o:spt="202" path="m,l,21600r21600,l21600,xe">
                <v:stroke joinstyle="miter"/>
                <v:path gradientshapeok="t" o:connecttype="rect"/>
              </v:shapetype>
              <v:shape id="_x0000_s1027" type="#_x0000_t202" alt="The prices of construction and assembly production in November 2025 increased compared to the previous month by 0,3%" style="position:absolute;left:0;text-align:left;margin-left:414.6pt;margin-top:78.9pt;width:135.85pt;height:92.4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" filled="f" stroked="f">
                <v:textbox>
                  <w:txbxContent>
                    <w:p w14:paraId="1D7CC4EB" w14:textId="09794317" w:rsidR="005E63D5" w:rsidRPr="00533B8F" w:rsidRDefault="00C1692B" w:rsidP="005E63D5">
                      <w:pPr>
                        <w:spacing w:after="0"/>
                        <w:rPr>
                          <w:bCs/>
                          <w:lang w:val="en-US"/>
                        </w:rPr>
                      </w:pPr>
                      <w:r>
                        <w:rPr>
                          <w:rFonts w:eastAsia="Times New Roman" w:cs="Times New Roman"/>
                          <w:bCs/>
                          <w:color w:val="001D77"/>
                          <w:sz w:val="18"/>
                          <w:szCs w:val="18"/>
                          <w:lang w:val="en-US" w:eastAsia="pl-PL"/>
                        </w:rPr>
                        <w:t>The</w:t>
                      </w:r>
                      <w:r w:rsidR="005E63D5" w:rsidRPr="008D3318">
                        <w:rPr>
                          <w:rFonts w:eastAsia="Times New Roman" w:cs="Times New Roman"/>
                          <w:bCs/>
                          <w:color w:val="001D77"/>
                          <w:sz w:val="18"/>
                          <w:szCs w:val="18"/>
                          <w:lang w:val="en-US" w:eastAsia="pl-PL"/>
                        </w:rPr>
                        <w:t xml:space="preserve"> prices</w:t>
                      </w:r>
                      <w:r w:rsidR="005E63D5">
                        <w:rPr>
                          <w:rFonts w:eastAsia="Times New Roman" w:cs="Times New Roman"/>
                          <w:bCs/>
                          <w:color w:val="001D77"/>
                          <w:sz w:val="18"/>
                          <w:szCs w:val="18"/>
                          <w:lang w:val="en-US" w:eastAsia="pl-PL"/>
                        </w:rPr>
                        <w:t xml:space="preserve"> </w:t>
                      </w:r>
                      <w:r w:rsidR="005E63D5" w:rsidRPr="008D3318">
                        <w:rPr>
                          <w:rFonts w:eastAsia="Times New Roman" w:cs="Times New Roman"/>
                          <w:bCs/>
                          <w:color w:val="001D77"/>
                          <w:sz w:val="18"/>
                          <w:szCs w:val="18"/>
                          <w:lang w:val="en-US" w:eastAsia="pl-PL"/>
                        </w:rPr>
                        <w:t>of</w:t>
                      </w:r>
                      <w:r w:rsidR="005E63D5">
                        <w:rPr>
                          <w:rFonts w:eastAsia="Times New Roman" w:cs="Times New Roman"/>
                          <w:bCs/>
                          <w:color w:val="001D77"/>
                          <w:sz w:val="18"/>
                          <w:szCs w:val="18"/>
                          <w:lang w:val="en-US" w:eastAsia="pl-PL"/>
                        </w:rPr>
                        <w:t> </w:t>
                      </w:r>
                      <w:r w:rsidR="005E63D5" w:rsidRPr="008D3318">
                        <w:rPr>
                          <w:rFonts w:eastAsia="Times New Roman" w:cs="Times New Roman"/>
                          <w:bCs/>
                          <w:color w:val="001D77"/>
                          <w:sz w:val="18"/>
                          <w:szCs w:val="18"/>
                          <w:lang w:val="en-US" w:eastAsia="pl-PL"/>
                        </w:rPr>
                        <w:t>construction</w:t>
                      </w:r>
                      <w:r w:rsidR="005E63D5">
                        <w:rPr>
                          <w:rFonts w:eastAsia="Times New Roman" w:cs="Times New Roman"/>
                          <w:bCs/>
                          <w:color w:val="001D77"/>
                          <w:sz w:val="18"/>
                          <w:szCs w:val="18"/>
                          <w:lang w:val="en-US" w:eastAsia="pl-PL"/>
                        </w:rPr>
                        <w:t xml:space="preserve"> and assembly </w:t>
                      </w:r>
                      <w:r>
                        <w:rPr>
                          <w:rFonts w:eastAsia="Times New Roman" w:cs="Times New Roman"/>
                          <w:bCs/>
                          <w:color w:val="001D77"/>
                          <w:sz w:val="18"/>
                          <w:szCs w:val="18"/>
                          <w:lang w:val="en-US" w:eastAsia="pl-PL"/>
                        </w:rPr>
                        <w:t xml:space="preserve">production </w:t>
                      </w:r>
                      <w:r w:rsidRPr="00C1692B">
                        <w:rPr>
                          <w:rFonts w:eastAsia="Times New Roman" w:cs="Times New Roman"/>
                          <w:bCs/>
                          <w:color w:val="001D77"/>
                          <w:sz w:val="18"/>
                          <w:szCs w:val="18"/>
                          <w:lang w:val="en-US" w:eastAsia="pl-PL"/>
                        </w:rPr>
                        <w:t xml:space="preserve">in </w:t>
                      </w:r>
                      <w:r w:rsidR="008E0088">
                        <w:rPr>
                          <w:rFonts w:eastAsia="Times New Roman" w:cs="Times New Roman"/>
                          <w:bCs/>
                          <w:color w:val="001D77"/>
                          <w:sz w:val="18"/>
                          <w:szCs w:val="18"/>
                          <w:lang w:val="en-US" w:eastAsia="pl-PL"/>
                        </w:rPr>
                        <w:t>November</w:t>
                      </w:r>
                      <w:r w:rsidR="005E6398">
                        <w:rPr>
                          <w:rFonts w:eastAsia="Times New Roman" w:cs="Times New Roman"/>
                          <w:bCs/>
                          <w:color w:val="001D77"/>
                          <w:sz w:val="18"/>
                          <w:szCs w:val="18"/>
                          <w:lang w:val="en-US" w:eastAsia="pl-PL"/>
                        </w:rPr>
                        <w:t xml:space="preserve"> </w:t>
                      </w:r>
                      <w:r w:rsidRPr="00C1692B">
                        <w:rPr>
                          <w:rFonts w:eastAsia="Times New Roman" w:cs="Times New Roman"/>
                          <w:bCs/>
                          <w:color w:val="001D77"/>
                          <w:sz w:val="18"/>
                          <w:szCs w:val="18"/>
                          <w:lang w:val="en-US" w:eastAsia="pl-PL"/>
                        </w:rPr>
                        <w:t xml:space="preserve">2025 </w:t>
                      </w:r>
                      <w:r w:rsidR="008E770A">
                        <w:rPr>
                          <w:rFonts w:eastAsia="Times New Roman" w:cs="Times New Roman"/>
                          <w:bCs/>
                          <w:color w:val="001D77"/>
                          <w:sz w:val="18"/>
                          <w:szCs w:val="18"/>
                          <w:lang w:val="en-US" w:eastAsia="pl-PL"/>
                        </w:rPr>
                        <w:t>increased</w:t>
                      </w:r>
                      <w:r w:rsidR="00456C4A" w:rsidRPr="00456C4A">
                        <w:rPr>
                          <w:rFonts w:eastAsia="Times New Roman" w:cs="Times New Roman"/>
                          <w:bCs/>
                          <w:color w:val="001D77"/>
                          <w:sz w:val="18"/>
                          <w:szCs w:val="18"/>
                          <w:lang w:val="en-US" w:eastAsia="pl-PL"/>
                        </w:rPr>
                        <w:t xml:space="preserve"> </w:t>
                      </w:r>
                      <w:r w:rsidR="008E770A">
                        <w:rPr>
                          <w:rFonts w:eastAsia="Times New Roman" w:cs="Times New Roman"/>
                          <w:bCs/>
                          <w:color w:val="001D77"/>
                          <w:sz w:val="18"/>
                          <w:szCs w:val="18"/>
                          <w:lang w:val="en-US" w:eastAsia="pl-PL"/>
                        </w:rPr>
                        <w:t>compared to</w:t>
                      </w:r>
                      <w:r w:rsidR="00456C4A" w:rsidRPr="00456C4A">
                        <w:rPr>
                          <w:rFonts w:eastAsia="Times New Roman" w:cs="Times New Roman"/>
                          <w:bCs/>
                          <w:color w:val="001D77"/>
                          <w:sz w:val="18"/>
                          <w:szCs w:val="18"/>
                          <w:lang w:val="en-US" w:eastAsia="pl-PL"/>
                        </w:rPr>
                        <w:t xml:space="preserve"> the previous month</w:t>
                      </w:r>
                      <w:r w:rsidR="008E770A">
                        <w:rPr>
                          <w:rFonts w:eastAsia="Times New Roman" w:cs="Times New Roman"/>
                          <w:bCs/>
                          <w:color w:val="001D77"/>
                          <w:sz w:val="18"/>
                          <w:szCs w:val="18"/>
                          <w:lang w:val="en-US" w:eastAsia="pl-PL"/>
                        </w:rPr>
                        <w:t xml:space="preserve"> by 0,</w:t>
                      </w:r>
                      <w:r w:rsidR="008E0088">
                        <w:rPr>
                          <w:rFonts w:eastAsia="Times New Roman" w:cs="Times New Roman"/>
                          <w:bCs/>
                          <w:color w:val="001D77"/>
                          <w:sz w:val="18"/>
                          <w:szCs w:val="18"/>
                          <w:lang w:val="en-US" w:eastAsia="pl-PL"/>
                        </w:rPr>
                        <w:t>3</w:t>
                      </w:r>
                      <w:r w:rsidR="008E770A">
                        <w:rPr>
                          <w:rFonts w:eastAsia="Times New Roman" w:cs="Times New Roman"/>
                          <w:bCs/>
                          <w:color w:val="001D77"/>
                          <w:sz w:val="18"/>
                          <w:szCs w:val="18"/>
                          <w:lang w:val="en-US" w:eastAsia="pl-PL"/>
                        </w:rPr>
                        <w:t>%</w:t>
                      </w:r>
                    </w:p>
                  </w:txbxContent>
                </v:textbox>
                <w10:wrap type="tight"/>
              </v:shape>
            </w:pict>
          </mc:Fallback>
        </mc:AlternateContent>
      </w:r>
      <w:r w:rsidR="005E63D5" w:rsidRPr="00533B8F">
        <w:rPr>
          <w:rFonts w:ascii="Fira Sans SemiBold" w:eastAsia="Times New Roman" w:hAnsi="Fira Sans SemiBold" w:cs="Times New Roman"/>
          <w:bCs/>
          <w:noProof/>
          <w:spacing w:val="0"/>
          <w:szCs w:val="18"/>
          <w:lang w:val="en-US" w:eastAsia="pl-PL"/>
        </w:rPr>
        <w:t xml:space="preserve">Chart 1. Prices changes of construction and assembly production </w:t>
      </w:r>
      <w:r w:rsidR="00605DD2" w:rsidRPr="00605DD2">
        <w:rPr>
          <w:rFonts w:ascii="Fira Sans SemiBold" w:eastAsia="Times New Roman" w:hAnsi="Fira Sans SemiBold" w:cs="Times New Roman"/>
          <w:bCs/>
          <w:noProof/>
          <w:spacing w:val="0"/>
          <w:szCs w:val="18"/>
          <w:lang w:val="en-US" w:eastAsia="pl-PL"/>
        </w:rPr>
        <w:t>compared to the previous month</w:t>
      </w:r>
    </w:p>
    <w:p w14:paraId="4E1E1952" w14:textId="77777777" w:rsidR="005E63D5" w:rsidRPr="00AE49FD" w:rsidRDefault="00EB2C0D" w:rsidP="00AE49FD">
      <w:pPr>
        <w:rPr>
          <w:lang w:val="en-US"/>
        </w:rPr>
      </w:pPr>
      <w:r>
        <w:rPr>
          <w:rFonts w:ascii="Fira Sans SemiBold" w:eastAsia="Times New Roman" w:hAnsi="Fira Sans SemiBold" w:cs="Times New Roman"/>
          <w:b/>
          <w:bCs/>
          <w:noProof/>
          <w:szCs w:val="18"/>
          <w:lang w:eastAsia="pl-PL"/>
        </w:rPr>
        <w:drawing>
          <wp:anchor distT="0" distB="0" distL="114300" distR="114300" simplePos="0" relativeHeight="251760640" behindDoc="0" locked="0" layoutInCell="1" allowOverlap="1" wp14:anchorId="529B21D3" wp14:editId="50D3DB9F">
            <wp:simplePos x="0" y="0"/>
            <wp:positionH relativeFrom="margin">
              <wp:align>right</wp:align>
            </wp:positionH>
            <wp:positionV relativeFrom="paragraph">
              <wp:posOffset>323215</wp:posOffset>
            </wp:positionV>
            <wp:extent cx="5122545" cy="3192780"/>
            <wp:effectExtent l="0" t="0" r="0" b="0"/>
            <wp:wrapTopAndBottom/>
            <wp:docPr id="3" name="Wykres 3" descr="Chart 1. Prices changes of construction and assembly production compared to the previous month "/>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V relativeFrom="margin">
              <wp14:pctHeight>0</wp14:pctHeight>
            </wp14:sizeRelV>
          </wp:anchor>
        </w:drawing>
      </w:r>
    </w:p>
    <w:p w14:paraId="73BE36FA" w14:textId="77777777" w:rsidR="005E63D5" w:rsidRDefault="005E63D5" w:rsidP="00AE49FD">
      <w:pPr>
        <w:rPr>
          <w:lang w:val="en-US"/>
        </w:rPr>
      </w:pPr>
    </w:p>
    <w:p w14:paraId="63500D01" w14:textId="77777777" w:rsidR="00AE49FD" w:rsidRPr="00AE49FD" w:rsidRDefault="00AE49FD" w:rsidP="00AE49FD">
      <w:pPr>
        <w:rPr>
          <w:lang w:val="en-US"/>
        </w:rPr>
      </w:pPr>
    </w:p>
    <w:p w14:paraId="110FC6B1" w14:textId="77777777" w:rsidR="00283B2F" w:rsidRPr="00AE49FD" w:rsidRDefault="00283B2F" w:rsidP="00AE49FD">
      <w:pPr>
        <w:rPr>
          <w:lang w:val="en-US"/>
        </w:rPr>
      </w:pPr>
    </w:p>
    <w:p w14:paraId="25463A49" w14:textId="77777777" w:rsidR="005E63D5" w:rsidRDefault="001C75A8" w:rsidP="00605DD2">
      <w:pPr>
        <w:pStyle w:val="tytuwykresu"/>
        <w:ind w:left="709" w:hanging="709"/>
        <w:rPr>
          <w:rFonts w:ascii="Fira Sans SemiBold" w:eastAsia="Times New Roman" w:hAnsi="Fira Sans SemiBold" w:cs="Times New Roman"/>
          <w:bCs/>
          <w:noProof/>
          <w:spacing w:val="0"/>
          <w:szCs w:val="18"/>
          <w:lang w:val="en-US" w:eastAsia="pl-PL"/>
        </w:rPr>
      </w:pPr>
      <w:r w:rsidRPr="00FE68D6">
        <w:rPr>
          <w:rFonts w:ascii="Fira Sans SemiBold" w:eastAsia="Times New Roman" w:hAnsi="Fira Sans SemiBold" w:cs="Times New Roman"/>
          <w:bCs/>
          <w:noProof/>
          <w:spacing w:val="0"/>
          <w:szCs w:val="18"/>
          <w:lang w:eastAsia="pl-PL"/>
        </w:rPr>
        <mc:AlternateContent>
          <mc:Choice Requires="wps">
            <w:drawing>
              <wp:anchor distT="45720" distB="45720" distL="114300" distR="114300" simplePos="0" relativeHeight="251659264" behindDoc="1" locked="0" layoutInCell="1" allowOverlap="1" wp14:anchorId="15B73AA8" wp14:editId="0E333F8E">
                <wp:simplePos x="0" y="0"/>
                <wp:positionH relativeFrom="column">
                  <wp:posOffset>5318760</wp:posOffset>
                </wp:positionH>
                <wp:positionV relativeFrom="paragraph">
                  <wp:posOffset>1272540</wp:posOffset>
                </wp:positionV>
                <wp:extent cx="1661795" cy="922020"/>
                <wp:effectExtent l="0" t="0" r="0" b="0"/>
                <wp:wrapTight wrapText="bothSides">
                  <wp:wrapPolygon edited="0">
                    <wp:start x="743" y="0"/>
                    <wp:lineTo x="743" y="20975"/>
                    <wp:lineTo x="20799" y="20975"/>
                    <wp:lineTo x="20799" y="0"/>
                    <wp:lineTo x="743" y="0"/>
                  </wp:wrapPolygon>
                </wp:wrapTight>
                <wp:docPr id="4" name="Pole tekstowe 4" descr="In November 2025 increase in construction and assembly production prices on an annual terms was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1795" cy="922020"/>
                        </a:xfrm>
                        <a:prstGeom prst="rect">
                          <a:avLst/>
                        </a:prstGeom>
                        <a:noFill/>
                        <a:ln w="9525">
                          <a:noFill/>
                          <a:miter lim="800000"/>
                          <a:headEnd/>
                          <a:tailEnd/>
                        </a:ln>
                      </wps:spPr>
                      <wps:txbx>
                        <w:txbxContent>
                          <w:p w14:paraId="1ACCBC0C" w14:textId="2F65E8BD" w:rsidR="00242B37" w:rsidRPr="001C75A8" w:rsidRDefault="00242B37" w:rsidP="001C75A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imes New Roman"/>
                                <w:bCs/>
                                <w:color w:val="001D77"/>
                                <w:sz w:val="18"/>
                                <w:szCs w:val="18"/>
                                <w:lang w:val="en-US" w:eastAsia="pl-PL"/>
                              </w:rPr>
                            </w:pPr>
                            <w:r w:rsidRPr="00242B37">
                              <w:rPr>
                                <w:rFonts w:eastAsia="Times New Roman" w:cs="Times New Roman"/>
                                <w:bCs/>
                                <w:color w:val="001D77"/>
                                <w:sz w:val="18"/>
                                <w:szCs w:val="18"/>
                                <w:lang w:val="en-US" w:eastAsia="pl-PL"/>
                              </w:rPr>
                              <w:t xml:space="preserve">In </w:t>
                            </w:r>
                            <w:r w:rsidR="008E0088">
                              <w:rPr>
                                <w:rFonts w:eastAsia="Times New Roman" w:cs="Times New Roman"/>
                                <w:bCs/>
                                <w:color w:val="001D77"/>
                                <w:sz w:val="18"/>
                                <w:szCs w:val="18"/>
                                <w:lang w:val="en-US" w:eastAsia="pl-PL"/>
                              </w:rPr>
                              <w:t>November</w:t>
                            </w:r>
                            <w:r w:rsidRPr="00242B37">
                              <w:rPr>
                                <w:rFonts w:eastAsia="Times New Roman" w:cs="Times New Roman"/>
                                <w:bCs/>
                                <w:color w:val="001D77"/>
                                <w:sz w:val="18"/>
                                <w:szCs w:val="18"/>
                                <w:lang w:val="en-US" w:eastAsia="pl-PL"/>
                              </w:rPr>
                              <w:t xml:space="preserve"> 2025</w:t>
                            </w:r>
                            <w:r>
                              <w:rPr>
                                <w:rFonts w:eastAsia="Times New Roman" w:cs="Times New Roman"/>
                                <w:bCs/>
                                <w:color w:val="001D77"/>
                                <w:sz w:val="18"/>
                                <w:szCs w:val="18"/>
                                <w:lang w:val="en-US" w:eastAsia="pl-PL"/>
                              </w:rPr>
                              <w:t xml:space="preserve"> </w:t>
                            </w:r>
                            <w:r w:rsidRPr="00242B37">
                              <w:rPr>
                                <w:rFonts w:eastAsia="Times New Roman" w:cs="Times New Roman"/>
                                <w:bCs/>
                                <w:color w:val="001D77"/>
                                <w:sz w:val="18"/>
                                <w:szCs w:val="18"/>
                                <w:lang w:val="en-US" w:eastAsia="pl-PL"/>
                              </w:rPr>
                              <w:t xml:space="preserve">increase in construction and assembly production prices on an annual terms was </w:t>
                            </w:r>
                            <w:r w:rsidR="008E0088">
                              <w:rPr>
                                <w:rFonts w:eastAsia="Times New Roman" w:cs="Times New Roman"/>
                                <w:bCs/>
                                <w:color w:val="001D77"/>
                                <w:sz w:val="18"/>
                                <w:szCs w:val="18"/>
                                <w:lang w:val="en-US" w:eastAsia="pl-PL"/>
                              </w:rPr>
                              <w:t>3.1</w:t>
                            </w:r>
                            <w:r w:rsidRPr="00242B37">
                              <w:rPr>
                                <w:rFonts w:eastAsia="Times New Roman" w:cs="Times New Roman"/>
                                <w:bCs/>
                                <w:color w:val="001D77"/>
                                <w:sz w:val="18"/>
                                <w:szCs w:val="18"/>
                                <w:lang w:val="en-US" w:eastAsia="pl-PL"/>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B73AA8" id="Pole tekstowe 4" o:spid="_x0000_s1028" type="#_x0000_t202" alt="In November 2025 increase in construction and assembly production prices on an annual terms was 3.1%" style="position:absolute;left:0;text-align:left;margin-left:418.8pt;margin-top:100.2pt;width:130.85pt;height:72.6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" filled="f" stroked="f">
                <v:textbox>
                  <w:txbxContent>
                    <w:p w14:paraId="1ACCBC0C" w14:textId="2F65E8BD" w:rsidR="00242B37" w:rsidRPr="001C75A8" w:rsidRDefault="00242B37" w:rsidP="001C75A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imes New Roman"/>
                          <w:bCs/>
                          <w:color w:val="001D77"/>
                          <w:sz w:val="18"/>
                          <w:szCs w:val="18"/>
                          <w:lang w:val="en-US" w:eastAsia="pl-PL"/>
                        </w:rPr>
                      </w:pPr>
                      <w:r w:rsidRPr="00242B37">
                        <w:rPr>
                          <w:rFonts w:eastAsia="Times New Roman" w:cs="Times New Roman"/>
                          <w:bCs/>
                          <w:color w:val="001D77"/>
                          <w:sz w:val="18"/>
                          <w:szCs w:val="18"/>
                          <w:lang w:val="en-US" w:eastAsia="pl-PL"/>
                        </w:rPr>
                        <w:t xml:space="preserve">In </w:t>
                      </w:r>
                      <w:r w:rsidR="008E0088">
                        <w:rPr>
                          <w:rFonts w:eastAsia="Times New Roman" w:cs="Times New Roman"/>
                          <w:bCs/>
                          <w:color w:val="001D77"/>
                          <w:sz w:val="18"/>
                          <w:szCs w:val="18"/>
                          <w:lang w:val="en-US" w:eastAsia="pl-PL"/>
                        </w:rPr>
                        <w:t>November</w:t>
                      </w:r>
                      <w:r w:rsidRPr="00242B37">
                        <w:rPr>
                          <w:rFonts w:eastAsia="Times New Roman" w:cs="Times New Roman"/>
                          <w:bCs/>
                          <w:color w:val="001D77"/>
                          <w:sz w:val="18"/>
                          <w:szCs w:val="18"/>
                          <w:lang w:val="en-US" w:eastAsia="pl-PL"/>
                        </w:rPr>
                        <w:t xml:space="preserve"> 2025</w:t>
                      </w:r>
                      <w:r>
                        <w:rPr>
                          <w:rFonts w:eastAsia="Times New Roman" w:cs="Times New Roman"/>
                          <w:bCs/>
                          <w:color w:val="001D77"/>
                          <w:sz w:val="18"/>
                          <w:szCs w:val="18"/>
                          <w:lang w:val="en-US" w:eastAsia="pl-PL"/>
                        </w:rPr>
                        <w:t xml:space="preserve"> </w:t>
                      </w:r>
                      <w:r w:rsidRPr="00242B37">
                        <w:rPr>
                          <w:rFonts w:eastAsia="Times New Roman" w:cs="Times New Roman"/>
                          <w:bCs/>
                          <w:color w:val="001D77"/>
                          <w:sz w:val="18"/>
                          <w:szCs w:val="18"/>
                          <w:lang w:val="en-US" w:eastAsia="pl-PL"/>
                        </w:rPr>
                        <w:t xml:space="preserve">increase in construction and assembly production prices on an annual terms was </w:t>
                      </w:r>
                      <w:r w:rsidR="008E0088">
                        <w:rPr>
                          <w:rFonts w:eastAsia="Times New Roman" w:cs="Times New Roman"/>
                          <w:bCs/>
                          <w:color w:val="001D77"/>
                          <w:sz w:val="18"/>
                          <w:szCs w:val="18"/>
                          <w:lang w:val="en-US" w:eastAsia="pl-PL"/>
                        </w:rPr>
                        <w:t>3.1</w:t>
                      </w:r>
                      <w:r w:rsidRPr="00242B37">
                        <w:rPr>
                          <w:rFonts w:eastAsia="Times New Roman" w:cs="Times New Roman"/>
                          <w:bCs/>
                          <w:color w:val="001D77"/>
                          <w:sz w:val="18"/>
                          <w:szCs w:val="18"/>
                          <w:lang w:val="en-US" w:eastAsia="pl-PL"/>
                        </w:rPr>
                        <w:t>%</w:t>
                      </w:r>
                    </w:p>
                  </w:txbxContent>
                </v:textbox>
                <w10:wrap type="tight"/>
              </v:shape>
            </w:pict>
          </mc:Fallback>
        </mc:AlternateContent>
      </w:r>
      <w:r w:rsidR="005E63D5" w:rsidRPr="00533B8F">
        <w:rPr>
          <w:rFonts w:ascii="Fira Sans SemiBold" w:eastAsia="Times New Roman" w:hAnsi="Fira Sans SemiBold" w:cs="Times New Roman"/>
          <w:bCs/>
          <w:noProof/>
          <w:spacing w:val="0"/>
          <w:szCs w:val="18"/>
          <w:lang w:val="en-US" w:eastAsia="pl-PL"/>
        </w:rPr>
        <w:t xml:space="preserve">Chart 2. Prices changes of construction and assembly production </w:t>
      </w:r>
      <w:r w:rsidR="00605DD2">
        <w:rPr>
          <w:rFonts w:ascii="Fira Sans SemiBold" w:eastAsia="Times New Roman" w:hAnsi="Fira Sans SemiBold" w:cs="Times New Roman"/>
          <w:bCs/>
          <w:noProof/>
          <w:spacing w:val="0"/>
          <w:szCs w:val="18"/>
          <w:lang w:val="en-US" w:eastAsia="pl-PL"/>
        </w:rPr>
        <w:t xml:space="preserve">compared to the </w:t>
      </w:r>
      <w:r w:rsidR="00962D26">
        <w:rPr>
          <w:rFonts w:ascii="Fira Sans SemiBold" w:eastAsia="Times New Roman" w:hAnsi="Fira Sans SemiBold" w:cs="Times New Roman"/>
          <w:bCs/>
          <w:noProof/>
          <w:spacing w:val="0"/>
          <w:szCs w:val="18"/>
          <w:lang w:val="en-US" w:eastAsia="pl-PL"/>
        </w:rPr>
        <w:t>corresponding</w:t>
      </w:r>
      <w:r w:rsidR="005E63D5">
        <w:rPr>
          <w:rFonts w:ascii="Fira Sans SemiBold" w:eastAsia="Times New Roman" w:hAnsi="Fira Sans SemiBold" w:cs="Times New Roman"/>
          <w:bCs/>
          <w:noProof/>
          <w:spacing w:val="0"/>
          <w:szCs w:val="18"/>
          <w:lang w:val="en-US" w:eastAsia="pl-PL"/>
        </w:rPr>
        <w:t> </w:t>
      </w:r>
      <w:r w:rsidR="005E63D5" w:rsidRPr="00533B8F">
        <w:rPr>
          <w:rFonts w:ascii="Fira Sans SemiBold" w:eastAsia="Times New Roman" w:hAnsi="Fira Sans SemiBold" w:cs="Times New Roman"/>
          <w:bCs/>
          <w:noProof/>
          <w:spacing w:val="0"/>
          <w:szCs w:val="18"/>
          <w:lang w:val="en-US" w:eastAsia="pl-PL"/>
        </w:rPr>
        <w:t>period of the previous year</w:t>
      </w:r>
    </w:p>
    <w:p w14:paraId="1236CF06" w14:textId="77777777" w:rsidR="00EF3AE8" w:rsidRDefault="00EF3AE8" w:rsidP="00605DD2">
      <w:pPr>
        <w:pStyle w:val="tytuwykresu"/>
        <w:ind w:left="709" w:hanging="709"/>
        <w:rPr>
          <w:rFonts w:ascii="Fira Sans SemiBold" w:eastAsia="Times New Roman" w:hAnsi="Fira Sans SemiBold" w:cs="Times New Roman"/>
          <w:bCs/>
          <w:noProof/>
          <w:spacing w:val="0"/>
          <w:szCs w:val="18"/>
          <w:lang w:val="en-US" w:eastAsia="pl-PL"/>
        </w:rPr>
      </w:pPr>
    </w:p>
    <w:p w14:paraId="5BB0DE1D" w14:textId="77777777" w:rsidR="00EF3AE8" w:rsidRDefault="008E3B54" w:rsidP="00605DD2">
      <w:pPr>
        <w:pStyle w:val="tytuwykresu"/>
        <w:ind w:left="709" w:hanging="709"/>
        <w:rPr>
          <w:rFonts w:ascii="Fira Sans SemiBold" w:eastAsia="Times New Roman" w:hAnsi="Fira Sans SemiBold" w:cs="Times New Roman"/>
          <w:bCs/>
          <w:noProof/>
          <w:spacing w:val="0"/>
          <w:szCs w:val="18"/>
          <w:lang w:val="en-US" w:eastAsia="pl-PL"/>
        </w:rPr>
      </w:pPr>
      <w:r>
        <w:rPr>
          <w:rFonts w:ascii="Fira Sans SemiBold" w:eastAsia="Times New Roman" w:hAnsi="Fira Sans SemiBold" w:cs="Times New Roman"/>
          <w:b w:val="0"/>
          <w:bCs/>
          <w:noProof/>
          <w:szCs w:val="18"/>
          <w:lang w:eastAsia="pl-PL"/>
        </w:rPr>
        <w:drawing>
          <wp:anchor distT="0" distB="0" distL="114300" distR="114300" simplePos="0" relativeHeight="251762688" behindDoc="0" locked="0" layoutInCell="1" allowOverlap="1" wp14:anchorId="30A5ED54" wp14:editId="7B164C78">
            <wp:simplePos x="0" y="0"/>
            <wp:positionH relativeFrom="margin">
              <wp:align>right</wp:align>
            </wp:positionH>
            <wp:positionV relativeFrom="paragraph">
              <wp:posOffset>231140</wp:posOffset>
            </wp:positionV>
            <wp:extent cx="5122545" cy="2876550"/>
            <wp:effectExtent l="0" t="0" r="1905" b="0"/>
            <wp:wrapTopAndBottom/>
            <wp:docPr id="16" name="Wykres 16" descr="Chart 2. Prices changes of construction and assembly production compared to the corresponding period of the previous yea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V relativeFrom="margin">
              <wp14:pctHeight>0</wp14:pctHeight>
            </wp14:sizeRelV>
          </wp:anchor>
        </w:drawing>
      </w:r>
    </w:p>
    <w:p w14:paraId="2B45DC92" w14:textId="77777777" w:rsidR="00654331" w:rsidRDefault="00654331" w:rsidP="00AE49FD">
      <w:pPr>
        <w:pStyle w:val="tytuwykresu"/>
        <w:rPr>
          <w:rFonts w:ascii="Fira Sans SemiBold" w:eastAsia="Times New Roman" w:hAnsi="Fira Sans SemiBold" w:cs="Times New Roman"/>
          <w:b w:val="0"/>
          <w:bCs/>
          <w:noProof/>
          <w:szCs w:val="18"/>
          <w:lang w:val="en-US" w:eastAsia="pl-PL"/>
        </w:rPr>
      </w:pPr>
      <w:r>
        <w:rPr>
          <w:rFonts w:ascii="Fira Sans SemiBold" w:eastAsia="Times New Roman" w:hAnsi="Fira Sans SemiBold" w:cs="Times New Roman"/>
          <w:bCs/>
          <w:noProof/>
          <w:szCs w:val="18"/>
          <w:lang w:val="en-US" w:eastAsia="pl-PL"/>
        </w:rPr>
        <w:br w:type="page"/>
      </w:r>
    </w:p>
    <w:p w14:paraId="322BA54E" w14:textId="77777777" w:rsidR="00BB1113" w:rsidRDefault="005E63D5" w:rsidP="003B6B47">
      <w:pPr>
        <w:pStyle w:val="tytuwykresu"/>
        <w:ind w:left="708" w:hanging="708"/>
        <w:rPr>
          <w:rFonts w:ascii="Fira Sans SemiBold" w:eastAsia="Times New Roman" w:hAnsi="Fira Sans SemiBold" w:cs="Times New Roman"/>
          <w:bCs/>
          <w:noProof/>
          <w:spacing w:val="0"/>
          <w:szCs w:val="18"/>
          <w:lang w:val="en-US" w:eastAsia="pl-PL"/>
        </w:rPr>
      </w:pPr>
      <w:r w:rsidRPr="00533B8F">
        <w:rPr>
          <w:rFonts w:ascii="Fira Sans SemiBold" w:eastAsia="Times New Roman" w:hAnsi="Fira Sans SemiBold" w:cs="Times New Roman"/>
          <w:bCs/>
          <w:noProof/>
          <w:spacing w:val="0"/>
          <w:szCs w:val="18"/>
          <w:lang w:val="en-US" w:eastAsia="pl-PL"/>
        </w:rPr>
        <w:lastRenderedPageBreak/>
        <w:t>Chart 3. Prices changes of production and assembly construction by divisions NACE</w:t>
      </w:r>
      <w:r w:rsidR="00605DD2">
        <w:rPr>
          <w:rFonts w:ascii="Fira Sans SemiBold" w:eastAsia="Times New Roman" w:hAnsi="Fira Sans SemiBold" w:cs="Times New Roman"/>
          <w:bCs/>
          <w:noProof/>
          <w:spacing w:val="0"/>
          <w:szCs w:val="18"/>
          <w:lang w:val="en-US" w:eastAsia="pl-PL"/>
        </w:rPr>
        <w:t xml:space="preserve"> compared to </w:t>
      </w:r>
    </w:p>
    <w:p w14:paraId="4F717A20" w14:textId="77777777" w:rsidR="005E63D5" w:rsidRDefault="008E3B54" w:rsidP="00BB1113">
      <w:pPr>
        <w:pStyle w:val="tytuwykresu"/>
        <w:ind w:left="708" w:firstLine="1"/>
        <w:rPr>
          <w:rFonts w:ascii="Fira Sans SemiBold" w:eastAsia="Times New Roman" w:hAnsi="Fira Sans SemiBold" w:cs="Times New Roman"/>
          <w:bCs/>
          <w:noProof/>
          <w:spacing w:val="0"/>
          <w:szCs w:val="18"/>
          <w:lang w:val="en-US" w:eastAsia="pl-PL"/>
        </w:rPr>
      </w:pPr>
      <w:r>
        <w:rPr>
          <w:rFonts w:ascii="Fira Sans SemiBold" w:eastAsia="Times New Roman" w:hAnsi="Fira Sans SemiBold" w:cs="Times New Roman"/>
          <w:b w:val="0"/>
          <w:bCs/>
          <w:noProof/>
          <w:szCs w:val="18"/>
          <w:lang w:eastAsia="pl-PL"/>
        </w:rPr>
        <w:drawing>
          <wp:anchor distT="0" distB="0" distL="114300" distR="114300" simplePos="0" relativeHeight="251764736" behindDoc="0" locked="0" layoutInCell="1" allowOverlap="1" wp14:anchorId="3F71B725" wp14:editId="5F00AB1F">
            <wp:simplePos x="0" y="0"/>
            <wp:positionH relativeFrom="margin">
              <wp:align>center</wp:align>
            </wp:positionH>
            <wp:positionV relativeFrom="paragraph">
              <wp:posOffset>323850</wp:posOffset>
            </wp:positionV>
            <wp:extent cx="5223600" cy="3772800"/>
            <wp:effectExtent l="0" t="0" r="0" b="0"/>
            <wp:wrapTopAndBottom/>
            <wp:docPr id="17" name="Wykres 17" descr="Chart 3. Prices changes of production and assembly construction by divisions NACE compared to December 20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5E63D5" w:rsidRPr="00533B8F">
        <w:rPr>
          <w:rFonts w:ascii="Fira Sans SemiBold" w:eastAsia="Times New Roman" w:hAnsi="Fira Sans SemiBold" w:cs="Times New Roman"/>
          <w:bCs/>
          <w:noProof/>
          <w:spacing w:val="0"/>
          <w:szCs w:val="18"/>
          <w:lang w:val="en-US" w:eastAsia="pl-PL"/>
        </w:rPr>
        <w:t>December 202</w:t>
      </w:r>
      <w:r w:rsidR="003A690D">
        <w:rPr>
          <w:rFonts w:ascii="Fira Sans SemiBold" w:eastAsia="Times New Roman" w:hAnsi="Fira Sans SemiBold" w:cs="Times New Roman"/>
          <w:bCs/>
          <w:noProof/>
          <w:spacing w:val="0"/>
          <w:szCs w:val="18"/>
          <w:lang w:val="en-US" w:eastAsia="pl-PL"/>
        </w:rPr>
        <w:t>3</w:t>
      </w:r>
    </w:p>
    <w:p w14:paraId="4F6700D4" w14:textId="77777777" w:rsidR="00180E0E" w:rsidRPr="005E63D5" w:rsidRDefault="00F5243E" w:rsidP="003F12F0">
      <w:pPr>
        <w:pStyle w:val="tytuwykresu"/>
        <w:ind w:left="567" w:hanging="567"/>
        <w:rPr>
          <w:lang w:val="en-US"/>
        </w:rPr>
      </w:pPr>
      <w:r w:rsidRPr="00F368F2">
        <w:rPr>
          <w:rFonts w:ascii="Fira Sans SemiBold" w:eastAsia="Times New Roman" w:hAnsi="Fira Sans SemiBold" w:cs="Times New Roman"/>
          <w:bCs/>
          <w:noProof/>
          <w:spacing w:val="0"/>
          <w:szCs w:val="18"/>
          <w:lang w:eastAsia="pl-PL"/>
        </w:rPr>
        <mc:AlternateContent>
          <mc:Choice Requires="wps">
            <w:drawing>
              <wp:anchor distT="45720" distB="45720" distL="114300" distR="114300" simplePos="0" relativeHeight="251660288" behindDoc="1" locked="0" layoutInCell="1" allowOverlap="1" wp14:anchorId="783C466E" wp14:editId="3EA7EB89">
                <wp:simplePos x="0" y="0"/>
                <wp:positionH relativeFrom="page">
                  <wp:posOffset>5760720</wp:posOffset>
                </wp:positionH>
                <wp:positionV relativeFrom="paragraph">
                  <wp:posOffset>749300</wp:posOffset>
                </wp:positionV>
                <wp:extent cx="1725295" cy="1188720"/>
                <wp:effectExtent l="0" t="0" r="0" b="0"/>
                <wp:wrapTight wrapText="bothSides">
                  <wp:wrapPolygon edited="0">
                    <wp:start x="715" y="0"/>
                    <wp:lineTo x="715" y="21115"/>
                    <wp:lineTo x="20749" y="21115"/>
                    <wp:lineTo x="20749" y="0"/>
                    <wp:lineTo x="715" y="0"/>
                  </wp:wrapPolygon>
                </wp:wrapTight>
                <wp:docPr id="18" name="Pole tekstowe 18" descr="Among the construction divisions, in November 2025 compared to December 2023, the prices increased the most in the construction of civil engineering (by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188720"/>
                        </a:xfrm>
                        <a:prstGeom prst="rect">
                          <a:avLst/>
                        </a:prstGeom>
                        <a:noFill/>
                        <a:ln w="9525">
                          <a:noFill/>
                          <a:miter lim="800000"/>
                          <a:headEnd/>
                          <a:tailEnd/>
                        </a:ln>
                      </wps:spPr>
                      <wps:txbx>
                        <w:txbxContent>
                          <w:p w14:paraId="0BFC00BC" w14:textId="3997A45D" w:rsidR="005E63D5" w:rsidRPr="00F5243E" w:rsidRDefault="00BB1113" w:rsidP="005E63D5">
                            <w:pPr>
                              <w:spacing w:after="0"/>
                              <w:rPr>
                                <w:rFonts w:eastAsia="Times New Roman" w:cs="Times New Roman"/>
                                <w:bCs/>
                                <w:color w:val="001D77"/>
                                <w:sz w:val="18"/>
                                <w:szCs w:val="18"/>
                                <w:lang w:val="en-US" w:eastAsia="pl-PL"/>
                              </w:rPr>
                            </w:pPr>
                            <w:r w:rsidRPr="00BB1113">
                              <w:rPr>
                                <w:rFonts w:eastAsia="Times New Roman" w:cs="Times New Roman"/>
                                <w:bCs/>
                                <w:color w:val="001D77"/>
                                <w:sz w:val="18"/>
                                <w:szCs w:val="18"/>
                                <w:lang w:val="en-US" w:eastAsia="pl-PL"/>
                              </w:rPr>
                              <w:t xml:space="preserve">Among the construction </w:t>
                            </w:r>
                            <w:r>
                              <w:rPr>
                                <w:rFonts w:eastAsia="Times New Roman" w:cs="Times New Roman"/>
                                <w:bCs/>
                                <w:color w:val="001D77"/>
                                <w:sz w:val="18"/>
                                <w:szCs w:val="18"/>
                                <w:lang w:val="en-US" w:eastAsia="pl-PL"/>
                              </w:rPr>
                              <w:t>divisions</w:t>
                            </w:r>
                            <w:r w:rsidRPr="00BB1113">
                              <w:rPr>
                                <w:rFonts w:eastAsia="Times New Roman" w:cs="Times New Roman"/>
                                <w:bCs/>
                                <w:color w:val="001D77"/>
                                <w:sz w:val="18"/>
                                <w:szCs w:val="18"/>
                                <w:lang w:val="en-US" w:eastAsia="pl-PL"/>
                              </w:rPr>
                              <w:t xml:space="preserve">, in </w:t>
                            </w:r>
                            <w:r w:rsidR="008E0088">
                              <w:rPr>
                                <w:rFonts w:eastAsia="Times New Roman" w:cs="Times New Roman"/>
                                <w:bCs/>
                                <w:color w:val="001D77"/>
                                <w:sz w:val="18"/>
                                <w:szCs w:val="18"/>
                                <w:lang w:val="en-US" w:eastAsia="pl-PL"/>
                              </w:rPr>
                              <w:t>November</w:t>
                            </w:r>
                            <w:r w:rsidRPr="00BB1113">
                              <w:rPr>
                                <w:rFonts w:eastAsia="Times New Roman" w:cs="Times New Roman"/>
                                <w:bCs/>
                                <w:color w:val="001D77"/>
                                <w:sz w:val="18"/>
                                <w:szCs w:val="18"/>
                                <w:lang w:val="en-US" w:eastAsia="pl-PL"/>
                              </w:rPr>
                              <w:t xml:space="preserve"> 2025 compared to December 202</w:t>
                            </w:r>
                            <w:r w:rsidR="003A690D">
                              <w:rPr>
                                <w:rFonts w:eastAsia="Times New Roman" w:cs="Times New Roman"/>
                                <w:bCs/>
                                <w:color w:val="001D77"/>
                                <w:sz w:val="18"/>
                                <w:szCs w:val="18"/>
                                <w:lang w:val="en-US" w:eastAsia="pl-PL"/>
                              </w:rPr>
                              <w:t>3</w:t>
                            </w:r>
                            <w:r w:rsidRPr="00BB1113">
                              <w:rPr>
                                <w:rFonts w:eastAsia="Times New Roman" w:cs="Times New Roman"/>
                                <w:bCs/>
                                <w:color w:val="001D77"/>
                                <w:sz w:val="18"/>
                                <w:szCs w:val="18"/>
                                <w:lang w:val="en-US" w:eastAsia="pl-PL"/>
                              </w:rPr>
                              <w:t xml:space="preserve">, the prices increased the most in the construction of civil engineering (by </w:t>
                            </w:r>
                            <w:r w:rsidR="00BA0ED1">
                              <w:rPr>
                                <w:rFonts w:eastAsia="Times New Roman" w:cs="Times New Roman"/>
                                <w:bCs/>
                                <w:color w:val="001D77"/>
                                <w:sz w:val="18"/>
                                <w:szCs w:val="18"/>
                                <w:lang w:val="en-US" w:eastAsia="pl-PL"/>
                              </w:rPr>
                              <w:t>7.2</w:t>
                            </w:r>
                            <w:r w:rsidRPr="00BB1113">
                              <w:rPr>
                                <w:rFonts w:eastAsia="Times New Roman" w:cs="Times New Roman"/>
                                <w:bCs/>
                                <w:color w:val="001D77"/>
                                <w:sz w:val="18"/>
                                <w:szCs w:val="18"/>
                                <w:lang w:val="en-US" w:eastAsia="pl-PL"/>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3C466E" id="Pole tekstowe 18" o:spid="_x0000_s1029" type="#_x0000_t202" alt="Among the construction divisions, in November 2025 compared to December 2023, the prices increased the most in the construction of civil engineering (by 7.2%)" style="position:absolute;left:0;text-align:left;margin-left:453.6pt;margin-top:59pt;width:135.85pt;height:93.6pt;z-index:-25165619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" filled="f" stroked="f">
                <v:textbox>
                  <w:txbxContent>
                    <w:p w14:paraId="0BFC00BC" w14:textId="3997A45D" w:rsidR="005E63D5" w:rsidRPr="00F5243E" w:rsidRDefault="00BB1113" w:rsidP="005E63D5">
                      <w:pPr>
                        <w:spacing w:after="0"/>
                        <w:rPr>
                          <w:rFonts w:eastAsia="Times New Roman" w:cs="Times New Roman"/>
                          <w:bCs/>
                          <w:color w:val="001D77"/>
                          <w:sz w:val="18"/>
                          <w:szCs w:val="18"/>
                          <w:lang w:val="en-US" w:eastAsia="pl-PL"/>
                        </w:rPr>
                      </w:pPr>
                      <w:r w:rsidRPr="00BB1113">
                        <w:rPr>
                          <w:rFonts w:eastAsia="Times New Roman" w:cs="Times New Roman"/>
                          <w:bCs/>
                          <w:color w:val="001D77"/>
                          <w:sz w:val="18"/>
                          <w:szCs w:val="18"/>
                          <w:lang w:val="en-US" w:eastAsia="pl-PL"/>
                        </w:rPr>
                        <w:t xml:space="preserve">Among the construction </w:t>
                      </w:r>
                      <w:r>
                        <w:rPr>
                          <w:rFonts w:eastAsia="Times New Roman" w:cs="Times New Roman"/>
                          <w:bCs/>
                          <w:color w:val="001D77"/>
                          <w:sz w:val="18"/>
                          <w:szCs w:val="18"/>
                          <w:lang w:val="en-US" w:eastAsia="pl-PL"/>
                        </w:rPr>
                        <w:t>divisions</w:t>
                      </w:r>
                      <w:r w:rsidRPr="00BB1113">
                        <w:rPr>
                          <w:rFonts w:eastAsia="Times New Roman" w:cs="Times New Roman"/>
                          <w:bCs/>
                          <w:color w:val="001D77"/>
                          <w:sz w:val="18"/>
                          <w:szCs w:val="18"/>
                          <w:lang w:val="en-US" w:eastAsia="pl-PL"/>
                        </w:rPr>
                        <w:t xml:space="preserve">, in </w:t>
                      </w:r>
                      <w:r w:rsidR="008E0088">
                        <w:rPr>
                          <w:rFonts w:eastAsia="Times New Roman" w:cs="Times New Roman"/>
                          <w:bCs/>
                          <w:color w:val="001D77"/>
                          <w:sz w:val="18"/>
                          <w:szCs w:val="18"/>
                          <w:lang w:val="en-US" w:eastAsia="pl-PL"/>
                        </w:rPr>
                        <w:t>November</w:t>
                      </w:r>
                      <w:r w:rsidRPr="00BB1113">
                        <w:rPr>
                          <w:rFonts w:eastAsia="Times New Roman" w:cs="Times New Roman"/>
                          <w:bCs/>
                          <w:color w:val="001D77"/>
                          <w:sz w:val="18"/>
                          <w:szCs w:val="18"/>
                          <w:lang w:val="en-US" w:eastAsia="pl-PL"/>
                        </w:rPr>
                        <w:t xml:space="preserve"> 2025 compared to December 202</w:t>
                      </w:r>
                      <w:r w:rsidR="003A690D">
                        <w:rPr>
                          <w:rFonts w:eastAsia="Times New Roman" w:cs="Times New Roman"/>
                          <w:bCs/>
                          <w:color w:val="001D77"/>
                          <w:sz w:val="18"/>
                          <w:szCs w:val="18"/>
                          <w:lang w:val="en-US" w:eastAsia="pl-PL"/>
                        </w:rPr>
                        <w:t>3</w:t>
                      </w:r>
                      <w:r w:rsidRPr="00BB1113">
                        <w:rPr>
                          <w:rFonts w:eastAsia="Times New Roman" w:cs="Times New Roman"/>
                          <w:bCs/>
                          <w:color w:val="001D77"/>
                          <w:sz w:val="18"/>
                          <w:szCs w:val="18"/>
                          <w:lang w:val="en-US" w:eastAsia="pl-PL"/>
                        </w:rPr>
                        <w:t xml:space="preserve">, the prices increased the most in the construction of civil engineering (by </w:t>
                      </w:r>
                      <w:r w:rsidR="00BA0ED1">
                        <w:rPr>
                          <w:rFonts w:eastAsia="Times New Roman" w:cs="Times New Roman"/>
                          <w:bCs/>
                          <w:color w:val="001D77"/>
                          <w:sz w:val="18"/>
                          <w:szCs w:val="18"/>
                          <w:lang w:val="en-US" w:eastAsia="pl-PL"/>
                        </w:rPr>
                        <w:t>7.2</w:t>
                      </w:r>
                      <w:r w:rsidRPr="00BB1113">
                        <w:rPr>
                          <w:rFonts w:eastAsia="Times New Roman" w:cs="Times New Roman"/>
                          <w:bCs/>
                          <w:color w:val="001D77"/>
                          <w:sz w:val="18"/>
                          <w:szCs w:val="18"/>
                          <w:lang w:val="en-US" w:eastAsia="pl-PL"/>
                        </w:rPr>
                        <w:t>%)</w:t>
                      </w:r>
                    </w:p>
                  </w:txbxContent>
                </v:textbox>
                <w10:wrap type="tight" anchorx="page"/>
              </v:shape>
            </w:pict>
          </mc:Fallback>
        </mc:AlternateContent>
      </w:r>
    </w:p>
    <w:p w14:paraId="3D97B1BD" w14:textId="77777777" w:rsidR="0063306B" w:rsidRDefault="0063306B" w:rsidP="00180E0E">
      <w:pPr>
        <w:spacing w:line="288" w:lineRule="auto"/>
        <w:rPr>
          <w:rFonts w:eastAsia="Times New Roman" w:cs="Times New Roman"/>
          <w:szCs w:val="19"/>
          <w:lang w:val="en-US" w:eastAsia="pl-PL"/>
        </w:rPr>
      </w:pPr>
    </w:p>
    <w:p w14:paraId="7F8A68A3" w14:textId="77777777" w:rsidR="004859DB" w:rsidRDefault="004859DB" w:rsidP="00180E0E">
      <w:pPr>
        <w:spacing w:line="288" w:lineRule="auto"/>
        <w:rPr>
          <w:rFonts w:eastAsia="Times New Roman" w:cs="Times New Roman"/>
          <w:szCs w:val="19"/>
          <w:lang w:val="en-US" w:eastAsia="pl-PL"/>
        </w:rPr>
      </w:pPr>
    </w:p>
    <w:p w14:paraId="7BDD3244" w14:textId="77777777" w:rsidR="004859DB" w:rsidRDefault="004859DB" w:rsidP="00180E0E">
      <w:pPr>
        <w:spacing w:line="288" w:lineRule="auto"/>
        <w:rPr>
          <w:rFonts w:eastAsia="Times New Roman" w:cs="Times New Roman"/>
          <w:szCs w:val="19"/>
          <w:lang w:val="en-US" w:eastAsia="pl-PL"/>
        </w:rPr>
      </w:pPr>
    </w:p>
    <w:p w14:paraId="6FDE610C" w14:textId="77777777" w:rsidR="00DA331D" w:rsidRPr="00BF424F" w:rsidRDefault="00180E0E" w:rsidP="00180E0E">
      <w:pPr>
        <w:spacing w:line="288" w:lineRule="auto"/>
        <w:rPr>
          <w:rFonts w:eastAsia="Times New Roman" w:cs="Times New Roman"/>
          <w:szCs w:val="19"/>
          <w:lang w:val="en-US" w:eastAsia="pl-PL"/>
        </w:rPr>
        <w:sectPr w:rsidR="00DA331D" w:rsidRPr="00BF424F"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r w:rsidRPr="00BF424F">
        <w:rPr>
          <w:rFonts w:eastAsia="Times New Roman" w:cs="Times New Roman"/>
          <w:szCs w:val="19"/>
          <w:lang w:val="en-US" w:eastAsia="pl-PL"/>
        </w:rPr>
        <w:t>In case of quoting Statistics Poland data</w:t>
      </w:r>
      <w:r w:rsidR="00C0448C">
        <w:rPr>
          <w:rFonts w:eastAsia="Times New Roman" w:cs="Times New Roman"/>
          <w:szCs w:val="19"/>
          <w:lang w:val="en-US" w:eastAsia="pl-PL"/>
        </w:rPr>
        <w:t>.</w:t>
      </w:r>
      <w:r w:rsidRPr="00BF424F">
        <w:rPr>
          <w:rFonts w:eastAsia="Times New Roman" w:cs="Times New Roman"/>
          <w:szCs w:val="19"/>
          <w:lang w:val="en-US" w:eastAsia="pl-PL"/>
        </w:rPr>
        <w:t xml:space="preserve"> please provide information: “Source of data: Statistics Poland”</w:t>
      </w:r>
      <w:r w:rsidR="00C0448C">
        <w:rPr>
          <w:rFonts w:eastAsia="Times New Roman" w:cs="Times New Roman"/>
          <w:szCs w:val="19"/>
          <w:lang w:val="en-US" w:eastAsia="pl-PL"/>
        </w:rPr>
        <w:t>.</w:t>
      </w:r>
      <w:r w:rsidRPr="00BF424F">
        <w:rPr>
          <w:rFonts w:eastAsia="Times New Roman" w:cs="Times New Roman"/>
          <w:szCs w:val="19"/>
          <w:lang w:val="en-US" w:eastAsia="pl-PL"/>
        </w:rPr>
        <w:t xml:space="preserve"> and in case of publishing calculations made on data published by Statistics Poland</w:t>
      </w:r>
      <w:r w:rsidR="00C0448C">
        <w:rPr>
          <w:rFonts w:eastAsia="Times New Roman" w:cs="Times New Roman"/>
          <w:szCs w:val="19"/>
          <w:lang w:val="en-US" w:eastAsia="pl-PL"/>
        </w:rPr>
        <w:t>.</w:t>
      </w:r>
      <w:r w:rsidRPr="00BF424F">
        <w:rPr>
          <w:rFonts w:eastAsia="Times New Roman" w:cs="Times New Roman"/>
          <w:szCs w:val="19"/>
          <w:lang w:val="en-US" w:eastAsia="pl-PL"/>
        </w:rPr>
        <w:t xml:space="preserve"> please include the following disclaimer: “Own study based on figures from Statistics Poland”.</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rsidRPr="003C79AC" w14:paraId="1FB63517" w14:textId="77777777" w:rsidTr="009E7D31">
        <w:trPr>
          <w:trHeight w:val="1626"/>
        </w:trPr>
        <w:tc>
          <w:tcPr>
            <w:tcW w:w="4926" w:type="dxa"/>
          </w:tcPr>
          <w:p w14:paraId="413DFD6C" w14:textId="77777777" w:rsidR="00DE2400" w:rsidRPr="005E63D5" w:rsidRDefault="00C60504" w:rsidP="00DE2400">
            <w:pPr>
              <w:spacing w:before="0" w:after="0" w:line="276" w:lineRule="auto"/>
              <w:rPr>
                <w:rFonts w:cs="Arial"/>
                <w:sz w:val="20"/>
                <w:lang w:val="en-US"/>
              </w:rPr>
            </w:pPr>
            <w:r w:rsidRPr="005E63D5">
              <w:rPr>
                <w:rFonts w:cs="Arial"/>
                <w:sz w:val="20"/>
                <w:lang w:val="en-US"/>
              </w:rPr>
              <w:lastRenderedPageBreak/>
              <w:t>Prepared by</w:t>
            </w:r>
            <w:r w:rsidR="00DE2400" w:rsidRPr="005E63D5">
              <w:rPr>
                <w:rFonts w:cs="Arial"/>
                <w:sz w:val="20"/>
                <w:lang w:val="en-US"/>
              </w:rPr>
              <w:t>:</w:t>
            </w:r>
          </w:p>
          <w:p w14:paraId="02300004" w14:textId="77777777" w:rsidR="00DE2400" w:rsidRPr="005E63D5" w:rsidRDefault="005E63D5" w:rsidP="00DE2400">
            <w:pPr>
              <w:spacing w:before="0" w:line="276" w:lineRule="auto"/>
              <w:rPr>
                <w:rFonts w:cs="Arial"/>
                <w:b/>
                <w:color w:val="000000" w:themeColor="text1"/>
                <w:sz w:val="20"/>
                <w:lang w:val="en-US"/>
              </w:rPr>
            </w:pPr>
            <w:r>
              <w:rPr>
                <w:rFonts w:cs="Arial"/>
                <w:b/>
                <w:color w:val="000000" w:themeColor="text1"/>
                <w:sz w:val="20"/>
                <w:lang w:val="en-US"/>
              </w:rPr>
              <w:t>The Trade and Services</w:t>
            </w:r>
            <w:r w:rsidR="006C197A" w:rsidRPr="005E63D5">
              <w:rPr>
                <w:rFonts w:cs="Arial"/>
                <w:b/>
                <w:color w:val="000000" w:themeColor="text1"/>
                <w:sz w:val="20"/>
                <w:lang w:val="en-US"/>
              </w:rPr>
              <w:t xml:space="preserve"> </w:t>
            </w:r>
            <w:r w:rsidR="00DE2400" w:rsidRPr="005E63D5">
              <w:rPr>
                <w:rFonts w:cs="Arial"/>
                <w:b/>
                <w:color w:val="000000" w:themeColor="text1"/>
                <w:sz w:val="20"/>
                <w:lang w:val="en-US"/>
              </w:rPr>
              <w:t>Department</w:t>
            </w:r>
          </w:p>
          <w:p w14:paraId="067D3C86" w14:textId="77777777" w:rsidR="00DE2400" w:rsidRPr="00AE54DC" w:rsidRDefault="00DE2400" w:rsidP="00747B8C">
            <w:pPr>
              <w:spacing w:before="0" w:after="0" w:line="276" w:lineRule="auto"/>
              <w:rPr>
                <w:b/>
                <w:sz w:val="20"/>
                <w:szCs w:val="20"/>
                <w:lang w:val="fi-FI"/>
              </w:rPr>
            </w:pPr>
            <w:r w:rsidRPr="00AE54DC">
              <w:rPr>
                <w:b/>
                <w:sz w:val="20"/>
                <w:szCs w:val="20"/>
                <w:lang w:val="fi-FI"/>
              </w:rPr>
              <w:t>D</w:t>
            </w:r>
            <w:r w:rsidR="006C197A" w:rsidRPr="00AE54DC">
              <w:rPr>
                <w:b/>
                <w:sz w:val="20"/>
                <w:szCs w:val="20"/>
                <w:lang w:val="fi-FI"/>
              </w:rPr>
              <w:t>irec</w:t>
            </w:r>
            <w:r w:rsidRPr="00AE54DC">
              <w:rPr>
                <w:b/>
                <w:sz w:val="20"/>
                <w:szCs w:val="20"/>
                <w:lang w:val="fi-FI"/>
              </w:rPr>
              <w:t xml:space="preserve">tor </w:t>
            </w:r>
            <w:r w:rsidR="005E63D5">
              <w:rPr>
                <w:b/>
                <w:sz w:val="20"/>
                <w:szCs w:val="20"/>
                <w:lang w:val="fi-FI"/>
              </w:rPr>
              <w:t>Ewa Adach-Stankiewicz</w:t>
            </w:r>
          </w:p>
          <w:p w14:paraId="0D879476" w14:textId="77777777" w:rsidR="00DE2400" w:rsidRPr="00AB24E4" w:rsidRDefault="006C197A" w:rsidP="00AE54DC">
            <w:pPr>
              <w:pStyle w:val="Nagwek3"/>
              <w:spacing w:before="0" w:after="120" w:line="276"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00DE2400" w:rsidRPr="008F3638">
              <w:rPr>
                <w:rFonts w:ascii="Fira Sans" w:hAnsi="Fira Sans" w:cs="Arial"/>
                <w:color w:val="000000" w:themeColor="text1"/>
                <w:sz w:val="20"/>
                <w:lang w:val="fi-FI"/>
              </w:rPr>
              <w:t xml:space="preserve">: </w:t>
            </w:r>
            <w:r w:rsidR="00156F04">
              <w:rPr>
                <w:rFonts w:ascii="Fira Sans" w:hAnsi="Fira Sans" w:cs="Arial"/>
                <w:color w:val="000000" w:themeColor="text1"/>
                <w:sz w:val="20"/>
                <w:lang w:val="fi-FI"/>
              </w:rPr>
              <w:t>(</w:t>
            </w:r>
            <w:r>
              <w:rPr>
                <w:rFonts w:ascii="Fira Sans" w:hAnsi="Fira Sans" w:cs="Arial"/>
                <w:color w:val="000000" w:themeColor="text1"/>
                <w:sz w:val="20"/>
                <w:lang w:val="fi-FI"/>
              </w:rPr>
              <w:t xml:space="preserve">+48 </w:t>
            </w:r>
            <w:r w:rsidR="00DE2400" w:rsidRPr="008F3638">
              <w:rPr>
                <w:rFonts w:ascii="Fira Sans" w:hAnsi="Fira Sans" w:cs="Arial"/>
                <w:color w:val="000000" w:themeColor="text1"/>
                <w:sz w:val="20"/>
                <w:lang w:val="fi-FI"/>
              </w:rPr>
              <w:t>22</w:t>
            </w:r>
            <w:r w:rsidR="00156F04">
              <w:rPr>
                <w:rFonts w:ascii="Fira Sans" w:hAnsi="Fira Sans" w:cs="Arial"/>
                <w:color w:val="000000" w:themeColor="text1"/>
                <w:sz w:val="20"/>
                <w:lang w:val="fi-FI"/>
              </w:rPr>
              <w:t>)</w:t>
            </w:r>
            <w:r w:rsidR="00DE2400" w:rsidRPr="008F3638">
              <w:rPr>
                <w:rFonts w:ascii="Fira Sans" w:hAnsi="Fira Sans" w:cs="Arial"/>
                <w:color w:val="000000" w:themeColor="text1"/>
                <w:sz w:val="20"/>
                <w:lang w:val="fi-FI"/>
              </w:rPr>
              <w:t> </w:t>
            </w:r>
            <w:r w:rsidR="005E63D5">
              <w:rPr>
                <w:rFonts w:ascii="Fira Sans" w:hAnsi="Fira Sans" w:cs="Arial"/>
                <w:color w:val="000000" w:themeColor="text1"/>
                <w:sz w:val="20"/>
                <w:lang w:val="fi-FI"/>
              </w:rPr>
              <w:t>608 31 24</w:t>
            </w:r>
          </w:p>
        </w:tc>
        <w:tc>
          <w:tcPr>
            <w:tcW w:w="4927" w:type="dxa"/>
          </w:tcPr>
          <w:p w14:paraId="25572AAE" w14:textId="77777777" w:rsidR="00C92682" w:rsidRPr="005653EE" w:rsidRDefault="00C92682" w:rsidP="00C92682">
            <w:pPr>
              <w:rPr>
                <w:b/>
                <w:lang w:val="en-GB"/>
              </w:rPr>
            </w:pPr>
            <w:r w:rsidRPr="00CF7C09">
              <w:rPr>
                <w:rFonts w:cs="Arial"/>
                <w:sz w:val="20"/>
                <w:lang w:val="en-GB"/>
              </w:rPr>
              <w:t>Issued by:</w:t>
            </w:r>
            <w:r w:rsidRPr="00CF7C09">
              <w:rPr>
                <w:rFonts w:cs="Arial"/>
                <w:sz w:val="20"/>
                <w:lang w:val="en-GB"/>
              </w:rPr>
              <w:br/>
            </w:r>
            <w:r w:rsidRPr="005653EE">
              <w:rPr>
                <w:b/>
                <w:lang w:val="en-GB"/>
              </w:rPr>
              <w:t>Press Office</w:t>
            </w:r>
          </w:p>
          <w:p w14:paraId="1C0D2C2B" w14:textId="77777777" w:rsidR="00C92682" w:rsidRPr="005653EE" w:rsidRDefault="00C92682" w:rsidP="00C92682">
            <w:pPr>
              <w:rPr>
                <w:lang w:val="en-GB"/>
              </w:rPr>
            </w:pPr>
            <w:r w:rsidRPr="005653EE">
              <w:rPr>
                <w:lang w:val="en-GB"/>
              </w:rPr>
              <w:t>Mobile</w:t>
            </w:r>
            <w:r>
              <w:rPr>
                <w:lang w:val="en-GB"/>
              </w:rPr>
              <w:t>:</w:t>
            </w:r>
            <w:r w:rsidRPr="005653EE">
              <w:rPr>
                <w:lang w:val="en-GB"/>
              </w:rPr>
              <w:t xml:space="preserve"> </w:t>
            </w:r>
            <w:r>
              <w:rPr>
                <w:lang w:val="en-GB"/>
              </w:rPr>
              <w:t>(</w:t>
            </w:r>
            <w:r w:rsidRPr="005653EE">
              <w:rPr>
                <w:lang w:val="en-GB"/>
              </w:rPr>
              <w:t>+48</w:t>
            </w:r>
            <w:r>
              <w:rPr>
                <w:lang w:val="en-GB"/>
              </w:rPr>
              <w:t>)</w:t>
            </w:r>
            <w:r w:rsidRPr="005653EE">
              <w:rPr>
                <w:lang w:val="en-GB"/>
              </w:rPr>
              <w:t xml:space="preserve"> 695 255 032</w:t>
            </w:r>
          </w:p>
          <w:p w14:paraId="40642C60" w14:textId="77777777" w:rsidR="00C92682" w:rsidRDefault="00C92682" w:rsidP="00C92682">
            <w:pPr>
              <w:spacing w:after="0"/>
              <w:rPr>
                <w:lang w:val="en-GB"/>
              </w:rPr>
            </w:pPr>
            <w:r w:rsidRPr="005653EE">
              <w:rPr>
                <w:lang w:val="en-GB"/>
              </w:rPr>
              <w:t>Phone</w:t>
            </w:r>
            <w:r>
              <w:rPr>
                <w:lang w:val="en-GB"/>
              </w:rPr>
              <w:t>:</w:t>
            </w:r>
            <w:r w:rsidRPr="005653EE">
              <w:rPr>
                <w:lang w:val="en-GB"/>
              </w:rPr>
              <w:t xml:space="preserve"> </w:t>
            </w:r>
            <w:r>
              <w:rPr>
                <w:lang w:val="en-GB"/>
              </w:rPr>
              <w:t>(</w:t>
            </w:r>
            <w:r w:rsidRPr="005653EE">
              <w:rPr>
                <w:lang w:val="en-GB"/>
              </w:rPr>
              <w:t>+48 22</w:t>
            </w:r>
            <w:r>
              <w:rPr>
                <w:lang w:val="en-GB"/>
              </w:rPr>
              <w:t>)</w:t>
            </w:r>
            <w:r w:rsidRPr="005653EE">
              <w:rPr>
                <w:lang w:val="en-GB"/>
              </w:rPr>
              <w:t xml:space="preserve"> 608 38 04, </w:t>
            </w:r>
            <w:r>
              <w:rPr>
                <w:lang w:val="en-GB"/>
              </w:rPr>
              <w:t>(</w:t>
            </w:r>
            <w:r w:rsidRPr="005653EE">
              <w:rPr>
                <w:lang w:val="en-GB"/>
              </w:rPr>
              <w:t>+48 22</w:t>
            </w:r>
            <w:r>
              <w:rPr>
                <w:lang w:val="en-GB"/>
              </w:rPr>
              <w:t>)</w:t>
            </w:r>
            <w:r w:rsidRPr="005653EE">
              <w:rPr>
                <w:lang w:val="en-GB"/>
              </w:rPr>
              <w:t xml:space="preserve"> 449 41 45, </w:t>
            </w:r>
          </w:p>
          <w:p w14:paraId="5E072A4A" w14:textId="77777777" w:rsidR="00C92682" w:rsidRPr="005653EE" w:rsidRDefault="00C92682" w:rsidP="00C92682">
            <w:pPr>
              <w:spacing w:before="0"/>
              <w:rPr>
                <w:lang w:val="en-GB"/>
              </w:rPr>
            </w:pPr>
            <w:r>
              <w:rPr>
                <w:lang w:val="en-GB"/>
              </w:rPr>
              <w:t xml:space="preserve">             (</w:t>
            </w:r>
            <w:r w:rsidRPr="005653EE">
              <w:rPr>
                <w:lang w:val="en-GB"/>
              </w:rPr>
              <w:t>+48 22</w:t>
            </w:r>
            <w:r>
              <w:rPr>
                <w:lang w:val="en-GB"/>
              </w:rPr>
              <w:t>)</w:t>
            </w:r>
            <w:r w:rsidRPr="005653EE">
              <w:rPr>
                <w:lang w:val="en-GB"/>
              </w:rPr>
              <w:t xml:space="preserve"> 608 30 09</w:t>
            </w:r>
          </w:p>
          <w:p w14:paraId="53EE3F16" w14:textId="77777777" w:rsidR="00DE2400" w:rsidRDefault="00C92682" w:rsidP="00C92682">
            <w:pPr>
              <w:pStyle w:val="Nagwek3"/>
              <w:spacing w:before="0" w:after="120" w:line="276" w:lineRule="auto"/>
              <w:outlineLvl w:val="2"/>
              <w:rPr>
                <w:rStyle w:val="Hipercze"/>
                <w:rFonts w:cs="Arial"/>
                <w:b/>
                <w:color w:val="auto"/>
                <w:sz w:val="20"/>
                <w:szCs w:val="20"/>
                <w:lang w:val="en-US"/>
              </w:rPr>
            </w:pPr>
            <w:r w:rsidRPr="00A82D31">
              <w:rPr>
                <w:b/>
                <w:sz w:val="20"/>
                <w:lang w:val="en-GB"/>
              </w:rPr>
              <w:t>e-mail:</w:t>
            </w:r>
            <w:r w:rsidRPr="00A82D31">
              <w:rPr>
                <w:sz w:val="20"/>
                <w:lang w:val="en-GB"/>
              </w:rPr>
              <w:t xml:space="preserve"> </w:t>
            </w:r>
            <w:hyperlink r:id="rId17" w:history="1">
              <w:r w:rsidRPr="00394E26">
                <w:rPr>
                  <w:rStyle w:val="Hipercze"/>
                  <w:rFonts w:cs="Arial"/>
                  <w:b/>
                  <w:color w:val="auto"/>
                  <w:sz w:val="20"/>
                  <w:szCs w:val="20"/>
                  <w:lang w:val="en-US"/>
                </w:rPr>
                <w:t>obslugaprasowa@stat.gov.pl</w:t>
              </w:r>
            </w:hyperlink>
          </w:p>
          <w:p w14:paraId="75F6FF8A" w14:textId="77777777" w:rsidR="00C92682" w:rsidRPr="00C92682" w:rsidRDefault="00C92682" w:rsidP="00C92682">
            <w:pPr>
              <w:rPr>
                <w:lang w:val="en-US"/>
              </w:rPr>
            </w:pPr>
          </w:p>
        </w:tc>
      </w:tr>
      <w:tr w:rsidR="00DE2400" w14:paraId="7754B99D" w14:textId="77777777" w:rsidTr="009E7D31">
        <w:trPr>
          <w:trHeight w:val="418"/>
        </w:trPr>
        <w:tc>
          <w:tcPr>
            <w:tcW w:w="4926" w:type="dxa"/>
            <w:vMerge w:val="restart"/>
          </w:tcPr>
          <w:p w14:paraId="2C1F72D2" w14:textId="77777777" w:rsidR="00DE2400" w:rsidRPr="00F05FC7" w:rsidRDefault="00DE2400" w:rsidP="00747B8C">
            <w:pPr>
              <w:rPr>
                <w:sz w:val="18"/>
                <w:lang w:val="en-US"/>
              </w:rPr>
            </w:pPr>
          </w:p>
        </w:tc>
        <w:tc>
          <w:tcPr>
            <w:tcW w:w="4927" w:type="dxa"/>
            <w:vAlign w:val="center"/>
          </w:tcPr>
          <w:p w14:paraId="4D84B65C" w14:textId="77777777" w:rsidR="00DE2400" w:rsidRDefault="00DE2400" w:rsidP="00747B8C">
            <w:pPr>
              <w:ind w:firstLine="680"/>
              <w:rPr>
                <w:sz w:val="18"/>
              </w:rPr>
            </w:pPr>
            <w:r>
              <w:rPr>
                <w:noProof/>
                <w:sz w:val="20"/>
                <w:lang w:eastAsia="pl-PL"/>
              </w:rPr>
              <w:drawing>
                <wp:anchor distT="0" distB="0" distL="114300" distR="114300" simplePos="0" relativeHeight="251744256" behindDoc="0" locked="0" layoutInCell="1" allowOverlap="1" wp14:anchorId="75072C74" wp14:editId="2F414518">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sidR="002021A6">
              <w:rPr>
                <w:sz w:val="20"/>
              </w:rPr>
              <w:t>/en/</w:t>
            </w:r>
            <w:r>
              <w:rPr>
                <w:sz w:val="18"/>
              </w:rPr>
              <w:t xml:space="preserve">     </w:t>
            </w:r>
          </w:p>
        </w:tc>
      </w:tr>
      <w:tr w:rsidR="00DE1D0A" w14:paraId="7FA26539" w14:textId="77777777" w:rsidTr="009E7D31">
        <w:trPr>
          <w:trHeight w:val="418"/>
        </w:trPr>
        <w:tc>
          <w:tcPr>
            <w:tcW w:w="4926" w:type="dxa"/>
            <w:vMerge/>
          </w:tcPr>
          <w:p w14:paraId="0861C635" w14:textId="77777777" w:rsidR="00DE1D0A" w:rsidRPr="00C91687" w:rsidRDefault="00DE1D0A" w:rsidP="00DE1D0A">
            <w:pPr>
              <w:rPr>
                <w:b/>
                <w:sz w:val="20"/>
              </w:rPr>
            </w:pPr>
          </w:p>
        </w:tc>
        <w:tc>
          <w:tcPr>
            <w:tcW w:w="4927" w:type="dxa"/>
            <w:vAlign w:val="center"/>
          </w:tcPr>
          <w:p w14:paraId="29FD90A2" w14:textId="77777777" w:rsidR="00DE1D0A" w:rsidRDefault="00DE1D0A" w:rsidP="00DE1D0A">
            <w:pPr>
              <w:ind w:firstLine="680"/>
              <w:rPr>
                <w:sz w:val="18"/>
              </w:rPr>
            </w:pPr>
            <w:r>
              <w:rPr>
                <w:noProof/>
                <w:sz w:val="20"/>
                <w:lang w:eastAsia="pl-PL"/>
              </w:rPr>
              <w:drawing>
                <wp:anchor distT="0" distB="0" distL="114300" distR="114300" simplePos="0" relativeHeight="251753472" behindDoc="0" locked="0" layoutInCell="1" allowOverlap="1" wp14:anchorId="7604735F" wp14:editId="23CAF28F">
                  <wp:simplePos x="0" y="0"/>
                  <wp:positionH relativeFrom="column">
                    <wp:posOffset>76200</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r w:rsidRPr="00DE1D0A">
              <w:rPr>
                <w:noProof/>
                <w:sz w:val="20"/>
                <w:lang w:eastAsia="pl-PL"/>
              </w:rPr>
              <w:t>StatPoland</w:t>
            </w:r>
          </w:p>
        </w:tc>
      </w:tr>
      <w:tr w:rsidR="00DE1D0A" w14:paraId="71ADA7E7" w14:textId="77777777" w:rsidTr="009E7D31">
        <w:trPr>
          <w:trHeight w:val="480"/>
        </w:trPr>
        <w:tc>
          <w:tcPr>
            <w:tcW w:w="4926" w:type="dxa"/>
            <w:vMerge/>
          </w:tcPr>
          <w:p w14:paraId="14123BC3" w14:textId="77777777" w:rsidR="00DE1D0A" w:rsidRPr="00C91687" w:rsidRDefault="00DE1D0A" w:rsidP="00DE1D0A">
            <w:pPr>
              <w:rPr>
                <w:b/>
                <w:sz w:val="20"/>
              </w:rPr>
            </w:pPr>
          </w:p>
        </w:tc>
        <w:tc>
          <w:tcPr>
            <w:tcW w:w="4927" w:type="dxa"/>
          </w:tcPr>
          <w:p w14:paraId="1A8B6BA7" w14:textId="77777777"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14:anchorId="3BC812EB" wp14:editId="058A9957">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@GlownyUrzadStatystyczny</w:t>
            </w:r>
            <w:r>
              <w:rPr>
                <w:noProof/>
                <w:sz w:val="20"/>
                <w:lang w:eastAsia="pl-PL"/>
              </w:rPr>
              <w:t xml:space="preserve"> </w:t>
            </w:r>
          </w:p>
        </w:tc>
      </w:tr>
      <w:tr w:rsidR="00DE1D0A" w14:paraId="2D71B924" w14:textId="77777777" w:rsidTr="009E7D31">
        <w:trPr>
          <w:trHeight w:val="480"/>
        </w:trPr>
        <w:tc>
          <w:tcPr>
            <w:tcW w:w="4926" w:type="dxa"/>
          </w:tcPr>
          <w:p w14:paraId="2E0F38A3" w14:textId="77777777" w:rsidR="00DE1D0A" w:rsidRPr="00C91687" w:rsidRDefault="00DE1D0A" w:rsidP="00DE1D0A">
            <w:pPr>
              <w:rPr>
                <w:b/>
                <w:sz w:val="20"/>
              </w:rPr>
            </w:pPr>
          </w:p>
        </w:tc>
        <w:tc>
          <w:tcPr>
            <w:tcW w:w="4927" w:type="dxa"/>
          </w:tcPr>
          <w:p w14:paraId="18FC9876" w14:textId="77777777"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14:anchorId="31295B86" wp14:editId="1AA8F102">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DE1D0A">
              <w:rPr>
                <w:sz w:val="20"/>
              </w:rPr>
              <w:t>gus_stat</w:t>
            </w:r>
          </w:p>
        </w:tc>
      </w:tr>
      <w:tr w:rsidR="00DE1D0A" w14:paraId="1C06C2A9" w14:textId="77777777" w:rsidTr="009E7D31">
        <w:trPr>
          <w:trHeight w:val="480"/>
        </w:trPr>
        <w:tc>
          <w:tcPr>
            <w:tcW w:w="4926" w:type="dxa"/>
          </w:tcPr>
          <w:p w14:paraId="7ED85E7C" w14:textId="77777777" w:rsidR="00DE1D0A" w:rsidRPr="00C91687" w:rsidRDefault="00DE1D0A" w:rsidP="00DE1D0A">
            <w:pPr>
              <w:rPr>
                <w:b/>
                <w:sz w:val="20"/>
              </w:rPr>
            </w:pPr>
          </w:p>
        </w:tc>
        <w:tc>
          <w:tcPr>
            <w:tcW w:w="4927" w:type="dxa"/>
          </w:tcPr>
          <w:p w14:paraId="4DADB508" w14:textId="77777777"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14:anchorId="5E329E96" wp14:editId="56FAB78F">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531873">
              <w:rPr>
                <w:sz w:val="20"/>
              </w:rPr>
              <w:t>glownyurzadstatystycznygus</w:t>
            </w:r>
          </w:p>
        </w:tc>
      </w:tr>
      <w:tr w:rsidR="00DE1D0A" w14:paraId="535B1A52" w14:textId="77777777" w:rsidTr="009E7D31">
        <w:trPr>
          <w:trHeight w:val="953"/>
        </w:trPr>
        <w:tc>
          <w:tcPr>
            <w:tcW w:w="4926" w:type="dxa"/>
          </w:tcPr>
          <w:p w14:paraId="4A667D33" w14:textId="77777777" w:rsidR="00DE1D0A" w:rsidRPr="00C91687" w:rsidRDefault="00DE1D0A" w:rsidP="00DE1D0A">
            <w:pPr>
              <w:rPr>
                <w:b/>
                <w:sz w:val="20"/>
              </w:rPr>
            </w:pPr>
          </w:p>
        </w:tc>
        <w:tc>
          <w:tcPr>
            <w:tcW w:w="4927" w:type="dxa"/>
          </w:tcPr>
          <w:p w14:paraId="58DDE305" w14:textId="77777777"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6B60C555" wp14:editId="7A7F4CA8">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RPr="003C79AC" w14:paraId="02C942D1" w14:textId="77777777" w:rsidTr="009E7D31">
        <w:trPr>
          <w:trHeight w:val="4114"/>
        </w:trPr>
        <w:tc>
          <w:tcPr>
            <w:tcW w:w="9853" w:type="dxa"/>
            <w:gridSpan w:val="2"/>
            <w:shd w:val="clear" w:color="auto" w:fill="D9D9D9" w:themeFill="background1" w:themeFillShade="D9"/>
          </w:tcPr>
          <w:p w14:paraId="690D9E05" w14:textId="77777777" w:rsidR="005E63D5" w:rsidRPr="00533B8F" w:rsidRDefault="005E63D5" w:rsidP="005E63D5">
            <w:pPr>
              <w:shd w:val="clear" w:color="auto" w:fill="D9D9D9" w:themeFill="background1" w:themeFillShade="D9"/>
              <w:rPr>
                <w:b/>
                <w:lang w:val="en-US"/>
              </w:rPr>
            </w:pPr>
            <w:r w:rsidRPr="00533B8F">
              <w:rPr>
                <w:b/>
                <w:lang w:val="en-US"/>
              </w:rPr>
              <w:t>Related information</w:t>
            </w:r>
          </w:p>
          <w:p w14:paraId="4A7404AD" w14:textId="0FD8E703" w:rsidR="005E63D5" w:rsidRPr="00BF0E9F" w:rsidRDefault="005E63D5" w:rsidP="005E63D5">
            <w:pPr>
              <w:rPr>
                <w:rStyle w:val="Hipercze"/>
                <w:color w:val="001381"/>
                <w:lang w:val="en-US"/>
              </w:rPr>
            </w:pPr>
            <w:r w:rsidRPr="00BF0E9F">
              <w:rPr>
                <w:rFonts w:cs="Times New Roman"/>
                <w:color w:val="001381"/>
              </w:rPr>
              <w:fldChar w:fldCharType="begin"/>
            </w:r>
            <w:r w:rsidR="003321D2" w:rsidRPr="007D16BF">
              <w:rPr>
                <w:rFonts w:cs="Times New Roman"/>
                <w:color w:val="001381"/>
                <w:lang w:val="en-GB"/>
              </w:rPr>
              <w:instrText>HYPERLINK "https://stat.gov.pl/en/topics/other-studies/informations-on-socio-economic-situation/statistical-bulletin-no-102025,4,180.html" \o "Link to the publication Statistical Bulletin"</w:instrText>
            </w:r>
            <w:r w:rsidRPr="00BF0E9F">
              <w:rPr>
                <w:rFonts w:cs="Times New Roman"/>
                <w:color w:val="001381"/>
              </w:rPr>
              <w:fldChar w:fldCharType="separate"/>
            </w:r>
            <w:r w:rsidRPr="00BF0E9F">
              <w:rPr>
                <w:rStyle w:val="Hipercze"/>
                <w:color w:val="001381"/>
                <w:lang w:val="en-US"/>
              </w:rPr>
              <w:t>Statistical Bulletin</w:t>
            </w:r>
          </w:p>
          <w:p w14:paraId="5FE43909" w14:textId="77777777" w:rsidR="005E63D5" w:rsidRPr="00BF0E9F" w:rsidRDefault="005E63D5" w:rsidP="005E63D5">
            <w:pPr>
              <w:rPr>
                <w:rStyle w:val="Hipercze"/>
                <w:color w:val="001381"/>
                <w:lang w:val="en-US"/>
              </w:rPr>
            </w:pPr>
            <w:r w:rsidRPr="00BF0E9F">
              <w:rPr>
                <w:rFonts w:cs="Times New Roman"/>
                <w:color w:val="001381"/>
              </w:rPr>
              <w:fldChar w:fldCharType="end"/>
            </w:r>
            <w:r w:rsidRPr="00BF0E9F">
              <w:rPr>
                <w:rFonts w:cs="Times New Roman"/>
                <w:color w:val="001381"/>
              </w:rPr>
              <w:fldChar w:fldCharType="begin"/>
            </w:r>
            <w:r w:rsidR="00267CFC" w:rsidRPr="00CE20E5">
              <w:rPr>
                <w:rFonts w:cs="Times New Roman"/>
                <w:color w:val="001381"/>
                <w:lang w:val="en-US"/>
              </w:rPr>
              <w:instrText>HYPERLINK "http://stat.gov.pl/en/latest-statistical-news/news-releases/" \o "Link to the publication News Releases"</w:instrText>
            </w:r>
            <w:r w:rsidRPr="00BF0E9F">
              <w:rPr>
                <w:rFonts w:cs="Times New Roman"/>
                <w:color w:val="001381"/>
              </w:rPr>
              <w:fldChar w:fldCharType="separate"/>
            </w:r>
            <w:r w:rsidRPr="00BF0E9F">
              <w:rPr>
                <w:rStyle w:val="Hipercze"/>
                <w:color w:val="001381"/>
                <w:lang w:val="en-US"/>
              </w:rPr>
              <w:t>News Releases</w:t>
            </w:r>
          </w:p>
          <w:p w14:paraId="516D0674" w14:textId="77777777" w:rsidR="005E63D5" w:rsidRPr="00AF5F2F" w:rsidRDefault="005E63D5" w:rsidP="005E63D5">
            <w:pPr>
              <w:rPr>
                <w:rStyle w:val="Hipercze"/>
                <w:color w:val="001381"/>
                <w:lang w:val="en-US"/>
              </w:rPr>
            </w:pPr>
            <w:r w:rsidRPr="00BF0E9F">
              <w:rPr>
                <w:rFonts w:cs="Times New Roman"/>
                <w:color w:val="001381"/>
              </w:rPr>
              <w:fldChar w:fldCharType="end"/>
            </w:r>
            <w:hyperlink r:id="rId24" w:history="1">
              <w:r w:rsidR="00605DD2" w:rsidRPr="00B44906">
                <w:rPr>
                  <w:rStyle w:val="Hipercze"/>
                  <w:color w:val="001381"/>
                  <w:lang w:val="en-US"/>
                </w:rPr>
                <w:t xml:space="preserve">Socio-economic situation of the country </w:t>
              </w:r>
            </w:hyperlink>
          </w:p>
          <w:p w14:paraId="5E9D7777" w14:textId="77777777" w:rsidR="00B44906" w:rsidRPr="00605DD2" w:rsidRDefault="00B44906" w:rsidP="005E63D5">
            <w:pPr>
              <w:rPr>
                <w:rStyle w:val="Hipercze"/>
                <w:rFonts w:cstheme="minorBidi"/>
                <w:color w:val="auto"/>
                <w:u w:val="none"/>
                <w:lang w:val="en-US"/>
              </w:rPr>
            </w:pPr>
          </w:p>
          <w:p w14:paraId="59FCFC93" w14:textId="77777777" w:rsidR="005E63D5" w:rsidRPr="00533B8F" w:rsidRDefault="000815CD" w:rsidP="005E63D5">
            <w:pPr>
              <w:rPr>
                <w:b/>
                <w:color w:val="000000" w:themeColor="text1"/>
                <w:szCs w:val="24"/>
                <w:lang w:val="en-US"/>
              </w:rPr>
            </w:pPr>
            <w:hyperlink r:id="rId25" w:tooltip="description hyperlink " w:history="1"/>
            <w:r w:rsidR="005E63D5" w:rsidRPr="00533B8F">
              <w:rPr>
                <w:b/>
                <w:color w:val="000000" w:themeColor="text1"/>
                <w:szCs w:val="24"/>
                <w:lang w:val="en-US"/>
              </w:rPr>
              <w:t>Data available in databases</w:t>
            </w:r>
          </w:p>
          <w:p w14:paraId="59728644" w14:textId="77777777" w:rsidR="005E63D5" w:rsidRPr="00BF0E9F" w:rsidRDefault="005E63D5" w:rsidP="005E63D5">
            <w:pPr>
              <w:rPr>
                <w:rStyle w:val="Hipercze"/>
                <w:color w:val="001381"/>
                <w:lang w:val="en-US"/>
              </w:rPr>
            </w:pPr>
            <w:r w:rsidRPr="00BF0E9F">
              <w:rPr>
                <w:rStyle w:val="Hipercze"/>
                <w:color w:val="001381"/>
              </w:rPr>
              <w:fldChar w:fldCharType="begin"/>
            </w:r>
            <w:r w:rsidR="00C5760C" w:rsidRPr="00C5760C">
              <w:rPr>
                <w:rStyle w:val="Hipercze"/>
                <w:color w:val="001381"/>
                <w:lang w:val="en-US"/>
              </w:rPr>
              <w:instrText>HYPERLINK "https://dbw.stat.gov.pl/en" \o "Link to the Knowledge Databases"</w:instrText>
            </w:r>
            <w:r w:rsidRPr="00BF0E9F">
              <w:rPr>
                <w:rStyle w:val="Hipercze"/>
                <w:color w:val="001381"/>
              </w:rPr>
              <w:fldChar w:fldCharType="separate"/>
            </w:r>
            <w:r w:rsidRPr="00BF0E9F">
              <w:rPr>
                <w:rStyle w:val="Hipercze"/>
                <w:color w:val="001381"/>
                <w:lang w:val="en-US"/>
              </w:rPr>
              <w:t>Analytical Platform - Knowledge Databases</w:t>
            </w:r>
          </w:p>
          <w:p w14:paraId="1995CA01" w14:textId="77777777" w:rsidR="005E63D5" w:rsidRPr="00BF0E9F" w:rsidRDefault="005E63D5" w:rsidP="005E63D5">
            <w:pPr>
              <w:rPr>
                <w:rStyle w:val="Hipercze"/>
                <w:color w:val="001381"/>
                <w:lang w:val="en-US"/>
              </w:rPr>
            </w:pPr>
            <w:r w:rsidRPr="00BF0E9F">
              <w:rPr>
                <w:rStyle w:val="Hipercze"/>
                <w:color w:val="001381"/>
              </w:rPr>
              <w:fldChar w:fldCharType="end"/>
            </w:r>
            <w:r w:rsidRPr="00BF0E9F">
              <w:rPr>
                <w:rStyle w:val="Hipercze"/>
                <w:color w:val="001381"/>
              </w:rPr>
              <w:fldChar w:fldCharType="begin"/>
            </w:r>
            <w:r w:rsidRPr="00BF0E9F">
              <w:rPr>
                <w:rStyle w:val="Hipercze"/>
                <w:color w:val="001381"/>
                <w:lang w:val="en-US"/>
              </w:rPr>
              <w:instrText>HYPERLINK "http://bdm.stat.gov.pl/" \o "Link to Macroeconomic Data  Bank"</w:instrText>
            </w:r>
            <w:r w:rsidRPr="00BF0E9F">
              <w:rPr>
                <w:rStyle w:val="Hipercze"/>
                <w:color w:val="001381"/>
              </w:rPr>
              <w:fldChar w:fldCharType="separate"/>
            </w:r>
            <w:r w:rsidRPr="00BF0E9F">
              <w:rPr>
                <w:rStyle w:val="Hipercze"/>
                <w:color w:val="001381"/>
                <w:lang w:val="en-US"/>
              </w:rPr>
              <w:t>Macroeconomic Data Bank</w:t>
            </w:r>
          </w:p>
          <w:p w14:paraId="2273400A" w14:textId="77777777" w:rsidR="005E63D5" w:rsidRPr="00BF0E9F" w:rsidRDefault="005E63D5" w:rsidP="005E63D5">
            <w:pPr>
              <w:rPr>
                <w:rStyle w:val="Hipercze"/>
                <w:color w:val="001381"/>
                <w:lang w:val="en-US"/>
              </w:rPr>
            </w:pPr>
            <w:r w:rsidRPr="00BF0E9F">
              <w:rPr>
                <w:rStyle w:val="Hipercze"/>
                <w:color w:val="001381"/>
              </w:rPr>
              <w:fldChar w:fldCharType="end"/>
            </w:r>
            <w:r w:rsidRPr="00BF0E9F">
              <w:rPr>
                <w:rStyle w:val="Hipercze"/>
                <w:color w:val="001381"/>
              </w:rPr>
              <w:fldChar w:fldCharType="begin"/>
            </w:r>
            <w:r w:rsidRPr="00BF0E9F">
              <w:rPr>
                <w:rStyle w:val="Hipercze"/>
                <w:color w:val="001381"/>
                <w:lang w:val="en-US"/>
              </w:rPr>
              <w:instrText>HYPERLINK "http://stat.gov.pl/en/topics/prices-trade/price-indices/" \o "Link to Prices indices ( Topics: Price, Trade)"</w:instrText>
            </w:r>
            <w:r w:rsidRPr="00BF0E9F">
              <w:rPr>
                <w:rStyle w:val="Hipercze"/>
                <w:color w:val="001381"/>
              </w:rPr>
              <w:fldChar w:fldCharType="separate"/>
            </w:r>
            <w:r w:rsidRPr="00BF0E9F">
              <w:rPr>
                <w:rStyle w:val="Hipercze"/>
                <w:color w:val="001381"/>
                <w:lang w:val="en-US"/>
              </w:rPr>
              <w:t>Prices indices (Topics: Prices</w:t>
            </w:r>
            <w:r w:rsidR="00C0448C">
              <w:rPr>
                <w:rStyle w:val="Hipercze"/>
                <w:color w:val="001381"/>
                <w:lang w:val="en-US"/>
              </w:rPr>
              <w:t>.</w:t>
            </w:r>
            <w:r w:rsidRPr="00BF0E9F">
              <w:rPr>
                <w:rStyle w:val="Hipercze"/>
                <w:color w:val="001381"/>
                <w:lang w:val="en-US"/>
              </w:rPr>
              <w:t xml:space="preserve"> Trade)</w:t>
            </w:r>
          </w:p>
          <w:p w14:paraId="3A6C7189" w14:textId="77777777" w:rsidR="005E63D5" w:rsidRPr="00F34BEA" w:rsidRDefault="005E63D5" w:rsidP="005E63D5">
            <w:pPr>
              <w:shd w:val="clear" w:color="auto" w:fill="D9D9D9" w:themeFill="background1" w:themeFillShade="D9"/>
              <w:spacing w:before="360"/>
              <w:rPr>
                <w:b/>
                <w:color w:val="000000" w:themeColor="text1"/>
                <w:szCs w:val="24"/>
                <w:lang w:val="en-US"/>
              </w:rPr>
            </w:pPr>
            <w:r w:rsidRPr="00BF0E9F">
              <w:rPr>
                <w:rStyle w:val="Hipercze"/>
                <w:color w:val="001381"/>
              </w:rPr>
              <w:fldChar w:fldCharType="end"/>
            </w:r>
            <w:r w:rsidRPr="00F34BEA">
              <w:rPr>
                <w:b/>
                <w:color w:val="000000" w:themeColor="text1"/>
                <w:szCs w:val="24"/>
                <w:lang w:val="en-US"/>
              </w:rPr>
              <w:t>Terms used in official statistics</w:t>
            </w:r>
          </w:p>
          <w:bookmarkStart w:id="1" w:name="_Hlk172018505"/>
          <w:p w14:paraId="6D4C6D8F" w14:textId="77777777" w:rsidR="00AB5293" w:rsidRPr="00CE20E5" w:rsidRDefault="00CE20E5" w:rsidP="00AB5293">
            <w:pPr>
              <w:rPr>
                <w:rStyle w:val="Hipercze"/>
                <w:rFonts w:cstheme="minorBidi"/>
                <w:color w:val="001381"/>
                <w:u w:val="none"/>
                <w:lang w:val="en-US"/>
              </w:rPr>
            </w:pPr>
            <w:r w:rsidRPr="00CE20E5">
              <w:rPr>
                <w:rStyle w:val="Hipercze"/>
                <w:rFonts w:cstheme="minorBidi"/>
                <w:color w:val="001381"/>
                <w:u w:val="none"/>
                <w:lang w:val="en-US"/>
              </w:rPr>
              <w:fldChar w:fldCharType="begin"/>
            </w:r>
            <w:r w:rsidRPr="00CE20E5">
              <w:rPr>
                <w:rStyle w:val="Hipercze"/>
                <w:rFonts w:cstheme="minorBidi"/>
                <w:color w:val="001381"/>
                <w:u w:val="none"/>
                <w:lang w:val="en-US"/>
              </w:rPr>
              <w:instrText xml:space="preserve"> HYPERLINK "https://stat.gov.pl/en/metainformation/glossary/terms-used-in-official-statistics/709,term.html" </w:instrText>
            </w:r>
            <w:r w:rsidRPr="00CE20E5">
              <w:rPr>
                <w:rStyle w:val="Hipercze"/>
                <w:rFonts w:cstheme="minorBidi"/>
                <w:color w:val="001381"/>
                <w:u w:val="none"/>
                <w:lang w:val="en-US"/>
              </w:rPr>
              <w:fldChar w:fldCharType="separate"/>
            </w:r>
            <w:r w:rsidR="00AB5293" w:rsidRPr="00CE20E5">
              <w:rPr>
                <w:rStyle w:val="Hipercze"/>
                <w:rFonts w:cstheme="minorBidi"/>
                <w:color w:val="001381"/>
                <w:lang w:val="en-US"/>
              </w:rPr>
              <w:t>Price index of construction and assembly production</w:t>
            </w:r>
            <w:r w:rsidRPr="00CE20E5">
              <w:rPr>
                <w:rStyle w:val="Hipercze"/>
                <w:rFonts w:cstheme="minorBidi"/>
                <w:color w:val="001381"/>
                <w:u w:val="none"/>
                <w:lang w:val="en-US"/>
              </w:rPr>
              <w:fldChar w:fldCharType="end"/>
            </w:r>
          </w:p>
          <w:bookmarkEnd w:id="1"/>
          <w:p w14:paraId="2813EA28" w14:textId="77777777" w:rsidR="005E63D5" w:rsidRPr="00F34BEA" w:rsidRDefault="005E63D5" w:rsidP="005E63D5">
            <w:pPr>
              <w:rPr>
                <w:rStyle w:val="Hipercze"/>
                <w:rFonts w:cstheme="minorBidi"/>
                <w:color w:val="auto"/>
                <w:u w:val="none"/>
                <w:lang w:val="en-US"/>
              </w:rPr>
            </w:pPr>
          </w:p>
          <w:p w14:paraId="1F0AC6E4" w14:textId="77777777" w:rsidR="005E63D5" w:rsidRPr="00F34BEA" w:rsidRDefault="005E63D5" w:rsidP="005E63D5">
            <w:pPr>
              <w:rPr>
                <w:rStyle w:val="Hipercze"/>
                <w:rFonts w:cstheme="minorBidi"/>
                <w:color w:val="auto"/>
                <w:u w:val="none"/>
                <w:lang w:val="en-US"/>
              </w:rPr>
            </w:pPr>
          </w:p>
          <w:p w14:paraId="7B7CE1CE" w14:textId="77777777" w:rsidR="005E63D5" w:rsidRPr="00F34BEA" w:rsidRDefault="005E63D5" w:rsidP="005E63D5">
            <w:pPr>
              <w:rPr>
                <w:rStyle w:val="Hipercze"/>
                <w:rFonts w:cstheme="minorBidi"/>
                <w:color w:val="auto"/>
                <w:u w:val="none"/>
                <w:lang w:val="en-US"/>
              </w:rPr>
            </w:pPr>
          </w:p>
          <w:p w14:paraId="00EF98E5" w14:textId="77777777" w:rsidR="00DE2400" w:rsidRPr="00876479" w:rsidRDefault="00DE2400" w:rsidP="00747B8C">
            <w:pPr>
              <w:rPr>
                <w:b/>
                <w:color w:val="000000" w:themeColor="text1"/>
                <w:szCs w:val="24"/>
                <w:lang w:val="en-GB"/>
              </w:rPr>
            </w:pPr>
          </w:p>
        </w:tc>
      </w:tr>
    </w:tbl>
    <w:p w14:paraId="7E14F330" w14:textId="77777777" w:rsidR="000470AA" w:rsidRPr="005E63D5" w:rsidRDefault="000470AA" w:rsidP="000470AA">
      <w:pPr>
        <w:rPr>
          <w:sz w:val="18"/>
          <w:lang w:val="en-US"/>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3C79AC" w14:paraId="0C34156B" w14:textId="77777777" w:rsidTr="00E23337">
        <w:trPr>
          <w:trHeight w:val="1912"/>
        </w:trPr>
        <w:tc>
          <w:tcPr>
            <w:tcW w:w="4379" w:type="dxa"/>
          </w:tcPr>
          <w:p w14:paraId="04C264AC" w14:textId="77777777" w:rsidR="000470AA" w:rsidRPr="004A1D19" w:rsidRDefault="000470AA" w:rsidP="00D00796">
            <w:pPr>
              <w:pStyle w:val="Nagwek3"/>
              <w:spacing w:before="0" w:line="240" w:lineRule="auto"/>
              <w:rPr>
                <w:rFonts w:ascii="Fira Sans" w:hAnsi="Fira Sans"/>
                <w:color w:val="auto"/>
                <w:lang w:val="fi-FI"/>
              </w:rPr>
            </w:pPr>
          </w:p>
        </w:tc>
        <w:tc>
          <w:tcPr>
            <w:tcW w:w="3942" w:type="dxa"/>
          </w:tcPr>
          <w:p w14:paraId="309CD8C0" w14:textId="77777777" w:rsidR="000470AA" w:rsidRPr="004A1D19" w:rsidRDefault="000470AA" w:rsidP="00D00796">
            <w:pPr>
              <w:pStyle w:val="Nagwek3"/>
              <w:spacing w:before="0" w:line="240" w:lineRule="auto"/>
              <w:rPr>
                <w:rFonts w:ascii="Fira Sans" w:hAnsi="Fira Sans" w:cs="Arial"/>
                <w:color w:val="auto"/>
                <w:sz w:val="20"/>
                <w:szCs w:val="20"/>
                <w:lang w:val="en-US"/>
              </w:rPr>
            </w:pPr>
          </w:p>
        </w:tc>
      </w:tr>
    </w:tbl>
    <w:p w14:paraId="45267147" w14:textId="77777777" w:rsidR="000470AA" w:rsidRPr="005E63D5" w:rsidRDefault="000470AA" w:rsidP="000470AA">
      <w:pPr>
        <w:rPr>
          <w:sz w:val="20"/>
          <w:lang w:val="en-US"/>
        </w:rPr>
      </w:pPr>
    </w:p>
    <w:p w14:paraId="6ED48E9A" w14:textId="77777777" w:rsidR="000470AA" w:rsidRPr="005E63D5" w:rsidRDefault="000470AA" w:rsidP="000470AA">
      <w:pPr>
        <w:rPr>
          <w:sz w:val="18"/>
          <w:lang w:val="en-US"/>
        </w:rPr>
      </w:pPr>
    </w:p>
    <w:p w14:paraId="6B6F93AB" w14:textId="77777777" w:rsidR="00D261A2" w:rsidRPr="005E63D5" w:rsidRDefault="00D261A2" w:rsidP="00AD0E56">
      <w:pPr>
        <w:rPr>
          <w:sz w:val="18"/>
          <w:lang w:val="en-US"/>
        </w:rPr>
      </w:pPr>
    </w:p>
    <w:sectPr w:rsidR="00D261A2" w:rsidRPr="005E63D5" w:rsidSect="003B18B6">
      <w:headerReference w:type="default" r:id="rId26"/>
      <w:footerReference w:type="default" r:id="rId27"/>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BB309F" w14:textId="77777777" w:rsidR="000815CD" w:rsidRDefault="000815CD" w:rsidP="000662E2">
      <w:pPr>
        <w:spacing w:after="0" w:line="240" w:lineRule="auto"/>
      </w:pPr>
      <w:r>
        <w:separator/>
      </w:r>
    </w:p>
  </w:endnote>
  <w:endnote w:type="continuationSeparator" w:id="0">
    <w:p w14:paraId="4F87DA63" w14:textId="77777777" w:rsidR="000815CD" w:rsidRDefault="000815CD"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885C2FAF-B7D3-4A55-B375-8333256F4019}"/>
    <w:embedBold r:id="rId2" w:fontKey="{F8CABF42-A49E-4B87-BDE6-CDA724551B66}"/>
  </w:font>
  <w:font w:name="Fira Sans Light">
    <w:panose1 w:val="020B0403050000020004"/>
    <w:charset w:val="EE"/>
    <w:family w:val="swiss"/>
    <w:pitch w:val="variable"/>
    <w:sig w:usb0="600002FF" w:usb1="02000001" w:usb2="00000000" w:usb3="00000000" w:csb0="0000019F" w:csb1="00000000"/>
    <w:embedRegular r:id="rId3" w:fontKey="{616DF00D-3D25-4B61-8302-43BAF677C5B4}"/>
    <w:embedBold r:id="rId4" w:fontKey="{73984EC6-7791-4B5E-A89D-B27B168313EB}"/>
  </w:font>
  <w:font w:name="Fira Sans SemiBold">
    <w:panose1 w:val="020B0603050000020004"/>
    <w:charset w:val="EE"/>
    <w:family w:val="swiss"/>
    <w:pitch w:val="variable"/>
    <w:sig w:usb0="600002FF" w:usb1="02000001" w:usb2="00000000" w:usb3="00000000" w:csb0="0000019F" w:csb1="00000000"/>
    <w:embedRegular r:id="rId5" w:fontKey="{99DAAEE3-4FB8-4754-816B-CAB42610D898}"/>
    <w:embedBold r:id="rId6" w:fontKey="{4CA8B572-AA47-473B-B79C-6CA3E4D0573D}"/>
  </w:font>
  <w:font w:name="Fira Sans Medium">
    <w:panose1 w:val="020B0603050000020004"/>
    <w:charset w:val="EE"/>
    <w:family w:val="swiss"/>
    <w:pitch w:val="variable"/>
    <w:sig w:usb0="600002FF" w:usb1="02000001" w:usb2="00000000" w:usb3="00000000" w:csb0="0000019F" w:csb1="00000000"/>
    <w:embedRegular r:id="rId7" w:fontKey="{F2910146-027F-431A-AFF5-BB6BF3AD6AE7}"/>
    <w:embedBold r:id="rId8" w:fontKey="{E554CB65-AAA7-403B-AFEB-135D416153FC}"/>
    <w:embedItalic r:id="rId9" w:fontKey="{056717A1-06F1-4A6B-A4BC-E9AD18F331E0}"/>
  </w:font>
  <w:font w:name="Segoe UI">
    <w:panose1 w:val="020B0502040204020203"/>
    <w:charset w:val="EE"/>
    <w:family w:val="swiss"/>
    <w:pitch w:val="variable"/>
    <w:sig w:usb0="E4002EFF" w:usb1="C000E47F" w:usb2="00000009" w:usb3="00000000" w:csb0="000001FF" w:csb1="00000000"/>
    <w:embedRegular r:id="rId10" w:fontKey="{3ABC560B-72B0-42FF-A451-E499A7E14A6F}"/>
  </w:font>
  <w:font w:name="Fira Sans Extra Condensed SemiB">
    <w:panose1 w:val="020B0603050000020004"/>
    <w:charset w:val="EE"/>
    <w:family w:val="swiss"/>
    <w:pitch w:val="variable"/>
    <w:sig w:usb0="600002FF" w:usb1="00000001" w:usb2="00000000" w:usb3="00000000" w:csb0="0000019F" w:csb1="00000000"/>
    <w:embedRegular r:id="rId11" w:fontKey="{61EB8931-8145-417A-A10D-4DA4A39530F4}"/>
  </w:font>
  <w:font w:name="Calibri">
    <w:panose1 w:val="020F0502020204030204"/>
    <w:charset w:val="EE"/>
    <w:family w:val="swiss"/>
    <w:pitch w:val="variable"/>
    <w:sig w:usb0="E4002EFF" w:usb1="C200247B" w:usb2="00000009" w:usb3="00000000" w:csb0="000001FF" w:csb1="00000000"/>
    <w:embedRegular r:id="rId12" w:fontKey="{C68C4712-CD1B-43DD-A8AB-B0621CFE5D91}"/>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31AA4359" w14:textId="77777777" w:rsidR="00EB556D" w:rsidRDefault="00541E6E" w:rsidP="003B18B6">
        <w:pPr>
          <w:pStyle w:val="Stopka"/>
          <w:jc w:val="center"/>
        </w:pPr>
        <w:r>
          <w:fldChar w:fldCharType="begin"/>
        </w:r>
        <w:r>
          <w:instrText>PAGE   \* MERGEFORMAT</w:instrText>
        </w:r>
        <w:r>
          <w:fldChar w:fldCharType="separate"/>
        </w:r>
        <w:r w:rsidR="007D0869">
          <w:rPr>
            <w:noProof/>
          </w:rPr>
          <w:t>5</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6DBDA1A1" w14:textId="77777777" w:rsidR="00EB556D" w:rsidRDefault="00541E6E" w:rsidP="003B18B6">
        <w:pPr>
          <w:pStyle w:val="Stopka"/>
          <w:jc w:val="center"/>
        </w:pPr>
        <w:r>
          <w:fldChar w:fldCharType="begin"/>
        </w:r>
        <w:r>
          <w:instrText>PAGE   \* MERGEFORMAT</w:instrText>
        </w:r>
        <w:r>
          <w:fldChar w:fldCharType="separate"/>
        </w:r>
        <w:r w:rsidR="007D0869">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4DD25060" w14:textId="77777777" w:rsidR="003B18B6" w:rsidRDefault="003B18B6" w:rsidP="003B18B6">
        <w:pPr>
          <w:pStyle w:val="Stopka"/>
          <w:jc w:val="center"/>
        </w:pPr>
        <w:r>
          <w:fldChar w:fldCharType="begin"/>
        </w:r>
        <w:r>
          <w:instrText>PAGE   \* MERGEFORMAT</w:instrText>
        </w:r>
        <w:r>
          <w:fldChar w:fldCharType="separate"/>
        </w:r>
        <w:r w:rsidR="007D0869">
          <w:rPr>
            <w:noProof/>
          </w:rPr>
          <w:t>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208615" w14:textId="77777777" w:rsidR="000815CD" w:rsidRDefault="000815CD" w:rsidP="000662E2">
      <w:pPr>
        <w:spacing w:after="0" w:line="240" w:lineRule="auto"/>
      </w:pPr>
      <w:r>
        <w:separator/>
      </w:r>
    </w:p>
  </w:footnote>
  <w:footnote w:type="continuationSeparator" w:id="0">
    <w:p w14:paraId="4B40D6D6" w14:textId="77777777" w:rsidR="000815CD" w:rsidRDefault="000815CD" w:rsidP="000662E2">
      <w:pPr>
        <w:spacing w:after="0" w:line="240" w:lineRule="auto"/>
      </w:pPr>
      <w:r>
        <w:continuationSeparator/>
      </w:r>
    </w:p>
  </w:footnote>
  <w:footnote w:id="1">
    <w:p w14:paraId="26730C33" w14:textId="4AFDBB14" w:rsidR="00F55197" w:rsidRPr="00C44CBF" w:rsidRDefault="00F55197">
      <w:pPr>
        <w:pStyle w:val="Tekstprzypisudolnego"/>
        <w:rPr>
          <w:lang w:val="en-US"/>
        </w:rPr>
      </w:pPr>
      <w:r>
        <w:rPr>
          <w:rStyle w:val="Odwoanieprzypisudolnego"/>
        </w:rPr>
        <w:footnoteRef/>
      </w:r>
      <w:r w:rsidRPr="00C44CBF">
        <w:rPr>
          <w:lang w:val="en-US"/>
        </w:rPr>
        <w:t xml:space="preserve"> </w:t>
      </w:r>
      <w:r w:rsidRPr="00C44CBF">
        <w:rPr>
          <w:rStyle w:val="PrzypisZnak"/>
        </w:rPr>
        <w:t xml:space="preserve">Preliminary data for </w:t>
      </w:r>
      <w:r w:rsidR="008E0088">
        <w:rPr>
          <w:rStyle w:val="PrzypisZnak"/>
        </w:rPr>
        <w:t>November</w:t>
      </w:r>
      <w:r w:rsidRPr="00C44CBF">
        <w:rPr>
          <w:rStyle w:val="PrzypisZnak"/>
        </w:rPr>
        <w:t xml:space="preserve"> 2025, final data for </w:t>
      </w:r>
      <w:r w:rsidR="008E0088">
        <w:rPr>
          <w:rStyle w:val="PrzypisZnak"/>
        </w:rPr>
        <w:t>October</w:t>
      </w:r>
      <w:r w:rsidR="008E770A">
        <w:rPr>
          <w:rStyle w:val="PrzypisZnak"/>
        </w:rPr>
        <w:t xml:space="preserve"> </w:t>
      </w:r>
      <w:r w:rsidRPr="00C44CBF">
        <w:rPr>
          <w:rStyle w:val="PrzypisZnak"/>
        </w:rPr>
        <w:t>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7922EC" w14:textId="77777777"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A273F82" wp14:editId="3EBC30B9">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39DF42"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413D64FE"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3B7BE7" w14:textId="77777777"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54A60285" wp14:editId="7FBB95EF">
          <wp:simplePos x="0" y="0"/>
          <wp:positionH relativeFrom="column">
            <wp:posOffset>8890</wp:posOffset>
          </wp:positionH>
          <wp:positionV relativeFrom="paragraph">
            <wp:posOffset>42545</wp:posOffset>
          </wp:positionV>
          <wp:extent cx="1838325" cy="696595"/>
          <wp:effectExtent l="0" t="0" r="9525" b="0"/>
          <wp:wrapSquare wrapText="bothSides"/>
          <wp:docPr id="24" name="Obraz 24"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5A73E80F" wp14:editId="2B9A7991">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A1EC235" w14:textId="77777777"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73E80F" id="Schemat blokowy: opóźnienie 6" o:spid="_x0000_s1030"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4A1EC235" w14:textId="77777777"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60367BA7" wp14:editId="2532968D">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DCFB09"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p>
  <w:p w14:paraId="560D00B1" w14:textId="77777777" w:rsidR="00540C5C" w:rsidRDefault="00540C5C">
    <w:pPr>
      <w:pStyle w:val="Nagwek"/>
      <w:rPr>
        <w:noProof/>
        <w:lang w:eastAsia="pl-PL"/>
      </w:rPr>
    </w:pPr>
  </w:p>
  <w:p w14:paraId="4BE073D8" w14:textId="77777777" w:rsidR="00540C5C" w:rsidRDefault="00540C5C">
    <w:pPr>
      <w:pStyle w:val="Nagwek"/>
      <w:rPr>
        <w:noProof/>
        <w:lang w:eastAsia="pl-PL"/>
      </w:rPr>
    </w:pPr>
  </w:p>
  <w:p w14:paraId="7CC914BC" w14:textId="77777777"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20C673BE" wp14:editId="346DCAD4">
              <wp:simplePos x="0" y="0"/>
              <wp:positionH relativeFrom="column">
                <wp:posOffset>5287976</wp:posOffset>
              </wp:positionH>
              <wp:positionV relativeFrom="paragraph">
                <wp:posOffset>266065</wp:posOffset>
              </wp:positionV>
              <wp:extent cx="1432293" cy="336589"/>
              <wp:effectExtent l="0" t="0" r="0" b="6350"/>
              <wp:wrapNone/>
              <wp:docPr id="8" name="Pole tekstowe 2" descr="18.12.2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2B26A928" w14:textId="1C16ADE8" w:rsidR="00F37172" w:rsidRPr="00A01B40" w:rsidRDefault="008E0088" w:rsidP="00F049AB">
                          <w:pPr>
                            <w:pStyle w:val="Datainformacjisygnalnej"/>
                          </w:pPr>
                          <w:r>
                            <w:t>18.12</w:t>
                          </w:r>
                          <w:r w:rsidR="00242B37">
                            <w:t>.</w:t>
                          </w:r>
                          <w:r w:rsidR="006D7D7D">
                            <w:t>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0C673BE" id="_x0000_t202" coordsize="21600,21600" o:spt="202" path="m,l,21600r21600,l21600,xe">
              <v:stroke joinstyle="miter"/>
              <v:path gradientshapeok="t" o:connecttype="rect"/>
            </v:shapetype>
            <v:shape id="_x0000_s1031" type="#_x0000_t202" alt="18.12.2025"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" filled="f" stroked="f">
              <v:textbox>
                <w:txbxContent>
                  <w:p w14:paraId="2B26A928" w14:textId="1C16ADE8" w:rsidR="00F37172" w:rsidRPr="00A01B40" w:rsidRDefault="008E0088" w:rsidP="00F049AB">
                    <w:pPr>
                      <w:pStyle w:val="Datainformacjisygnalnej"/>
                    </w:pPr>
                    <w:r>
                      <w:t>18.12</w:t>
                    </w:r>
                    <w:r w:rsidR="00242B37">
                      <w:t>.</w:t>
                    </w:r>
                    <w:r w:rsidR="006D7D7D">
                      <w:t>2025</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3622E0" w14:textId="77777777" w:rsidR="00607CC5" w:rsidRDefault="00607CC5">
    <w:pPr>
      <w:pStyle w:val="Nagwek"/>
    </w:pPr>
  </w:p>
  <w:p w14:paraId="77E4D41F"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20pt;height:132pt;visibility:visible;mso-wrap-style:square" o:bullet="t">
        <v:imagedata r:id="rId1" o:title=""/>
      </v:shape>
    </w:pict>
  </w:numPicBullet>
  <w:numPicBullet w:numPicBulletId="1">
    <w:pict>
      <v:shape id="_x0000_i1033" type="#_x0000_t75" style="width:120pt;height:132pt;visibility:visible;mso-wrap-style:square" o:bullet="t">
        <v:imagedata r:id="rId2" o:title=""/>
      </v:shape>
    </w:pict>
  </w:numPicBullet>
  <w:numPicBullet w:numPicBulletId="2">
    <w:pict>
      <v:shape id="_x0000_i1034" type="#_x0000_t75" style="width:24pt;height:30pt;visibility:visible;mso-wrap-style:square" o:bullet="t">
        <v:imagedata r:id="rId3"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7C36DB2"/>
    <w:multiLevelType w:val="hybridMultilevel"/>
    <w:tmpl w:val="54243FF2"/>
    <w:lvl w:ilvl="0" w:tplc="27BA96CA">
      <w:start w:val="100"/>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TrueTypeFonts/>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862"/>
    <w:rsid w:val="00001C5B"/>
    <w:rsid w:val="00003437"/>
    <w:rsid w:val="0000709F"/>
    <w:rsid w:val="000108B8"/>
    <w:rsid w:val="0001106F"/>
    <w:rsid w:val="0001173C"/>
    <w:rsid w:val="000152F5"/>
    <w:rsid w:val="00021C16"/>
    <w:rsid w:val="00021CD0"/>
    <w:rsid w:val="000264EB"/>
    <w:rsid w:val="00037B9E"/>
    <w:rsid w:val="000440E9"/>
    <w:rsid w:val="0004582E"/>
    <w:rsid w:val="000470AA"/>
    <w:rsid w:val="000554AD"/>
    <w:rsid w:val="00057CA1"/>
    <w:rsid w:val="000647A9"/>
    <w:rsid w:val="000662E2"/>
    <w:rsid w:val="00066883"/>
    <w:rsid w:val="00071365"/>
    <w:rsid w:val="00071B39"/>
    <w:rsid w:val="00071ED2"/>
    <w:rsid w:val="00074DD8"/>
    <w:rsid w:val="00075681"/>
    <w:rsid w:val="00075759"/>
    <w:rsid w:val="00077C88"/>
    <w:rsid w:val="000806F7"/>
    <w:rsid w:val="000815CD"/>
    <w:rsid w:val="00082EFC"/>
    <w:rsid w:val="00097840"/>
    <w:rsid w:val="000B0727"/>
    <w:rsid w:val="000B0D31"/>
    <w:rsid w:val="000B708C"/>
    <w:rsid w:val="000B70B0"/>
    <w:rsid w:val="000C041C"/>
    <w:rsid w:val="000C135D"/>
    <w:rsid w:val="000D1D43"/>
    <w:rsid w:val="000D225C"/>
    <w:rsid w:val="000D2A5C"/>
    <w:rsid w:val="000D34BE"/>
    <w:rsid w:val="000D39F0"/>
    <w:rsid w:val="000E0918"/>
    <w:rsid w:val="000E6695"/>
    <w:rsid w:val="000E79A9"/>
    <w:rsid w:val="000F056F"/>
    <w:rsid w:val="000F3F87"/>
    <w:rsid w:val="000F569C"/>
    <w:rsid w:val="001011C3"/>
    <w:rsid w:val="00104A9F"/>
    <w:rsid w:val="00106DA3"/>
    <w:rsid w:val="00110214"/>
    <w:rsid w:val="00110D87"/>
    <w:rsid w:val="00112399"/>
    <w:rsid w:val="00114DB9"/>
    <w:rsid w:val="00116087"/>
    <w:rsid w:val="00117711"/>
    <w:rsid w:val="001257CE"/>
    <w:rsid w:val="001269BE"/>
    <w:rsid w:val="00130296"/>
    <w:rsid w:val="00130B20"/>
    <w:rsid w:val="00134145"/>
    <w:rsid w:val="00136736"/>
    <w:rsid w:val="00136740"/>
    <w:rsid w:val="00136D67"/>
    <w:rsid w:val="001423B6"/>
    <w:rsid w:val="001448A7"/>
    <w:rsid w:val="001464E0"/>
    <w:rsid w:val="00146621"/>
    <w:rsid w:val="0014671E"/>
    <w:rsid w:val="00155DB5"/>
    <w:rsid w:val="00156F04"/>
    <w:rsid w:val="001617E3"/>
    <w:rsid w:val="00162325"/>
    <w:rsid w:val="001752EE"/>
    <w:rsid w:val="00180E0E"/>
    <w:rsid w:val="00190B25"/>
    <w:rsid w:val="00191503"/>
    <w:rsid w:val="001951DA"/>
    <w:rsid w:val="001959A8"/>
    <w:rsid w:val="001A0207"/>
    <w:rsid w:val="001B053D"/>
    <w:rsid w:val="001B0FF5"/>
    <w:rsid w:val="001B5515"/>
    <w:rsid w:val="001C3269"/>
    <w:rsid w:val="001C75A8"/>
    <w:rsid w:val="001D19B6"/>
    <w:rsid w:val="001D1DB4"/>
    <w:rsid w:val="001D23F1"/>
    <w:rsid w:val="001D25F9"/>
    <w:rsid w:val="001D61ED"/>
    <w:rsid w:val="001E5B2D"/>
    <w:rsid w:val="001F044F"/>
    <w:rsid w:val="001F537A"/>
    <w:rsid w:val="0020156C"/>
    <w:rsid w:val="002021A6"/>
    <w:rsid w:val="0020377C"/>
    <w:rsid w:val="00214B3F"/>
    <w:rsid w:val="00214B58"/>
    <w:rsid w:val="00215870"/>
    <w:rsid w:val="00216634"/>
    <w:rsid w:val="00225945"/>
    <w:rsid w:val="002316BE"/>
    <w:rsid w:val="00242B37"/>
    <w:rsid w:val="00242D31"/>
    <w:rsid w:val="00252EB7"/>
    <w:rsid w:val="0025481E"/>
    <w:rsid w:val="00255450"/>
    <w:rsid w:val="00257259"/>
    <w:rsid w:val="002574F9"/>
    <w:rsid w:val="00257CA1"/>
    <w:rsid w:val="002604EB"/>
    <w:rsid w:val="00260584"/>
    <w:rsid w:val="00260F7D"/>
    <w:rsid w:val="0026210B"/>
    <w:rsid w:val="00262B61"/>
    <w:rsid w:val="00262CC6"/>
    <w:rsid w:val="00263AF0"/>
    <w:rsid w:val="00263E08"/>
    <w:rsid w:val="00267CFC"/>
    <w:rsid w:val="00276811"/>
    <w:rsid w:val="00282583"/>
    <w:rsid w:val="00282699"/>
    <w:rsid w:val="00283B2F"/>
    <w:rsid w:val="00291586"/>
    <w:rsid w:val="002926DF"/>
    <w:rsid w:val="00296697"/>
    <w:rsid w:val="00297612"/>
    <w:rsid w:val="002A50FA"/>
    <w:rsid w:val="002B0472"/>
    <w:rsid w:val="002B6B12"/>
    <w:rsid w:val="002C21F0"/>
    <w:rsid w:val="002D01DF"/>
    <w:rsid w:val="002D69D0"/>
    <w:rsid w:val="002D7F77"/>
    <w:rsid w:val="002E0CC8"/>
    <w:rsid w:val="002E184E"/>
    <w:rsid w:val="002E2973"/>
    <w:rsid w:val="002E3EB3"/>
    <w:rsid w:val="002E6140"/>
    <w:rsid w:val="002E61A5"/>
    <w:rsid w:val="002E6985"/>
    <w:rsid w:val="002E71B6"/>
    <w:rsid w:val="002E7790"/>
    <w:rsid w:val="002F0B6E"/>
    <w:rsid w:val="002F35F6"/>
    <w:rsid w:val="002F77C8"/>
    <w:rsid w:val="003002A8"/>
    <w:rsid w:val="00304F22"/>
    <w:rsid w:val="00306C7C"/>
    <w:rsid w:val="00314F86"/>
    <w:rsid w:val="00317F4D"/>
    <w:rsid w:val="00322EDD"/>
    <w:rsid w:val="003232F2"/>
    <w:rsid w:val="00327FA4"/>
    <w:rsid w:val="003309FA"/>
    <w:rsid w:val="003321D2"/>
    <w:rsid w:val="00332320"/>
    <w:rsid w:val="0034588E"/>
    <w:rsid w:val="00347D72"/>
    <w:rsid w:val="00353F45"/>
    <w:rsid w:val="00357611"/>
    <w:rsid w:val="0036432A"/>
    <w:rsid w:val="00364AF9"/>
    <w:rsid w:val="00367237"/>
    <w:rsid w:val="00367DFE"/>
    <w:rsid w:val="0037077F"/>
    <w:rsid w:val="00372411"/>
    <w:rsid w:val="00373882"/>
    <w:rsid w:val="00373BE7"/>
    <w:rsid w:val="00374025"/>
    <w:rsid w:val="00376ACC"/>
    <w:rsid w:val="00380C1A"/>
    <w:rsid w:val="00383F04"/>
    <w:rsid w:val="003843DB"/>
    <w:rsid w:val="00391860"/>
    <w:rsid w:val="00393761"/>
    <w:rsid w:val="00394E26"/>
    <w:rsid w:val="00395430"/>
    <w:rsid w:val="00396691"/>
    <w:rsid w:val="00397D18"/>
    <w:rsid w:val="003A1B36"/>
    <w:rsid w:val="003A690D"/>
    <w:rsid w:val="003B1454"/>
    <w:rsid w:val="003B18B6"/>
    <w:rsid w:val="003B5CF1"/>
    <w:rsid w:val="003B6693"/>
    <w:rsid w:val="003B6B47"/>
    <w:rsid w:val="003B6F07"/>
    <w:rsid w:val="003C161B"/>
    <w:rsid w:val="003C59E0"/>
    <w:rsid w:val="003C6C8D"/>
    <w:rsid w:val="003C79AC"/>
    <w:rsid w:val="003D2656"/>
    <w:rsid w:val="003D4F95"/>
    <w:rsid w:val="003D5F42"/>
    <w:rsid w:val="003D60A9"/>
    <w:rsid w:val="003D71B6"/>
    <w:rsid w:val="003E1396"/>
    <w:rsid w:val="003E3A92"/>
    <w:rsid w:val="003F12F0"/>
    <w:rsid w:val="003F180C"/>
    <w:rsid w:val="003F39D4"/>
    <w:rsid w:val="003F4C97"/>
    <w:rsid w:val="003F666D"/>
    <w:rsid w:val="003F7FE6"/>
    <w:rsid w:val="00400193"/>
    <w:rsid w:val="004040C6"/>
    <w:rsid w:val="0040718B"/>
    <w:rsid w:val="00416EAF"/>
    <w:rsid w:val="004212E7"/>
    <w:rsid w:val="00423C88"/>
    <w:rsid w:val="0042446D"/>
    <w:rsid w:val="00427BF8"/>
    <w:rsid w:val="004313D1"/>
    <w:rsid w:val="00431C02"/>
    <w:rsid w:val="004367FC"/>
    <w:rsid w:val="00437395"/>
    <w:rsid w:val="00441E21"/>
    <w:rsid w:val="00445047"/>
    <w:rsid w:val="00446749"/>
    <w:rsid w:val="00453EB7"/>
    <w:rsid w:val="00456C4A"/>
    <w:rsid w:val="00463E39"/>
    <w:rsid w:val="004657FC"/>
    <w:rsid w:val="0046784B"/>
    <w:rsid w:val="004733F6"/>
    <w:rsid w:val="00474E69"/>
    <w:rsid w:val="004758FF"/>
    <w:rsid w:val="0048257E"/>
    <w:rsid w:val="00483E9F"/>
    <w:rsid w:val="004859DB"/>
    <w:rsid w:val="00485A2C"/>
    <w:rsid w:val="00490421"/>
    <w:rsid w:val="0049621B"/>
    <w:rsid w:val="004A1D19"/>
    <w:rsid w:val="004A53F2"/>
    <w:rsid w:val="004A6A7A"/>
    <w:rsid w:val="004A6BA7"/>
    <w:rsid w:val="004C1895"/>
    <w:rsid w:val="004C34C6"/>
    <w:rsid w:val="004C4E5D"/>
    <w:rsid w:val="004C6D40"/>
    <w:rsid w:val="004C7D55"/>
    <w:rsid w:val="004E6AA8"/>
    <w:rsid w:val="004F0C3C"/>
    <w:rsid w:val="004F2280"/>
    <w:rsid w:val="004F23BB"/>
    <w:rsid w:val="004F3DB0"/>
    <w:rsid w:val="004F63FC"/>
    <w:rsid w:val="00505A92"/>
    <w:rsid w:val="00506D55"/>
    <w:rsid w:val="005124BC"/>
    <w:rsid w:val="00515AFB"/>
    <w:rsid w:val="005175B0"/>
    <w:rsid w:val="005203F1"/>
    <w:rsid w:val="00520D9A"/>
    <w:rsid w:val="00521BC3"/>
    <w:rsid w:val="0052746C"/>
    <w:rsid w:val="00531C27"/>
    <w:rsid w:val="00533632"/>
    <w:rsid w:val="005336C5"/>
    <w:rsid w:val="00534013"/>
    <w:rsid w:val="00540C5C"/>
    <w:rsid w:val="00541E6E"/>
    <w:rsid w:val="0054251F"/>
    <w:rsid w:val="005445AF"/>
    <w:rsid w:val="0054768A"/>
    <w:rsid w:val="005520D8"/>
    <w:rsid w:val="00555CFB"/>
    <w:rsid w:val="00556CF1"/>
    <w:rsid w:val="0056373F"/>
    <w:rsid w:val="005762A7"/>
    <w:rsid w:val="00576A9E"/>
    <w:rsid w:val="0057768E"/>
    <w:rsid w:val="00583DE1"/>
    <w:rsid w:val="00587CEE"/>
    <w:rsid w:val="005916D7"/>
    <w:rsid w:val="0059427F"/>
    <w:rsid w:val="00597939"/>
    <w:rsid w:val="005A077F"/>
    <w:rsid w:val="005A5C4F"/>
    <w:rsid w:val="005A698C"/>
    <w:rsid w:val="005C006D"/>
    <w:rsid w:val="005C0100"/>
    <w:rsid w:val="005C0CAC"/>
    <w:rsid w:val="005D062E"/>
    <w:rsid w:val="005E0799"/>
    <w:rsid w:val="005E10F9"/>
    <w:rsid w:val="005E1200"/>
    <w:rsid w:val="005E6398"/>
    <w:rsid w:val="005E63D5"/>
    <w:rsid w:val="005F0F8C"/>
    <w:rsid w:val="005F45EE"/>
    <w:rsid w:val="005F5A80"/>
    <w:rsid w:val="006030AF"/>
    <w:rsid w:val="006044FF"/>
    <w:rsid w:val="00605DD2"/>
    <w:rsid w:val="00607CC5"/>
    <w:rsid w:val="0061179B"/>
    <w:rsid w:val="006125F9"/>
    <w:rsid w:val="00620A28"/>
    <w:rsid w:val="0062661E"/>
    <w:rsid w:val="006322EA"/>
    <w:rsid w:val="00632D9D"/>
    <w:rsid w:val="00633014"/>
    <w:rsid w:val="0063306B"/>
    <w:rsid w:val="0063437B"/>
    <w:rsid w:val="006354C8"/>
    <w:rsid w:val="00637127"/>
    <w:rsid w:val="00637347"/>
    <w:rsid w:val="0064017E"/>
    <w:rsid w:val="00647C0F"/>
    <w:rsid w:val="00653DC3"/>
    <w:rsid w:val="00654331"/>
    <w:rsid w:val="00654BB6"/>
    <w:rsid w:val="006673CA"/>
    <w:rsid w:val="00673C26"/>
    <w:rsid w:val="00674DE5"/>
    <w:rsid w:val="00677ACA"/>
    <w:rsid w:val="00680119"/>
    <w:rsid w:val="00680251"/>
    <w:rsid w:val="006812AF"/>
    <w:rsid w:val="0068327D"/>
    <w:rsid w:val="00691278"/>
    <w:rsid w:val="00691534"/>
    <w:rsid w:val="00693880"/>
    <w:rsid w:val="00694AF0"/>
    <w:rsid w:val="006A4686"/>
    <w:rsid w:val="006B0E9E"/>
    <w:rsid w:val="006B3154"/>
    <w:rsid w:val="006B486D"/>
    <w:rsid w:val="006B5AE4"/>
    <w:rsid w:val="006C197A"/>
    <w:rsid w:val="006D1507"/>
    <w:rsid w:val="006D4054"/>
    <w:rsid w:val="006D7D7D"/>
    <w:rsid w:val="006E02EC"/>
    <w:rsid w:val="006E2B37"/>
    <w:rsid w:val="006E3C4F"/>
    <w:rsid w:val="006E6687"/>
    <w:rsid w:val="006E6F41"/>
    <w:rsid w:val="006E73E6"/>
    <w:rsid w:val="007028AB"/>
    <w:rsid w:val="007063FB"/>
    <w:rsid w:val="00710BF3"/>
    <w:rsid w:val="00713F55"/>
    <w:rsid w:val="007211B1"/>
    <w:rsid w:val="007267B0"/>
    <w:rsid w:val="007277DA"/>
    <w:rsid w:val="00731D27"/>
    <w:rsid w:val="007349BE"/>
    <w:rsid w:val="00746187"/>
    <w:rsid w:val="007568F7"/>
    <w:rsid w:val="0076254F"/>
    <w:rsid w:val="007801F5"/>
    <w:rsid w:val="00783CA4"/>
    <w:rsid w:val="007842FB"/>
    <w:rsid w:val="00786124"/>
    <w:rsid w:val="007935B4"/>
    <w:rsid w:val="0079514B"/>
    <w:rsid w:val="00795252"/>
    <w:rsid w:val="007955AA"/>
    <w:rsid w:val="007A2DC1"/>
    <w:rsid w:val="007B5A2E"/>
    <w:rsid w:val="007C6C68"/>
    <w:rsid w:val="007D0869"/>
    <w:rsid w:val="007D14C4"/>
    <w:rsid w:val="007D16BF"/>
    <w:rsid w:val="007D3319"/>
    <w:rsid w:val="007D335D"/>
    <w:rsid w:val="007D605C"/>
    <w:rsid w:val="007E3314"/>
    <w:rsid w:val="007E3514"/>
    <w:rsid w:val="007E4B03"/>
    <w:rsid w:val="007E77F4"/>
    <w:rsid w:val="007F0089"/>
    <w:rsid w:val="007F1D95"/>
    <w:rsid w:val="007F324B"/>
    <w:rsid w:val="00803031"/>
    <w:rsid w:val="00803ACE"/>
    <w:rsid w:val="0080553C"/>
    <w:rsid w:val="00805B46"/>
    <w:rsid w:val="00805DB4"/>
    <w:rsid w:val="00823593"/>
    <w:rsid w:val="00825DC2"/>
    <w:rsid w:val="00831E6E"/>
    <w:rsid w:val="00834AD3"/>
    <w:rsid w:val="00841036"/>
    <w:rsid w:val="008417ED"/>
    <w:rsid w:val="00843795"/>
    <w:rsid w:val="00843A1B"/>
    <w:rsid w:val="008454D2"/>
    <w:rsid w:val="00846F70"/>
    <w:rsid w:val="00847F0F"/>
    <w:rsid w:val="00850B7B"/>
    <w:rsid w:val="00851654"/>
    <w:rsid w:val="00852448"/>
    <w:rsid w:val="0085426C"/>
    <w:rsid w:val="0087323A"/>
    <w:rsid w:val="00877F6C"/>
    <w:rsid w:val="0088258A"/>
    <w:rsid w:val="00886332"/>
    <w:rsid w:val="008925F0"/>
    <w:rsid w:val="0089448A"/>
    <w:rsid w:val="008949CB"/>
    <w:rsid w:val="00894C23"/>
    <w:rsid w:val="0089720D"/>
    <w:rsid w:val="00897877"/>
    <w:rsid w:val="00897C8E"/>
    <w:rsid w:val="008A26D9"/>
    <w:rsid w:val="008A7B5B"/>
    <w:rsid w:val="008B0E3A"/>
    <w:rsid w:val="008B12D2"/>
    <w:rsid w:val="008C0C29"/>
    <w:rsid w:val="008C0DBE"/>
    <w:rsid w:val="008C255D"/>
    <w:rsid w:val="008C3F9A"/>
    <w:rsid w:val="008C6C8A"/>
    <w:rsid w:val="008D02DA"/>
    <w:rsid w:val="008D5D5E"/>
    <w:rsid w:val="008D76BC"/>
    <w:rsid w:val="008E0088"/>
    <w:rsid w:val="008E3B54"/>
    <w:rsid w:val="008E770A"/>
    <w:rsid w:val="008E7DBA"/>
    <w:rsid w:val="008F0829"/>
    <w:rsid w:val="008F1BB6"/>
    <w:rsid w:val="008F3234"/>
    <w:rsid w:val="008F35D0"/>
    <w:rsid w:val="008F3638"/>
    <w:rsid w:val="008F40C5"/>
    <w:rsid w:val="008F4441"/>
    <w:rsid w:val="008F6B20"/>
    <w:rsid w:val="008F6F31"/>
    <w:rsid w:val="008F74DF"/>
    <w:rsid w:val="00900BB8"/>
    <w:rsid w:val="00901329"/>
    <w:rsid w:val="00902274"/>
    <w:rsid w:val="009030B9"/>
    <w:rsid w:val="009127BA"/>
    <w:rsid w:val="00915450"/>
    <w:rsid w:val="00920AAE"/>
    <w:rsid w:val="009227A6"/>
    <w:rsid w:val="00931E01"/>
    <w:rsid w:val="00933EC1"/>
    <w:rsid w:val="009438A9"/>
    <w:rsid w:val="009446AD"/>
    <w:rsid w:val="009530DB"/>
    <w:rsid w:val="00953676"/>
    <w:rsid w:val="00956F30"/>
    <w:rsid w:val="00962B00"/>
    <w:rsid w:val="00962D26"/>
    <w:rsid w:val="00966C9A"/>
    <w:rsid w:val="009705E4"/>
    <w:rsid w:val="009705EE"/>
    <w:rsid w:val="0097066C"/>
    <w:rsid w:val="00971A20"/>
    <w:rsid w:val="00977927"/>
    <w:rsid w:val="0098116A"/>
    <w:rsid w:val="0098135C"/>
    <w:rsid w:val="0098156A"/>
    <w:rsid w:val="0098398B"/>
    <w:rsid w:val="00991BAC"/>
    <w:rsid w:val="00993AA9"/>
    <w:rsid w:val="0099584A"/>
    <w:rsid w:val="009A3D60"/>
    <w:rsid w:val="009A6EA0"/>
    <w:rsid w:val="009A760B"/>
    <w:rsid w:val="009A7DF0"/>
    <w:rsid w:val="009C1335"/>
    <w:rsid w:val="009C1AB2"/>
    <w:rsid w:val="009C5400"/>
    <w:rsid w:val="009C7251"/>
    <w:rsid w:val="009E2E91"/>
    <w:rsid w:val="009E7D31"/>
    <w:rsid w:val="009F1E8C"/>
    <w:rsid w:val="009F7468"/>
    <w:rsid w:val="00A01B40"/>
    <w:rsid w:val="00A05E97"/>
    <w:rsid w:val="00A12F5C"/>
    <w:rsid w:val="00A139F5"/>
    <w:rsid w:val="00A13DBB"/>
    <w:rsid w:val="00A21606"/>
    <w:rsid w:val="00A3041D"/>
    <w:rsid w:val="00A30C52"/>
    <w:rsid w:val="00A32D0E"/>
    <w:rsid w:val="00A32D8D"/>
    <w:rsid w:val="00A32E16"/>
    <w:rsid w:val="00A365F4"/>
    <w:rsid w:val="00A47D80"/>
    <w:rsid w:val="00A50490"/>
    <w:rsid w:val="00A53132"/>
    <w:rsid w:val="00A54192"/>
    <w:rsid w:val="00A55DAA"/>
    <w:rsid w:val="00A563F2"/>
    <w:rsid w:val="00A566E8"/>
    <w:rsid w:val="00A66347"/>
    <w:rsid w:val="00A7392B"/>
    <w:rsid w:val="00A7767E"/>
    <w:rsid w:val="00A810F9"/>
    <w:rsid w:val="00A82D31"/>
    <w:rsid w:val="00A85E7E"/>
    <w:rsid w:val="00A86ECC"/>
    <w:rsid w:val="00A86FCC"/>
    <w:rsid w:val="00A90251"/>
    <w:rsid w:val="00A90A6D"/>
    <w:rsid w:val="00A971E5"/>
    <w:rsid w:val="00AA710D"/>
    <w:rsid w:val="00AB3683"/>
    <w:rsid w:val="00AB5293"/>
    <w:rsid w:val="00AB64F3"/>
    <w:rsid w:val="00AB6D25"/>
    <w:rsid w:val="00AD0E56"/>
    <w:rsid w:val="00AE229B"/>
    <w:rsid w:val="00AE2D4B"/>
    <w:rsid w:val="00AE49FD"/>
    <w:rsid w:val="00AE4F99"/>
    <w:rsid w:val="00AE54DC"/>
    <w:rsid w:val="00AF12E8"/>
    <w:rsid w:val="00AF5F2F"/>
    <w:rsid w:val="00AF7AEE"/>
    <w:rsid w:val="00B11B69"/>
    <w:rsid w:val="00B12173"/>
    <w:rsid w:val="00B14952"/>
    <w:rsid w:val="00B16871"/>
    <w:rsid w:val="00B25B45"/>
    <w:rsid w:val="00B26C0B"/>
    <w:rsid w:val="00B31E5A"/>
    <w:rsid w:val="00B3641F"/>
    <w:rsid w:val="00B44906"/>
    <w:rsid w:val="00B47359"/>
    <w:rsid w:val="00B50CFF"/>
    <w:rsid w:val="00B50D12"/>
    <w:rsid w:val="00B576CA"/>
    <w:rsid w:val="00B653AB"/>
    <w:rsid w:val="00B65F9E"/>
    <w:rsid w:val="00B66B19"/>
    <w:rsid w:val="00B70634"/>
    <w:rsid w:val="00B71752"/>
    <w:rsid w:val="00B769B0"/>
    <w:rsid w:val="00B7740D"/>
    <w:rsid w:val="00B80277"/>
    <w:rsid w:val="00B82CA6"/>
    <w:rsid w:val="00B84528"/>
    <w:rsid w:val="00B914E9"/>
    <w:rsid w:val="00B956EE"/>
    <w:rsid w:val="00B96A38"/>
    <w:rsid w:val="00BA0ED1"/>
    <w:rsid w:val="00BA2654"/>
    <w:rsid w:val="00BA2BA1"/>
    <w:rsid w:val="00BA3447"/>
    <w:rsid w:val="00BA3562"/>
    <w:rsid w:val="00BA5EDF"/>
    <w:rsid w:val="00BB1113"/>
    <w:rsid w:val="00BB34A3"/>
    <w:rsid w:val="00BB4F09"/>
    <w:rsid w:val="00BB54B5"/>
    <w:rsid w:val="00BC3DA7"/>
    <w:rsid w:val="00BD2BEA"/>
    <w:rsid w:val="00BD4E33"/>
    <w:rsid w:val="00BF14E3"/>
    <w:rsid w:val="00BF424F"/>
    <w:rsid w:val="00C003C4"/>
    <w:rsid w:val="00C030DE"/>
    <w:rsid w:val="00C0448C"/>
    <w:rsid w:val="00C04B68"/>
    <w:rsid w:val="00C04D95"/>
    <w:rsid w:val="00C051A8"/>
    <w:rsid w:val="00C06181"/>
    <w:rsid w:val="00C1449D"/>
    <w:rsid w:val="00C1692B"/>
    <w:rsid w:val="00C22105"/>
    <w:rsid w:val="00C228DF"/>
    <w:rsid w:val="00C244B6"/>
    <w:rsid w:val="00C27BF1"/>
    <w:rsid w:val="00C31167"/>
    <w:rsid w:val="00C3702F"/>
    <w:rsid w:val="00C420C2"/>
    <w:rsid w:val="00C44CBF"/>
    <w:rsid w:val="00C4500A"/>
    <w:rsid w:val="00C5760C"/>
    <w:rsid w:val="00C60504"/>
    <w:rsid w:val="00C62238"/>
    <w:rsid w:val="00C64A37"/>
    <w:rsid w:val="00C66259"/>
    <w:rsid w:val="00C7158E"/>
    <w:rsid w:val="00C7250B"/>
    <w:rsid w:val="00C72642"/>
    <w:rsid w:val="00C7346B"/>
    <w:rsid w:val="00C77C0E"/>
    <w:rsid w:val="00C83696"/>
    <w:rsid w:val="00C86D1A"/>
    <w:rsid w:val="00C9153B"/>
    <w:rsid w:val="00C91687"/>
    <w:rsid w:val="00C924A8"/>
    <w:rsid w:val="00C92682"/>
    <w:rsid w:val="00C945FE"/>
    <w:rsid w:val="00C956FC"/>
    <w:rsid w:val="00C96FAA"/>
    <w:rsid w:val="00C97A04"/>
    <w:rsid w:val="00CA107B"/>
    <w:rsid w:val="00CA484D"/>
    <w:rsid w:val="00CA4FB6"/>
    <w:rsid w:val="00CA784C"/>
    <w:rsid w:val="00CB2F90"/>
    <w:rsid w:val="00CB3612"/>
    <w:rsid w:val="00CB6585"/>
    <w:rsid w:val="00CB6AD4"/>
    <w:rsid w:val="00CC533C"/>
    <w:rsid w:val="00CC739E"/>
    <w:rsid w:val="00CD1EBB"/>
    <w:rsid w:val="00CD28CF"/>
    <w:rsid w:val="00CD58B7"/>
    <w:rsid w:val="00CD5CA1"/>
    <w:rsid w:val="00CD7967"/>
    <w:rsid w:val="00CE1548"/>
    <w:rsid w:val="00CE20E5"/>
    <w:rsid w:val="00CF18EE"/>
    <w:rsid w:val="00CF30BD"/>
    <w:rsid w:val="00CF3435"/>
    <w:rsid w:val="00CF4099"/>
    <w:rsid w:val="00CF72FE"/>
    <w:rsid w:val="00D00796"/>
    <w:rsid w:val="00D14D97"/>
    <w:rsid w:val="00D261A2"/>
    <w:rsid w:val="00D27F34"/>
    <w:rsid w:val="00D310C3"/>
    <w:rsid w:val="00D3167B"/>
    <w:rsid w:val="00D331C8"/>
    <w:rsid w:val="00D35F7A"/>
    <w:rsid w:val="00D41FF9"/>
    <w:rsid w:val="00D44F8B"/>
    <w:rsid w:val="00D4517A"/>
    <w:rsid w:val="00D532E6"/>
    <w:rsid w:val="00D616D2"/>
    <w:rsid w:val="00D63B5F"/>
    <w:rsid w:val="00D657DB"/>
    <w:rsid w:val="00D6629A"/>
    <w:rsid w:val="00D70EF7"/>
    <w:rsid w:val="00D82FEA"/>
    <w:rsid w:val="00D83257"/>
    <w:rsid w:val="00D8397C"/>
    <w:rsid w:val="00D8571C"/>
    <w:rsid w:val="00D94EED"/>
    <w:rsid w:val="00D96026"/>
    <w:rsid w:val="00D972F6"/>
    <w:rsid w:val="00DA331D"/>
    <w:rsid w:val="00DA77AD"/>
    <w:rsid w:val="00DA7C1C"/>
    <w:rsid w:val="00DB147A"/>
    <w:rsid w:val="00DB1B7A"/>
    <w:rsid w:val="00DB706E"/>
    <w:rsid w:val="00DC6708"/>
    <w:rsid w:val="00DD011A"/>
    <w:rsid w:val="00DD7DCE"/>
    <w:rsid w:val="00DE1D0A"/>
    <w:rsid w:val="00DE2400"/>
    <w:rsid w:val="00DE58F1"/>
    <w:rsid w:val="00DE6B58"/>
    <w:rsid w:val="00DF5E32"/>
    <w:rsid w:val="00E01436"/>
    <w:rsid w:val="00E03E79"/>
    <w:rsid w:val="00E045BD"/>
    <w:rsid w:val="00E04D6C"/>
    <w:rsid w:val="00E12EDA"/>
    <w:rsid w:val="00E151D4"/>
    <w:rsid w:val="00E17B77"/>
    <w:rsid w:val="00E20EF8"/>
    <w:rsid w:val="00E231AB"/>
    <w:rsid w:val="00E23337"/>
    <w:rsid w:val="00E259EA"/>
    <w:rsid w:val="00E25D33"/>
    <w:rsid w:val="00E32061"/>
    <w:rsid w:val="00E33F48"/>
    <w:rsid w:val="00E3537E"/>
    <w:rsid w:val="00E42FF9"/>
    <w:rsid w:val="00E44790"/>
    <w:rsid w:val="00E4714C"/>
    <w:rsid w:val="00E5178D"/>
    <w:rsid w:val="00E51AEB"/>
    <w:rsid w:val="00E522A7"/>
    <w:rsid w:val="00E5349E"/>
    <w:rsid w:val="00E54452"/>
    <w:rsid w:val="00E566C5"/>
    <w:rsid w:val="00E608F2"/>
    <w:rsid w:val="00E628A4"/>
    <w:rsid w:val="00E63B0C"/>
    <w:rsid w:val="00E664C5"/>
    <w:rsid w:val="00E671A2"/>
    <w:rsid w:val="00E76D26"/>
    <w:rsid w:val="00E76EE5"/>
    <w:rsid w:val="00E825EA"/>
    <w:rsid w:val="00E95036"/>
    <w:rsid w:val="00E95B8E"/>
    <w:rsid w:val="00E95FC1"/>
    <w:rsid w:val="00E96431"/>
    <w:rsid w:val="00E96AF9"/>
    <w:rsid w:val="00E9757D"/>
    <w:rsid w:val="00EA5441"/>
    <w:rsid w:val="00EA5F23"/>
    <w:rsid w:val="00EB1390"/>
    <w:rsid w:val="00EB1677"/>
    <w:rsid w:val="00EB2C0D"/>
    <w:rsid w:val="00EB2C71"/>
    <w:rsid w:val="00EB3333"/>
    <w:rsid w:val="00EB4340"/>
    <w:rsid w:val="00EB556D"/>
    <w:rsid w:val="00EB5A7D"/>
    <w:rsid w:val="00EC1C75"/>
    <w:rsid w:val="00EC23DD"/>
    <w:rsid w:val="00ED55C0"/>
    <w:rsid w:val="00ED62F9"/>
    <w:rsid w:val="00ED682B"/>
    <w:rsid w:val="00EE41D5"/>
    <w:rsid w:val="00EE470E"/>
    <w:rsid w:val="00EE6A05"/>
    <w:rsid w:val="00EF3AE8"/>
    <w:rsid w:val="00EF4D4F"/>
    <w:rsid w:val="00F00E62"/>
    <w:rsid w:val="00F0166F"/>
    <w:rsid w:val="00F03786"/>
    <w:rsid w:val="00F037A4"/>
    <w:rsid w:val="00F049AB"/>
    <w:rsid w:val="00F05623"/>
    <w:rsid w:val="00F10B68"/>
    <w:rsid w:val="00F142DB"/>
    <w:rsid w:val="00F27C8F"/>
    <w:rsid w:val="00F32749"/>
    <w:rsid w:val="00F33B89"/>
    <w:rsid w:val="00F34BEA"/>
    <w:rsid w:val="00F37172"/>
    <w:rsid w:val="00F40ED8"/>
    <w:rsid w:val="00F41261"/>
    <w:rsid w:val="00F4477E"/>
    <w:rsid w:val="00F46269"/>
    <w:rsid w:val="00F5243E"/>
    <w:rsid w:val="00F55197"/>
    <w:rsid w:val="00F56710"/>
    <w:rsid w:val="00F60BA8"/>
    <w:rsid w:val="00F62C08"/>
    <w:rsid w:val="00F65A67"/>
    <w:rsid w:val="00F67D8F"/>
    <w:rsid w:val="00F70CE9"/>
    <w:rsid w:val="00F77451"/>
    <w:rsid w:val="00F802BE"/>
    <w:rsid w:val="00F80E93"/>
    <w:rsid w:val="00F84069"/>
    <w:rsid w:val="00F86024"/>
    <w:rsid w:val="00F8611A"/>
    <w:rsid w:val="00F94E00"/>
    <w:rsid w:val="00FA4D6D"/>
    <w:rsid w:val="00FA5128"/>
    <w:rsid w:val="00FA5B77"/>
    <w:rsid w:val="00FB3FD1"/>
    <w:rsid w:val="00FB42D4"/>
    <w:rsid w:val="00FB5906"/>
    <w:rsid w:val="00FB762F"/>
    <w:rsid w:val="00FC2AED"/>
    <w:rsid w:val="00FD5EA7"/>
    <w:rsid w:val="00FE36CF"/>
    <w:rsid w:val="00FF0246"/>
    <w:rsid w:val="00FF3B9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B82A7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styleId="Nierozpoznanawzmianka">
    <w:name w:val="Unresolved Mention"/>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styleId="UyteHipercze">
    <w:name w:val="FollowedHyperlink"/>
    <w:basedOn w:val="Domylnaczcionkaakapitu"/>
    <w:uiPriority w:val="99"/>
    <w:semiHidden/>
    <w:unhideWhenUsed/>
    <w:rsid w:val="005F0F8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2258684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490170584">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5.png"/><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hyperlink" Target="mailto:obslugaprasowa@stat.gov.pl" TargetMode="External"/><Relationship Id="rId25" Type="http://schemas.openxmlformats.org/officeDocument/2006/relationships/hyperlink" Target="https://stat.gov.pl/"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7.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hyperlink" Target="https://ssgk.stat.gov.pl/index_en.html" TargetMode="Externa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0.png"/><Relationship Id="rId28" Type="http://schemas.openxmlformats.org/officeDocument/2006/relationships/fontTable" Target="fontTable.xml"/><Relationship Id="rId10" Type="http://schemas.openxmlformats.org/officeDocument/2006/relationships/chart" Target="charts/chart1.xml"/><Relationship Id="rId19" Type="http://schemas.openxmlformats.org/officeDocument/2006/relationships/image" Target="media/image6.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9.png"/><Relationship Id="rId27"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sz="1000">
                <a:solidFill>
                  <a:sysClr val="windowText" lastClr="000000"/>
                </a:solidFill>
                <a:latin typeface="Fira Sans" panose="020B0503050000020004" pitchFamily="34" charset="0"/>
                <a:ea typeface="Fira Sans" panose="020B0503050000020004" pitchFamily="34" charset="0"/>
              </a:rPr>
              <a:t>%</a:t>
            </a:r>
          </a:p>
        </c:rich>
      </c:tx>
      <c:layout>
        <c:manualLayout>
          <c:xMode val="edge"/>
          <c:yMode val="edge"/>
          <c:x val="6.3095590180271797E-3"/>
          <c:y val="1.9888623707239459E-2"/>
        </c:manualLayout>
      </c:layout>
      <c:overlay val="1"/>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manualLayout>
          <c:layoutTarget val="inner"/>
          <c:xMode val="edge"/>
          <c:yMode val="edge"/>
          <c:x val="4.8700597066497223E-2"/>
          <c:y val="0.13183526581850297"/>
          <c:w val="0.90667314782007769"/>
          <c:h val="0.73090942689443061"/>
        </c:manualLayout>
      </c:layout>
      <c:lineChart>
        <c:grouping val="standard"/>
        <c:varyColors val="0"/>
        <c:ser>
          <c:idx val="0"/>
          <c:order val="0"/>
          <c:tx>
            <c:strRef>
              <c:f>Arkusz1!$B$1</c:f>
              <c:strCache>
                <c:ptCount val="1"/>
                <c:pt idx="0">
                  <c:v>Seria 1</c:v>
                </c:pt>
              </c:strCache>
            </c:strRef>
          </c:tx>
          <c:spPr>
            <a:ln w="28575" cap="sq">
              <a:solidFill>
                <a:srgbClr val="001D77"/>
              </a:solidFill>
              <a:round/>
            </a:ln>
            <a:effectLst/>
          </c:spPr>
          <c:marker>
            <c:symbol val="square"/>
            <c:size val="4"/>
            <c:spPr>
              <a:solidFill>
                <a:srgbClr val="001381"/>
              </a:solidFill>
              <a:ln w="9525" cap="flat">
                <a:solidFill>
                  <a:srgbClr val="002060"/>
                </a:solidFill>
              </a:ln>
              <a:effectLst/>
            </c:spPr>
          </c:marker>
          <c:dLbls>
            <c:dLbl>
              <c:idx val="1"/>
              <c:layout>
                <c:manualLayout>
                  <c:x val="-3.0215644762515509E-2"/>
                  <c:y val="-5.227369315767113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F16-4174-8EA9-A078A8CCD6EC}"/>
                </c:ext>
              </c:extLst>
            </c:dLbl>
            <c:dLbl>
              <c:idx val="10"/>
              <c:layout>
                <c:manualLayout>
                  <c:x val="-2.0887664237210397E-2"/>
                  <c:y val="-6.483691328560078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F16-4174-8EA9-A078A8CCD6EC}"/>
                </c:ext>
              </c:extLst>
            </c:dLbl>
            <c:dLbl>
              <c:idx val="13"/>
              <c:layout>
                <c:manualLayout>
                  <c:x val="-4.0969479038251495E-2"/>
                  <c:y val="-4.256165473349244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F16-4174-8EA9-A078A8CCD6EC}"/>
                </c:ext>
              </c:extLst>
            </c:dLbl>
            <c:dLbl>
              <c:idx val="15"/>
              <c:layout>
                <c:manualLayout>
                  <c:x val="-2.3614824271919615E-2"/>
                  <c:y val="-8.233890214797150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F16-4174-8EA9-A078A8CCD6EC}"/>
                </c:ext>
              </c:extLst>
            </c:dLbl>
            <c:dLbl>
              <c:idx val="17"/>
              <c:layout>
                <c:manualLayout>
                  <c:x val="-3.6556438254812973E-2"/>
                  <c:y val="-0.10620525059665871"/>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F16-4174-8EA9-A078A8CCD6EC}"/>
                </c:ext>
              </c:extLst>
            </c:dLbl>
            <c:dLbl>
              <c:idx val="19"/>
              <c:layout>
                <c:manualLayout>
                  <c:x val="-1.6722547093290543E-2"/>
                  <c:y val="-4.256165473349244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F16-4174-8EA9-A078A8CCD6EC}"/>
                </c:ext>
              </c:extLst>
            </c:dLbl>
            <c:dLbl>
              <c:idx val="20"/>
              <c:layout>
                <c:manualLayout>
                  <c:x val="-4.6473383835574103E-2"/>
                  <c:y val="-5.847255369928415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350-4278-8238-AB952F7BCF9B}"/>
                </c:ext>
              </c:extLst>
            </c:dLbl>
            <c:dLbl>
              <c:idx val="22"/>
              <c:layout>
                <c:manualLayout>
                  <c:x val="-8.7764968389735954E-3"/>
                  <c:y val="-4.65393794749402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FD3-4CB0-92DE-F64A3DF692F8}"/>
                </c:ext>
              </c:extLst>
            </c:dLbl>
            <c:numFmt formatCode="#,##0.0" sourceLinked="0"/>
            <c:spPr>
              <a:noFill/>
              <a:ln>
                <a:noFill/>
              </a:ln>
              <a:effectLst/>
            </c:spPr>
            <c:txPr>
              <a:bodyPr rot="0" spcFirstLastPara="1" vertOverflow="ellipsis" vert="horz" wrap="square" lIns="38100" tIns="19050" rIns="38100" bIns="19050" anchor="ctr" anchorCtr="0">
                <a:spAutoFit/>
              </a:bodyPr>
              <a:lstStyle/>
              <a:p>
                <a:pPr>
                  <a:defRPr sz="7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Arkusz1!$A$38:$A$60</c:f>
              <c:strCache>
                <c:ptCount val="23"/>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pt idx="15">
                  <c:v>04</c:v>
                </c:pt>
                <c:pt idx="16">
                  <c:v>05</c:v>
                </c:pt>
                <c:pt idx="17">
                  <c:v>06</c:v>
                </c:pt>
                <c:pt idx="18">
                  <c:v>07</c:v>
                </c:pt>
                <c:pt idx="19">
                  <c:v>08</c:v>
                </c:pt>
                <c:pt idx="20">
                  <c:v>09</c:v>
                </c:pt>
                <c:pt idx="21">
                  <c:v>10</c:v>
                </c:pt>
                <c:pt idx="22">
                  <c:v>11</c:v>
                </c:pt>
              </c:strCache>
            </c:strRef>
          </c:cat>
          <c:val>
            <c:numRef>
              <c:f>Arkusz1!$B$38:$B$60</c:f>
              <c:numCache>
                <c:formatCode>General</c:formatCode>
                <c:ptCount val="23"/>
                <c:pt idx="0">
                  <c:v>0.5</c:v>
                </c:pt>
                <c:pt idx="1">
                  <c:v>0.3</c:v>
                </c:pt>
                <c:pt idx="2">
                  <c:v>0.4</c:v>
                </c:pt>
                <c:pt idx="3">
                  <c:v>0.5</c:v>
                </c:pt>
                <c:pt idx="4">
                  <c:v>0.4</c:v>
                </c:pt>
                <c:pt idx="5">
                  <c:v>0.3</c:v>
                </c:pt>
                <c:pt idx="6">
                  <c:v>0.4</c:v>
                </c:pt>
                <c:pt idx="7">
                  <c:v>0.3</c:v>
                </c:pt>
                <c:pt idx="8">
                  <c:v>0.3</c:v>
                </c:pt>
                <c:pt idx="9">
                  <c:v>0.4</c:v>
                </c:pt>
                <c:pt idx="10" formatCode="0.0">
                  <c:v>0</c:v>
                </c:pt>
                <c:pt idx="11">
                  <c:v>0.1</c:v>
                </c:pt>
                <c:pt idx="12" formatCode="0.0">
                  <c:v>0.1</c:v>
                </c:pt>
                <c:pt idx="13">
                  <c:v>0.2</c:v>
                </c:pt>
                <c:pt idx="14">
                  <c:v>0.5</c:v>
                </c:pt>
                <c:pt idx="15">
                  <c:v>0.2</c:v>
                </c:pt>
                <c:pt idx="16">
                  <c:v>0.3</c:v>
                </c:pt>
                <c:pt idx="17">
                  <c:v>0.1</c:v>
                </c:pt>
                <c:pt idx="18">
                  <c:v>0.5</c:v>
                </c:pt>
                <c:pt idx="19" formatCode="0.0">
                  <c:v>0.1</c:v>
                </c:pt>
                <c:pt idx="20">
                  <c:v>0</c:v>
                </c:pt>
                <c:pt idx="21">
                  <c:v>0.8</c:v>
                </c:pt>
                <c:pt idx="22">
                  <c:v>0.3</c:v>
                </c:pt>
              </c:numCache>
            </c:numRef>
          </c:val>
          <c:smooth val="0"/>
          <c:extLst>
            <c:ext xmlns:c16="http://schemas.microsoft.com/office/drawing/2014/chart" uri="{C3380CC4-5D6E-409C-BE32-E72D297353CC}">
              <c16:uniqueId val="{00000006-FF16-4174-8EA9-A078A8CCD6EC}"/>
            </c:ext>
          </c:extLst>
        </c:ser>
        <c:dLbls>
          <c:showLegendKey val="0"/>
          <c:showVal val="0"/>
          <c:showCatName val="0"/>
          <c:showSerName val="0"/>
          <c:showPercent val="0"/>
          <c:showBubbleSize val="0"/>
        </c:dLbls>
        <c:marker val="1"/>
        <c:smooth val="0"/>
        <c:axId val="152094639"/>
        <c:axId val="143964575"/>
      </c:lineChart>
      <c:catAx>
        <c:axId val="152094639"/>
        <c:scaling>
          <c:orientation val="minMax"/>
        </c:scaling>
        <c:delete val="0"/>
        <c:axPos val="b"/>
        <c:numFmt formatCode="General" sourceLinked="1"/>
        <c:majorTickMark val="none"/>
        <c:minorTickMark val="in"/>
        <c:tickLblPos val="low"/>
        <c:spPr>
          <a:noFill/>
          <a:ln w="9525" cap="flat" cmpd="sng" algn="ctr">
            <a:solidFill>
              <a:srgbClr val="001381"/>
            </a:solidFill>
            <a:round/>
          </a:ln>
          <a:effectLst/>
        </c:spPr>
        <c:txPr>
          <a:bodyPr rot="0" spcFirstLastPara="1" vertOverflow="ellipsis"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43964575"/>
        <c:crossesAt val="0"/>
        <c:auto val="0"/>
        <c:lblAlgn val="ctr"/>
        <c:lblOffset val="100"/>
        <c:tickLblSkip val="1"/>
        <c:noMultiLvlLbl val="0"/>
      </c:catAx>
      <c:valAx>
        <c:axId val="143964575"/>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52094639"/>
        <c:crossesAt val="1"/>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rot="0" vert="horz"/>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ysClr val="windowText" lastClr="000000"/>
                </a:solidFill>
                <a:latin typeface="Fira Sans" panose="020B0503050000020004" pitchFamily="34" charset="0"/>
                <a:ea typeface="Fira Sans" panose="020B0503050000020004" pitchFamily="34" charset="0"/>
                <a:cs typeface="+mn-cs"/>
              </a:defRPr>
            </a:pPr>
            <a:r>
              <a:rPr lang="pl-PL" sz="1000">
                <a:solidFill>
                  <a:sysClr val="windowText" lastClr="000000"/>
                </a:solidFill>
              </a:rPr>
              <a:t>%</a:t>
            </a:r>
            <a:endParaRPr lang="en-US" sz="1000">
              <a:solidFill>
                <a:sysClr val="windowText" lastClr="000000"/>
              </a:solidFill>
            </a:endParaRPr>
          </a:p>
        </c:rich>
      </c:tx>
      <c:layout>
        <c:manualLayout>
          <c:xMode val="edge"/>
          <c:yMode val="edge"/>
          <c:x val="2.7407860741096454E-2"/>
          <c:y val="2.9076811243033681E-2"/>
        </c:manualLayout>
      </c:layout>
      <c:overlay val="1"/>
      <c:spPr>
        <a:noFill/>
        <a:ln>
          <a:noFill/>
        </a:ln>
        <a:effectLst/>
      </c:spPr>
      <c:txPr>
        <a:bodyPr rot="0" spcFirstLastPara="1" vertOverflow="ellipsis" vert="horz" wrap="square" anchor="ctr" anchorCtr="1"/>
        <a:lstStyle/>
        <a:p>
          <a:pPr>
            <a:defRPr sz="1000" b="0" i="0" u="none" strike="noStrike" kern="1200" spc="0" baseline="0">
              <a:solidFill>
                <a:sysClr val="windowText" lastClr="000000"/>
              </a:solidFill>
              <a:latin typeface="Fira Sans" panose="020B0503050000020004" pitchFamily="34" charset="0"/>
              <a:ea typeface="Fira Sans" panose="020B0503050000020004" pitchFamily="34" charset="0"/>
              <a:cs typeface="+mn-cs"/>
            </a:defRPr>
          </a:pPr>
          <a:endParaRPr lang="pl-PL"/>
        </a:p>
      </c:txPr>
    </c:title>
    <c:autoTitleDeleted val="0"/>
    <c:plotArea>
      <c:layout>
        <c:manualLayout>
          <c:layoutTarget val="inner"/>
          <c:xMode val="edge"/>
          <c:yMode val="edge"/>
          <c:x val="6.9191583480476992E-2"/>
          <c:y val="0.13016270337922403"/>
          <c:w val="0.90353681617242987"/>
          <c:h val="0.71621219437682926"/>
        </c:manualLayout>
      </c:layout>
      <c:lineChart>
        <c:grouping val="standard"/>
        <c:varyColors val="0"/>
        <c:ser>
          <c:idx val="0"/>
          <c:order val="0"/>
          <c:tx>
            <c:strRef>
              <c:f>Arkusz1!$B$1</c:f>
              <c:strCache>
                <c:ptCount val="1"/>
                <c:pt idx="0">
                  <c:v>Seria 1</c:v>
                </c:pt>
              </c:strCache>
            </c:strRef>
          </c:tx>
          <c:spPr>
            <a:ln w="28575" cap="rnd">
              <a:solidFill>
                <a:srgbClr val="001381"/>
              </a:solidFill>
              <a:round/>
            </a:ln>
            <a:effectLst/>
          </c:spPr>
          <c:marker>
            <c:symbol val="square"/>
            <c:size val="4"/>
            <c:spPr>
              <a:solidFill>
                <a:srgbClr val="001D77"/>
              </a:solidFill>
              <a:ln w="9525">
                <a:solidFill>
                  <a:srgbClr val="001381"/>
                </a:solidFill>
              </a:ln>
              <a:effectLst/>
            </c:spPr>
          </c:marker>
          <c:dLbls>
            <c:dLbl>
              <c:idx val="0"/>
              <c:layout>
                <c:manualLayout>
                  <c:x val="-3.055043928359838E-2"/>
                  <c:y val="-4.216137630239883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124-413B-8F59-9672570C5831}"/>
                </c:ext>
              </c:extLst>
            </c:dLbl>
            <c:dLbl>
              <c:idx val="5"/>
              <c:layout>
                <c:manualLayout>
                  <c:x val="-3.1895181008658874E-2"/>
                  <c:y val="-5.9122849527501825E-2"/>
                </c:manualLayout>
              </c:layout>
              <c:tx>
                <c:rich>
                  <a:bodyPr/>
                  <a:lstStyle/>
                  <a:p>
                    <a:fld id="{B02897BF-0FA6-4622-B009-F0F336D1C335}" type="VALUE">
                      <a:rPr lang="en-US"/>
                      <a:pPr/>
                      <a:t>[WARTOŚĆ]</a:t>
                    </a:fld>
                    <a:r>
                      <a:rPr lang="en-US"/>
                      <a:t>,0</a:t>
                    </a:r>
                  </a:p>
                </c:rich>
              </c:tx>
              <c:dLblPos val="r"/>
              <c:showLegendKey val="0"/>
              <c:showVal val="1"/>
              <c:showCatName val="0"/>
              <c:showSerName val="0"/>
              <c:showPercent val="0"/>
              <c:showBubbleSize val="0"/>
              <c:extLst>
                <c:ext xmlns:c15="http://schemas.microsoft.com/office/drawing/2012/chart" uri="{CE6537A1-D6FC-4f65-9D91-7224C49458BB}">
                  <c15:layout>
                    <c:manualLayout>
                      <c:w val="4.3956861286723686E-2"/>
                      <c:h val="3.1015265325902593E-2"/>
                    </c:manualLayout>
                  </c15:layout>
                  <c15:dlblFieldTable/>
                  <c15:showDataLabelsRange val="0"/>
                </c:ext>
                <c:ext xmlns:c16="http://schemas.microsoft.com/office/drawing/2014/chart" uri="{C3380CC4-5D6E-409C-BE32-E72D297353CC}">
                  <c16:uniqueId val="{00000001-A124-413B-8F59-9672570C5831}"/>
                </c:ext>
              </c:extLst>
            </c:dLbl>
            <c:dLbl>
              <c:idx val="8"/>
              <c:layout>
                <c:manualLayout>
                  <c:x val="-3.1616510933530108E-2"/>
                  <c:y val="-4.7007511509571116E-2"/>
                </c:manualLayout>
              </c:layout>
              <c:tx>
                <c:rich>
                  <a:bodyPr/>
                  <a:lstStyle/>
                  <a:p>
                    <a:fld id="{E714AE03-570D-40A9-9ECE-250B832AA412}" type="VALUE">
                      <a:rPr lang="en-US"/>
                      <a:pPr/>
                      <a:t>[WARTOŚĆ]</a:t>
                    </a:fld>
                    <a:r>
                      <a:rPr lang="en-US"/>
                      <a:t>,0</a:t>
                    </a:r>
                  </a:p>
                </c:rich>
              </c:tx>
              <c:dLblPos val="r"/>
              <c:showLegendKey val="0"/>
              <c:showVal val="1"/>
              <c:showCatName val="0"/>
              <c:showSerName val="0"/>
              <c:showPercent val="0"/>
              <c:showBubbleSize val="0"/>
              <c:extLst>
                <c:ext xmlns:c15="http://schemas.microsoft.com/office/drawing/2012/chart" uri="{CE6537A1-D6FC-4f65-9D91-7224C49458BB}">
                  <c15:layout>
                    <c:manualLayout>
                      <c:w val="3.8440657915157404E-2"/>
                      <c:h val="5.5245941361763994E-2"/>
                    </c:manualLayout>
                  </c15:layout>
                  <c15:dlblFieldTable/>
                  <c15:showDataLabelsRange val="0"/>
                </c:ext>
                <c:ext xmlns:c16="http://schemas.microsoft.com/office/drawing/2014/chart" uri="{C3380CC4-5D6E-409C-BE32-E72D297353CC}">
                  <c16:uniqueId val="{00000002-A124-413B-8F59-9672570C5831}"/>
                </c:ext>
              </c:extLst>
            </c:dLbl>
            <c:dLbl>
              <c:idx val="9"/>
              <c:layout>
                <c:manualLayout>
                  <c:x val="-3.1089624395686129E-2"/>
                  <c:y val="-3.731524109522655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124-413B-8F59-9672570C5831}"/>
                </c:ext>
              </c:extLst>
            </c:dLbl>
            <c:dLbl>
              <c:idx val="10"/>
              <c:layout>
                <c:manualLayout>
                  <c:x val="-3.1151702913298163E-2"/>
                  <c:y val="-4.216137630239883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124-413B-8F59-9672570C5831}"/>
                </c:ext>
              </c:extLst>
            </c:dLbl>
            <c:dLbl>
              <c:idx val="11"/>
              <c:layout>
                <c:manualLayout>
                  <c:x val="-2.7687018854885607E-2"/>
                  <c:y val="-3.731524109522655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124-413B-8F59-9672570C5831}"/>
                </c:ext>
              </c:extLst>
            </c:dLbl>
            <c:spPr>
              <a:noFill/>
              <a:ln>
                <a:noFill/>
              </a:ln>
              <a:effectLst/>
            </c:spPr>
            <c:txPr>
              <a:bodyPr rot="0" spcFirstLastPara="1" vertOverflow="ellipsis" vert="horz" wrap="square" anchor="ctr" anchorCtr="1"/>
              <a:lstStyle/>
              <a:p>
                <a:pPr>
                  <a:defRPr sz="7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Arkusz1!$A$38:$A$60</c:f>
              <c:strCache>
                <c:ptCount val="23"/>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pt idx="15">
                  <c:v>04</c:v>
                </c:pt>
                <c:pt idx="16">
                  <c:v>05</c:v>
                </c:pt>
                <c:pt idx="17">
                  <c:v>06</c:v>
                </c:pt>
                <c:pt idx="18">
                  <c:v>07</c:v>
                </c:pt>
                <c:pt idx="19">
                  <c:v>08</c:v>
                </c:pt>
                <c:pt idx="20">
                  <c:v>09</c:v>
                </c:pt>
                <c:pt idx="21">
                  <c:v>10</c:v>
                </c:pt>
                <c:pt idx="22">
                  <c:v>11</c:v>
                </c:pt>
              </c:strCache>
            </c:strRef>
          </c:cat>
          <c:val>
            <c:numRef>
              <c:f>Arkusz1!$B$38:$B$60</c:f>
              <c:numCache>
                <c:formatCode>0.0</c:formatCode>
                <c:ptCount val="23"/>
                <c:pt idx="0">
                  <c:v>7.8</c:v>
                </c:pt>
                <c:pt idx="1">
                  <c:v>7.5</c:v>
                </c:pt>
                <c:pt idx="2">
                  <c:v>7.3</c:v>
                </c:pt>
                <c:pt idx="3">
                  <c:v>7.1</c:v>
                </c:pt>
                <c:pt idx="4">
                  <c:v>6.6</c:v>
                </c:pt>
                <c:pt idx="5" formatCode="0">
                  <c:v>6</c:v>
                </c:pt>
                <c:pt idx="6">
                  <c:v>5.7</c:v>
                </c:pt>
                <c:pt idx="7">
                  <c:v>5.3</c:v>
                </c:pt>
                <c:pt idx="8" formatCode="0">
                  <c:v>5</c:v>
                </c:pt>
                <c:pt idx="9">
                  <c:v>4.9000000000000004</c:v>
                </c:pt>
                <c:pt idx="10">
                  <c:v>4.4000000000000004</c:v>
                </c:pt>
                <c:pt idx="11">
                  <c:v>3.9</c:v>
                </c:pt>
                <c:pt idx="12">
                  <c:v>3.7</c:v>
                </c:pt>
                <c:pt idx="13">
                  <c:v>3.7</c:v>
                </c:pt>
                <c:pt idx="14">
                  <c:v>3.7</c:v>
                </c:pt>
                <c:pt idx="15">
                  <c:v>3.4</c:v>
                </c:pt>
                <c:pt idx="16">
                  <c:v>3.3</c:v>
                </c:pt>
                <c:pt idx="17">
                  <c:v>3</c:v>
                </c:pt>
                <c:pt idx="18">
                  <c:v>3.1</c:v>
                </c:pt>
                <c:pt idx="19">
                  <c:v>2.8</c:v>
                </c:pt>
                <c:pt idx="20">
                  <c:v>2.5</c:v>
                </c:pt>
                <c:pt idx="21">
                  <c:v>2.8</c:v>
                </c:pt>
                <c:pt idx="22">
                  <c:v>3.1</c:v>
                </c:pt>
              </c:numCache>
            </c:numRef>
          </c:val>
          <c:smooth val="0"/>
          <c:extLst>
            <c:ext xmlns:c16="http://schemas.microsoft.com/office/drawing/2014/chart" uri="{C3380CC4-5D6E-409C-BE32-E72D297353CC}">
              <c16:uniqueId val="{00000006-A124-413B-8F59-9672570C5831}"/>
            </c:ext>
          </c:extLst>
        </c:ser>
        <c:dLbls>
          <c:showLegendKey val="0"/>
          <c:showVal val="0"/>
          <c:showCatName val="0"/>
          <c:showSerName val="0"/>
          <c:showPercent val="0"/>
          <c:showBubbleSize val="0"/>
        </c:dLbls>
        <c:marker val="1"/>
        <c:smooth val="0"/>
        <c:axId val="143726143"/>
        <c:axId val="303851823"/>
      </c:lineChart>
      <c:catAx>
        <c:axId val="143726143"/>
        <c:scaling>
          <c:orientation val="minMax"/>
        </c:scaling>
        <c:delete val="0"/>
        <c:axPos val="b"/>
        <c:numFmt formatCode="General" sourceLinked="1"/>
        <c:majorTickMark val="none"/>
        <c:minorTickMark val="none"/>
        <c:tickLblPos val="low"/>
        <c:spPr>
          <a:noFill/>
          <a:ln w="9525" cap="flat" cmpd="sng" algn="ctr">
            <a:solidFill>
              <a:schemeClr val="tx1"/>
            </a:solidFill>
            <a:round/>
          </a:ln>
          <a:effectLst/>
        </c:spPr>
        <c:txPr>
          <a:bodyPr rot="0" spcFirstLastPara="1" vertOverflow="ellipsis" wrap="square" anchor="ctr" anchorCtr="1"/>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303851823"/>
        <c:crosses val="autoZero"/>
        <c:auto val="1"/>
        <c:lblAlgn val="ctr"/>
        <c:lblOffset val="100"/>
        <c:tickLblSkip val="1"/>
        <c:noMultiLvlLbl val="0"/>
      </c:catAx>
      <c:valAx>
        <c:axId val="303851823"/>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14372614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700">
          <a:solidFill>
            <a:schemeClr val="tx1">
              <a:lumMod val="95000"/>
              <a:lumOff val="5000"/>
            </a:schemeClr>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0" i="0" u="none" strike="noStrike" kern="1200" spc="0" baseline="0">
                <a:solidFill>
                  <a:schemeClr val="tx1">
                    <a:lumMod val="65000"/>
                    <a:lumOff val="35000"/>
                  </a:schemeClr>
                </a:solidFill>
                <a:latin typeface="+mn-lt"/>
                <a:ea typeface="+mn-ea"/>
                <a:cs typeface="+mn-cs"/>
              </a:defRPr>
            </a:pPr>
            <a:r>
              <a:rPr lang="pl-PL" sz="900">
                <a:solidFill>
                  <a:sysClr val="windowText" lastClr="000000"/>
                </a:solidFill>
                <a:latin typeface="Fira Sans" panose="020B0503050000020004" pitchFamily="34" charset="0"/>
                <a:ea typeface="Fira Sans" panose="020B0503050000020004" pitchFamily="34" charset="0"/>
              </a:rPr>
              <a:t>%</a:t>
            </a:r>
          </a:p>
        </c:rich>
      </c:tx>
      <c:layout>
        <c:manualLayout>
          <c:xMode val="edge"/>
          <c:yMode val="edge"/>
          <c:x val="2.439133310583368E-2"/>
          <c:y val="3.4083162917518749E-2"/>
        </c:manualLayout>
      </c:layout>
      <c:overlay val="0"/>
      <c:spPr>
        <a:noFill/>
        <a:ln>
          <a:noFill/>
        </a:ln>
        <a:effectLst/>
      </c:spPr>
      <c:txPr>
        <a:bodyPr rot="0" spcFirstLastPara="1" vertOverflow="ellipsis" vert="horz" wrap="square" anchor="ctr" anchorCtr="1"/>
        <a:lstStyle/>
        <a:p>
          <a:pPr>
            <a:defRPr sz="9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manualLayout>
          <c:layoutTarget val="inner"/>
          <c:xMode val="edge"/>
          <c:yMode val="edge"/>
          <c:x val="6.8096165222235619E-2"/>
          <c:y val="9.7519837456776406E-2"/>
          <c:w val="0.85781112700080975"/>
          <c:h val="0.5945813623995535"/>
        </c:manualLayout>
      </c:layout>
      <c:barChart>
        <c:barDir val="col"/>
        <c:grouping val="clustered"/>
        <c:varyColors val="0"/>
        <c:ser>
          <c:idx val="0"/>
          <c:order val="0"/>
          <c:tx>
            <c:strRef>
              <c:f>Arkusz1!$B$1</c:f>
              <c:strCache>
                <c:ptCount val="1"/>
                <c:pt idx="0">
                  <c:v> construction and assembly production as total</c:v>
                </c:pt>
              </c:strCache>
            </c:strRef>
          </c:tx>
          <c:spPr>
            <a:solidFill>
              <a:srgbClr val="001D77"/>
            </a:solidFill>
            <a:ln w="12700">
              <a:solidFill>
                <a:srgbClr val="001D77"/>
              </a:solidFill>
            </a:ln>
            <a:effectLst/>
          </c:spPr>
          <c:invertIfNegative val="0"/>
          <c:dLbls>
            <c:dLbl>
              <c:idx val="22"/>
              <c:layout>
                <c:manualLayout>
                  <c:x val="7.0508144906394177E-2"/>
                  <c:y val="2.6931493014643999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8CC-4D94-AA0F-4B939C009D1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solidFill>
                      <a:round/>
                      <a:tailEnd type="triangle"/>
                    </a:ln>
                    <a:effectLst/>
                  </c:spPr>
                </c15:leaderLines>
              </c:ext>
            </c:extLst>
          </c:dLbls>
          <c:cat>
            <c:strRef>
              <c:f>Arkusz1!$A$2:$A$24</c:f>
              <c:strCache>
                <c:ptCount val="23"/>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pt idx="15">
                  <c:v>04</c:v>
                </c:pt>
                <c:pt idx="16">
                  <c:v>05</c:v>
                </c:pt>
                <c:pt idx="17">
                  <c:v>06</c:v>
                </c:pt>
                <c:pt idx="18">
                  <c:v>07</c:v>
                </c:pt>
                <c:pt idx="19">
                  <c:v>08</c:v>
                </c:pt>
                <c:pt idx="20">
                  <c:v>09</c:v>
                </c:pt>
                <c:pt idx="21">
                  <c:v>10</c:v>
                </c:pt>
                <c:pt idx="22">
                  <c:v>11</c:v>
                </c:pt>
              </c:strCache>
            </c:strRef>
          </c:cat>
          <c:val>
            <c:numRef>
              <c:f>Arkusz1!$B$2:$B$24</c:f>
              <c:numCache>
                <c:formatCode>0.0</c:formatCode>
                <c:ptCount val="23"/>
                <c:pt idx="0">
                  <c:v>0.5</c:v>
                </c:pt>
                <c:pt idx="1">
                  <c:v>0.8</c:v>
                </c:pt>
                <c:pt idx="2">
                  <c:v>1.2</c:v>
                </c:pt>
                <c:pt idx="3">
                  <c:v>1.7</c:v>
                </c:pt>
                <c:pt idx="4">
                  <c:v>2.1</c:v>
                </c:pt>
                <c:pt idx="5">
                  <c:v>2.4</c:v>
                </c:pt>
                <c:pt idx="6">
                  <c:v>2.8</c:v>
                </c:pt>
                <c:pt idx="7">
                  <c:v>3.1</c:v>
                </c:pt>
                <c:pt idx="8">
                  <c:v>3.4</c:v>
                </c:pt>
                <c:pt idx="9">
                  <c:v>3.8</c:v>
                </c:pt>
                <c:pt idx="10">
                  <c:v>3.8</c:v>
                </c:pt>
                <c:pt idx="11">
                  <c:v>3.9</c:v>
                </c:pt>
                <c:pt idx="12">
                  <c:v>4</c:v>
                </c:pt>
                <c:pt idx="13">
                  <c:v>4.2</c:v>
                </c:pt>
                <c:pt idx="14">
                  <c:v>4.7</c:v>
                </c:pt>
                <c:pt idx="15" formatCode="General">
                  <c:v>4.9000000000000004</c:v>
                </c:pt>
                <c:pt idx="16" formatCode="General">
                  <c:v>5.2</c:v>
                </c:pt>
                <c:pt idx="17" formatCode="General">
                  <c:v>5.3</c:v>
                </c:pt>
                <c:pt idx="18" formatCode="General">
                  <c:v>5.8</c:v>
                </c:pt>
                <c:pt idx="19" formatCode="General">
                  <c:v>5.9</c:v>
                </c:pt>
                <c:pt idx="20" formatCode="General">
                  <c:v>5.9</c:v>
                </c:pt>
                <c:pt idx="21" formatCode="General">
                  <c:v>6.7</c:v>
                </c:pt>
                <c:pt idx="22">
                  <c:v>7</c:v>
                </c:pt>
              </c:numCache>
            </c:numRef>
          </c:val>
          <c:extLst>
            <c:ext xmlns:c16="http://schemas.microsoft.com/office/drawing/2014/chart" uri="{C3380CC4-5D6E-409C-BE32-E72D297353CC}">
              <c16:uniqueId val="{00000001-A56E-4299-B354-CD5E7C30FB55}"/>
            </c:ext>
          </c:extLst>
        </c:ser>
        <c:dLbls>
          <c:showLegendKey val="0"/>
          <c:showVal val="0"/>
          <c:showCatName val="0"/>
          <c:showSerName val="0"/>
          <c:showPercent val="0"/>
          <c:showBubbleSize val="0"/>
        </c:dLbls>
        <c:gapWidth val="150"/>
        <c:axId val="1903601247"/>
        <c:axId val="1670812303"/>
      </c:barChart>
      <c:lineChart>
        <c:grouping val="standard"/>
        <c:varyColors val="0"/>
        <c:ser>
          <c:idx val="1"/>
          <c:order val="1"/>
          <c:tx>
            <c:strRef>
              <c:f>Arkusz1!$C$1</c:f>
              <c:strCache>
                <c:ptCount val="1"/>
                <c:pt idx="0">
                  <c:v>construction of buildings</c:v>
                </c:pt>
              </c:strCache>
            </c:strRef>
          </c:tx>
          <c:spPr>
            <a:ln w="25400" cap="rnd">
              <a:solidFill>
                <a:srgbClr val="99CEB3"/>
              </a:solidFill>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6-78CC-4D94-AA0F-4B939C009D17}"/>
                </c:ext>
              </c:extLst>
            </c:dLbl>
            <c:dLbl>
              <c:idx val="1"/>
              <c:delete val="1"/>
              <c:extLst>
                <c:ext xmlns:c15="http://schemas.microsoft.com/office/drawing/2012/chart" uri="{CE6537A1-D6FC-4f65-9D91-7224C49458BB}"/>
                <c:ext xmlns:c16="http://schemas.microsoft.com/office/drawing/2014/chart" uri="{C3380CC4-5D6E-409C-BE32-E72D297353CC}">
                  <c16:uniqueId val="{00000007-78CC-4D94-AA0F-4B939C009D17}"/>
                </c:ext>
              </c:extLst>
            </c:dLbl>
            <c:dLbl>
              <c:idx val="2"/>
              <c:delete val="1"/>
              <c:extLst>
                <c:ext xmlns:c15="http://schemas.microsoft.com/office/drawing/2012/chart" uri="{CE6537A1-D6FC-4f65-9D91-7224C49458BB}"/>
                <c:ext xmlns:c16="http://schemas.microsoft.com/office/drawing/2014/chart" uri="{C3380CC4-5D6E-409C-BE32-E72D297353CC}">
                  <c16:uniqueId val="{00000008-78CC-4D94-AA0F-4B939C009D17}"/>
                </c:ext>
              </c:extLst>
            </c:dLbl>
            <c:dLbl>
              <c:idx val="3"/>
              <c:delete val="1"/>
              <c:extLst>
                <c:ext xmlns:c15="http://schemas.microsoft.com/office/drawing/2012/chart" uri="{CE6537A1-D6FC-4f65-9D91-7224C49458BB}"/>
                <c:ext xmlns:c16="http://schemas.microsoft.com/office/drawing/2014/chart" uri="{C3380CC4-5D6E-409C-BE32-E72D297353CC}">
                  <c16:uniqueId val="{00000009-78CC-4D94-AA0F-4B939C009D17}"/>
                </c:ext>
              </c:extLst>
            </c:dLbl>
            <c:dLbl>
              <c:idx val="4"/>
              <c:delete val="1"/>
              <c:extLst>
                <c:ext xmlns:c15="http://schemas.microsoft.com/office/drawing/2012/chart" uri="{CE6537A1-D6FC-4f65-9D91-7224C49458BB}"/>
                <c:ext xmlns:c16="http://schemas.microsoft.com/office/drawing/2014/chart" uri="{C3380CC4-5D6E-409C-BE32-E72D297353CC}">
                  <c16:uniqueId val="{0000000A-78CC-4D94-AA0F-4B939C009D17}"/>
                </c:ext>
              </c:extLst>
            </c:dLbl>
            <c:dLbl>
              <c:idx val="5"/>
              <c:delete val="1"/>
              <c:extLst>
                <c:ext xmlns:c15="http://schemas.microsoft.com/office/drawing/2012/chart" uri="{CE6537A1-D6FC-4f65-9D91-7224C49458BB}"/>
                <c:ext xmlns:c16="http://schemas.microsoft.com/office/drawing/2014/chart" uri="{C3380CC4-5D6E-409C-BE32-E72D297353CC}">
                  <c16:uniqueId val="{0000000B-78CC-4D94-AA0F-4B939C009D17}"/>
                </c:ext>
              </c:extLst>
            </c:dLbl>
            <c:dLbl>
              <c:idx val="6"/>
              <c:delete val="1"/>
              <c:extLst>
                <c:ext xmlns:c15="http://schemas.microsoft.com/office/drawing/2012/chart" uri="{CE6537A1-D6FC-4f65-9D91-7224C49458BB}"/>
                <c:ext xmlns:c16="http://schemas.microsoft.com/office/drawing/2014/chart" uri="{C3380CC4-5D6E-409C-BE32-E72D297353CC}">
                  <c16:uniqueId val="{0000000C-78CC-4D94-AA0F-4B939C009D17}"/>
                </c:ext>
              </c:extLst>
            </c:dLbl>
            <c:dLbl>
              <c:idx val="7"/>
              <c:delete val="1"/>
              <c:extLst>
                <c:ext xmlns:c15="http://schemas.microsoft.com/office/drawing/2012/chart" uri="{CE6537A1-D6FC-4f65-9D91-7224C49458BB}"/>
                <c:ext xmlns:c16="http://schemas.microsoft.com/office/drawing/2014/chart" uri="{C3380CC4-5D6E-409C-BE32-E72D297353CC}">
                  <c16:uniqueId val="{0000000D-78CC-4D94-AA0F-4B939C009D17}"/>
                </c:ext>
              </c:extLst>
            </c:dLbl>
            <c:dLbl>
              <c:idx val="8"/>
              <c:delete val="1"/>
              <c:extLst>
                <c:ext xmlns:c15="http://schemas.microsoft.com/office/drawing/2012/chart" uri="{CE6537A1-D6FC-4f65-9D91-7224C49458BB}"/>
                <c:ext xmlns:c16="http://schemas.microsoft.com/office/drawing/2014/chart" uri="{C3380CC4-5D6E-409C-BE32-E72D297353CC}">
                  <c16:uniqueId val="{0000000E-78CC-4D94-AA0F-4B939C009D17}"/>
                </c:ext>
              </c:extLst>
            </c:dLbl>
            <c:dLbl>
              <c:idx val="9"/>
              <c:delete val="1"/>
              <c:extLst>
                <c:ext xmlns:c15="http://schemas.microsoft.com/office/drawing/2012/chart" uri="{CE6537A1-D6FC-4f65-9D91-7224C49458BB}"/>
                <c:ext xmlns:c16="http://schemas.microsoft.com/office/drawing/2014/chart" uri="{C3380CC4-5D6E-409C-BE32-E72D297353CC}">
                  <c16:uniqueId val="{0000000F-78CC-4D94-AA0F-4B939C009D17}"/>
                </c:ext>
              </c:extLst>
            </c:dLbl>
            <c:dLbl>
              <c:idx val="10"/>
              <c:delete val="1"/>
              <c:extLst>
                <c:ext xmlns:c15="http://schemas.microsoft.com/office/drawing/2012/chart" uri="{CE6537A1-D6FC-4f65-9D91-7224C49458BB}"/>
                <c:ext xmlns:c16="http://schemas.microsoft.com/office/drawing/2014/chart" uri="{C3380CC4-5D6E-409C-BE32-E72D297353CC}">
                  <c16:uniqueId val="{00000010-78CC-4D94-AA0F-4B939C009D17}"/>
                </c:ext>
              </c:extLst>
            </c:dLbl>
            <c:dLbl>
              <c:idx val="11"/>
              <c:delete val="1"/>
              <c:extLst>
                <c:ext xmlns:c15="http://schemas.microsoft.com/office/drawing/2012/chart" uri="{CE6537A1-D6FC-4f65-9D91-7224C49458BB}"/>
                <c:ext xmlns:c16="http://schemas.microsoft.com/office/drawing/2014/chart" uri="{C3380CC4-5D6E-409C-BE32-E72D297353CC}">
                  <c16:uniqueId val="{00000011-78CC-4D94-AA0F-4B939C009D17}"/>
                </c:ext>
              </c:extLst>
            </c:dLbl>
            <c:dLbl>
              <c:idx val="12"/>
              <c:delete val="1"/>
              <c:extLst>
                <c:ext xmlns:c15="http://schemas.microsoft.com/office/drawing/2012/chart" uri="{CE6537A1-D6FC-4f65-9D91-7224C49458BB}"/>
                <c:ext xmlns:c16="http://schemas.microsoft.com/office/drawing/2014/chart" uri="{C3380CC4-5D6E-409C-BE32-E72D297353CC}">
                  <c16:uniqueId val="{00000012-78CC-4D94-AA0F-4B939C009D17}"/>
                </c:ext>
              </c:extLst>
            </c:dLbl>
            <c:dLbl>
              <c:idx val="13"/>
              <c:delete val="1"/>
              <c:extLst>
                <c:ext xmlns:c15="http://schemas.microsoft.com/office/drawing/2012/chart" uri="{CE6537A1-D6FC-4f65-9D91-7224C49458BB}"/>
                <c:ext xmlns:c16="http://schemas.microsoft.com/office/drawing/2014/chart" uri="{C3380CC4-5D6E-409C-BE32-E72D297353CC}">
                  <c16:uniqueId val="{00000013-78CC-4D94-AA0F-4B939C009D17}"/>
                </c:ext>
              </c:extLst>
            </c:dLbl>
            <c:dLbl>
              <c:idx val="14"/>
              <c:delete val="1"/>
              <c:extLst>
                <c:ext xmlns:c15="http://schemas.microsoft.com/office/drawing/2012/chart" uri="{CE6537A1-D6FC-4f65-9D91-7224C49458BB}"/>
                <c:ext xmlns:c16="http://schemas.microsoft.com/office/drawing/2014/chart" uri="{C3380CC4-5D6E-409C-BE32-E72D297353CC}">
                  <c16:uniqueId val="{00000014-78CC-4D94-AA0F-4B939C009D17}"/>
                </c:ext>
              </c:extLst>
            </c:dLbl>
            <c:dLbl>
              <c:idx val="15"/>
              <c:delete val="1"/>
              <c:extLst>
                <c:ext xmlns:c15="http://schemas.microsoft.com/office/drawing/2012/chart" uri="{CE6537A1-D6FC-4f65-9D91-7224C49458BB}"/>
                <c:ext xmlns:c16="http://schemas.microsoft.com/office/drawing/2014/chart" uri="{C3380CC4-5D6E-409C-BE32-E72D297353CC}">
                  <c16:uniqueId val="{00000015-78CC-4D94-AA0F-4B939C009D17}"/>
                </c:ext>
              </c:extLst>
            </c:dLbl>
            <c:dLbl>
              <c:idx val="16"/>
              <c:delete val="1"/>
              <c:extLst>
                <c:ext xmlns:c15="http://schemas.microsoft.com/office/drawing/2012/chart" uri="{CE6537A1-D6FC-4f65-9D91-7224C49458BB}"/>
                <c:ext xmlns:c16="http://schemas.microsoft.com/office/drawing/2014/chart" uri="{C3380CC4-5D6E-409C-BE32-E72D297353CC}">
                  <c16:uniqueId val="{00000016-78CC-4D94-AA0F-4B939C009D17}"/>
                </c:ext>
              </c:extLst>
            </c:dLbl>
            <c:dLbl>
              <c:idx val="17"/>
              <c:delete val="1"/>
              <c:extLst>
                <c:ext xmlns:c15="http://schemas.microsoft.com/office/drawing/2012/chart" uri="{CE6537A1-D6FC-4f65-9D91-7224C49458BB}"/>
                <c:ext xmlns:c16="http://schemas.microsoft.com/office/drawing/2014/chart" uri="{C3380CC4-5D6E-409C-BE32-E72D297353CC}">
                  <c16:uniqueId val="{00000017-78CC-4D94-AA0F-4B939C009D17}"/>
                </c:ext>
              </c:extLst>
            </c:dLbl>
            <c:dLbl>
              <c:idx val="18"/>
              <c:delete val="1"/>
              <c:extLst>
                <c:ext xmlns:c15="http://schemas.microsoft.com/office/drawing/2012/chart" uri="{CE6537A1-D6FC-4f65-9D91-7224C49458BB}"/>
                <c:ext xmlns:c16="http://schemas.microsoft.com/office/drawing/2014/chart" uri="{C3380CC4-5D6E-409C-BE32-E72D297353CC}">
                  <c16:uniqueId val="{00000018-78CC-4D94-AA0F-4B939C009D17}"/>
                </c:ext>
              </c:extLst>
            </c:dLbl>
            <c:dLbl>
              <c:idx val="19"/>
              <c:delete val="1"/>
              <c:extLst>
                <c:ext xmlns:c15="http://schemas.microsoft.com/office/drawing/2012/chart" uri="{CE6537A1-D6FC-4f65-9D91-7224C49458BB}"/>
                <c:ext xmlns:c16="http://schemas.microsoft.com/office/drawing/2014/chart" uri="{C3380CC4-5D6E-409C-BE32-E72D297353CC}">
                  <c16:uniqueId val="{00000004-78CC-4D94-AA0F-4B939C009D17}"/>
                </c:ext>
              </c:extLst>
            </c:dLbl>
            <c:dLbl>
              <c:idx val="20"/>
              <c:delete val="1"/>
              <c:extLst>
                <c:ext xmlns:c15="http://schemas.microsoft.com/office/drawing/2012/chart" uri="{CE6537A1-D6FC-4f65-9D91-7224C49458BB}"/>
                <c:ext xmlns:c16="http://schemas.microsoft.com/office/drawing/2014/chart" uri="{C3380CC4-5D6E-409C-BE32-E72D297353CC}">
                  <c16:uniqueId val="{00000005-78CC-4D94-AA0F-4B939C009D17}"/>
                </c:ext>
              </c:extLst>
            </c:dLbl>
            <c:dLbl>
              <c:idx val="21"/>
              <c:delete val="1"/>
              <c:extLst>
                <c:ext xmlns:c15="http://schemas.microsoft.com/office/drawing/2012/chart" uri="{CE6537A1-D6FC-4f65-9D91-7224C49458BB}"/>
                <c:ext xmlns:c16="http://schemas.microsoft.com/office/drawing/2014/chart" uri="{C3380CC4-5D6E-409C-BE32-E72D297353CC}">
                  <c16:uniqueId val="{00000003-9273-45C8-9F28-EDABD71B093C}"/>
                </c:ext>
              </c:extLst>
            </c:dLbl>
            <c:dLbl>
              <c:idx val="22"/>
              <c:layout>
                <c:manualLayout>
                  <c:x val="3.6469730123997082E-2"/>
                  <c:y val="8.752735229759299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8CC-4D94-AA0F-4B939C009D1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solidFill>
                      <a:round/>
                      <a:tailEnd type="triangle"/>
                    </a:ln>
                    <a:effectLst/>
                  </c:spPr>
                </c15:leaderLines>
              </c:ext>
            </c:extLst>
          </c:dLbls>
          <c:cat>
            <c:strRef>
              <c:f>Arkusz1!$A$2:$A$24</c:f>
              <c:strCache>
                <c:ptCount val="23"/>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pt idx="15">
                  <c:v>04</c:v>
                </c:pt>
                <c:pt idx="16">
                  <c:v>05</c:v>
                </c:pt>
                <c:pt idx="17">
                  <c:v>06</c:v>
                </c:pt>
                <c:pt idx="18">
                  <c:v>07</c:v>
                </c:pt>
                <c:pt idx="19">
                  <c:v>08</c:v>
                </c:pt>
                <c:pt idx="20">
                  <c:v>09</c:v>
                </c:pt>
                <c:pt idx="21">
                  <c:v>10</c:v>
                </c:pt>
                <c:pt idx="22">
                  <c:v>11</c:v>
                </c:pt>
              </c:strCache>
            </c:strRef>
          </c:cat>
          <c:val>
            <c:numRef>
              <c:f>Arkusz1!$C$2:$C$24</c:f>
              <c:numCache>
                <c:formatCode>0.0</c:formatCode>
                <c:ptCount val="23"/>
                <c:pt idx="0">
                  <c:v>0.5</c:v>
                </c:pt>
                <c:pt idx="1">
                  <c:v>0.7</c:v>
                </c:pt>
                <c:pt idx="2">
                  <c:v>1.1000000000000001</c:v>
                </c:pt>
                <c:pt idx="3">
                  <c:v>1.5</c:v>
                </c:pt>
                <c:pt idx="4">
                  <c:v>1.9</c:v>
                </c:pt>
                <c:pt idx="5">
                  <c:v>2.2000000000000002</c:v>
                </c:pt>
                <c:pt idx="6">
                  <c:v>2.6</c:v>
                </c:pt>
                <c:pt idx="7">
                  <c:v>2.9</c:v>
                </c:pt>
                <c:pt idx="8">
                  <c:v>3.3</c:v>
                </c:pt>
                <c:pt idx="9">
                  <c:v>3.7</c:v>
                </c:pt>
                <c:pt idx="10">
                  <c:v>3.7</c:v>
                </c:pt>
                <c:pt idx="11">
                  <c:v>3.8</c:v>
                </c:pt>
                <c:pt idx="12">
                  <c:v>3.9</c:v>
                </c:pt>
                <c:pt idx="13">
                  <c:v>4.0999999999999996</c:v>
                </c:pt>
                <c:pt idx="14">
                  <c:v>4.5999999999999996</c:v>
                </c:pt>
                <c:pt idx="15" formatCode="General">
                  <c:v>4.8</c:v>
                </c:pt>
                <c:pt idx="16" formatCode="General">
                  <c:v>5.0999999999999996</c:v>
                </c:pt>
                <c:pt idx="17" formatCode="General">
                  <c:v>5.2</c:v>
                </c:pt>
                <c:pt idx="18" formatCode="General">
                  <c:v>5.6</c:v>
                </c:pt>
                <c:pt idx="19" formatCode="General">
                  <c:v>5.6</c:v>
                </c:pt>
                <c:pt idx="20" formatCode="General">
                  <c:v>5.7</c:v>
                </c:pt>
                <c:pt idx="21" formatCode="General">
                  <c:v>6.5</c:v>
                </c:pt>
                <c:pt idx="22" formatCode="General">
                  <c:v>6.9</c:v>
                </c:pt>
              </c:numCache>
            </c:numRef>
          </c:val>
          <c:smooth val="0"/>
          <c:extLst>
            <c:ext xmlns:c16="http://schemas.microsoft.com/office/drawing/2014/chart" uri="{C3380CC4-5D6E-409C-BE32-E72D297353CC}">
              <c16:uniqueId val="{00000003-A56E-4299-B354-CD5E7C30FB55}"/>
            </c:ext>
          </c:extLst>
        </c:ser>
        <c:ser>
          <c:idx val="2"/>
          <c:order val="2"/>
          <c:tx>
            <c:strRef>
              <c:f>Arkusz1!$D$1</c:f>
              <c:strCache>
                <c:ptCount val="1"/>
                <c:pt idx="0">
                  <c:v>civil engineering</c:v>
                </c:pt>
              </c:strCache>
            </c:strRef>
          </c:tx>
          <c:spPr>
            <a:ln w="25400" cap="rnd">
              <a:solidFill>
                <a:srgbClr val="99A5C9"/>
              </a:solidFill>
              <a:round/>
            </a:ln>
            <a:effectLst/>
          </c:spPr>
          <c:marker>
            <c:symbol val="none"/>
          </c:marker>
          <c:dLbls>
            <c:dLbl>
              <c:idx val="22"/>
              <c:layout>
                <c:manualLayout>
                  <c:x val="3.890104546559689E-2"/>
                  <c:y val="-5.049654940245751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8CC-4D94-AA0F-4B939C009D1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solidFill>
                      <a:round/>
                      <a:tailEnd type="triangle"/>
                    </a:ln>
                    <a:effectLst/>
                  </c:spPr>
                </c15:leaderLines>
              </c:ext>
            </c:extLst>
          </c:dLbls>
          <c:cat>
            <c:strRef>
              <c:f>Arkusz1!$A$2:$A$24</c:f>
              <c:strCache>
                <c:ptCount val="23"/>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pt idx="15">
                  <c:v>04</c:v>
                </c:pt>
                <c:pt idx="16">
                  <c:v>05</c:v>
                </c:pt>
                <c:pt idx="17">
                  <c:v>06</c:v>
                </c:pt>
                <c:pt idx="18">
                  <c:v>07</c:v>
                </c:pt>
                <c:pt idx="19">
                  <c:v>08</c:v>
                </c:pt>
                <c:pt idx="20">
                  <c:v>09</c:v>
                </c:pt>
                <c:pt idx="21">
                  <c:v>10</c:v>
                </c:pt>
                <c:pt idx="22">
                  <c:v>11</c:v>
                </c:pt>
              </c:strCache>
            </c:strRef>
          </c:cat>
          <c:val>
            <c:numRef>
              <c:f>Arkusz1!$D$2:$D$24</c:f>
              <c:numCache>
                <c:formatCode>0.0</c:formatCode>
                <c:ptCount val="23"/>
                <c:pt idx="0">
                  <c:v>0.6</c:v>
                </c:pt>
                <c:pt idx="1">
                  <c:v>1</c:v>
                </c:pt>
                <c:pt idx="2">
                  <c:v>1.4</c:v>
                </c:pt>
                <c:pt idx="3">
                  <c:v>1.9</c:v>
                </c:pt>
                <c:pt idx="4">
                  <c:v>2.2999999999999998</c:v>
                </c:pt>
                <c:pt idx="5">
                  <c:v>2.6</c:v>
                </c:pt>
                <c:pt idx="6">
                  <c:v>3</c:v>
                </c:pt>
                <c:pt idx="7">
                  <c:v>3.3</c:v>
                </c:pt>
                <c:pt idx="8">
                  <c:v>3.7</c:v>
                </c:pt>
                <c:pt idx="9">
                  <c:v>4.0999999999999996</c:v>
                </c:pt>
                <c:pt idx="10">
                  <c:v>4.0999999999999996</c:v>
                </c:pt>
                <c:pt idx="11">
                  <c:v>4.2</c:v>
                </c:pt>
                <c:pt idx="12">
                  <c:v>4.4000000000000004</c:v>
                </c:pt>
                <c:pt idx="13">
                  <c:v>4.5999999999999996</c:v>
                </c:pt>
                <c:pt idx="14">
                  <c:v>5</c:v>
                </c:pt>
                <c:pt idx="15" formatCode="General">
                  <c:v>5.3</c:v>
                </c:pt>
                <c:pt idx="16" formatCode="General">
                  <c:v>5.6</c:v>
                </c:pt>
                <c:pt idx="17" formatCode="General">
                  <c:v>5.7</c:v>
                </c:pt>
                <c:pt idx="18" formatCode="General">
                  <c:v>6.2</c:v>
                </c:pt>
                <c:pt idx="19" formatCode="General">
                  <c:v>6.3</c:v>
                </c:pt>
                <c:pt idx="20" formatCode="General">
                  <c:v>6.3</c:v>
                </c:pt>
                <c:pt idx="21">
                  <c:v>7</c:v>
                </c:pt>
                <c:pt idx="22" formatCode="General">
                  <c:v>7.2</c:v>
                </c:pt>
              </c:numCache>
            </c:numRef>
          </c:val>
          <c:smooth val="0"/>
          <c:extLst>
            <c:ext xmlns:c16="http://schemas.microsoft.com/office/drawing/2014/chart" uri="{C3380CC4-5D6E-409C-BE32-E72D297353CC}">
              <c16:uniqueId val="{00000005-A56E-4299-B354-CD5E7C30FB55}"/>
            </c:ext>
          </c:extLst>
        </c:ser>
        <c:ser>
          <c:idx val="3"/>
          <c:order val="3"/>
          <c:tx>
            <c:strRef>
              <c:f>Arkusz1!$E$1</c:f>
              <c:strCache>
                <c:ptCount val="1"/>
                <c:pt idx="0">
                  <c:v>specialised construction activities</c:v>
                </c:pt>
              </c:strCache>
            </c:strRef>
          </c:tx>
          <c:spPr>
            <a:ln w="25400" cap="rnd">
              <a:solidFill>
                <a:srgbClr val="008542"/>
              </a:solidFill>
              <a:round/>
            </a:ln>
            <a:effectLst/>
          </c:spPr>
          <c:marker>
            <c:symbol val="none"/>
          </c:marker>
          <c:dLbls>
            <c:dLbl>
              <c:idx val="22"/>
              <c:layout>
                <c:manualLayout>
                  <c:x val="3.6469730123997082E-2"/>
                  <c:y val="4.039723952196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8CC-4D94-AA0F-4B939C009D1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solidFill>
                      <a:round/>
                      <a:tailEnd type="triangle"/>
                    </a:ln>
                    <a:effectLst/>
                  </c:spPr>
                </c15:leaderLines>
              </c:ext>
            </c:extLst>
          </c:dLbls>
          <c:cat>
            <c:strRef>
              <c:f>Arkusz1!$A$2:$A$24</c:f>
              <c:strCache>
                <c:ptCount val="23"/>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pt idx="15">
                  <c:v>04</c:v>
                </c:pt>
                <c:pt idx="16">
                  <c:v>05</c:v>
                </c:pt>
                <c:pt idx="17">
                  <c:v>06</c:v>
                </c:pt>
                <c:pt idx="18">
                  <c:v>07</c:v>
                </c:pt>
                <c:pt idx="19">
                  <c:v>08</c:v>
                </c:pt>
                <c:pt idx="20">
                  <c:v>09</c:v>
                </c:pt>
                <c:pt idx="21">
                  <c:v>10</c:v>
                </c:pt>
                <c:pt idx="22">
                  <c:v>11</c:v>
                </c:pt>
              </c:strCache>
            </c:strRef>
          </c:cat>
          <c:val>
            <c:numRef>
              <c:f>Arkusz1!$E$2:$E$24</c:f>
              <c:numCache>
                <c:formatCode>0.0</c:formatCode>
                <c:ptCount val="23"/>
                <c:pt idx="0">
                  <c:v>0.5</c:v>
                </c:pt>
                <c:pt idx="1">
                  <c:v>0.8</c:v>
                </c:pt>
                <c:pt idx="2">
                  <c:v>1.2</c:v>
                </c:pt>
                <c:pt idx="3">
                  <c:v>1.7</c:v>
                </c:pt>
                <c:pt idx="4">
                  <c:v>2.1</c:v>
                </c:pt>
                <c:pt idx="5">
                  <c:v>2.5</c:v>
                </c:pt>
                <c:pt idx="6">
                  <c:v>2.9</c:v>
                </c:pt>
                <c:pt idx="7">
                  <c:v>3.3</c:v>
                </c:pt>
                <c:pt idx="8">
                  <c:v>3.6</c:v>
                </c:pt>
                <c:pt idx="9">
                  <c:v>4</c:v>
                </c:pt>
                <c:pt idx="10">
                  <c:v>4</c:v>
                </c:pt>
                <c:pt idx="11">
                  <c:v>4.0999999999999996</c:v>
                </c:pt>
                <c:pt idx="12">
                  <c:v>4.2</c:v>
                </c:pt>
                <c:pt idx="13">
                  <c:v>4.4000000000000004</c:v>
                </c:pt>
                <c:pt idx="14">
                  <c:v>4.8</c:v>
                </c:pt>
                <c:pt idx="15" formatCode="General">
                  <c:v>5</c:v>
                </c:pt>
                <c:pt idx="16" formatCode="General">
                  <c:v>5.2</c:v>
                </c:pt>
                <c:pt idx="17" formatCode="General">
                  <c:v>5.3</c:v>
                </c:pt>
                <c:pt idx="18" formatCode="General">
                  <c:v>5.7</c:v>
                </c:pt>
                <c:pt idx="19" formatCode="General">
                  <c:v>5.7</c:v>
                </c:pt>
                <c:pt idx="20" formatCode="General">
                  <c:v>5.7</c:v>
                </c:pt>
                <c:pt idx="21" formatCode="General">
                  <c:v>6.5</c:v>
                </c:pt>
                <c:pt idx="22" formatCode="General">
                  <c:v>6.9</c:v>
                </c:pt>
              </c:numCache>
            </c:numRef>
          </c:val>
          <c:smooth val="0"/>
          <c:extLst>
            <c:ext xmlns:c16="http://schemas.microsoft.com/office/drawing/2014/chart" uri="{C3380CC4-5D6E-409C-BE32-E72D297353CC}">
              <c16:uniqueId val="{00000007-A56E-4299-B354-CD5E7C30FB55}"/>
            </c:ext>
          </c:extLst>
        </c:ser>
        <c:dLbls>
          <c:showLegendKey val="0"/>
          <c:showVal val="0"/>
          <c:showCatName val="0"/>
          <c:showSerName val="0"/>
          <c:showPercent val="0"/>
          <c:showBubbleSize val="0"/>
        </c:dLbls>
        <c:marker val="1"/>
        <c:smooth val="0"/>
        <c:axId val="1757124863"/>
        <c:axId val="1596053455"/>
      </c:lineChart>
      <c:catAx>
        <c:axId val="1757124863"/>
        <c:scaling>
          <c:orientation val="minMax"/>
        </c:scaling>
        <c:delete val="0"/>
        <c:axPos val="b"/>
        <c:numFmt formatCode="General" sourceLinked="1"/>
        <c:majorTickMark val="in"/>
        <c:minorTickMark val="in"/>
        <c:tickLblPos val="low"/>
        <c:spPr>
          <a:noFill/>
          <a:ln w="9525" cap="flat" cmpd="sng" algn="ctr">
            <a:solidFill>
              <a:schemeClr val="tx1"/>
            </a:solidFill>
            <a:round/>
          </a:ln>
          <a:effectLst/>
        </c:spPr>
        <c:txPr>
          <a:bodyPr rot="0" spcFirstLastPara="1" vertOverflow="ellipsis"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596053455"/>
        <c:crosses val="autoZero"/>
        <c:auto val="1"/>
        <c:lblAlgn val="ctr"/>
        <c:lblOffset val="100"/>
        <c:tickLblSkip val="1"/>
        <c:noMultiLvlLbl val="0"/>
      </c:catAx>
      <c:valAx>
        <c:axId val="1596053455"/>
        <c:scaling>
          <c:orientation val="minMax"/>
          <c:max val="8"/>
        </c:scaling>
        <c:delete val="0"/>
        <c:axPos val="l"/>
        <c:majorGridlines>
          <c:spPr>
            <a:ln w="9525" cap="flat" cmpd="sng" algn="ctr">
              <a:solidFill>
                <a:schemeClr val="bg1">
                  <a:lumMod val="85000"/>
                </a:schemeClr>
              </a:solidFill>
              <a:round/>
            </a:ln>
            <a:effectLst/>
          </c:spPr>
        </c:majorGridlines>
        <c:numFmt formatCode="0.0" sourceLinked="1"/>
        <c:majorTickMark val="out"/>
        <c:minorTickMark val="none"/>
        <c:tickLblPos val="nextTo"/>
        <c:spPr>
          <a:noFill/>
          <a:ln>
            <a:solidFill>
              <a:srgbClr val="99CEB3">
                <a:alpha val="97000"/>
              </a:srgbClr>
            </a:solidFill>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757124863"/>
        <c:crossesAt val="1"/>
        <c:crossBetween val="between"/>
        <c:majorUnit val="1"/>
      </c:valAx>
      <c:valAx>
        <c:axId val="1670812303"/>
        <c:scaling>
          <c:orientation val="minMax"/>
        </c:scaling>
        <c:delete val="1"/>
        <c:axPos val="r"/>
        <c:numFmt formatCode="0.0" sourceLinked="1"/>
        <c:majorTickMark val="out"/>
        <c:minorTickMark val="none"/>
        <c:tickLblPos val="nextTo"/>
        <c:crossAx val="1903601247"/>
        <c:crosses val="max"/>
        <c:crossBetween val="between"/>
      </c:valAx>
      <c:catAx>
        <c:axId val="1903601247"/>
        <c:scaling>
          <c:orientation val="minMax"/>
        </c:scaling>
        <c:delete val="1"/>
        <c:axPos val="b"/>
        <c:numFmt formatCode="General" sourceLinked="1"/>
        <c:majorTickMark val="out"/>
        <c:minorTickMark val="none"/>
        <c:tickLblPos val="nextTo"/>
        <c:crossAx val="1670812303"/>
        <c:crosses val="autoZero"/>
        <c:auto val="1"/>
        <c:lblAlgn val="ctr"/>
        <c:lblOffset val="100"/>
        <c:noMultiLvlLbl val="0"/>
      </c:catAx>
      <c:spPr>
        <a:noFill/>
        <a:ln>
          <a:noFill/>
        </a:ln>
        <a:effectLst/>
      </c:spPr>
    </c:plotArea>
    <c:legend>
      <c:legendPos val="b"/>
      <c:layout>
        <c:manualLayout>
          <c:xMode val="edge"/>
          <c:yMode val="edge"/>
          <c:x val="4.2729888523234375E-4"/>
          <c:y val="0.82241649182843901"/>
          <c:w val="0.99709832619237204"/>
          <c:h val="0.16249312464960564"/>
        </c:manualLayout>
      </c:layout>
      <c:overlay val="0"/>
      <c:spPr>
        <a:noFill/>
        <a:ln w="0">
          <a:noFill/>
        </a:ln>
        <a:effectLst/>
      </c:spPr>
      <c:txPr>
        <a:bodyPr rot="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2700" cap="flat" cmpd="sng" algn="ctr">
      <a:no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1E9983FF-DC4B-4F4E-A072-0441E2B88E6D">Price indices of construction and assembly production in September 2024.docx.docx</NazwaPliku>
    <Odbiorcy2 xmlns="1E9983FF-DC4B-4F4E-A072-0441E2B88E6D" xsi:nil="true"/>
    <_SourceUrl xmlns="http://schemas.microsoft.com/sharepoint/v3" xsi:nil="true"/>
    <xd_ProgID xmlns="http://schemas.microsoft.com/sharepoint/v3" xsi:nil="true"/>
    <Osoba xmlns="1E9983FF-DC4B-4F4E-A072-0441E2B88E6D">STAT\MALMYSZKOI</Osoba>
    <Order xmlns="http://schemas.microsoft.com/sharepoint/v3" xsi:nil="true"/>
    <_SharedFileIndex xmlns="http://schemas.microsoft.com/sharepoint/v3" xsi:nil="true"/>
    <MetaInfo xmlns="http://schemas.microsoft.com/sharepoint/v3" xsi:nil="true"/>
    <ContentTypeId xmlns="http://schemas.microsoft.com/sharepoint/v3">0x00FF83991E4BDC4E4FA0720441E2B88E6D</ContentTypeId>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http://schemas.microsoft.com/sharepoint/v3"/>
    <ds:schemaRef ds:uri="1E9983FF-DC4B-4F4E-A072-0441E2B88E6D"/>
  </ds:schemaRefs>
</ds:datastoreItem>
</file>

<file path=customXml/itemProps2.xml><?xml version="1.0" encoding="utf-8"?>
<ds:datastoreItem xmlns:ds="http://schemas.openxmlformats.org/officeDocument/2006/customXml" ds:itemID="{49754744-346E-4A84-98E2-E83D8EA553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E9983FF-DC4B-4F4E-A072-0441E2B88E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5678534-5649-447F-BA4D-CEE8C48261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480</Words>
  <Characters>2881</Characters>
  <DocSecurity>0</DocSecurity>
  <Lines>24</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2025-11-20T06:54:00Z</cp:lastPrinted>
  <dcterms:created xsi:type="dcterms:W3CDTF">2025-12-17T11:18:00Z</dcterms:created>
  <dcterms:modified xsi:type="dcterms:W3CDTF">2025-12-17T11:21:00Z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