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092617AA" w:rsidR="00393761" w:rsidRPr="00447F91" w:rsidRDefault="00447F91" w:rsidP="00F049AB">
      <w:pPr>
        <w:pStyle w:val="Tytuinfomacjisygnalnej"/>
        <w:rPr>
          <w:sz w:val="38"/>
          <w:szCs w:val="38"/>
          <w:lang w:val="en-GB"/>
        </w:rPr>
      </w:pPr>
      <w:r w:rsidRPr="00447F91">
        <w:rPr>
          <w:sz w:val="38"/>
          <w:szCs w:val="38"/>
          <w:lang w:val="en-GB"/>
        </w:rPr>
        <w:t>Activities of non-governmental organizations in 2024</w:t>
      </w:r>
    </w:p>
    <w:bookmarkStart w:id="0" w:name="_GoBack"/>
    <w:bookmarkEnd w:id="0"/>
    <w:p w14:paraId="1E690351" w14:textId="7CBE4FF2" w:rsidR="00DE58F1" w:rsidRPr="00CF7C09" w:rsidRDefault="00D82FEA" w:rsidP="00F049AB">
      <w:pPr>
        <w:pStyle w:val="Lead"/>
        <w:rPr>
          <w:rFonts w:eastAsia="Times New Roman" w:cs="Times New Roman"/>
          <w:bCs/>
          <w:noProof w:val="0"/>
          <w:lang w:val="en-GB"/>
        </w:rPr>
      </w:pPr>
      <w:r w:rsidRPr="00587CEE">
        <w:rPr>
          <w:color w:val="001D77"/>
        </w:rPr>
        <mc:AlternateContent>
          <mc:Choice Requires="wps">
            <w:drawing>
              <wp:anchor distT="45720" distB="45720" distL="114300" distR="114300" simplePos="0" relativeHeight="251759616" behindDoc="0" locked="0" layoutInCell="1" allowOverlap="1" wp14:anchorId="15C529A5" wp14:editId="009E9A53">
                <wp:simplePos x="0" y="0"/>
                <wp:positionH relativeFrom="margin">
                  <wp:posOffset>3810</wp:posOffset>
                </wp:positionH>
                <wp:positionV relativeFrom="paragraph">
                  <wp:posOffset>9525</wp:posOffset>
                </wp:positionV>
                <wp:extent cx="2204085" cy="1231900"/>
                <wp:effectExtent l="0" t="0" r="5715" b="6350"/>
                <wp:wrapSquare wrapText="bothSides"/>
                <wp:docPr id="6"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31900"/>
                        </a:xfrm>
                        <a:prstGeom prst="roundRect">
                          <a:avLst/>
                        </a:prstGeom>
                        <a:solidFill>
                          <a:srgbClr val="001D77"/>
                        </a:solidFill>
                        <a:ln w="9525">
                          <a:noFill/>
                          <a:miter lim="800000"/>
                          <a:headEnd/>
                          <a:tailEnd/>
                        </a:ln>
                      </wps:spPr>
                      <wps:txbx>
                        <w:txbxContent>
                          <w:p w14:paraId="701C9349" w14:textId="74455433"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447F91">
                              <w:rPr>
                                <w:rStyle w:val="WartowskanikaZnak"/>
                                <w:sz w:val="72"/>
                                <w:szCs w:val="72"/>
                                <w:lang w:val="en-GB"/>
                              </w:rPr>
                              <w:t>7</w:t>
                            </w:r>
                            <w:r w:rsidR="00C31167" w:rsidRPr="00CF7C09">
                              <w:rPr>
                                <w:rStyle w:val="WartowskanikaZnak"/>
                                <w:sz w:val="72"/>
                                <w:szCs w:val="72"/>
                                <w:lang w:val="en-GB"/>
                              </w:rPr>
                              <w:t>.</w:t>
                            </w:r>
                            <w:r w:rsidR="00447F91">
                              <w:rPr>
                                <w:rStyle w:val="WartowskanikaZnak"/>
                                <w:sz w:val="72"/>
                                <w:szCs w:val="72"/>
                                <w:lang w:val="en-GB"/>
                              </w:rPr>
                              <w:t>7</w:t>
                            </w:r>
                            <w:r w:rsidRPr="00CF7C09">
                              <w:rPr>
                                <w:rStyle w:val="WartowskanikaZnak"/>
                                <w:sz w:val="72"/>
                                <w:szCs w:val="72"/>
                                <w:lang w:val="en-GB"/>
                              </w:rPr>
                              <w:t>%</w:t>
                            </w:r>
                          </w:p>
                          <w:p w14:paraId="2488C932" w14:textId="5F9301C5" w:rsidR="00D82FEA" w:rsidRPr="00447F91" w:rsidRDefault="00447F91" w:rsidP="00D82FEA">
                            <w:pPr>
                              <w:pStyle w:val="Opiswskanika"/>
                              <w:rPr>
                                <w:sz w:val="18"/>
                                <w:szCs w:val="20"/>
                                <w:lang w:val="en-US"/>
                              </w:rPr>
                            </w:pPr>
                            <w:r w:rsidRPr="00447F91">
                              <w:rPr>
                                <w:lang w:val="en-GB"/>
                              </w:rPr>
                              <w:t>Increase in the number of non-governmental organizations compared to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Opis wskaźnika" style="position:absolute;margin-left:.3pt;margin-top:.75pt;width:173.55pt;height:97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" fillcolor="#001d77" stroked="f">
                <v:stroke joinstyle="miter"/>
                <v:textbox>
                  <w:txbxContent>
                    <w:p w14:paraId="701C9349" w14:textId="74455433"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447F91">
                        <w:rPr>
                          <w:rStyle w:val="WartowskanikaZnak"/>
                          <w:sz w:val="72"/>
                          <w:szCs w:val="72"/>
                          <w:lang w:val="en-GB"/>
                        </w:rPr>
                        <w:t>7</w:t>
                      </w:r>
                      <w:r w:rsidR="00C31167" w:rsidRPr="00CF7C09">
                        <w:rPr>
                          <w:rStyle w:val="WartowskanikaZnak"/>
                          <w:sz w:val="72"/>
                          <w:szCs w:val="72"/>
                          <w:lang w:val="en-GB"/>
                        </w:rPr>
                        <w:t>.</w:t>
                      </w:r>
                      <w:r w:rsidR="00447F91">
                        <w:rPr>
                          <w:rStyle w:val="WartowskanikaZnak"/>
                          <w:sz w:val="72"/>
                          <w:szCs w:val="72"/>
                          <w:lang w:val="en-GB"/>
                        </w:rPr>
                        <w:t>7</w:t>
                      </w:r>
                      <w:r w:rsidRPr="00CF7C09">
                        <w:rPr>
                          <w:rStyle w:val="WartowskanikaZnak"/>
                          <w:sz w:val="72"/>
                          <w:szCs w:val="72"/>
                          <w:lang w:val="en-GB"/>
                        </w:rPr>
                        <w:t>%</w:t>
                      </w:r>
                    </w:p>
                    <w:p w14:paraId="2488C932" w14:textId="5F9301C5" w:rsidR="00D82FEA" w:rsidRPr="00447F91" w:rsidRDefault="00447F91" w:rsidP="00D82FEA">
                      <w:pPr>
                        <w:pStyle w:val="Opiswskanika"/>
                        <w:rPr>
                          <w:sz w:val="18"/>
                          <w:szCs w:val="20"/>
                          <w:lang w:val="en-US"/>
                        </w:rPr>
                      </w:pPr>
                      <w:r w:rsidRPr="00447F91">
                        <w:rPr>
                          <w:lang w:val="en-GB"/>
                        </w:rPr>
                        <w:t>Increase in the number of non-governmental organizations compared to 2023</w:t>
                      </w:r>
                    </w:p>
                  </w:txbxContent>
                </v:textbox>
                <w10:wrap type="square" anchorx="margin"/>
              </v:roundrect>
            </w:pict>
          </mc:Fallback>
        </mc:AlternateContent>
      </w:r>
      <w:r w:rsidR="00447F91" w:rsidRPr="00447F91">
        <w:rPr>
          <w:lang w:val="en-GB"/>
        </w:rPr>
        <w:t>In 2024, there were 113</w:t>
      </w:r>
      <w:r w:rsidR="00447F91">
        <w:rPr>
          <w:lang w:val="en-GB"/>
        </w:rPr>
        <w:t>.</w:t>
      </w:r>
      <w:r w:rsidR="00447F91" w:rsidRPr="00447F91">
        <w:rPr>
          <w:lang w:val="en-GB"/>
        </w:rPr>
        <w:t>1</w:t>
      </w:r>
      <w:r w:rsidR="00447F91">
        <w:rPr>
          <w:lang w:val="en-GB"/>
        </w:rPr>
        <w:t xml:space="preserve"> thousand</w:t>
      </w:r>
      <w:r w:rsidR="00447F91" w:rsidRPr="00447F91">
        <w:rPr>
          <w:lang w:val="en-GB"/>
        </w:rPr>
        <w:t xml:space="preserve"> non-governmental organizations</w:t>
      </w:r>
      <w:r w:rsidR="00DF7C4B">
        <w:rPr>
          <w:rStyle w:val="Odwoanieprzypisudolnego"/>
          <w:lang w:val="en-GB"/>
        </w:rPr>
        <w:footnoteReference w:id="1"/>
      </w:r>
      <w:r w:rsidR="00447F91" w:rsidRPr="00447F91">
        <w:rPr>
          <w:lang w:val="en-GB"/>
        </w:rPr>
        <w:t xml:space="preserve"> operating in Poland, </w:t>
      </w:r>
      <w:r w:rsidR="00447F91">
        <w:rPr>
          <w:lang w:val="en-GB"/>
        </w:rPr>
        <w:t>associated</w:t>
      </w:r>
      <w:r w:rsidR="00447F91" w:rsidRPr="00447F91">
        <w:rPr>
          <w:lang w:val="en-GB"/>
        </w:rPr>
        <w:t xml:space="preserve"> 7.6 million people. They created 169</w:t>
      </w:r>
      <w:r w:rsidR="00447F91">
        <w:rPr>
          <w:lang w:val="en-GB"/>
        </w:rPr>
        <w:t>.</w:t>
      </w:r>
      <w:r w:rsidR="00447F91" w:rsidRPr="00447F91">
        <w:rPr>
          <w:lang w:val="en-GB"/>
        </w:rPr>
        <w:t>8</w:t>
      </w:r>
      <w:r w:rsidR="00447F91">
        <w:rPr>
          <w:lang w:val="en-GB"/>
        </w:rPr>
        <w:t xml:space="preserve"> thousand</w:t>
      </w:r>
      <w:r w:rsidR="00447F91" w:rsidRPr="00447F91">
        <w:rPr>
          <w:lang w:val="en-GB"/>
        </w:rPr>
        <w:t xml:space="preserve"> full-time</w:t>
      </w:r>
      <w:r w:rsidR="00C64774">
        <w:rPr>
          <w:lang w:val="en-GB"/>
        </w:rPr>
        <w:t xml:space="preserve"> </w:t>
      </w:r>
      <w:r w:rsidR="00C64774" w:rsidRPr="00C64774">
        <w:rPr>
          <w:lang w:val="en-GB"/>
        </w:rPr>
        <w:t>equivalent</w:t>
      </w:r>
      <w:r w:rsidR="00447F91" w:rsidRPr="00447F91">
        <w:rPr>
          <w:lang w:val="en-GB"/>
        </w:rPr>
        <w:t xml:space="preserve"> jobs, which </w:t>
      </w:r>
      <w:r w:rsidR="00DF7C4B">
        <w:rPr>
          <w:lang w:val="en-GB"/>
        </w:rPr>
        <w:t>was</w:t>
      </w:r>
      <w:r w:rsidR="00447F91" w:rsidRPr="00447F91">
        <w:rPr>
          <w:lang w:val="en-GB"/>
        </w:rPr>
        <w:t xml:space="preserve"> 1.5% of the average employment in the national economy. In connection with the autumn floods, the organizations provided support to 4.3 million people, donating material and financial </w:t>
      </w:r>
      <w:r w:rsidR="00C64774">
        <w:rPr>
          <w:lang w:val="en-GB"/>
        </w:rPr>
        <w:t xml:space="preserve">assistance </w:t>
      </w:r>
      <w:r w:rsidR="00447F91" w:rsidRPr="00447F91">
        <w:rPr>
          <w:lang w:val="en-GB"/>
        </w:rPr>
        <w:t>worth PLN 723.4 million.</w:t>
      </w:r>
      <w:r w:rsidR="00F84069" w:rsidRPr="00CF7C09">
        <w:rPr>
          <w:lang w:val="en-GB"/>
        </w:rPr>
        <w:t xml:space="preserve"> </w:t>
      </w:r>
      <w:r w:rsidR="00DE6B58" w:rsidRPr="00CF7C09">
        <w:rPr>
          <w:lang w:val="en-GB"/>
        </w:rPr>
        <w:t xml:space="preserve"> </w:t>
      </w:r>
    </w:p>
    <w:p w14:paraId="3DB10F9F" w14:textId="0001B0A5" w:rsidR="00E95B8E" w:rsidRPr="00286420" w:rsidRDefault="000647A9" w:rsidP="00E95B8E">
      <w:pPr>
        <w:pStyle w:val="Nagwek1"/>
        <w:rPr>
          <w:rFonts w:ascii="Fira Sans" w:hAnsi="Fira Sans"/>
          <w:b/>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5812CD7">
                <wp:simplePos x="0" y="0"/>
                <wp:positionH relativeFrom="column">
                  <wp:posOffset>5219700</wp:posOffset>
                </wp:positionH>
                <wp:positionV relativeFrom="paragraph">
                  <wp:posOffset>286541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63EA4260" w:rsidR="00D616D2" w:rsidRPr="00CF7C09" w:rsidRDefault="00DF7C4B" w:rsidP="00680119">
                            <w:pPr>
                              <w:pStyle w:val="tekstzboku"/>
                              <w:spacing w:before="0"/>
                              <w:rPr>
                                <w:bCs w:val="0"/>
                                <w:lang w:val="en-GB"/>
                              </w:rPr>
                            </w:pPr>
                            <w:r w:rsidRPr="00DF7C4B">
                              <w:rPr>
                                <w:lang w:val="en-GB"/>
                              </w:rPr>
                              <w:t xml:space="preserve">The most numerous </w:t>
                            </w:r>
                            <w:proofErr w:type="gramStart"/>
                            <w:r w:rsidRPr="00DF7C4B">
                              <w:rPr>
                                <w:lang w:val="en-GB"/>
                              </w:rPr>
                              <w:t>group</w:t>
                            </w:r>
                            <w:proofErr w:type="gramEnd"/>
                            <w:r w:rsidRPr="00DF7C4B">
                              <w:rPr>
                                <w:lang w:val="en-GB"/>
                              </w:rPr>
                              <w:t xml:space="preserve"> of non-governmental organizations were typical associations and social organizations (29.0%)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1pt;margin-top:22.5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" filled="f" stroked="f">
                <v:textbox>
                  <w:txbxContent>
                    <w:p w14:paraId="66113316" w14:textId="63EA4260" w:rsidR="00D616D2" w:rsidRPr="00CF7C09" w:rsidRDefault="00DF7C4B" w:rsidP="00680119">
                      <w:pPr>
                        <w:pStyle w:val="tekstzboku"/>
                        <w:spacing w:before="0"/>
                        <w:rPr>
                          <w:bCs w:val="0"/>
                          <w:lang w:val="en-GB"/>
                        </w:rPr>
                      </w:pPr>
                      <w:r w:rsidRPr="00DF7C4B">
                        <w:rPr>
                          <w:lang w:val="en-GB"/>
                        </w:rPr>
                        <w:t xml:space="preserve">The most numerous </w:t>
                      </w:r>
                      <w:proofErr w:type="gramStart"/>
                      <w:r w:rsidRPr="00DF7C4B">
                        <w:rPr>
                          <w:lang w:val="en-GB"/>
                        </w:rPr>
                        <w:t>group</w:t>
                      </w:r>
                      <w:proofErr w:type="gramEnd"/>
                      <w:r w:rsidRPr="00DF7C4B">
                        <w:rPr>
                          <w:lang w:val="en-GB"/>
                        </w:rPr>
                        <w:t xml:space="preserve"> of non-governmental organizations were typical associations and social organizations (29.0%)</w:t>
                      </w:r>
                    </w:p>
                  </w:txbxContent>
                </v:textbox>
                <w10:wrap type="tight"/>
              </v:shape>
            </w:pict>
          </mc:Fallback>
        </mc:AlternateContent>
      </w:r>
      <w:r w:rsidR="00286420" w:rsidRPr="00286420">
        <w:rPr>
          <w:rFonts w:ascii="Fira Sans" w:hAnsi="Fira Sans"/>
          <w:b/>
          <w:szCs w:val="19"/>
          <w:lang w:val="en-US"/>
        </w:rPr>
        <w:t>Active non-governmental organizations</w:t>
      </w:r>
    </w:p>
    <w:p w14:paraId="5E65BC97" w14:textId="743CB37A" w:rsidR="00DF7C4B" w:rsidRPr="00C64774" w:rsidRDefault="00286420" w:rsidP="00DF7C4B">
      <w:pPr>
        <w:spacing w:line="288" w:lineRule="auto"/>
        <w:rPr>
          <w:rFonts w:eastAsia="Times New Roman" w:cs="Times New Roman"/>
          <w:szCs w:val="19"/>
          <w:lang w:val="en-US" w:eastAsia="pl-PL"/>
        </w:rPr>
      </w:pPr>
      <w:r w:rsidRPr="00286420">
        <w:rPr>
          <w:rFonts w:eastAsia="Times New Roman" w:cs="Times New Roman"/>
          <w:szCs w:val="19"/>
          <w:lang w:val="en-US" w:eastAsia="pl-PL"/>
        </w:rPr>
        <w:t>In 2024, there were 113.1 thousand non-governmental organizations operating in Poland (7.7% more than in 2023). The most numerous group were typical associations and social organizations</w:t>
      </w:r>
      <w:r w:rsidR="00DF7C4B">
        <w:rPr>
          <w:rStyle w:val="Odwoanieprzypisudolnego"/>
          <w:rFonts w:eastAsia="Times New Roman" w:cs="Times New Roman"/>
          <w:szCs w:val="19"/>
          <w:lang w:eastAsia="pl-PL"/>
        </w:rPr>
        <w:footnoteReference w:id="2"/>
      </w:r>
      <w:r w:rsidRPr="00286420">
        <w:rPr>
          <w:rFonts w:eastAsia="Times New Roman" w:cs="Times New Roman"/>
          <w:szCs w:val="19"/>
          <w:lang w:val="en-US" w:eastAsia="pl-PL"/>
        </w:rPr>
        <w:t xml:space="preserve"> (29.0%), followed by foundations (19.8%) and sports associations (17.8%). Rural housewives clubs (15.3%) and volunteer fire </w:t>
      </w:r>
      <w:r>
        <w:rPr>
          <w:rFonts w:eastAsia="Times New Roman" w:cs="Times New Roman"/>
          <w:szCs w:val="19"/>
          <w:lang w:val="en-US" w:eastAsia="pl-PL"/>
        </w:rPr>
        <w:t xml:space="preserve">brigades </w:t>
      </w:r>
      <w:r w:rsidRPr="00286420">
        <w:rPr>
          <w:rFonts w:eastAsia="Times New Roman" w:cs="Times New Roman"/>
          <w:szCs w:val="19"/>
          <w:lang w:val="en-US" w:eastAsia="pl-PL"/>
        </w:rPr>
        <w:t>(13.1%) also had a significant share.</w:t>
      </w:r>
      <w:r w:rsidR="00D92A1D">
        <w:rPr>
          <w:rFonts w:eastAsia="Times New Roman" w:cs="Times New Roman"/>
          <w:szCs w:val="19"/>
          <w:lang w:val="en-US" w:eastAsia="pl-PL"/>
        </w:rPr>
        <w:t xml:space="preserve"> </w:t>
      </w:r>
      <w:r w:rsidRPr="00286420">
        <w:rPr>
          <w:rFonts w:eastAsia="Times New Roman" w:cs="Times New Roman"/>
          <w:szCs w:val="19"/>
          <w:lang w:val="en-US" w:eastAsia="pl-PL"/>
        </w:rPr>
        <w:t xml:space="preserve">The smallest group was </w:t>
      </w:r>
      <w:r w:rsidR="00C1441B">
        <w:rPr>
          <w:rFonts w:eastAsia="Times New Roman" w:cs="Times New Roman"/>
          <w:szCs w:val="19"/>
          <w:lang w:val="en-US" w:eastAsia="pl-PL"/>
        </w:rPr>
        <w:t>b</w:t>
      </w:r>
      <w:r w:rsidR="00C1441B" w:rsidRPr="00C1441B">
        <w:rPr>
          <w:rFonts w:eastAsia="Times New Roman" w:cs="Times New Roman"/>
          <w:szCs w:val="19"/>
          <w:lang w:val="en-US" w:eastAsia="pl-PL"/>
        </w:rPr>
        <w:t>usiness associations, farmers organizations</w:t>
      </w:r>
      <w:r w:rsidR="00C1441B">
        <w:rPr>
          <w:rFonts w:eastAsia="Times New Roman" w:cs="Times New Roman"/>
          <w:szCs w:val="19"/>
          <w:lang w:val="en-US" w:eastAsia="pl-PL"/>
        </w:rPr>
        <w:t xml:space="preserve"> (</w:t>
      </w:r>
      <w:r w:rsidRPr="00286420">
        <w:rPr>
          <w:rFonts w:eastAsia="Times New Roman" w:cs="Times New Roman"/>
          <w:szCs w:val="19"/>
          <w:lang w:val="en-US" w:eastAsia="pl-PL"/>
        </w:rPr>
        <w:t>1.1%). 9</w:t>
      </w:r>
      <w:r w:rsidR="00D92A1D">
        <w:rPr>
          <w:rFonts w:eastAsia="Times New Roman" w:cs="Times New Roman"/>
          <w:szCs w:val="19"/>
          <w:lang w:val="en-US" w:eastAsia="pl-PL"/>
        </w:rPr>
        <w:t>.</w:t>
      </w:r>
      <w:r w:rsidRPr="00286420">
        <w:rPr>
          <w:rFonts w:eastAsia="Times New Roman" w:cs="Times New Roman"/>
          <w:szCs w:val="19"/>
          <w:lang w:val="en-US" w:eastAsia="pl-PL"/>
        </w:rPr>
        <w:t>9</w:t>
      </w:r>
      <w:r w:rsidR="00D92A1D">
        <w:rPr>
          <w:rFonts w:eastAsia="Times New Roman" w:cs="Times New Roman"/>
          <w:szCs w:val="19"/>
          <w:lang w:val="en-US" w:eastAsia="pl-PL"/>
        </w:rPr>
        <w:t xml:space="preserve"> thousand</w:t>
      </w:r>
      <w:r w:rsidRPr="00286420">
        <w:rPr>
          <w:rFonts w:eastAsia="Times New Roman" w:cs="Times New Roman"/>
          <w:szCs w:val="19"/>
          <w:lang w:val="en-US" w:eastAsia="pl-PL"/>
        </w:rPr>
        <w:t xml:space="preserve"> entities had the status of public benefit organizations. In turn, </w:t>
      </w:r>
      <w:r w:rsidR="00D92A1D">
        <w:rPr>
          <w:rFonts w:eastAsia="Times New Roman" w:cs="Times New Roman"/>
          <w:szCs w:val="19"/>
          <w:lang w:val="en-US" w:eastAsia="pl-PL"/>
        </w:rPr>
        <w:t>0.8 thousand</w:t>
      </w:r>
      <w:r w:rsidRPr="00286420">
        <w:rPr>
          <w:rFonts w:eastAsia="Times New Roman" w:cs="Times New Roman"/>
          <w:szCs w:val="19"/>
          <w:lang w:val="en-US" w:eastAsia="pl-PL"/>
        </w:rPr>
        <w:t xml:space="preserve"> non-governmental organizations had the status of social enterprises.</w:t>
      </w:r>
    </w:p>
    <w:p w14:paraId="163B38E2" w14:textId="0BF42FE7" w:rsidR="000A7248" w:rsidRPr="00AD0CA2" w:rsidRDefault="000A7248" w:rsidP="000A7248">
      <w:pPr>
        <w:pStyle w:val="Tytutablicy"/>
        <w:rPr>
          <w:shd w:val="clear" w:color="auto" w:fill="FFFFFF"/>
          <w:lang w:val="en-US"/>
        </w:rPr>
      </w:pPr>
      <w:r>
        <w:rPr>
          <w:noProof/>
          <w:shd w:val="clear" w:color="auto" w:fill="FFFFFF"/>
        </w:rPr>
        <w:drawing>
          <wp:anchor distT="0" distB="0" distL="114300" distR="114300" simplePos="0" relativeHeight="251786240" behindDoc="0" locked="0" layoutInCell="1" allowOverlap="1" wp14:anchorId="5DA9338D" wp14:editId="7E2C452F">
            <wp:simplePos x="0" y="0"/>
            <wp:positionH relativeFrom="column">
              <wp:posOffset>-6820</wp:posOffset>
            </wp:positionH>
            <wp:positionV relativeFrom="paragraph">
              <wp:posOffset>413440</wp:posOffset>
            </wp:positionV>
            <wp:extent cx="5039995" cy="1413510"/>
            <wp:effectExtent l="0" t="0" r="8255" b="0"/>
            <wp:wrapTopAndBottom/>
            <wp:docPr id="26" name="Wykres 26" descr="Chart showing the number of non-governmental organisations in 2016–2024. The data is available in a separate Excel fi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AD0CA2" w:rsidRPr="00C64774">
        <w:rPr>
          <w:shd w:val="clear" w:color="auto" w:fill="FFFFFF"/>
          <w:lang w:val="en-US"/>
        </w:rPr>
        <w:t xml:space="preserve">Chart 1. </w:t>
      </w:r>
      <w:r w:rsidR="00AD0CA2" w:rsidRPr="00AD0CA2">
        <w:rPr>
          <w:shd w:val="clear" w:color="auto" w:fill="FFFFFF"/>
          <w:lang w:val="en-US"/>
        </w:rPr>
        <w:t>Number of non-governmental organizations</w:t>
      </w:r>
    </w:p>
    <w:p w14:paraId="7B347445" w14:textId="5C45D1EA" w:rsidR="000A7248" w:rsidRPr="00DB0C3E" w:rsidRDefault="00DB0C3E" w:rsidP="000A7248">
      <w:pPr>
        <w:pStyle w:val="Tytutablicy"/>
        <w:rPr>
          <w:shd w:val="clear" w:color="auto" w:fill="FFFFFF"/>
          <w:lang w:val="en-US"/>
        </w:rPr>
      </w:pPr>
      <w:r w:rsidRPr="00DB0C3E">
        <w:rPr>
          <w:shd w:val="clear" w:color="auto" w:fill="FFFFFF"/>
          <w:lang w:val="en-US"/>
        </w:rPr>
        <w:t>Chart 2. Non-governmental organizations by type in 2024</w:t>
      </w:r>
    </w:p>
    <w:p w14:paraId="11302FD9" w14:textId="31733AC4" w:rsidR="00DF7C4B" w:rsidRPr="007A2ED8" w:rsidRDefault="004757EB" w:rsidP="000A7248">
      <w:pPr>
        <w:spacing w:line="288" w:lineRule="auto"/>
        <w:rPr>
          <w:shd w:val="clear" w:color="auto" w:fill="FFFFFF"/>
          <w:lang w:val="en-US"/>
        </w:rPr>
      </w:pPr>
      <w:r w:rsidRPr="002A6ACE">
        <w:rPr>
          <w:noProof/>
          <w:lang w:eastAsia="pl-PL"/>
        </w:rPr>
        <w:drawing>
          <wp:anchor distT="0" distB="0" distL="114300" distR="114300" simplePos="0" relativeHeight="251788288" behindDoc="0" locked="0" layoutInCell="1" allowOverlap="1" wp14:anchorId="393D11F4" wp14:editId="52F11169">
            <wp:simplePos x="0" y="0"/>
            <wp:positionH relativeFrom="margin">
              <wp:posOffset>-409575</wp:posOffset>
            </wp:positionH>
            <wp:positionV relativeFrom="paragraph">
              <wp:posOffset>134620</wp:posOffset>
            </wp:positionV>
            <wp:extent cx="5629275" cy="1934845"/>
            <wp:effectExtent l="0" t="0" r="0" b="8255"/>
            <wp:wrapTopAndBottom/>
            <wp:docPr id="20" name="Wykres 20" descr="Chart showing the number of non-governmental organisations by type of organisation in 2024. The data is available in a separate Excel fi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0A7248" w:rsidRPr="00DB0C3E">
        <w:rPr>
          <w:shd w:val="clear" w:color="auto" w:fill="FFFFFF"/>
          <w:lang w:val="en-US"/>
        </w:rPr>
        <w:br w:type="page"/>
      </w:r>
      <w:r w:rsidR="007A2ED8" w:rsidRPr="007A2ED8">
        <w:rPr>
          <w:shd w:val="clear" w:color="auto" w:fill="FFFFFF"/>
          <w:lang w:val="en-US"/>
        </w:rPr>
        <w:lastRenderedPageBreak/>
        <w:t>In addition to organizations with legal personality, there were also organizations without legal personality, but with legal capacity. According to data provided by county offices and city offices with county rights, in 2024 there were 12.4 thousand ordinary associations</w:t>
      </w:r>
      <w:r w:rsidR="000C208B">
        <w:rPr>
          <w:rStyle w:val="Odwoanieprzypisudolnego"/>
          <w:shd w:val="clear" w:color="auto" w:fill="FFFFFF"/>
          <w:lang w:val="en-US"/>
        </w:rPr>
        <w:footnoteReference w:id="3"/>
      </w:r>
      <w:r w:rsidR="007A2ED8" w:rsidRPr="007A2ED8">
        <w:rPr>
          <w:shd w:val="clear" w:color="auto" w:fill="FFFFFF"/>
          <w:lang w:val="en-US"/>
        </w:rPr>
        <w:t xml:space="preserve"> registered in Poland. Furthermore, according to a study by the Institute of Catholic Church Statistics, in 2023 there were 51.7 thousand parish-based organizations </w:t>
      </w:r>
      <w:r w:rsidR="002E7378">
        <w:rPr>
          <w:shd w:val="clear" w:color="auto" w:fill="FFFFFF"/>
          <w:lang w:val="en-US"/>
        </w:rPr>
        <w:t xml:space="preserve">of the </w:t>
      </w:r>
      <w:r w:rsidR="002E7378" w:rsidRPr="007A2ED8">
        <w:rPr>
          <w:shd w:val="clear" w:color="auto" w:fill="FFFFFF"/>
          <w:lang w:val="en-US"/>
        </w:rPr>
        <w:t xml:space="preserve">Catholic Church </w:t>
      </w:r>
      <w:r w:rsidR="007A2ED8" w:rsidRPr="007A2ED8">
        <w:rPr>
          <w:shd w:val="clear" w:color="auto" w:fill="FFFFFF"/>
          <w:lang w:val="en-US"/>
        </w:rPr>
        <w:t>operating in the country.</w:t>
      </w:r>
    </w:p>
    <w:p w14:paraId="02369E97" w14:textId="14698381" w:rsidR="00DF7C4B" w:rsidRDefault="00216458" w:rsidP="00DF7C4B">
      <w:pPr>
        <w:pStyle w:val="Tytutablicy"/>
        <w:rPr>
          <w:lang w:val="en-US"/>
        </w:rPr>
      </w:pPr>
      <w:r w:rsidRPr="00216458">
        <w:rPr>
          <w:lang w:val="en-US"/>
        </w:rPr>
        <w:t>Map 1. Non-governmental organizations by voivodeships and regions in 2024</w:t>
      </w:r>
    </w:p>
    <w:p w14:paraId="7B10D164" w14:textId="3958B121" w:rsidR="002D6649" w:rsidRPr="00216458" w:rsidRDefault="002D6649" w:rsidP="00DF7C4B">
      <w:pPr>
        <w:pStyle w:val="Tytutablicy"/>
        <w:rPr>
          <w:lang w:val="en-US"/>
        </w:rPr>
      </w:pPr>
      <w:r>
        <w:rPr>
          <w:noProof/>
        </w:rPr>
        <w:drawing>
          <wp:inline distT="0" distB="0" distL="0" distR="0" wp14:anchorId="7FD9854A" wp14:editId="1C3C2E73">
            <wp:extent cx="4898003" cy="3856714"/>
            <wp:effectExtent l="0" t="0" r="0" b="0"/>
            <wp:docPr id="33" name="Obraz 33" descr="Map showing the number of non-governmental organisations (in thousands) and the number of non-governmental organisations per 10,000 inhabitants by province and region in 2024. The data is available in a separate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03400" cy="3860963"/>
                    </a:xfrm>
                    <a:prstGeom prst="rect">
                      <a:avLst/>
                    </a:prstGeom>
                    <a:noFill/>
                    <a:ln>
                      <a:noFill/>
                    </a:ln>
                  </pic:spPr>
                </pic:pic>
              </a:graphicData>
            </a:graphic>
          </wp:inline>
        </w:drawing>
      </w:r>
    </w:p>
    <w:p w14:paraId="046EB577" w14:textId="4FD94543" w:rsidR="00DF7C4B" w:rsidRPr="00C64774" w:rsidRDefault="00BE6ED8" w:rsidP="00DF7C4B">
      <w:pPr>
        <w:pStyle w:val="Tablicanotka"/>
        <w:spacing w:before="240"/>
        <w:rPr>
          <w:lang w:val="en-US"/>
        </w:rPr>
      </w:pPr>
      <w:bookmarkStart w:id="1" w:name="OLE_LINK1"/>
      <w:r w:rsidRPr="00C64774">
        <w:rPr>
          <w:lang w:val="en-US"/>
        </w:rPr>
        <w:t>Population as of December 31, 2024.</w:t>
      </w:r>
    </w:p>
    <w:bookmarkEnd w:id="1"/>
    <w:p w14:paraId="0A05CE1B" w14:textId="0F201436" w:rsidR="00DF7C4B" w:rsidRPr="009A41CD" w:rsidRDefault="00DF7C4B" w:rsidP="00DF7C4B">
      <w:pPr>
        <w:pStyle w:val="Nagwek1"/>
        <w:spacing w:before="480"/>
        <w:rPr>
          <w:lang w:val="en-US"/>
        </w:rPr>
      </w:pPr>
      <w:r w:rsidRPr="00823593">
        <w:rPr>
          <w:rFonts w:ascii="Fira Sans" w:hAnsi="Fira Sans"/>
          <w:b/>
          <w:noProof/>
          <w:spacing w:val="-2"/>
          <w:szCs w:val="19"/>
        </w:rPr>
        <mc:AlternateContent>
          <mc:Choice Requires="wps">
            <w:drawing>
              <wp:anchor distT="45720" distB="45720" distL="114300" distR="114300" simplePos="0" relativeHeight="251767808" behindDoc="1" locked="0" layoutInCell="1" allowOverlap="1" wp14:anchorId="426F0FCB" wp14:editId="6844E4ED">
                <wp:simplePos x="0" y="0"/>
                <wp:positionH relativeFrom="column">
                  <wp:posOffset>5227955</wp:posOffset>
                </wp:positionH>
                <wp:positionV relativeFrom="paragraph">
                  <wp:posOffset>278130</wp:posOffset>
                </wp:positionV>
                <wp:extent cx="1725295" cy="1073150"/>
                <wp:effectExtent l="0" t="0" r="0" b="0"/>
                <wp:wrapTight wrapText="bothSides">
                  <wp:wrapPolygon edited="0">
                    <wp:start x="715" y="0"/>
                    <wp:lineTo x="715" y="21089"/>
                    <wp:lineTo x="20749" y="21089"/>
                    <wp:lineTo x="20749" y="0"/>
                    <wp:lineTo x="715" y="0"/>
                  </wp:wrapPolygon>
                </wp:wrapTight>
                <wp:docPr id="29" name="Pole tekstowe 29" descr="W 2024 r. największy odsetek organizacji pozarządowych działał w obszarze sportu, turystyki, rekreacji, hobby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3150"/>
                        </a:xfrm>
                        <a:prstGeom prst="rect">
                          <a:avLst/>
                        </a:prstGeom>
                        <a:noFill/>
                        <a:ln w="9525">
                          <a:noFill/>
                          <a:miter lim="800000"/>
                          <a:headEnd/>
                          <a:tailEnd/>
                        </a:ln>
                      </wps:spPr>
                      <wps:txbx>
                        <w:txbxContent>
                          <w:p w14:paraId="70A419C6" w14:textId="2D014986" w:rsidR="00DF7C4B" w:rsidRPr="00A6550A" w:rsidRDefault="00A6550A" w:rsidP="00DF7C4B">
                            <w:pPr>
                              <w:pStyle w:val="tekstzboku"/>
                              <w:rPr>
                                <w:bCs w:val="0"/>
                                <w:lang w:val="en-US"/>
                              </w:rPr>
                            </w:pPr>
                            <w:r w:rsidRPr="00A6550A">
                              <w:rPr>
                                <w:lang w:val="en-US"/>
                              </w:rPr>
                              <w:t>In 2024, the largest percentage of non-governmental organizations operated in the field of sports, tourism, recreation,</w:t>
                            </w:r>
                            <w:r>
                              <w:rPr>
                                <w:lang w:val="en-US"/>
                              </w:rPr>
                              <w:t xml:space="preserve"> </w:t>
                            </w:r>
                            <w:r w:rsidRPr="00A6550A">
                              <w:rPr>
                                <w:lang w:val="en-US"/>
                              </w:rPr>
                              <w:t>hobbies (26.8%)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F0FCB" id="Pole tekstowe 29" o:spid="_x0000_s1028" type="#_x0000_t202" alt="W 2024 r. największy odsetek organizacji pozarządowych działał w obszarze sportu, turystyki, rekreacji, hobby (26,8%)" style="position:absolute;margin-left:411.65pt;margin-top:21.9pt;width:135.85pt;height:84.5pt;z-index:-25154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" filled="f" stroked="f">
                <v:textbox>
                  <w:txbxContent>
                    <w:p w14:paraId="70A419C6" w14:textId="2D014986" w:rsidR="00DF7C4B" w:rsidRPr="00A6550A" w:rsidRDefault="00A6550A" w:rsidP="00DF7C4B">
                      <w:pPr>
                        <w:pStyle w:val="tekstzboku"/>
                        <w:rPr>
                          <w:bCs w:val="0"/>
                          <w:lang w:val="en-US"/>
                        </w:rPr>
                      </w:pPr>
                      <w:r w:rsidRPr="00A6550A">
                        <w:rPr>
                          <w:lang w:val="en-US"/>
                        </w:rPr>
                        <w:t>In 2024, the largest percentage of non-governmental organizations operated in the field of sports, tourism, recreation,</w:t>
                      </w:r>
                      <w:r>
                        <w:rPr>
                          <w:lang w:val="en-US"/>
                        </w:rPr>
                        <w:t xml:space="preserve"> </w:t>
                      </w:r>
                      <w:r w:rsidRPr="00A6550A">
                        <w:rPr>
                          <w:lang w:val="en-US"/>
                        </w:rPr>
                        <w:t>hobbies (26.8%)</w:t>
                      </w:r>
                    </w:p>
                  </w:txbxContent>
                </v:textbox>
                <w10:wrap type="tight"/>
              </v:shape>
            </w:pict>
          </mc:Fallback>
        </mc:AlternateContent>
      </w:r>
      <w:r w:rsidR="008E4543" w:rsidRPr="009A41CD">
        <w:rPr>
          <w:lang w:val="en-US"/>
        </w:rPr>
        <w:t>Field of statutory activity</w:t>
      </w:r>
    </w:p>
    <w:p w14:paraId="0F224660" w14:textId="672D2C15" w:rsidR="009A41CD" w:rsidRDefault="009A41CD" w:rsidP="009A41CD">
      <w:pPr>
        <w:spacing w:line="288" w:lineRule="auto"/>
        <w:rPr>
          <w:shd w:val="clear" w:color="auto" w:fill="FFFFFF"/>
          <w:lang w:val="en-US"/>
        </w:rPr>
      </w:pPr>
      <w:r w:rsidRPr="00FE7C51">
        <w:rPr>
          <w:shd w:val="clear" w:color="auto" w:fill="FFFFFF"/>
          <w:lang w:val="en-US"/>
        </w:rPr>
        <w:t xml:space="preserve">Non-governmental organizations carried out diverse and comprehensive activities. In 2024, the largest percentage of organizations </w:t>
      </w:r>
      <w:r w:rsidR="000571C9" w:rsidRPr="000571C9">
        <w:rPr>
          <w:shd w:val="clear" w:color="auto" w:fill="FFFFFF"/>
          <w:lang w:val="en-US"/>
        </w:rPr>
        <w:t>indicated sport, tourism, recreation and hobbies as their main area of activity (26.8%).</w:t>
      </w:r>
      <w:r w:rsidR="000571C9">
        <w:rPr>
          <w:shd w:val="clear" w:color="auto" w:fill="FFFFFF"/>
          <w:lang w:val="en-US"/>
        </w:rPr>
        <w:t xml:space="preserve"> </w:t>
      </w:r>
      <w:r w:rsidRPr="00FE7C51">
        <w:rPr>
          <w:shd w:val="clear" w:color="auto" w:fill="FFFFFF"/>
          <w:lang w:val="en-US"/>
        </w:rPr>
        <w:t>The share of organizations operating in the areas of culture and art</w:t>
      </w:r>
      <w:r>
        <w:rPr>
          <w:shd w:val="clear" w:color="auto" w:fill="FFFFFF"/>
          <w:lang w:val="en-US"/>
        </w:rPr>
        <w:t>s</w:t>
      </w:r>
      <w:r w:rsidRPr="00FE7C51">
        <w:rPr>
          <w:shd w:val="clear" w:color="auto" w:fill="FFFFFF"/>
          <w:lang w:val="en-US"/>
        </w:rPr>
        <w:t xml:space="preserve"> (13.7%), rescue services (13.4%), and local social and economic development (10.8%) was relatively high. The smallest number of organizations operated in the areas of </w:t>
      </w:r>
      <w:r>
        <w:rPr>
          <w:shd w:val="clear" w:color="auto" w:fill="FFFFFF"/>
          <w:lang w:val="en-US"/>
        </w:rPr>
        <w:t xml:space="preserve">employment assistance </w:t>
      </w:r>
      <w:r w:rsidRPr="00FE7C51">
        <w:rPr>
          <w:shd w:val="clear" w:color="auto" w:fill="FFFFFF"/>
          <w:lang w:val="en-US"/>
        </w:rPr>
        <w:t>(1.3%).</w:t>
      </w:r>
    </w:p>
    <w:p w14:paraId="04D8F9F8" w14:textId="6AD3287A" w:rsidR="00FE7C51" w:rsidRPr="003908B0" w:rsidRDefault="009A41CD" w:rsidP="00FE7C51">
      <w:pPr>
        <w:spacing w:line="288" w:lineRule="auto"/>
        <w:rPr>
          <w:shd w:val="clear" w:color="auto" w:fill="FFFFFF"/>
          <w:lang w:val="en-US"/>
        </w:rPr>
      </w:pPr>
      <w:r w:rsidRPr="00FE7C51">
        <w:rPr>
          <w:shd w:val="clear" w:color="auto" w:fill="FFFFFF"/>
          <w:lang w:val="en-US"/>
        </w:rPr>
        <w:t xml:space="preserve">In 2024, significant changes were observed in the structure of non-governmental organizations' activities. The number of rural </w:t>
      </w:r>
      <w:r>
        <w:rPr>
          <w:shd w:val="clear" w:color="auto" w:fill="FFFFFF"/>
          <w:lang w:val="en-US"/>
        </w:rPr>
        <w:t>housewives</w:t>
      </w:r>
      <w:r w:rsidRPr="00FE7C51">
        <w:rPr>
          <w:shd w:val="clear" w:color="auto" w:fill="FFFFFF"/>
          <w:lang w:val="en-US"/>
        </w:rPr>
        <w:t xml:space="preserve"> clubs increased by 36.6% compared to 2023, which translated into a 2.0 percentage point increase in the share of organizations operating mainly in the area of local development. </w:t>
      </w:r>
      <w:r w:rsidR="003908B0">
        <w:rPr>
          <w:shd w:val="clear" w:color="auto" w:fill="FFFFFF"/>
          <w:lang w:val="en-US"/>
        </w:rPr>
        <w:t>T</w:t>
      </w:r>
      <w:r w:rsidR="00FE7C51" w:rsidRPr="00FE7C51">
        <w:rPr>
          <w:shd w:val="clear" w:color="auto" w:fill="FFFFFF"/>
          <w:lang w:val="en-US"/>
        </w:rPr>
        <w:t xml:space="preserve">he share of organizations operating in this field exceeded the share of organizations dealing mainly with social </w:t>
      </w:r>
      <w:r w:rsidR="003908B0">
        <w:rPr>
          <w:shd w:val="clear" w:color="auto" w:fill="FFFFFF"/>
          <w:lang w:val="en-US"/>
        </w:rPr>
        <w:t>services</w:t>
      </w:r>
      <w:r w:rsidR="00FE7C51" w:rsidRPr="00FE7C51">
        <w:rPr>
          <w:shd w:val="clear" w:color="auto" w:fill="FFFFFF"/>
          <w:lang w:val="en-US"/>
        </w:rPr>
        <w:t xml:space="preserve"> and education and </w:t>
      </w:r>
      <w:r w:rsidR="003908B0">
        <w:rPr>
          <w:shd w:val="clear" w:color="auto" w:fill="FFFFFF"/>
          <w:lang w:val="en-US"/>
        </w:rPr>
        <w:t>research</w:t>
      </w:r>
      <w:r w:rsidR="00FE7C51" w:rsidRPr="00FE7C51">
        <w:rPr>
          <w:shd w:val="clear" w:color="auto" w:fill="FFFFFF"/>
          <w:lang w:val="en-US"/>
        </w:rPr>
        <w:t xml:space="preserve"> by 2.2 percentage points and 1.1 percentage points, respectively.</w:t>
      </w:r>
    </w:p>
    <w:p w14:paraId="1E51A892" w14:textId="1BA58108" w:rsidR="00DF7C4B" w:rsidRPr="00620DC5" w:rsidRDefault="00DF7C4B" w:rsidP="00DF7C4B">
      <w:pPr>
        <w:pStyle w:val="Tytutablicy"/>
        <w:ind w:left="851" w:hanging="851"/>
        <w:rPr>
          <w:shd w:val="clear" w:color="auto" w:fill="FFFFFF"/>
          <w:lang w:val="en-US"/>
        </w:rPr>
      </w:pPr>
      <w:r w:rsidRPr="002A6ACE">
        <w:rPr>
          <w:noProof/>
        </w:rPr>
        <w:lastRenderedPageBreak/>
        <w:drawing>
          <wp:anchor distT="0" distB="0" distL="114300" distR="114300" simplePos="0" relativeHeight="251769856" behindDoc="0" locked="0" layoutInCell="1" allowOverlap="1" wp14:anchorId="3DBCA701" wp14:editId="6FC128B5">
            <wp:simplePos x="0" y="0"/>
            <wp:positionH relativeFrom="margin">
              <wp:posOffset>-1905</wp:posOffset>
            </wp:positionH>
            <wp:positionV relativeFrom="paragraph">
              <wp:posOffset>186276</wp:posOffset>
            </wp:positionV>
            <wp:extent cx="5039995" cy="3239770"/>
            <wp:effectExtent l="0" t="0" r="8255" b="0"/>
            <wp:wrapTopAndBottom/>
            <wp:docPr id="28" name="Wykres 28" descr="Chart showing non-governmental organisations by main area of statutory activity in 2024. The data is available in a separate Excel fi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620DC5" w:rsidRPr="00C64774">
        <w:rPr>
          <w:shd w:val="clear" w:color="auto" w:fill="FFFFFF"/>
          <w:lang w:val="en-US"/>
        </w:rPr>
        <w:t xml:space="preserve">Chart 3. </w:t>
      </w:r>
      <w:r w:rsidR="00620DC5" w:rsidRPr="00620DC5">
        <w:rPr>
          <w:shd w:val="clear" w:color="auto" w:fill="FFFFFF"/>
          <w:lang w:val="en-US"/>
        </w:rPr>
        <w:t>Non-governmental organizations by the main field of statutory activity in 2024</w:t>
      </w:r>
    </w:p>
    <w:p w14:paraId="092CE61A" w14:textId="76214B56" w:rsidR="00DF7C4B" w:rsidRPr="0069023C" w:rsidRDefault="0069023C" w:rsidP="000A7248">
      <w:pPr>
        <w:spacing w:line="288" w:lineRule="auto"/>
        <w:rPr>
          <w:shd w:val="clear" w:color="auto" w:fill="FFFFFF"/>
          <w:lang w:val="en-US"/>
        </w:rPr>
      </w:pPr>
      <w:r w:rsidRPr="0069023C">
        <w:rPr>
          <w:shd w:val="clear" w:color="auto" w:fill="FFFFFF"/>
          <w:lang w:val="en-US"/>
        </w:rPr>
        <w:t>Most non-governmental organizations (70.6%) conducted only unpaid statutory activities. The remaining 29.4% of organizations declared that they conducted paid statutory activities or economic activities, with 4.0% of organizations conducting both forms of activity simultaneously.</w:t>
      </w:r>
    </w:p>
    <w:p w14:paraId="22520A66" w14:textId="3A5D0EE2" w:rsidR="00DF7C4B" w:rsidRPr="00DC2DE6" w:rsidRDefault="00DF7C4B" w:rsidP="00DF7C4B">
      <w:pPr>
        <w:pStyle w:val="Nagwek1"/>
        <w:rPr>
          <w:rFonts w:ascii="Fira Sans" w:hAnsi="Fira Sans"/>
          <w:b/>
          <w:szCs w:val="19"/>
          <w:lang w:val="en-US"/>
        </w:rPr>
      </w:pPr>
      <w:r w:rsidRPr="00EA1264">
        <w:rPr>
          <w:noProof/>
        </w:rPr>
        <mc:AlternateContent>
          <mc:Choice Requires="wps">
            <w:drawing>
              <wp:anchor distT="45720" distB="45720" distL="114300" distR="114300" simplePos="0" relativeHeight="251771904" behindDoc="1" locked="0" layoutInCell="1" allowOverlap="1" wp14:anchorId="154EBB48" wp14:editId="1254293A">
                <wp:simplePos x="0" y="0"/>
                <wp:positionH relativeFrom="column">
                  <wp:posOffset>5222999</wp:posOffset>
                </wp:positionH>
                <wp:positionV relativeFrom="paragraph">
                  <wp:posOffset>262379</wp:posOffset>
                </wp:positionV>
                <wp:extent cx="1725295" cy="974725"/>
                <wp:effectExtent l="0" t="0" r="0" b="0"/>
                <wp:wrapTight wrapText="bothSides">
                  <wp:wrapPolygon edited="0">
                    <wp:start x="715" y="0"/>
                    <wp:lineTo x="715" y="21107"/>
                    <wp:lineTo x="20749" y="21107"/>
                    <wp:lineTo x="20749" y="0"/>
                    <wp:lineTo x="715" y="0"/>
                  </wp:wrapPolygon>
                </wp:wrapTight>
                <wp:docPr id="16" name="Pole tekstowe 16" descr="Liczba osób zrzeszonych w organizacjach pozarządowych zwiększyła się o 4,9% w porównaniu z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14:paraId="0A02A3C9" w14:textId="256E5BB2" w:rsidR="00DF7C4B" w:rsidRPr="00DC2DE6" w:rsidRDefault="00DC2DE6" w:rsidP="00DF7C4B">
                            <w:pPr>
                              <w:pStyle w:val="tekstzboku"/>
                              <w:rPr>
                                <w:bCs w:val="0"/>
                                <w:lang w:val="en-US"/>
                              </w:rPr>
                            </w:pPr>
                            <w:r w:rsidRPr="00DC2DE6">
                              <w:rPr>
                                <w:lang w:val="en-US"/>
                              </w:rPr>
                              <w:t xml:space="preserve">The number of people </w:t>
                            </w:r>
                            <w:r w:rsidR="00210060">
                              <w:rPr>
                                <w:lang w:val="en-US"/>
                              </w:rPr>
                              <w:t>associated</w:t>
                            </w:r>
                            <w:r w:rsidRPr="00DC2DE6">
                              <w:rPr>
                                <w:lang w:val="en-US"/>
                              </w:rPr>
                              <w:t xml:space="preserve"> with non-governmental organizations increased by 4.9% compared to 2022</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EBB48" id="Pole tekstowe 16" o:spid="_x0000_s1029" type="#_x0000_t202" alt="Liczba osób zrzeszonych w organizacjach pozarządowych zwiększyła się o 4,9% w porównaniu z 2022 r." style="position:absolute;margin-left:411.25pt;margin-top:20.65pt;width:135.85pt;height:76.75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" filled="f" stroked="f">
                <v:textbox inset=",0">
                  <w:txbxContent>
                    <w:p w14:paraId="0A02A3C9" w14:textId="256E5BB2" w:rsidR="00DF7C4B" w:rsidRPr="00DC2DE6" w:rsidRDefault="00DC2DE6" w:rsidP="00DF7C4B">
                      <w:pPr>
                        <w:pStyle w:val="tekstzboku"/>
                        <w:rPr>
                          <w:bCs w:val="0"/>
                          <w:lang w:val="en-US"/>
                        </w:rPr>
                      </w:pPr>
                      <w:r w:rsidRPr="00DC2DE6">
                        <w:rPr>
                          <w:lang w:val="en-US"/>
                        </w:rPr>
                        <w:t xml:space="preserve">The number of people </w:t>
                      </w:r>
                      <w:r w:rsidR="00210060">
                        <w:rPr>
                          <w:lang w:val="en-US"/>
                        </w:rPr>
                        <w:t>associated</w:t>
                      </w:r>
                      <w:r w:rsidRPr="00DC2DE6">
                        <w:rPr>
                          <w:lang w:val="en-US"/>
                        </w:rPr>
                        <w:t xml:space="preserve"> with non-governmental organizations increased by 4.9% compared to 2022</w:t>
                      </w:r>
                    </w:p>
                  </w:txbxContent>
                </v:textbox>
                <w10:wrap type="tight"/>
              </v:shape>
            </w:pict>
          </mc:Fallback>
        </mc:AlternateContent>
      </w:r>
      <w:r w:rsidR="00DC2DE6" w:rsidRPr="00DC2DE6">
        <w:rPr>
          <w:rFonts w:ascii="Fira Sans" w:hAnsi="Fira Sans"/>
          <w:b/>
          <w:szCs w:val="19"/>
          <w:lang w:val="en-US"/>
        </w:rPr>
        <w:t>People associated with non-governmental organizations</w:t>
      </w:r>
    </w:p>
    <w:p w14:paraId="40659D42" w14:textId="3C08221B" w:rsidR="00DF7C4B" w:rsidRPr="002E485A" w:rsidRDefault="002E485A" w:rsidP="000A7248">
      <w:pPr>
        <w:spacing w:line="288" w:lineRule="auto"/>
        <w:rPr>
          <w:shd w:val="clear" w:color="auto" w:fill="FFFFFF"/>
          <w:lang w:val="en-US"/>
        </w:rPr>
      </w:pPr>
      <w:r w:rsidRPr="002E485A">
        <w:rPr>
          <w:shd w:val="clear" w:color="auto" w:fill="FFFFFF"/>
          <w:lang w:val="en-US"/>
        </w:rPr>
        <w:t xml:space="preserve">At the end of 2024, non-governmental organizations had a total of 7.6 million </w:t>
      </w:r>
      <w:r>
        <w:rPr>
          <w:shd w:val="clear" w:color="auto" w:fill="FFFFFF"/>
          <w:lang w:val="en-US"/>
        </w:rPr>
        <w:t xml:space="preserve">natural </w:t>
      </w:r>
      <w:r w:rsidR="009E16A0">
        <w:rPr>
          <w:shd w:val="clear" w:color="auto" w:fill="FFFFFF"/>
          <w:lang w:val="en-US"/>
        </w:rPr>
        <w:t>persons</w:t>
      </w:r>
      <w:r w:rsidRPr="002E485A">
        <w:rPr>
          <w:shd w:val="clear" w:color="auto" w:fill="FFFFFF"/>
          <w:lang w:val="en-US"/>
        </w:rPr>
        <w:t xml:space="preserve">, i.e., 4.9% more than in 2022. Most people were members of typical associations and social organizations (59.0%). Sports associations were also numerous, integrating 22.0% of members. One organization had an average of 67 </w:t>
      </w:r>
      <w:r w:rsidR="009E16A0">
        <w:rPr>
          <w:shd w:val="clear" w:color="auto" w:fill="FFFFFF"/>
          <w:lang w:val="en-US"/>
        </w:rPr>
        <w:t>people</w:t>
      </w:r>
      <w:r w:rsidRPr="002E485A">
        <w:rPr>
          <w:shd w:val="clear" w:color="auto" w:fill="FFFFFF"/>
          <w:lang w:val="en-US"/>
        </w:rPr>
        <w:t>, with half of the organizations declaring no more than 20 members.</w:t>
      </w:r>
    </w:p>
    <w:p w14:paraId="284384C4" w14:textId="1F11427F" w:rsidR="00DF7C4B" w:rsidRPr="00AF5985" w:rsidRDefault="00AF5985" w:rsidP="00DF7C4B">
      <w:pPr>
        <w:pStyle w:val="Tytutablicy"/>
        <w:spacing w:after="0"/>
        <w:rPr>
          <w:lang w:val="en-US"/>
        </w:rPr>
      </w:pPr>
      <w:r w:rsidRPr="00AF5985">
        <w:rPr>
          <w:lang w:val="en-US"/>
        </w:rPr>
        <w:t>Chart 4. Membership of natural persons</w:t>
      </w:r>
      <w:r w:rsidR="009E16A0" w:rsidRPr="009E16A0">
        <w:rPr>
          <w:vertAlign w:val="superscript"/>
          <w:lang w:val="en-US"/>
        </w:rPr>
        <w:t>a</w:t>
      </w:r>
      <w:r w:rsidRPr="00AF5985">
        <w:rPr>
          <w:lang w:val="en-US"/>
        </w:rPr>
        <w:t xml:space="preserve"> by type of organization in 2024</w:t>
      </w:r>
    </w:p>
    <w:p w14:paraId="41491D75" w14:textId="26755A8B" w:rsidR="00DF7C4B" w:rsidRPr="00C64774" w:rsidRDefault="00DF7C4B" w:rsidP="00DF7C4B">
      <w:pPr>
        <w:pStyle w:val="Tytutablicy"/>
        <w:spacing w:before="0"/>
        <w:ind w:left="709" w:firstLine="170"/>
        <w:rPr>
          <w:b w:val="0"/>
          <w:lang w:val="en-US"/>
        </w:rPr>
      </w:pPr>
      <w:r w:rsidRPr="00EA1264">
        <w:rPr>
          <w:noProof/>
        </w:rPr>
        <w:drawing>
          <wp:anchor distT="0" distB="0" distL="114300" distR="114300" simplePos="0" relativeHeight="251773952" behindDoc="0" locked="0" layoutInCell="1" allowOverlap="1" wp14:anchorId="57890040" wp14:editId="76D84332">
            <wp:simplePos x="0" y="0"/>
            <wp:positionH relativeFrom="margin">
              <wp:posOffset>-7952</wp:posOffset>
            </wp:positionH>
            <wp:positionV relativeFrom="paragraph">
              <wp:posOffset>164658</wp:posOffset>
            </wp:positionV>
            <wp:extent cx="5039995" cy="2621915"/>
            <wp:effectExtent l="0" t="0" r="8255" b="6985"/>
            <wp:wrapSquare wrapText="bothSides"/>
            <wp:docPr id="3" name="Wykres 3" descr="Chart showing membership of individuals by type of organisation in 2024. The data is available in a separate Excel fi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D26F83" w:rsidRPr="00C64774">
        <w:rPr>
          <w:lang w:val="en-US"/>
        </w:rPr>
        <w:t xml:space="preserve"> </w:t>
      </w:r>
      <w:r w:rsidR="00D26F83" w:rsidRPr="00C64774">
        <w:rPr>
          <w:b w:val="0"/>
          <w:lang w:val="en-US"/>
        </w:rPr>
        <w:t>Status as of December 31</w:t>
      </w:r>
    </w:p>
    <w:p w14:paraId="2CFBEB92" w14:textId="3911A446" w:rsidR="00DF7C4B" w:rsidRPr="00061576" w:rsidRDefault="00DF7C4B" w:rsidP="00DF7C4B">
      <w:pPr>
        <w:pStyle w:val="Tablicanotka"/>
        <w:rPr>
          <w:rFonts w:eastAsia="Times New Roman" w:cs="Times New Roman"/>
          <w:b/>
          <w:bCs/>
          <w:color w:val="000000" w:themeColor="text1"/>
          <w:szCs w:val="19"/>
          <w:lang w:val="en-US" w:eastAsia="pl-PL"/>
        </w:rPr>
      </w:pPr>
      <w:r w:rsidRPr="00061576">
        <w:rPr>
          <w:lang w:val="en-US"/>
        </w:rPr>
        <w:t xml:space="preserve">a </w:t>
      </w:r>
      <w:r w:rsidR="00061576" w:rsidRPr="00061576">
        <w:rPr>
          <w:lang w:val="en-US"/>
        </w:rPr>
        <w:t>For foundations and other organizations that do not associate natural persons, the number of members of collegial bodies (management board, council, etc.) has been taken into account.</w:t>
      </w:r>
    </w:p>
    <w:p w14:paraId="3D3C1368" w14:textId="0122958A" w:rsidR="00DF7C4B" w:rsidRPr="005B54E1" w:rsidRDefault="00235C53" w:rsidP="00DF7C4B">
      <w:pPr>
        <w:pStyle w:val="Nagwek1"/>
        <w:rPr>
          <w:rFonts w:ascii="Fira Sans" w:hAnsi="Fira Sans"/>
          <w:b/>
          <w:szCs w:val="19"/>
          <w:lang w:val="en-US"/>
        </w:rPr>
      </w:pPr>
      <w:r w:rsidRPr="005B54E1">
        <w:rPr>
          <w:rFonts w:ascii="Fira Sans" w:hAnsi="Fira Sans"/>
          <w:b/>
          <w:szCs w:val="19"/>
          <w:lang w:val="en-US"/>
        </w:rPr>
        <w:lastRenderedPageBreak/>
        <w:t>Labour resources</w:t>
      </w:r>
    </w:p>
    <w:p w14:paraId="44C15E43" w14:textId="75E0C294" w:rsidR="00DF7C4B" w:rsidRPr="005B54E1" w:rsidRDefault="005B54E1" w:rsidP="000A7248">
      <w:pPr>
        <w:spacing w:line="288" w:lineRule="auto"/>
        <w:rPr>
          <w:lang w:val="en-US" w:eastAsia="pl-PL"/>
        </w:rPr>
      </w:pPr>
      <w:r w:rsidRPr="005B54E1">
        <w:rPr>
          <w:lang w:val="en-US" w:eastAsia="pl-PL"/>
        </w:rPr>
        <w:t xml:space="preserve">More than half of non-governmental organizations (61.3%) did not employ paid </w:t>
      </w:r>
      <w:r>
        <w:rPr>
          <w:lang w:val="en-US" w:eastAsia="pl-PL"/>
        </w:rPr>
        <w:t>employees</w:t>
      </w:r>
      <w:r w:rsidRPr="005B54E1">
        <w:rPr>
          <w:lang w:val="en-US" w:eastAsia="pl-PL"/>
        </w:rPr>
        <w:t>, basing their activities solely on volunteer work</w:t>
      </w:r>
      <w:r w:rsidR="00DF7C4B" w:rsidRPr="00864744">
        <w:rPr>
          <w:vertAlign w:val="superscript"/>
        </w:rPr>
        <w:footnoteReference w:id="4"/>
      </w:r>
      <w:r w:rsidR="00DF7C4B" w:rsidRPr="005B54E1">
        <w:rPr>
          <w:lang w:val="en-US" w:eastAsia="pl-PL"/>
        </w:rPr>
        <w:t>.</w:t>
      </w:r>
      <w:r>
        <w:rPr>
          <w:lang w:val="en-US" w:eastAsia="pl-PL"/>
        </w:rPr>
        <w:t xml:space="preserve"> </w:t>
      </w:r>
      <w:r w:rsidRPr="005B54E1">
        <w:rPr>
          <w:lang w:val="en-US" w:eastAsia="pl-PL"/>
        </w:rPr>
        <w:t xml:space="preserve">Among organizations that did employ paid </w:t>
      </w:r>
      <w:r>
        <w:rPr>
          <w:lang w:val="en-US" w:eastAsia="pl-PL"/>
        </w:rPr>
        <w:t>employees</w:t>
      </w:r>
      <w:r w:rsidRPr="005B54E1">
        <w:rPr>
          <w:lang w:val="en-US" w:eastAsia="pl-PL"/>
        </w:rPr>
        <w:t>, a larger proportion employed people on the basis of civil law contracts (25.1%) than on the basis of employment contracts (13.6%).</w:t>
      </w:r>
    </w:p>
    <w:p w14:paraId="494A163E" w14:textId="55C82354" w:rsidR="00DF7C4B" w:rsidRPr="004F2BF2" w:rsidRDefault="00DF7C4B" w:rsidP="00DF7C4B">
      <w:pPr>
        <w:pStyle w:val="Tytutablicy"/>
        <w:rPr>
          <w:lang w:val="en-US"/>
        </w:rPr>
      </w:pPr>
      <w:r w:rsidRPr="00EA1264">
        <w:rPr>
          <w:noProof/>
        </w:rPr>
        <w:drawing>
          <wp:anchor distT="0" distB="0" distL="114300" distR="114300" simplePos="0" relativeHeight="251777024" behindDoc="0" locked="0" layoutInCell="1" allowOverlap="1" wp14:anchorId="17C692AA" wp14:editId="569A819A">
            <wp:simplePos x="0" y="0"/>
            <wp:positionH relativeFrom="column">
              <wp:posOffset>28575</wp:posOffset>
            </wp:positionH>
            <wp:positionV relativeFrom="paragraph">
              <wp:posOffset>367030</wp:posOffset>
            </wp:positionV>
            <wp:extent cx="4887595" cy="1728000"/>
            <wp:effectExtent l="0" t="0" r="8255" b="5715"/>
            <wp:wrapTopAndBottom/>
            <wp:docPr id="17" name="Wykres 17" descr="Chart showing non-governmental organisations by paid staff in 2024. The data is available in a separate Excel fi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4F2BF2" w:rsidRPr="004F2BF2">
        <w:rPr>
          <w:lang w:val="en-US"/>
        </w:rPr>
        <w:t>Chart 5. Non-governmental organizations by paid employees in 2024</w:t>
      </w:r>
    </w:p>
    <w:p w14:paraId="3A442390" w14:textId="7A003D3B" w:rsidR="00DF7C4B" w:rsidRPr="00C64774" w:rsidRDefault="00D72B96" w:rsidP="000A7248">
      <w:pPr>
        <w:spacing w:line="288" w:lineRule="auto"/>
        <w:rPr>
          <w:lang w:val="en-US" w:eastAsia="pl-PL"/>
        </w:rPr>
      </w:pPr>
      <w:r w:rsidRPr="000A7248">
        <w:rPr>
          <w:noProof/>
        </w:rPr>
        <mc:AlternateContent>
          <mc:Choice Requires="wps">
            <w:drawing>
              <wp:anchor distT="45720" distB="45720" distL="114300" distR="114300" simplePos="0" relativeHeight="251776000" behindDoc="1" locked="0" layoutInCell="1" allowOverlap="1" wp14:anchorId="56463F9B" wp14:editId="39839908">
                <wp:simplePos x="0" y="0"/>
                <wp:positionH relativeFrom="column">
                  <wp:posOffset>5225415</wp:posOffset>
                </wp:positionH>
                <wp:positionV relativeFrom="page">
                  <wp:posOffset>3976015</wp:posOffset>
                </wp:positionV>
                <wp:extent cx="1725295" cy="742950"/>
                <wp:effectExtent l="0" t="0" r="0" b="0"/>
                <wp:wrapTight wrapText="bothSides">
                  <wp:wrapPolygon edited="0">
                    <wp:start x="715" y="0"/>
                    <wp:lineTo x="715" y="21046"/>
                    <wp:lineTo x="20749" y="21046"/>
                    <wp:lineTo x="20749" y="0"/>
                    <wp:lineTo x="715" y="0"/>
                  </wp:wrapPolygon>
                </wp:wrapTight>
                <wp:docPr id="13" name="Pole tekstowe 13" descr="W 2024 r. pracę społeczną na rzecz organizacji pozarządowych wykonywało 3,2 mln osó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42950"/>
                        </a:xfrm>
                        <a:prstGeom prst="rect">
                          <a:avLst/>
                        </a:prstGeom>
                        <a:noFill/>
                        <a:ln w="9525">
                          <a:noFill/>
                          <a:miter lim="800000"/>
                          <a:headEnd/>
                          <a:tailEnd/>
                        </a:ln>
                      </wps:spPr>
                      <wps:txbx>
                        <w:txbxContent>
                          <w:p w14:paraId="15516C85" w14:textId="15C0701E" w:rsidR="00DF7C4B" w:rsidRPr="00D02561" w:rsidRDefault="00D02561" w:rsidP="00DF7C4B">
                            <w:pPr>
                              <w:pStyle w:val="tekstzboku"/>
                              <w:rPr>
                                <w:lang w:val="en-US"/>
                              </w:rPr>
                            </w:pPr>
                            <w:r w:rsidRPr="00D02561">
                              <w:rPr>
                                <w:lang w:val="en-US"/>
                              </w:rPr>
                              <w:t>In 2024, 3.2 million people performed</w:t>
                            </w:r>
                            <w:r>
                              <w:rPr>
                                <w:lang w:val="en-US"/>
                              </w:rPr>
                              <w:t xml:space="preserve"> volunteer</w:t>
                            </w:r>
                            <w:r w:rsidRPr="00D02561">
                              <w:rPr>
                                <w:lang w:val="en-US"/>
                              </w:rPr>
                              <w:t xml:space="preserve"> work for non-governmental organizations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63F9B" id="Pole tekstowe 13" o:spid="_x0000_s1030" type="#_x0000_t202" alt="W 2024 r. pracę społeczną na rzecz organizacji pozarządowych wykonywało 3,2 mln osób" style="position:absolute;margin-left:411.45pt;margin-top:313.05pt;width:135.85pt;height:58.5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" filled="f" stroked="f">
                <v:textbox inset=",0">
                  <w:txbxContent>
                    <w:p w14:paraId="15516C85" w14:textId="15C0701E" w:rsidR="00DF7C4B" w:rsidRPr="00D02561" w:rsidRDefault="00D02561" w:rsidP="00DF7C4B">
                      <w:pPr>
                        <w:pStyle w:val="tekstzboku"/>
                        <w:rPr>
                          <w:lang w:val="en-US"/>
                        </w:rPr>
                      </w:pPr>
                      <w:r w:rsidRPr="00D02561">
                        <w:rPr>
                          <w:lang w:val="en-US"/>
                        </w:rPr>
                        <w:t>In 2024, 3.2 million people performed</w:t>
                      </w:r>
                      <w:r>
                        <w:rPr>
                          <w:lang w:val="en-US"/>
                        </w:rPr>
                        <w:t xml:space="preserve"> volunteer</w:t>
                      </w:r>
                      <w:r w:rsidRPr="00D02561">
                        <w:rPr>
                          <w:lang w:val="en-US"/>
                        </w:rPr>
                        <w:t xml:space="preserve"> work for non-governmental organizations</w:t>
                      </w:r>
                    </w:p>
                  </w:txbxContent>
                </v:textbox>
                <w10:wrap type="tight" anchory="page"/>
              </v:shape>
            </w:pict>
          </mc:Fallback>
        </mc:AlternateContent>
      </w:r>
      <w:r w:rsidR="005B54E1" w:rsidRPr="005B54E1">
        <w:rPr>
          <w:lang w:val="en-US" w:eastAsia="pl-PL"/>
        </w:rPr>
        <w:t xml:space="preserve">95.4% of organizations declared that they used </w:t>
      </w:r>
      <w:r w:rsidR="005B54E1">
        <w:rPr>
          <w:lang w:val="en-US" w:eastAsia="pl-PL"/>
        </w:rPr>
        <w:t>volunteer work</w:t>
      </w:r>
      <w:r w:rsidR="005B54E1" w:rsidRPr="005B54E1">
        <w:rPr>
          <w:lang w:val="en-US" w:eastAsia="pl-PL"/>
        </w:rPr>
        <w:t xml:space="preserve">. The highest percentage of organizations using </w:t>
      </w:r>
      <w:r w:rsidR="005B54E1">
        <w:rPr>
          <w:lang w:val="en-US" w:eastAsia="pl-PL"/>
        </w:rPr>
        <w:t>volunteer work</w:t>
      </w:r>
      <w:r w:rsidR="005B54E1" w:rsidRPr="005B54E1">
        <w:rPr>
          <w:lang w:val="en-US" w:eastAsia="pl-PL"/>
        </w:rPr>
        <w:t xml:space="preserve"> was recorded in rural housewives clubs (98.8%) and the lowest in </w:t>
      </w:r>
      <w:r w:rsidR="005B54E1">
        <w:rPr>
          <w:lang w:val="en-US" w:eastAsia="pl-PL"/>
        </w:rPr>
        <w:t>faith-based charities</w:t>
      </w:r>
      <w:r w:rsidR="005B54E1" w:rsidRPr="005B54E1">
        <w:rPr>
          <w:lang w:val="en-US" w:eastAsia="pl-PL"/>
        </w:rPr>
        <w:t xml:space="preserve"> (54.6%). In total, 3.2 million people were involved in social activities for organizations in 2024 (3.4% more than in 2023), of which 51.1% were women. One organization used the work of an average of 29 people, with half of the organizations using no more than 10 people.</w:t>
      </w:r>
    </w:p>
    <w:p w14:paraId="63151963" w14:textId="7F592863" w:rsidR="00DF7C4B" w:rsidRPr="004F2BF2" w:rsidRDefault="00DF7C4B" w:rsidP="00DF7C4B">
      <w:pPr>
        <w:pStyle w:val="Tytutablicy"/>
        <w:ind w:left="851" w:hanging="851"/>
        <w:rPr>
          <w:lang w:val="en-US"/>
        </w:rPr>
      </w:pPr>
      <w:r w:rsidRPr="00EA1264">
        <w:rPr>
          <w:noProof/>
        </w:rPr>
        <w:lastRenderedPageBreak/>
        <w:drawing>
          <wp:anchor distT="0" distB="0" distL="114300" distR="114300" simplePos="0" relativeHeight="251778048" behindDoc="0" locked="0" layoutInCell="1" allowOverlap="1" wp14:anchorId="6C9C80CD" wp14:editId="527F6753">
            <wp:simplePos x="0" y="0"/>
            <wp:positionH relativeFrom="margin">
              <wp:posOffset>-20320</wp:posOffset>
            </wp:positionH>
            <wp:positionV relativeFrom="paragraph">
              <wp:posOffset>451126</wp:posOffset>
            </wp:positionV>
            <wp:extent cx="5039995" cy="4468495"/>
            <wp:effectExtent l="0" t="0" r="8255" b="8255"/>
            <wp:wrapSquare wrapText="bothSides"/>
            <wp:docPr id="18" name="Wykres 18" descr="Chart showing the percentage of non-governmental organisations using community service and employing staff on the basis of an employment relationship by type of organisation in 2024. The data is available in a separate Excel fi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4F2BF2" w:rsidRPr="00C64774">
        <w:rPr>
          <w:lang w:val="en-US"/>
        </w:rPr>
        <w:t xml:space="preserve">Chart 6. </w:t>
      </w:r>
      <w:r w:rsidR="004F2BF2" w:rsidRPr="004F2BF2">
        <w:rPr>
          <w:lang w:val="en-US"/>
        </w:rPr>
        <w:t>Percentage of non-governmental organizations benefiting from work of volunteers and with personnel employed on the basis of employment contract by type of organization in 2024</w:t>
      </w:r>
    </w:p>
    <w:p w14:paraId="3B7BCF25" w14:textId="18E4F199" w:rsidR="00DF7C4B" w:rsidRPr="004F2BF2" w:rsidRDefault="00DF7C4B" w:rsidP="00DF7C4B">
      <w:pPr>
        <w:spacing w:before="0" w:after="160" w:line="259" w:lineRule="auto"/>
        <w:rPr>
          <w:rFonts w:eastAsia="Times New Roman" w:cs="Times New Roman"/>
          <w:szCs w:val="19"/>
          <w:lang w:val="en-US" w:eastAsia="pl-PL"/>
        </w:rPr>
      </w:pPr>
    </w:p>
    <w:p w14:paraId="093B54A1" w14:textId="77777777" w:rsidR="003660A9" w:rsidRPr="003660A9" w:rsidRDefault="003660A9" w:rsidP="003660A9">
      <w:pPr>
        <w:spacing w:line="288" w:lineRule="auto"/>
        <w:rPr>
          <w:rFonts w:eastAsia="Times New Roman" w:cs="Times New Roman"/>
          <w:szCs w:val="19"/>
          <w:lang w:val="en-US" w:eastAsia="pl-PL"/>
        </w:rPr>
      </w:pPr>
      <w:r w:rsidRPr="003660A9">
        <w:rPr>
          <w:rFonts w:eastAsia="Times New Roman" w:cs="Times New Roman"/>
          <w:szCs w:val="19"/>
          <w:lang w:val="en-US" w:eastAsia="pl-PL"/>
        </w:rPr>
        <w:t>At the end of 2024, 214</w:t>
      </w:r>
      <w:r>
        <w:rPr>
          <w:rFonts w:eastAsia="Times New Roman" w:cs="Times New Roman"/>
          <w:szCs w:val="19"/>
          <w:lang w:val="en-US" w:eastAsia="pl-PL"/>
        </w:rPr>
        <w:t>.</w:t>
      </w:r>
      <w:r w:rsidRPr="003660A9">
        <w:rPr>
          <w:rFonts w:eastAsia="Times New Roman" w:cs="Times New Roman"/>
          <w:szCs w:val="19"/>
          <w:lang w:val="en-US" w:eastAsia="pl-PL"/>
        </w:rPr>
        <w:t>3</w:t>
      </w:r>
      <w:r>
        <w:rPr>
          <w:rFonts w:eastAsia="Times New Roman" w:cs="Times New Roman"/>
          <w:szCs w:val="19"/>
          <w:lang w:val="en-US" w:eastAsia="pl-PL"/>
        </w:rPr>
        <w:t xml:space="preserve"> thousand</w:t>
      </w:r>
      <w:r w:rsidRPr="003660A9">
        <w:rPr>
          <w:rFonts w:eastAsia="Times New Roman" w:cs="Times New Roman"/>
          <w:szCs w:val="19"/>
          <w:lang w:val="en-US" w:eastAsia="pl-PL"/>
        </w:rPr>
        <w:t xml:space="preserve"> people were employed by non-governmental organizations on the basis of an employment </w:t>
      </w:r>
      <w:r>
        <w:rPr>
          <w:rFonts w:eastAsia="Times New Roman" w:cs="Times New Roman"/>
          <w:szCs w:val="19"/>
          <w:lang w:val="en-US" w:eastAsia="pl-PL"/>
        </w:rPr>
        <w:t>contract</w:t>
      </w:r>
      <w:r w:rsidRPr="003660A9">
        <w:rPr>
          <w:rFonts w:eastAsia="Times New Roman" w:cs="Times New Roman"/>
          <w:szCs w:val="19"/>
          <w:lang w:val="en-US" w:eastAsia="pl-PL"/>
        </w:rPr>
        <w:t xml:space="preserve"> (14.3% more than in 2023), of which 177</w:t>
      </w:r>
      <w:r>
        <w:rPr>
          <w:rFonts w:eastAsia="Times New Roman" w:cs="Times New Roman"/>
          <w:szCs w:val="19"/>
          <w:lang w:val="en-US" w:eastAsia="pl-PL"/>
        </w:rPr>
        <w:t>.</w:t>
      </w:r>
      <w:r w:rsidRPr="003660A9">
        <w:rPr>
          <w:rFonts w:eastAsia="Times New Roman" w:cs="Times New Roman"/>
          <w:szCs w:val="19"/>
          <w:lang w:val="en-US" w:eastAsia="pl-PL"/>
        </w:rPr>
        <w:t>1</w:t>
      </w:r>
      <w:r>
        <w:rPr>
          <w:rFonts w:eastAsia="Times New Roman" w:cs="Times New Roman"/>
          <w:szCs w:val="19"/>
          <w:lang w:val="en-US" w:eastAsia="pl-PL"/>
        </w:rPr>
        <w:t xml:space="preserve"> thousand</w:t>
      </w:r>
      <w:r w:rsidRPr="003660A9">
        <w:rPr>
          <w:rFonts w:eastAsia="Times New Roman" w:cs="Times New Roman"/>
          <w:szCs w:val="19"/>
          <w:lang w:val="en-US" w:eastAsia="pl-PL"/>
        </w:rPr>
        <w:t xml:space="preserve"> were employed full-time. Women accounted for 77.1% of employees hired on the basis of an employment contract. The average number of employees in organizations employing people was 14, and the median was 3.</w:t>
      </w:r>
    </w:p>
    <w:p w14:paraId="5194D45E" w14:textId="2339A90D" w:rsidR="00DF7C4B" w:rsidRPr="003660A9" w:rsidRDefault="003660A9" w:rsidP="00676991">
      <w:pPr>
        <w:spacing w:line="288" w:lineRule="auto"/>
        <w:rPr>
          <w:rFonts w:eastAsia="Times New Roman" w:cs="Times New Roman"/>
          <w:szCs w:val="19"/>
          <w:lang w:val="en-US" w:eastAsia="pl-PL"/>
        </w:rPr>
      </w:pPr>
      <w:r w:rsidRPr="003660A9">
        <w:rPr>
          <w:rFonts w:eastAsia="Times New Roman" w:cs="Times New Roman"/>
          <w:szCs w:val="19"/>
          <w:lang w:val="en-US" w:eastAsia="pl-PL"/>
        </w:rPr>
        <w:t>As of December 31, 2024, persons employed in non-governmental organizations under an employment contract accounted for 1.2% of the total number of persons employed in the national economy, and their share in employment based on an employment contract was 1.6%</w:t>
      </w:r>
      <w:r w:rsidR="00DF7C4B" w:rsidRPr="003660A9">
        <w:rPr>
          <w:rFonts w:eastAsia="Times New Roman" w:cs="Times New Roman"/>
          <w:szCs w:val="19"/>
          <w:vertAlign w:val="superscript"/>
          <w:lang w:eastAsia="pl-PL"/>
        </w:rPr>
        <w:footnoteReference w:id="5"/>
      </w:r>
      <w:r w:rsidR="00DF7C4B" w:rsidRPr="003660A9">
        <w:rPr>
          <w:rFonts w:eastAsia="Times New Roman" w:cs="Times New Roman"/>
          <w:szCs w:val="19"/>
          <w:lang w:val="en-US" w:eastAsia="pl-PL"/>
        </w:rPr>
        <w:t xml:space="preserve">. </w:t>
      </w:r>
      <w:r w:rsidRPr="003660A9">
        <w:rPr>
          <w:rFonts w:eastAsia="Times New Roman" w:cs="Times New Roman"/>
          <w:szCs w:val="19"/>
          <w:lang w:val="en-US" w:eastAsia="pl-PL"/>
        </w:rPr>
        <w:t>The average employment in non-governmental organizations in 2024 was 169</w:t>
      </w:r>
      <w:r>
        <w:rPr>
          <w:rFonts w:eastAsia="Times New Roman" w:cs="Times New Roman"/>
          <w:szCs w:val="19"/>
          <w:lang w:val="en-US" w:eastAsia="pl-PL"/>
        </w:rPr>
        <w:t>.</w:t>
      </w:r>
      <w:r w:rsidRPr="003660A9">
        <w:rPr>
          <w:rFonts w:eastAsia="Times New Roman" w:cs="Times New Roman"/>
          <w:szCs w:val="19"/>
          <w:lang w:val="en-US" w:eastAsia="pl-PL"/>
        </w:rPr>
        <w:t>8</w:t>
      </w:r>
      <w:r>
        <w:rPr>
          <w:rFonts w:eastAsia="Times New Roman" w:cs="Times New Roman"/>
          <w:szCs w:val="19"/>
          <w:lang w:val="en-US" w:eastAsia="pl-PL"/>
        </w:rPr>
        <w:t xml:space="preserve"> thousand </w:t>
      </w:r>
      <w:r w:rsidRPr="003660A9">
        <w:rPr>
          <w:rFonts w:eastAsia="Times New Roman" w:cs="Times New Roman"/>
          <w:szCs w:val="19"/>
          <w:lang w:val="en-US" w:eastAsia="pl-PL"/>
        </w:rPr>
        <w:t xml:space="preserve">full-time jobs, which corresponded to 1.5% of the average employment based on employment </w:t>
      </w:r>
      <w:r>
        <w:rPr>
          <w:rFonts w:eastAsia="Times New Roman" w:cs="Times New Roman"/>
          <w:szCs w:val="19"/>
          <w:lang w:val="en-US" w:eastAsia="pl-PL"/>
        </w:rPr>
        <w:t>contract</w:t>
      </w:r>
      <w:r w:rsidRPr="003660A9">
        <w:rPr>
          <w:rFonts w:eastAsia="Times New Roman" w:cs="Times New Roman"/>
          <w:szCs w:val="19"/>
          <w:lang w:val="en-US" w:eastAsia="pl-PL"/>
        </w:rPr>
        <w:t xml:space="preserve"> in the national economy</w:t>
      </w:r>
      <w:r w:rsidR="00DF7C4B" w:rsidRPr="003660A9">
        <w:rPr>
          <w:rFonts w:eastAsia="Times New Roman" w:cs="Times New Roman"/>
          <w:vertAlign w:val="superscript"/>
          <w:lang w:eastAsia="pl-PL"/>
        </w:rPr>
        <w:footnoteReference w:id="6"/>
      </w:r>
      <w:r w:rsidR="00DF7C4B" w:rsidRPr="003660A9">
        <w:rPr>
          <w:rFonts w:eastAsia="Times New Roman" w:cs="Times New Roman"/>
          <w:szCs w:val="19"/>
          <w:lang w:val="en-US" w:eastAsia="pl-PL"/>
        </w:rPr>
        <w:t>.</w:t>
      </w:r>
    </w:p>
    <w:p w14:paraId="55A3FAF4" w14:textId="4E626464" w:rsidR="00DF7C4B" w:rsidRPr="003660A9" w:rsidRDefault="00676991" w:rsidP="00DF7C4B">
      <w:pPr>
        <w:pStyle w:val="Nagwek1"/>
        <w:rPr>
          <w:rFonts w:ascii="Fira Sans" w:hAnsi="Fira Sans"/>
          <w:b/>
          <w:szCs w:val="19"/>
          <w:lang w:val="en-US"/>
        </w:rPr>
      </w:pPr>
      <w:r w:rsidRPr="00EA1264">
        <w:rPr>
          <w:b/>
          <w:noProof/>
          <w:spacing w:val="-2"/>
          <w:szCs w:val="19"/>
        </w:rPr>
        <mc:AlternateContent>
          <mc:Choice Requires="wps">
            <w:drawing>
              <wp:anchor distT="45720" distB="45720" distL="114300" distR="114300" simplePos="0" relativeHeight="251780096" behindDoc="1" locked="0" layoutInCell="1" allowOverlap="1" wp14:anchorId="40E01629" wp14:editId="7A5D6925">
                <wp:simplePos x="0" y="0"/>
                <wp:positionH relativeFrom="column">
                  <wp:posOffset>5225415</wp:posOffset>
                </wp:positionH>
                <wp:positionV relativeFrom="page">
                  <wp:posOffset>8143018</wp:posOffset>
                </wp:positionV>
                <wp:extent cx="1725295" cy="755015"/>
                <wp:effectExtent l="0" t="0" r="0" b="0"/>
                <wp:wrapTight wrapText="bothSides">
                  <wp:wrapPolygon edited="0">
                    <wp:start x="715" y="0"/>
                    <wp:lineTo x="715" y="20710"/>
                    <wp:lineTo x="20749" y="20710"/>
                    <wp:lineTo x="20749" y="0"/>
                    <wp:lineTo x="715" y="0"/>
                  </wp:wrapPolygon>
                </wp:wrapTight>
                <wp:docPr id="19" name="Pole tekstowe 19" descr="Przychody organizacji pozarządowych w 2024 r. wyniosły 57,5 mld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55015"/>
                        </a:xfrm>
                        <a:prstGeom prst="rect">
                          <a:avLst/>
                        </a:prstGeom>
                        <a:noFill/>
                        <a:ln w="9525">
                          <a:noFill/>
                          <a:miter lim="800000"/>
                          <a:headEnd/>
                          <a:tailEnd/>
                        </a:ln>
                      </wps:spPr>
                      <wps:txbx>
                        <w:txbxContent>
                          <w:p w14:paraId="53BFD627" w14:textId="1299E812" w:rsidR="00DF7C4B" w:rsidRPr="00F6625B" w:rsidRDefault="00F6625B" w:rsidP="00DF7C4B">
                            <w:pPr>
                              <w:pStyle w:val="tekstzboku"/>
                              <w:rPr>
                                <w:bCs w:val="0"/>
                                <w:lang w:val="en-US"/>
                              </w:rPr>
                            </w:pPr>
                            <w:r w:rsidRPr="00F6625B">
                              <w:rPr>
                                <w:lang w:val="en-US"/>
                              </w:rPr>
                              <w:t>Revenues of non-governmental organizations in 2024 amounted to PLN 57.5 billion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01629" id="Pole tekstowe 19" o:spid="_x0000_s1031" type="#_x0000_t202" alt="Przychody organizacji pozarządowych w 2024 r. wyniosły 57,5 mld zł" style="position:absolute;margin-left:411.45pt;margin-top:641.2pt;width:135.85pt;height:59.45pt;z-index:-25153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" filled="f" stroked="f">
                <v:textbox inset=",0">
                  <w:txbxContent>
                    <w:p w14:paraId="53BFD627" w14:textId="1299E812" w:rsidR="00DF7C4B" w:rsidRPr="00F6625B" w:rsidRDefault="00F6625B" w:rsidP="00DF7C4B">
                      <w:pPr>
                        <w:pStyle w:val="tekstzboku"/>
                        <w:rPr>
                          <w:bCs w:val="0"/>
                          <w:lang w:val="en-US"/>
                        </w:rPr>
                      </w:pPr>
                      <w:r w:rsidRPr="00F6625B">
                        <w:rPr>
                          <w:lang w:val="en-US"/>
                        </w:rPr>
                        <w:t>Revenues of non-governmental organizations in 2024 amounted to PLN 57.5 billion</w:t>
                      </w:r>
                    </w:p>
                  </w:txbxContent>
                </v:textbox>
                <w10:wrap type="tight" anchory="page"/>
              </v:shape>
            </w:pict>
          </mc:Fallback>
        </mc:AlternateContent>
      </w:r>
      <w:r w:rsidR="00800083">
        <w:rPr>
          <w:rFonts w:ascii="Fira Sans" w:hAnsi="Fira Sans"/>
          <w:b/>
          <w:noProof/>
          <w:spacing w:val="-2"/>
          <w:szCs w:val="19"/>
          <w:lang w:val="en-US"/>
        </w:rPr>
        <w:t>Revenues</w:t>
      </w:r>
    </w:p>
    <w:p w14:paraId="0EDF568F" w14:textId="697335AA" w:rsidR="00DF7C4B" w:rsidRPr="00F6625B" w:rsidRDefault="00F6625B" w:rsidP="00676991">
      <w:pPr>
        <w:suppressAutoHyphens/>
        <w:spacing w:line="288" w:lineRule="auto"/>
        <w:rPr>
          <w:lang w:val="en-US"/>
        </w:rPr>
      </w:pPr>
      <w:r w:rsidRPr="00F6625B">
        <w:rPr>
          <w:lang w:val="en-US"/>
        </w:rPr>
        <w:t>In 2024, the revenues of non-governmental organizations amounted to PLN 57.5 billion (12.7% more than in 2023). The two largest groups of entities – typical associations and social organizations and foundations – generated a total of PLN 41.6 billion, which accounted for 72.4% of the total revenue of non-governmental organizations. The average revenue per non-governmental organization was PLN 508</w:t>
      </w:r>
      <w:r>
        <w:rPr>
          <w:lang w:val="en-US"/>
        </w:rPr>
        <w:t>.</w:t>
      </w:r>
      <w:r w:rsidRPr="00F6625B">
        <w:rPr>
          <w:lang w:val="en-US"/>
        </w:rPr>
        <w:t>4</w:t>
      </w:r>
      <w:r>
        <w:rPr>
          <w:lang w:val="en-US"/>
        </w:rPr>
        <w:t xml:space="preserve"> thousand</w:t>
      </w:r>
      <w:r w:rsidRPr="00F6625B">
        <w:rPr>
          <w:lang w:val="en-US"/>
        </w:rPr>
        <w:t xml:space="preserve">. The highest average revenue was </w:t>
      </w:r>
      <w:r w:rsidRPr="00F6625B">
        <w:rPr>
          <w:lang w:val="en-US"/>
        </w:rPr>
        <w:lastRenderedPageBreak/>
        <w:t xml:space="preserve">recorded by </w:t>
      </w:r>
      <w:r>
        <w:rPr>
          <w:lang w:val="en-US"/>
        </w:rPr>
        <w:t>faith-based charities</w:t>
      </w:r>
      <w:r w:rsidRPr="00F6625B">
        <w:rPr>
          <w:lang w:val="en-US"/>
        </w:rPr>
        <w:t xml:space="preserve"> – PLN 3</w:t>
      </w:r>
      <w:r>
        <w:rPr>
          <w:lang w:val="en-US"/>
        </w:rPr>
        <w:t> </w:t>
      </w:r>
      <w:r w:rsidRPr="00F6625B">
        <w:rPr>
          <w:lang w:val="en-US"/>
        </w:rPr>
        <w:t>390</w:t>
      </w:r>
      <w:r>
        <w:rPr>
          <w:lang w:val="en-US"/>
        </w:rPr>
        <w:t>.</w:t>
      </w:r>
      <w:r w:rsidRPr="00F6625B">
        <w:rPr>
          <w:lang w:val="en-US"/>
        </w:rPr>
        <w:t>8</w:t>
      </w:r>
      <w:r>
        <w:rPr>
          <w:lang w:val="en-US"/>
        </w:rPr>
        <w:t xml:space="preserve"> thousand</w:t>
      </w:r>
      <w:r w:rsidRPr="00F6625B">
        <w:rPr>
          <w:lang w:val="en-US"/>
        </w:rPr>
        <w:t xml:space="preserve">, and the lowest by rural </w:t>
      </w:r>
      <w:proofErr w:type="gramStart"/>
      <w:r w:rsidRPr="00F6625B">
        <w:rPr>
          <w:lang w:val="en-US"/>
        </w:rPr>
        <w:t>housewives</w:t>
      </w:r>
      <w:proofErr w:type="gramEnd"/>
      <w:r w:rsidRPr="00F6625B">
        <w:rPr>
          <w:lang w:val="en-US"/>
        </w:rPr>
        <w:t xml:space="preserve"> clubs – PLN 17</w:t>
      </w:r>
      <w:r>
        <w:rPr>
          <w:lang w:val="en-US"/>
        </w:rPr>
        <w:t>.</w:t>
      </w:r>
      <w:r w:rsidRPr="00F6625B">
        <w:rPr>
          <w:lang w:val="en-US"/>
        </w:rPr>
        <w:t>0</w:t>
      </w:r>
      <w:r>
        <w:rPr>
          <w:lang w:val="en-US"/>
        </w:rPr>
        <w:t xml:space="preserve"> thousand.</w:t>
      </w:r>
    </w:p>
    <w:p w14:paraId="29085F5A" w14:textId="5DB61A3B" w:rsidR="00DF7C4B" w:rsidRPr="004F2BF2" w:rsidRDefault="00676991" w:rsidP="00DF7C4B">
      <w:pPr>
        <w:pStyle w:val="Tytutablicy"/>
        <w:rPr>
          <w:lang w:val="en-US"/>
        </w:rPr>
      </w:pPr>
      <w:r w:rsidRPr="00EA1264">
        <w:rPr>
          <w:noProof/>
        </w:rPr>
        <w:drawing>
          <wp:anchor distT="0" distB="0" distL="114300" distR="114300" simplePos="0" relativeHeight="251781120" behindDoc="0" locked="0" layoutInCell="1" allowOverlap="1" wp14:anchorId="0A0FCB36" wp14:editId="182575B6">
            <wp:simplePos x="0" y="0"/>
            <wp:positionH relativeFrom="column">
              <wp:posOffset>0</wp:posOffset>
            </wp:positionH>
            <wp:positionV relativeFrom="paragraph">
              <wp:posOffset>317969</wp:posOffset>
            </wp:positionV>
            <wp:extent cx="5039995" cy="1728000"/>
            <wp:effectExtent l="0" t="0" r="8255" b="5715"/>
            <wp:wrapTopAndBottom/>
            <wp:docPr id="25" name="Wykres 25" descr="Chart showing the revenues of non-governmental organisations by source of revenue in 2024. The data is available in a separate Excel fi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4F2BF2" w:rsidRPr="00C64774">
        <w:rPr>
          <w:lang w:val="en-US"/>
        </w:rPr>
        <w:t xml:space="preserve">Chart 7. </w:t>
      </w:r>
      <w:r w:rsidR="004F2BF2" w:rsidRPr="004F2BF2">
        <w:rPr>
          <w:lang w:val="en-US"/>
        </w:rPr>
        <w:t xml:space="preserve">Revenues of non-governmental organizations by sources of revenues in 2024 </w:t>
      </w:r>
    </w:p>
    <w:p w14:paraId="6F727E7D" w14:textId="4CD4B1F2" w:rsidR="00B03F80" w:rsidRPr="00B03F80" w:rsidRDefault="00B03F80" w:rsidP="00676991">
      <w:pPr>
        <w:suppressAutoHyphens/>
        <w:spacing w:line="288" w:lineRule="auto"/>
        <w:rPr>
          <w:szCs w:val="19"/>
          <w:lang w:val="en-US"/>
        </w:rPr>
      </w:pPr>
      <w:r w:rsidRPr="00B03F80">
        <w:rPr>
          <w:szCs w:val="19"/>
          <w:lang w:val="en-US"/>
        </w:rPr>
        <w:t xml:space="preserve">More than half of the revenues (60.5%) of non-governmental organizations came from non-market sources. This category was dominated by public funds, which accounted for 45.7% of total revenues, including subsidies from local government administration – 22.6%. The share of revenues from market sources amounted to 32.4%, of which 18.9% came from paid statutory activities and 11.0% from economic activities. Membership </w:t>
      </w:r>
      <w:r>
        <w:rPr>
          <w:szCs w:val="19"/>
          <w:lang w:val="en-US"/>
        </w:rPr>
        <w:t>dues</w:t>
      </w:r>
      <w:r w:rsidRPr="00B03F80">
        <w:rPr>
          <w:szCs w:val="19"/>
          <w:lang w:val="en-US"/>
        </w:rPr>
        <w:t xml:space="preserve"> and other forms of financing accounted for a total of 7.1% of the revenues of non-governmental organizations.</w:t>
      </w:r>
    </w:p>
    <w:p w14:paraId="20E78891" w14:textId="1E9A0E0D" w:rsidR="00DF7C4B" w:rsidRPr="001810D0" w:rsidRDefault="00D72B96" w:rsidP="00DF7C4B">
      <w:pPr>
        <w:pStyle w:val="Nagwek1"/>
        <w:rPr>
          <w:rFonts w:ascii="Fira Sans" w:hAnsi="Fira Sans"/>
          <w:b/>
          <w:szCs w:val="19"/>
          <w:lang w:val="en-US"/>
        </w:rPr>
      </w:pPr>
      <w:r w:rsidRPr="00EA1264">
        <w:rPr>
          <w:b/>
          <w:noProof/>
          <w:spacing w:val="-2"/>
        </w:rPr>
        <mc:AlternateContent>
          <mc:Choice Requires="wps">
            <w:drawing>
              <wp:anchor distT="45720" distB="45720" distL="114300" distR="114300" simplePos="0" relativeHeight="251784192" behindDoc="1" locked="0" layoutInCell="1" allowOverlap="1" wp14:anchorId="1F9E7008" wp14:editId="36626615">
                <wp:simplePos x="0" y="0"/>
                <wp:positionH relativeFrom="column">
                  <wp:posOffset>5225061</wp:posOffset>
                </wp:positionH>
                <wp:positionV relativeFrom="page">
                  <wp:posOffset>4480601</wp:posOffset>
                </wp:positionV>
                <wp:extent cx="1725295" cy="850265"/>
                <wp:effectExtent l="0" t="0" r="0" b="0"/>
                <wp:wrapTight wrapText="bothSides">
                  <wp:wrapPolygon edited="0">
                    <wp:start x="715" y="0"/>
                    <wp:lineTo x="715" y="20810"/>
                    <wp:lineTo x="20749" y="20810"/>
                    <wp:lineTo x="20749" y="0"/>
                    <wp:lineTo x="715" y="0"/>
                  </wp:wrapPolygon>
                </wp:wrapTight>
                <wp:docPr id="24" name="Pole tekstowe 24" descr="W związku z powodzią 14,3 tys. organizacji pozarządowych podjęło dodatkowe działania pomocow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50265"/>
                        </a:xfrm>
                        <a:prstGeom prst="rect">
                          <a:avLst/>
                        </a:prstGeom>
                        <a:noFill/>
                        <a:ln w="9525">
                          <a:noFill/>
                          <a:miter lim="800000"/>
                          <a:headEnd/>
                          <a:tailEnd/>
                        </a:ln>
                      </wps:spPr>
                      <wps:txbx>
                        <w:txbxContent>
                          <w:p w14:paraId="043105F9" w14:textId="3568C4B8" w:rsidR="00DF7C4B" w:rsidRPr="00C55A79" w:rsidRDefault="00C55A79" w:rsidP="00DF7C4B">
                            <w:pPr>
                              <w:pStyle w:val="tekstzboku"/>
                              <w:rPr>
                                <w:bCs w:val="0"/>
                                <w:lang w:val="en-US"/>
                              </w:rPr>
                            </w:pPr>
                            <w:r w:rsidRPr="00C55A79">
                              <w:rPr>
                                <w:lang w:val="en-US"/>
                              </w:rPr>
                              <w:t>Due to the flood, 14</w:t>
                            </w:r>
                            <w:r>
                              <w:rPr>
                                <w:lang w:val="en-US"/>
                              </w:rPr>
                              <w:t>.</w:t>
                            </w:r>
                            <w:r w:rsidRPr="00C55A79">
                              <w:rPr>
                                <w:lang w:val="en-US"/>
                              </w:rPr>
                              <w:t>3</w:t>
                            </w:r>
                            <w:r>
                              <w:rPr>
                                <w:lang w:val="en-US"/>
                              </w:rPr>
                              <w:t xml:space="preserve"> thousand</w:t>
                            </w:r>
                            <w:r w:rsidRPr="00C55A79">
                              <w:rPr>
                                <w:lang w:val="en-US"/>
                              </w:rPr>
                              <w:t xml:space="preserve"> non-governmental organizations undertook additional </w:t>
                            </w:r>
                            <w:r>
                              <w:rPr>
                                <w:lang w:val="en-US"/>
                              </w:rPr>
                              <w:t>support activities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E7008" id="Pole tekstowe 24" o:spid="_x0000_s1032" type="#_x0000_t202" alt="W związku z powodzią 14,3 tys. organizacji pozarządowych podjęło dodatkowe działania pomocowe" style="position:absolute;margin-left:411.4pt;margin-top:352.8pt;width:135.85pt;height:66.95pt;z-index:-25153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" filled="f" stroked="f">
                <v:textbox inset=",0">
                  <w:txbxContent>
                    <w:p w14:paraId="043105F9" w14:textId="3568C4B8" w:rsidR="00DF7C4B" w:rsidRPr="00C55A79" w:rsidRDefault="00C55A79" w:rsidP="00DF7C4B">
                      <w:pPr>
                        <w:pStyle w:val="tekstzboku"/>
                        <w:rPr>
                          <w:bCs w:val="0"/>
                          <w:lang w:val="en-US"/>
                        </w:rPr>
                      </w:pPr>
                      <w:r w:rsidRPr="00C55A79">
                        <w:rPr>
                          <w:lang w:val="en-US"/>
                        </w:rPr>
                        <w:t>Due to the flood, 14</w:t>
                      </w:r>
                      <w:r>
                        <w:rPr>
                          <w:lang w:val="en-US"/>
                        </w:rPr>
                        <w:t>.</w:t>
                      </w:r>
                      <w:r w:rsidRPr="00C55A79">
                        <w:rPr>
                          <w:lang w:val="en-US"/>
                        </w:rPr>
                        <w:t>3</w:t>
                      </w:r>
                      <w:r>
                        <w:rPr>
                          <w:lang w:val="en-US"/>
                        </w:rPr>
                        <w:t xml:space="preserve"> thousand</w:t>
                      </w:r>
                      <w:r w:rsidRPr="00C55A79">
                        <w:rPr>
                          <w:lang w:val="en-US"/>
                        </w:rPr>
                        <w:t xml:space="preserve"> non-governmental organizations undertook additional </w:t>
                      </w:r>
                      <w:r>
                        <w:rPr>
                          <w:lang w:val="en-US"/>
                        </w:rPr>
                        <w:t>support activities</w:t>
                      </w:r>
                    </w:p>
                  </w:txbxContent>
                </v:textbox>
                <w10:wrap type="tight" anchory="page"/>
              </v:shape>
            </w:pict>
          </mc:Fallback>
        </mc:AlternateContent>
      </w:r>
      <w:r w:rsidR="001810D0" w:rsidRPr="001810D0">
        <w:rPr>
          <w:rFonts w:ascii="Fira Sans" w:hAnsi="Fira Sans"/>
          <w:b/>
          <w:noProof/>
          <w:spacing w:val="-2"/>
          <w:szCs w:val="19"/>
          <w:lang w:val="en-US"/>
        </w:rPr>
        <w:t>Involvement</w:t>
      </w:r>
      <w:r w:rsidR="00DF7C4B" w:rsidRPr="001810D0">
        <w:rPr>
          <w:rFonts w:ascii="Fira Sans" w:hAnsi="Fira Sans"/>
          <w:b/>
          <w:noProof/>
          <w:spacing w:val="-2"/>
          <w:szCs w:val="19"/>
          <w:lang w:val="en-US"/>
        </w:rPr>
        <w:t xml:space="preserve"> </w:t>
      </w:r>
      <w:r w:rsidR="001810D0" w:rsidRPr="001810D0">
        <w:rPr>
          <w:rFonts w:ascii="Fira Sans" w:hAnsi="Fira Sans"/>
          <w:b/>
          <w:noProof/>
          <w:spacing w:val="-2"/>
          <w:szCs w:val="19"/>
          <w:lang w:val="en-US"/>
        </w:rPr>
        <w:t xml:space="preserve">in help due to the flood </w:t>
      </w:r>
      <w:r w:rsidR="00DF7C4B" w:rsidRPr="001810D0">
        <w:rPr>
          <w:rFonts w:ascii="Fira Sans" w:hAnsi="Fira Sans"/>
          <w:b/>
          <w:noProof/>
          <w:spacing w:val="-2"/>
          <w:szCs w:val="19"/>
          <w:lang w:val="en-US"/>
        </w:rPr>
        <w:t>(</w:t>
      </w:r>
      <w:r w:rsidR="001810D0">
        <w:rPr>
          <w:rFonts w:ascii="Fira Sans" w:hAnsi="Fira Sans"/>
          <w:b/>
          <w:noProof/>
          <w:spacing w:val="-2"/>
          <w:szCs w:val="19"/>
          <w:lang w:val="en-US"/>
        </w:rPr>
        <w:t>september</w:t>
      </w:r>
      <w:r w:rsidR="00DF7C4B" w:rsidRPr="001810D0">
        <w:rPr>
          <w:rFonts w:ascii="Fira Sans" w:hAnsi="Fira Sans"/>
          <w:b/>
          <w:noProof/>
          <w:spacing w:val="-2"/>
          <w:szCs w:val="19"/>
          <w:lang w:val="en-US"/>
        </w:rPr>
        <w:t>–</w:t>
      </w:r>
      <w:r w:rsidR="001810D0">
        <w:rPr>
          <w:rFonts w:ascii="Fira Sans" w:hAnsi="Fira Sans"/>
          <w:b/>
          <w:noProof/>
          <w:spacing w:val="-2"/>
          <w:szCs w:val="19"/>
          <w:lang w:val="en-US"/>
        </w:rPr>
        <w:t>december</w:t>
      </w:r>
      <w:r w:rsidR="00DF7C4B" w:rsidRPr="001810D0">
        <w:rPr>
          <w:rFonts w:ascii="Fira Sans" w:hAnsi="Fira Sans"/>
          <w:b/>
          <w:noProof/>
          <w:spacing w:val="-2"/>
          <w:szCs w:val="19"/>
          <w:lang w:val="en-US"/>
        </w:rPr>
        <w:t xml:space="preserve"> 2024)</w:t>
      </w:r>
    </w:p>
    <w:p w14:paraId="67BEDA07" w14:textId="5A8BB6D3" w:rsidR="00DF7C4B" w:rsidRPr="004C757C" w:rsidRDefault="004C757C" w:rsidP="00676991">
      <w:pPr>
        <w:spacing w:line="288" w:lineRule="auto"/>
        <w:rPr>
          <w:lang w:val="en-US" w:eastAsia="pl-PL"/>
        </w:rPr>
      </w:pPr>
      <w:r w:rsidRPr="00A52432">
        <w:rPr>
          <w:lang w:val="en-US" w:eastAsia="pl-PL"/>
        </w:rPr>
        <w:t xml:space="preserve">Between </w:t>
      </w:r>
      <w:proofErr w:type="spellStart"/>
      <w:r>
        <w:rPr>
          <w:lang w:val="en-US" w:eastAsia="pl-PL"/>
        </w:rPr>
        <w:t>s</w:t>
      </w:r>
      <w:r w:rsidRPr="00A52432">
        <w:rPr>
          <w:lang w:val="en-US" w:eastAsia="pl-PL"/>
        </w:rPr>
        <w:t>eptember</w:t>
      </w:r>
      <w:proofErr w:type="spellEnd"/>
      <w:r w:rsidRPr="00A52432">
        <w:rPr>
          <w:lang w:val="en-US" w:eastAsia="pl-PL"/>
        </w:rPr>
        <w:t xml:space="preserve"> and </w:t>
      </w:r>
      <w:proofErr w:type="spellStart"/>
      <w:r>
        <w:rPr>
          <w:lang w:val="en-US" w:eastAsia="pl-PL"/>
        </w:rPr>
        <w:t>d</w:t>
      </w:r>
      <w:r w:rsidRPr="00A52432">
        <w:rPr>
          <w:lang w:val="en-US" w:eastAsia="pl-PL"/>
        </w:rPr>
        <w:t>ecember</w:t>
      </w:r>
      <w:proofErr w:type="spellEnd"/>
      <w:r w:rsidRPr="00A52432">
        <w:rPr>
          <w:lang w:val="en-US" w:eastAsia="pl-PL"/>
        </w:rPr>
        <w:t xml:space="preserve"> 2024, 14</w:t>
      </w:r>
      <w:r>
        <w:rPr>
          <w:lang w:val="en-US" w:eastAsia="pl-PL"/>
        </w:rPr>
        <w:t>.3 thousand</w:t>
      </w:r>
      <w:r w:rsidRPr="00A52432">
        <w:rPr>
          <w:lang w:val="en-US" w:eastAsia="pl-PL"/>
        </w:rPr>
        <w:t xml:space="preserve"> non-governmental organizations (12.6% of the total) undertook additional </w:t>
      </w:r>
      <w:r>
        <w:rPr>
          <w:lang w:val="en-US" w:eastAsia="pl-PL"/>
        </w:rPr>
        <w:t>support activities</w:t>
      </w:r>
      <w:r w:rsidRPr="00A52432">
        <w:rPr>
          <w:lang w:val="en-US" w:eastAsia="pl-PL"/>
        </w:rPr>
        <w:t xml:space="preserve"> </w:t>
      </w:r>
      <w:r>
        <w:rPr>
          <w:lang w:val="en-US" w:eastAsia="pl-PL"/>
        </w:rPr>
        <w:t xml:space="preserve">due to the flood </w:t>
      </w:r>
      <w:r w:rsidRPr="00A52432">
        <w:rPr>
          <w:lang w:val="en-US" w:eastAsia="pl-PL"/>
        </w:rPr>
        <w:t xml:space="preserve">in Poland and abroad. The highest level of involvement in </w:t>
      </w:r>
      <w:r>
        <w:rPr>
          <w:lang w:val="en-US" w:eastAsia="pl-PL"/>
        </w:rPr>
        <w:t>support activities</w:t>
      </w:r>
      <w:r w:rsidRPr="00A52432">
        <w:rPr>
          <w:lang w:val="en-US" w:eastAsia="pl-PL"/>
        </w:rPr>
        <w:t xml:space="preserve"> was recorded among volunteer fire </w:t>
      </w:r>
      <w:r>
        <w:rPr>
          <w:lang w:val="en-US" w:eastAsia="pl-PL"/>
        </w:rPr>
        <w:t>brigades</w:t>
      </w:r>
      <w:r w:rsidRPr="00A52432">
        <w:rPr>
          <w:lang w:val="en-US" w:eastAsia="pl-PL"/>
        </w:rPr>
        <w:t xml:space="preserve"> (39.6%), followed by hunting clubs (31.4%). Among the </w:t>
      </w:r>
      <w:r>
        <w:rPr>
          <w:lang w:val="en-US" w:eastAsia="pl-PL"/>
        </w:rPr>
        <w:t>voivodeships</w:t>
      </w:r>
      <w:r w:rsidRPr="00A52432">
        <w:rPr>
          <w:lang w:val="en-US" w:eastAsia="pl-PL"/>
        </w:rPr>
        <w:t xml:space="preserve">, a particularly high proportion of organizations involved in </w:t>
      </w:r>
      <w:r>
        <w:rPr>
          <w:lang w:val="en-US" w:eastAsia="pl-PL"/>
        </w:rPr>
        <w:t>support activities</w:t>
      </w:r>
      <w:r w:rsidRPr="00A52432">
        <w:rPr>
          <w:lang w:val="en-US" w:eastAsia="pl-PL"/>
        </w:rPr>
        <w:t xml:space="preserve"> was recorded in the Opol</w:t>
      </w:r>
      <w:r>
        <w:rPr>
          <w:lang w:val="en-US" w:eastAsia="pl-PL"/>
        </w:rPr>
        <w:t>skie</w:t>
      </w:r>
      <w:r w:rsidRPr="00A52432">
        <w:rPr>
          <w:lang w:val="en-US" w:eastAsia="pl-PL"/>
        </w:rPr>
        <w:t xml:space="preserve"> (30.1%) and </w:t>
      </w:r>
      <w:r>
        <w:rPr>
          <w:lang w:val="en-US" w:eastAsia="pl-PL"/>
        </w:rPr>
        <w:t>Dolnośląskie</w:t>
      </w:r>
      <w:r w:rsidRPr="00A52432">
        <w:rPr>
          <w:lang w:val="en-US" w:eastAsia="pl-PL"/>
        </w:rPr>
        <w:t xml:space="preserve"> (21.1%)</w:t>
      </w:r>
      <w:r>
        <w:rPr>
          <w:lang w:val="en-US" w:eastAsia="pl-PL"/>
        </w:rPr>
        <w:t xml:space="preserve"> </w:t>
      </w:r>
      <w:r w:rsidRPr="004C757C">
        <w:rPr>
          <w:lang w:val="en-US" w:eastAsia="pl-PL"/>
        </w:rPr>
        <w:t>voivodeships</w:t>
      </w:r>
      <w:r w:rsidRPr="00A52432">
        <w:rPr>
          <w:lang w:val="en-US" w:eastAsia="pl-PL"/>
        </w:rPr>
        <w:t>.</w:t>
      </w:r>
    </w:p>
    <w:p w14:paraId="7FCBF243" w14:textId="4F69882D" w:rsidR="00A52432" w:rsidRPr="00A52432" w:rsidRDefault="00A52432" w:rsidP="00A52432">
      <w:pPr>
        <w:spacing w:line="288" w:lineRule="auto"/>
        <w:rPr>
          <w:lang w:val="en-US" w:eastAsia="pl-PL"/>
        </w:rPr>
      </w:pPr>
      <w:r w:rsidRPr="00A52432">
        <w:rPr>
          <w:lang w:val="en-US" w:eastAsia="pl-PL"/>
        </w:rPr>
        <w:t xml:space="preserve">Among the organizations located in the </w:t>
      </w:r>
      <w:r w:rsidR="004C757C" w:rsidRPr="004C757C">
        <w:rPr>
          <w:lang w:val="en-US" w:eastAsia="pl-PL"/>
        </w:rPr>
        <w:t>voivodeships</w:t>
      </w:r>
      <w:r w:rsidRPr="00A52432">
        <w:rPr>
          <w:lang w:val="en-US" w:eastAsia="pl-PL"/>
        </w:rPr>
        <w:t xml:space="preserve"> most affected by the flood (</w:t>
      </w:r>
      <w:r w:rsidR="004C757C">
        <w:rPr>
          <w:lang w:val="en-US" w:eastAsia="pl-PL"/>
        </w:rPr>
        <w:t>D</w:t>
      </w:r>
      <w:r w:rsidR="004C757C" w:rsidRPr="004C757C">
        <w:rPr>
          <w:lang w:val="en-US" w:eastAsia="pl-PL"/>
        </w:rPr>
        <w:t xml:space="preserve">olnośląskie, </w:t>
      </w:r>
      <w:r w:rsidR="004C757C">
        <w:rPr>
          <w:lang w:val="en-US" w:eastAsia="pl-PL"/>
        </w:rPr>
        <w:t>L</w:t>
      </w:r>
      <w:r w:rsidR="004C757C" w:rsidRPr="004C757C">
        <w:rPr>
          <w:lang w:val="en-US" w:eastAsia="pl-PL"/>
        </w:rPr>
        <w:t xml:space="preserve">ubuskie, </w:t>
      </w:r>
      <w:r w:rsidR="004C757C">
        <w:rPr>
          <w:lang w:val="en-US" w:eastAsia="pl-PL"/>
        </w:rPr>
        <w:t>M</w:t>
      </w:r>
      <w:r w:rsidR="004C757C" w:rsidRPr="004C757C">
        <w:rPr>
          <w:lang w:val="en-US" w:eastAsia="pl-PL"/>
        </w:rPr>
        <w:t xml:space="preserve">ałopolskie, </w:t>
      </w:r>
      <w:r w:rsidR="004C757C">
        <w:rPr>
          <w:lang w:val="en-US" w:eastAsia="pl-PL"/>
        </w:rPr>
        <w:t>O</w:t>
      </w:r>
      <w:r w:rsidR="004C757C" w:rsidRPr="004C757C">
        <w:rPr>
          <w:lang w:val="en-US" w:eastAsia="pl-PL"/>
        </w:rPr>
        <w:t xml:space="preserve">polskie </w:t>
      </w:r>
      <w:r w:rsidR="004C757C">
        <w:rPr>
          <w:lang w:val="en-US" w:eastAsia="pl-PL"/>
        </w:rPr>
        <w:t>and</w:t>
      </w:r>
      <w:r w:rsidR="004C757C" w:rsidRPr="004C757C">
        <w:rPr>
          <w:lang w:val="en-US" w:eastAsia="pl-PL"/>
        </w:rPr>
        <w:t xml:space="preserve"> </w:t>
      </w:r>
      <w:r w:rsidR="004C757C">
        <w:rPr>
          <w:lang w:val="en-US" w:eastAsia="pl-PL"/>
        </w:rPr>
        <w:t>Ś</w:t>
      </w:r>
      <w:r w:rsidR="004C757C" w:rsidRPr="004C757C">
        <w:rPr>
          <w:lang w:val="en-US" w:eastAsia="pl-PL"/>
        </w:rPr>
        <w:t>ląskie</w:t>
      </w:r>
      <w:r w:rsidRPr="00A52432">
        <w:rPr>
          <w:lang w:val="en-US" w:eastAsia="pl-PL"/>
        </w:rPr>
        <w:t xml:space="preserve">), </w:t>
      </w:r>
      <w:r w:rsidR="004C757C">
        <w:rPr>
          <w:lang w:val="en-US" w:eastAsia="pl-PL"/>
        </w:rPr>
        <w:t>0.6 thousand</w:t>
      </w:r>
      <w:r w:rsidRPr="00A52432">
        <w:rPr>
          <w:lang w:val="en-US" w:eastAsia="pl-PL"/>
        </w:rPr>
        <w:t xml:space="preserve"> entities (1.8%) temporarily ceased their activities, on average for a period of two months. The highest percentage of organizations that did not operate due to the flood situation was recorded in the </w:t>
      </w:r>
      <w:r w:rsidR="004C757C">
        <w:rPr>
          <w:lang w:val="en-US" w:eastAsia="pl-PL"/>
        </w:rPr>
        <w:t xml:space="preserve">Opolskie voivodeship </w:t>
      </w:r>
      <w:r w:rsidRPr="00A52432">
        <w:rPr>
          <w:lang w:val="en-US" w:eastAsia="pl-PL"/>
        </w:rPr>
        <w:t>(4.2%).</w:t>
      </w:r>
    </w:p>
    <w:p w14:paraId="01E35018" w14:textId="1FA9CF45" w:rsidR="00DF7C4B" w:rsidRPr="00C64774" w:rsidRDefault="00DF7C4B" w:rsidP="00FB06D6">
      <w:pPr>
        <w:pStyle w:val="Tytutablicy"/>
        <w:ind w:left="851" w:hanging="851"/>
        <w:rPr>
          <w:lang w:val="en-US"/>
        </w:rPr>
      </w:pPr>
      <w:r w:rsidRPr="00EA1264">
        <w:rPr>
          <w:noProof/>
        </w:rPr>
        <w:drawing>
          <wp:anchor distT="0" distB="0" distL="114300" distR="114300" simplePos="0" relativeHeight="251783168" behindDoc="0" locked="0" layoutInCell="1" allowOverlap="1" wp14:anchorId="5C7312FC" wp14:editId="7B921457">
            <wp:simplePos x="0" y="0"/>
            <wp:positionH relativeFrom="margin">
              <wp:posOffset>-28575</wp:posOffset>
            </wp:positionH>
            <wp:positionV relativeFrom="paragraph">
              <wp:posOffset>443260</wp:posOffset>
            </wp:positionV>
            <wp:extent cx="5040000" cy="2588400"/>
            <wp:effectExtent l="0" t="0" r="8255" b="2540"/>
            <wp:wrapSquare wrapText="bothSides"/>
            <wp:docPr id="31" name="Wykres 31" descr="Chart showing the percentage of non-governmental organisations involved in flood relief efforts between September and December 2024. The data is available in a separate Excel fi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4F2BF2" w:rsidRPr="00C64774">
        <w:rPr>
          <w:lang w:val="en-US"/>
        </w:rPr>
        <w:t xml:space="preserve">Chart 8. </w:t>
      </w:r>
      <w:r w:rsidR="004F2BF2" w:rsidRPr="004F2BF2">
        <w:rPr>
          <w:lang w:val="en-US"/>
        </w:rPr>
        <w:t xml:space="preserve">Percentage of non-governmental organizations involved in help due to the flood </w:t>
      </w:r>
    </w:p>
    <w:p w14:paraId="648DDDC7" w14:textId="363EBB72" w:rsidR="00FB06D6" w:rsidRPr="00FB06D6" w:rsidRDefault="00FB06D6" w:rsidP="00676991">
      <w:pPr>
        <w:spacing w:line="288" w:lineRule="auto"/>
        <w:rPr>
          <w:lang w:val="en-US"/>
        </w:rPr>
      </w:pPr>
      <w:r w:rsidRPr="00FB06D6">
        <w:rPr>
          <w:lang w:val="en-US"/>
        </w:rPr>
        <w:t xml:space="preserve">The main recipients of </w:t>
      </w:r>
      <w:r>
        <w:rPr>
          <w:lang w:val="en-US"/>
        </w:rPr>
        <w:t xml:space="preserve">help </w:t>
      </w:r>
      <w:r w:rsidRPr="00FB06D6">
        <w:rPr>
          <w:lang w:val="en-US"/>
        </w:rPr>
        <w:t xml:space="preserve">provided by non-governmental organizations were </w:t>
      </w:r>
      <w:r>
        <w:rPr>
          <w:lang w:val="en-US"/>
        </w:rPr>
        <w:t>natural persons</w:t>
      </w:r>
      <w:r w:rsidRPr="00FB06D6">
        <w:rPr>
          <w:lang w:val="en-US"/>
        </w:rPr>
        <w:t xml:space="preserve"> – 68.2% of organizations directed their </w:t>
      </w:r>
      <w:r>
        <w:rPr>
          <w:lang w:val="en-US"/>
        </w:rPr>
        <w:t xml:space="preserve">help </w:t>
      </w:r>
      <w:r w:rsidRPr="00FB06D6">
        <w:rPr>
          <w:lang w:val="en-US"/>
        </w:rPr>
        <w:t xml:space="preserve">to them. In total, they provided support to </w:t>
      </w:r>
      <w:r w:rsidRPr="00FB06D6">
        <w:rPr>
          <w:lang w:val="en-US"/>
        </w:rPr>
        <w:lastRenderedPageBreak/>
        <w:t>approximately 4.3 million recipients, with the same person being included multiple times by different non-governmental organizations.</w:t>
      </w:r>
    </w:p>
    <w:p w14:paraId="05DA4289" w14:textId="40027A96" w:rsidR="001E0D48" w:rsidRPr="001E0D48" w:rsidRDefault="001E0D48" w:rsidP="00676991">
      <w:pPr>
        <w:spacing w:line="288" w:lineRule="auto"/>
        <w:rPr>
          <w:lang w:val="en-US"/>
        </w:rPr>
      </w:pPr>
      <w:r w:rsidRPr="00FB06D6">
        <w:rPr>
          <w:lang w:val="en-US"/>
        </w:rPr>
        <w:t>The organizations also supported other non-governmental organizations – associations, foundations, church organizations and similar entities (21.5%), as well as local government or local administration bodies (17.8%) and health care, education, social assistance and other social service providers (5.1%).</w:t>
      </w:r>
    </w:p>
    <w:p w14:paraId="54F43595" w14:textId="39803206" w:rsidR="00AA0A8B" w:rsidRPr="00AA0A8B" w:rsidRDefault="00AA0A8B" w:rsidP="00676991">
      <w:pPr>
        <w:spacing w:line="288" w:lineRule="auto"/>
        <w:rPr>
          <w:lang w:val="en-US"/>
        </w:rPr>
      </w:pPr>
      <w:r w:rsidRPr="00FB06D6">
        <w:rPr>
          <w:lang w:val="en-US"/>
        </w:rPr>
        <w:t>One of the key forms of support was the donation of goods, declared by 61.8% of organizations. The estimated value of the donated goods amounted to PLN 349.5 million. Financial resources were donated by 16.5% of organizations, and the total value of this form of support amounted to PLN 373.9 million.</w:t>
      </w:r>
    </w:p>
    <w:p w14:paraId="3E6610B8" w14:textId="77D9FFA2" w:rsidR="00FB06D6" w:rsidRPr="00FB06D6" w:rsidRDefault="00FB06D6" w:rsidP="00FB06D6">
      <w:pPr>
        <w:spacing w:line="288" w:lineRule="auto"/>
        <w:rPr>
          <w:lang w:val="en-US"/>
        </w:rPr>
      </w:pPr>
      <w:r w:rsidRPr="00FB06D6">
        <w:rPr>
          <w:lang w:val="en-US"/>
        </w:rPr>
        <w:t>In addition, organizations carried out rescue operations (18.6%), performed renovation</w:t>
      </w:r>
      <w:r w:rsidR="004D7693">
        <w:rPr>
          <w:lang w:val="en-US"/>
        </w:rPr>
        <w:t>-</w:t>
      </w:r>
      <w:r w:rsidRPr="00FB06D6">
        <w:rPr>
          <w:lang w:val="en-US"/>
        </w:rPr>
        <w:t>construction, cleaning and tidying work (13.4%) and provided food (9.0%) and transportation (7.6%).</w:t>
      </w:r>
    </w:p>
    <w:p w14:paraId="1E158B34" w14:textId="136029C3" w:rsidR="00DF7C4B" w:rsidRPr="0055693F" w:rsidRDefault="0064128F" w:rsidP="00DF7C4B">
      <w:pPr>
        <w:pStyle w:val="Nagwek1"/>
        <w:rPr>
          <w:rFonts w:ascii="Fira Sans" w:hAnsi="Fira Sans"/>
          <w:b/>
          <w:szCs w:val="19"/>
          <w:lang w:val="en-US"/>
        </w:rPr>
      </w:pPr>
      <w:r w:rsidRPr="0055693F">
        <w:rPr>
          <w:rFonts w:ascii="Fira Sans" w:hAnsi="Fira Sans"/>
          <w:b/>
          <w:noProof/>
          <w:spacing w:val="-2"/>
          <w:szCs w:val="19"/>
          <w:lang w:val="en-US"/>
        </w:rPr>
        <w:t>Methodological notes</w:t>
      </w:r>
    </w:p>
    <w:p w14:paraId="52CA20B1" w14:textId="57AAC82F" w:rsidR="0055693F" w:rsidRPr="0055693F" w:rsidRDefault="0055693F" w:rsidP="0055693F">
      <w:pPr>
        <w:spacing w:line="288" w:lineRule="auto"/>
        <w:rPr>
          <w:lang w:val="en-US"/>
        </w:rPr>
      </w:pPr>
      <w:r w:rsidRPr="0055693F">
        <w:rPr>
          <w:lang w:val="en-US"/>
        </w:rPr>
        <w:t xml:space="preserve">The </w:t>
      </w:r>
      <w:r>
        <w:rPr>
          <w:lang w:val="en-US"/>
        </w:rPr>
        <w:t>news releases</w:t>
      </w:r>
      <w:r w:rsidRPr="0055693F">
        <w:rPr>
          <w:lang w:val="en-US"/>
        </w:rPr>
        <w:t xml:space="preserve"> was prepared on the basis of preliminary results of the survey “Non-governmental organizations and </w:t>
      </w:r>
      <w:r>
        <w:rPr>
          <w:lang w:val="en-US"/>
        </w:rPr>
        <w:t>faith-based charities</w:t>
      </w:r>
      <w:r w:rsidRPr="0055693F">
        <w:rPr>
          <w:lang w:val="en-US"/>
        </w:rPr>
        <w:t>”</w:t>
      </w:r>
      <w:r>
        <w:rPr>
          <w:lang w:val="en-US"/>
        </w:rPr>
        <w:t>,</w:t>
      </w:r>
      <w:r w:rsidRPr="0055693F">
        <w:rPr>
          <w:lang w:val="en-US"/>
        </w:rPr>
        <w:t xml:space="preserve"> conducted annually by the</w:t>
      </w:r>
      <w:r>
        <w:rPr>
          <w:lang w:val="en-US"/>
        </w:rPr>
        <w:t xml:space="preserve"> Statistics Poland</w:t>
      </w:r>
      <w:r w:rsidRPr="0055693F">
        <w:rPr>
          <w:lang w:val="en-US"/>
        </w:rPr>
        <w:t xml:space="preserve">, alternately on SOF-1/SOF-4s and SOF-5 forms. The survey covered: associations and similar organizations, foundations, </w:t>
      </w:r>
      <w:r>
        <w:rPr>
          <w:lang w:val="en-US"/>
        </w:rPr>
        <w:t>faith-based charities</w:t>
      </w:r>
      <w:r w:rsidRPr="0055693F">
        <w:rPr>
          <w:lang w:val="en-US"/>
        </w:rPr>
        <w:t xml:space="preserve"> conducting social activities and rural housewives clubs (SOF-1 form), as well as </w:t>
      </w:r>
      <w:r>
        <w:rPr>
          <w:lang w:val="en-US"/>
        </w:rPr>
        <w:t xml:space="preserve">business associations and farmers organizations </w:t>
      </w:r>
      <w:r w:rsidRPr="0055693F">
        <w:rPr>
          <w:lang w:val="en-US"/>
        </w:rPr>
        <w:t xml:space="preserve">(SOF-4s form). </w:t>
      </w:r>
    </w:p>
    <w:p w14:paraId="0A3888AF" w14:textId="77777777" w:rsidR="0055693F" w:rsidRPr="0055693F" w:rsidRDefault="0055693F" w:rsidP="0055693F">
      <w:pPr>
        <w:spacing w:line="288" w:lineRule="auto"/>
        <w:rPr>
          <w:lang w:val="en-US"/>
        </w:rPr>
      </w:pPr>
      <w:r w:rsidRPr="0055693F">
        <w:rPr>
          <w:lang w:val="en-US"/>
        </w:rPr>
        <w:t xml:space="preserve">Due to a change in the survey methodology, professional </w:t>
      </w:r>
      <w:r>
        <w:rPr>
          <w:lang w:val="en-US"/>
        </w:rPr>
        <w:t>associations</w:t>
      </w:r>
      <w:r w:rsidRPr="0055693F">
        <w:rPr>
          <w:lang w:val="en-US"/>
        </w:rPr>
        <w:t xml:space="preserve"> were surveyed every four years as part of a separate survey entitled “</w:t>
      </w:r>
      <w:r>
        <w:rPr>
          <w:lang w:val="en-US"/>
        </w:rPr>
        <w:t>S</w:t>
      </w:r>
      <w:r w:rsidRPr="0055693F">
        <w:rPr>
          <w:lang w:val="en-US"/>
        </w:rPr>
        <w:t xml:space="preserve">ocial dialogue </w:t>
      </w:r>
      <w:r>
        <w:rPr>
          <w:lang w:val="en-US"/>
        </w:rPr>
        <w:t xml:space="preserve">partners </w:t>
      </w:r>
      <w:r w:rsidRPr="0055693F">
        <w:rPr>
          <w:lang w:val="en-US"/>
        </w:rPr>
        <w:t>– employers' organizations and trade unions”</w:t>
      </w:r>
      <w:r>
        <w:rPr>
          <w:lang w:val="en-US"/>
        </w:rPr>
        <w:t>.</w:t>
      </w:r>
    </w:p>
    <w:p w14:paraId="702B94CA" w14:textId="77851FEA" w:rsidR="0055693F" w:rsidRPr="0055693F" w:rsidRDefault="0055693F" w:rsidP="0055693F">
      <w:pPr>
        <w:spacing w:line="288" w:lineRule="auto"/>
        <w:rPr>
          <w:lang w:val="en-US"/>
        </w:rPr>
      </w:pPr>
      <w:r w:rsidRPr="0055693F">
        <w:rPr>
          <w:lang w:val="en-US"/>
        </w:rPr>
        <w:t xml:space="preserve">The term “non-governmental organizations” has replaced the term “non-profit organizations” used in previous editions of the </w:t>
      </w:r>
      <w:r>
        <w:rPr>
          <w:lang w:val="en-US"/>
        </w:rPr>
        <w:t>news releases</w:t>
      </w:r>
      <w:r w:rsidRPr="0055693F">
        <w:rPr>
          <w:lang w:val="en-US"/>
        </w:rPr>
        <w:t>, which is less commonly used in Poland. The term “non-governmental organizations” can be used interchangeably with the term “social economy organizations.”</w:t>
      </w:r>
    </w:p>
    <w:p w14:paraId="3CDF65D3" w14:textId="77777777" w:rsidR="00C63619" w:rsidRDefault="00C63619" w:rsidP="00676991">
      <w:pPr>
        <w:spacing w:line="288" w:lineRule="auto"/>
        <w:rPr>
          <w:lang w:val="en-US"/>
        </w:rPr>
      </w:pPr>
      <w:r w:rsidRPr="00C63619">
        <w:rPr>
          <w:lang w:val="en-US"/>
        </w:rPr>
        <w:t>Membership in non-governmental organizations is reviewed every two years.</w:t>
      </w:r>
    </w:p>
    <w:p w14:paraId="628F9EA2" w14:textId="6644E9E1" w:rsidR="00C63619" w:rsidRPr="00C63619" w:rsidRDefault="00C63619" w:rsidP="00676991">
      <w:pPr>
        <w:spacing w:line="288" w:lineRule="auto"/>
        <w:rPr>
          <w:lang w:val="en-US"/>
        </w:rPr>
      </w:pPr>
      <w:r w:rsidRPr="00C63619">
        <w:rPr>
          <w:lang w:val="en-US"/>
        </w:rPr>
        <w:t xml:space="preserve">The selection of units for the study conducted using the SOF-1 form was two-stage. In the first stage, purposive sampling was used, while in the second stage, stratified sampling was used within each </w:t>
      </w:r>
      <w:r>
        <w:rPr>
          <w:lang w:val="en-US"/>
        </w:rPr>
        <w:t>voivodeship</w:t>
      </w:r>
      <w:r w:rsidRPr="00C63619">
        <w:rPr>
          <w:lang w:val="en-US"/>
        </w:rPr>
        <w:t xml:space="preserve"> and legal form. The survey conducted using the SOF-4s form was </w:t>
      </w:r>
      <w:r>
        <w:rPr>
          <w:lang w:val="en-US"/>
        </w:rPr>
        <w:t>full survey</w:t>
      </w:r>
      <w:r w:rsidRPr="00C63619">
        <w:rPr>
          <w:lang w:val="en-US"/>
        </w:rPr>
        <w:t xml:space="preserve">, which means that all </w:t>
      </w:r>
      <w:r>
        <w:rPr>
          <w:lang w:val="en-US"/>
        </w:rPr>
        <w:t xml:space="preserve">business associations and farmers organizations </w:t>
      </w:r>
      <w:r w:rsidRPr="00C63619">
        <w:rPr>
          <w:lang w:val="en-US"/>
        </w:rPr>
        <w:t>selected from the survey</w:t>
      </w:r>
      <w:r w:rsidR="008E3E9E">
        <w:rPr>
          <w:lang w:val="en-US"/>
        </w:rPr>
        <w:t>,</w:t>
      </w:r>
      <w:r w:rsidRPr="00C63619">
        <w:rPr>
          <w:lang w:val="en-US"/>
        </w:rPr>
        <w:t xml:space="preserve"> were included in the survey file. In total, 32</w:t>
      </w:r>
      <w:r>
        <w:rPr>
          <w:lang w:val="en-US"/>
        </w:rPr>
        <w:t>.</w:t>
      </w:r>
      <w:r w:rsidRPr="00C63619">
        <w:rPr>
          <w:lang w:val="en-US"/>
        </w:rPr>
        <w:t>4</w:t>
      </w:r>
      <w:r>
        <w:rPr>
          <w:lang w:val="en-US"/>
        </w:rPr>
        <w:t xml:space="preserve"> thousand</w:t>
      </w:r>
      <w:r w:rsidRPr="00C63619">
        <w:rPr>
          <w:lang w:val="en-US"/>
        </w:rPr>
        <w:t xml:space="preserve"> non-governmental organizations were required to report using the SOF-1 and SOF-4s forms. Completed reports were submitted by 77.6% of entities, while 14.4% declared that they did not conduct any statutory activities in 2024. 4.4% of organizations refused to participate in the survey, while 3.6% of entities could not be contacted.</w:t>
      </w:r>
    </w:p>
    <w:p w14:paraId="3B9F5412" w14:textId="77777777" w:rsidR="009B6150" w:rsidRDefault="009B6150" w:rsidP="00676991">
      <w:pPr>
        <w:spacing w:line="288" w:lineRule="auto"/>
        <w:rPr>
          <w:lang w:val="en-US"/>
        </w:rPr>
      </w:pPr>
      <w:r w:rsidRPr="009B6150">
        <w:rPr>
          <w:lang w:val="en-US"/>
        </w:rPr>
        <w:t>Detailed information on the selection of units for the files and the method of constructing analytical weights enabling the generalization of results is contained in the methodological notebook “Non-profit organizations: associations, foundations, business and professional associations and faith-based charities”.</w:t>
      </w:r>
    </w:p>
    <w:p w14:paraId="6AEF617B" w14:textId="4F855BB0" w:rsidR="00F82636" w:rsidRPr="00F82636" w:rsidRDefault="00F82636" w:rsidP="00676991">
      <w:pPr>
        <w:spacing w:line="288" w:lineRule="auto"/>
        <w:rPr>
          <w:lang w:val="en-US"/>
        </w:rPr>
      </w:pPr>
      <w:r w:rsidRPr="00F82636">
        <w:rPr>
          <w:lang w:val="en-US"/>
        </w:rPr>
        <w:t xml:space="preserve">A survey of </w:t>
      </w:r>
      <w:r w:rsidRPr="002D2DCE">
        <w:rPr>
          <w:lang w:val="en-GB"/>
        </w:rPr>
        <w:t>parish-based organizations of the Catholic Church</w:t>
      </w:r>
      <w:r w:rsidRPr="00F82636">
        <w:rPr>
          <w:lang w:val="en-US"/>
        </w:rPr>
        <w:t xml:space="preserve"> was conducted in 2024 by the Institute of Catholic Church Statistics. It has been conducted every five years since 1999.</w:t>
      </w:r>
      <w:r>
        <w:rPr>
          <w:lang w:val="en-US"/>
        </w:rPr>
        <w:t xml:space="preserve"> </w:t>
      </w:r>
      <w:r w:rsidRPr="00F82636">
        <w:rPr>
          <w:lang w:val="en-US"/>
        </w:rPr>
        <w:t>The study involves collecting, as part of parish reporting, basic information about organizations operating in all parishes and pastoral centers in Poland.</w:t>
      </w:r>
    </w:p>
    <w:p w14:paraId="3C222B0C" w14:textId="1719CB30" w:rsidR="00DA331D" w:rsidRPr="004407C6" w:rsidRDefault="00146339" w:rsidP="00676991">
      <w:pPr>
        <w:spacing w:before="0" w:line="288" w:lineRule="auto"/>
        <w:rPr>
          <w:rFonts w:eastAsia="Times New Roman" w:cs="Times New Roman"/>
          <w:szCs w:val="19"/>
          <w:lang w:val="en-GB" w:eastAsia="pl-PL"/>
        </w:rPr>
        <w:sectPr w:rsidR="00DA331D" w:rsidRPr="004407C6" w:rsidSect="003B18B6">
          <w:headerReference w:type="default" r:id="rId20"/>
          <w:footerReference w:type="default" r:id="rId21"/>
          <w:headerReference w:type="first" r:id="rId22"/>
          <w:footerReference w:type="first" r:id="rId23"/>
          <w:pgSz w:w="11906" w:h="16838"/>
          <w:pgMar w:top="720" w:right="3119" w:bottom="720" w:left="720" w:header="284" w:footer="283" w:gutter="0"/>
          <w:cols w:space="708"/>
          <w:titlePg/>
          <w:docGrid w:linePitch="360"/>
        </w:sectPr>
      </w:pPr>
      <w:r w:rsidRPr="004407C6">
        <w:rPr>
          <w:rFonts w:eastAsia="Times New Roman" w:cs="Times New Roman"/>
          <w:szCs w:val="19"/>
          <w:lang w:val="en-GB" w:eastAsia="pl-PL"/>
        </w:rPr>
        <w:t>When</w:t>
      </w:r>
      <w:r w:rsidR="00180E0E" w:rsidRPr="004407C6">
        <w:rPr>
          <w:rFonts w:eastAsia="Times New Roman" w:cs="Times New Roman"/>
          <w:szCs w:val="19"/>
          <w:lang w:val="en-GB" w:eastAsia="pl-PL"/>
        </w:rPr>
        <w:t xml:space="preserve"> quoting Statistics Poland data, please provide </w:t>
      </w:r>
      <w:r w:rsidRPr="004407C6">
        <w:rPr>
          <w:rFonts w:eastAsia="Times New Roman" w:cs="Times New Roman"/>
          <w:szCs w:val="19"/>
          <w:lang w:val="en-GB" w:eastAsia="pl-PL"/>
        </w:rPr>
        <w:t xml:space="preserve">the </w:t>
      </w:r>
      <w:r w:rsidR="00180E0E" w:rsidRPr="004407C6">
        <w:rPr>
          <w:rFonts w:eastAsia="Times New Roman" w:cs="Times New Roman"/>
          <w:szCs w:val="19"/>
          <w:lang w:val="en-GB" w:eastAsia="pl-PL"/>
        </w:rPr>
        <w:t xml:space="preserve">information: “Source of data: Statistics Poland”, and </w:t>
      </w:r>
      <w:r w:rsidRPr="004407C6">
        <w:rPr>
          <w:rFonts w:eastAsia="Times New Roman" w:cs="Times New Roman"/>
          <w:szCs w:val="19"/>
          <w:lang w:val="en-GB" w:eastAsia="pl-PL"/>
        </w:rPr>
        <w:t>when</w:t>
      </w:r>
      <w:r w:rsidR="00180E0E" w:rsidRPr="004407C6">
        <w:rPr>
          <w:rFonts w:eastAsia="Times New Roman" w:cs="Times New Roman"/>
          <w:szCs w:val="19"/>
          <w:lang w:val="en-GB" w:eastAsia="pl-PL"/>
        </w:rPr>
        <w:t xml:space="preserve"> publishing calculations made on data published by Statistics</w:t>
      </w:r>
      <w:r w:rsidRPr="004407C6">
        <w:rPr>
          <w:rFonts w:eastAsia="Times New Roman" w:cs="Times New Roman"/>
          <w:szCs w:val="19"/>
          <w:lang w:val="en-GB" w:eastAsia="pl-PL"/>
        </w:rPr>
        <w:t xml:space="preserve"> </w:t>
      </w:r>
      <w:r w:rsidR="00180E0E" w:rsidRPr="004407C6">
        <w:rPr>
          <w:rFonts w:eastAsia="Times New Roman" w:cs="Times New Roman"/>
          <w:szCs w:val="19"/>
          <w:lang w:val="en-GB" w:eastAsia="pl-PL"/>
        </w:rPr>
        <w:t>Poland, please include the following disclaimer: “Own study based on figures from Statistics Poland”.</w:t>
      </w:r>
    </w:p>
    <w:tbl>
      <w:tblPr>
        <w:tblStyle w:val="Tabela-Siatka"/>
        <w:tblW w:w="98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908"/>
      </w:tblGrid>
      <w:tr w:rsidR="00DE2400" w:rsidRPr="00C64774" w14:paraId="196D0BDA" w14:textId="77777777" w:rsidTr="00734A0B">
        <w:trPr>
          <w:trHeight w:val="1467"/>
        </w:trPr>
        <w:tc>
          <w:tcPr>
            <w:tcW w:w="4906" w:type="dxa"/>
          </w:tcPr>
          <w:p w14:paraId="05DA311F" w14:textId="094CF4F7" w:rsidR="00DE2400" w:rsidRPr="00CF7C09" w:rsidRDefault="00C60504" w:rsidP="00DE2400">
            <w:pPr>
              <w:spacing w:before="0" w:after="0" w:line="276" w:lineRule="auto"/>
              <w:rPr>
                <w:rFonts w:cs="Arial"/>
                <w:sz w:val="20"/>
                <w:lang w:val="en-GB"/>
              </w:rPr>
            </w:pPr>
            <w:r w:rsidRPr="00CF7C09">
              <w:rPr>
                <w:rFonts w:cs="Arial"/>
                <w:sz w:val="20"/>
                <w:lang w:val="en-GB"/>
              </w:rPr>
              <w:lastRenderedPageBreak/>
              <w:t>Prepared by</w:t>
            </w:r>
            <w:r w:rsidR="00DE2400" w:rsidRPr="00CF7C09">
              <w:rPr>
                <w:rFonts w:cs="Arial"/>
                <w:sz w:val="20"/>
                <w:lang w:val="en-GB"/>
              </w:rPr>
              <w:t>:</w:t>
            </w:r>
          </w:p>
          <w:p w14:paraId="1E9B29DC" w14:textId="3066F8FD" w:rsidR="00DE2400" w:rsidRPr="00CF7C09" w:rsidRDefault="00E377C9" w:rsidP="00DE2400">
            <w:pPr>
              <w:spacing w:before="0" w:line="276" w:lineRule="auto"/>
              <w:rPr>
                <w:rFonts w:cs="Arial"/>
                <w:b/>
                <w:color w:val="000000" w:themeColor="text1"/>
                <w:sz w:val="20"/>
                <w:lang w:val="en-GB"/>
              </w:rPr>
            </w:pPr>
            <w:r w:rsidRPr="00E377C9">
              <w:rPr>
                <w:rFonts w:cs="Arial"/>
                <w:b/>
                <w:color w:val="000000" w:themeColor="text1"/>
                <w:sz w:val="20"/>
                <w:lang w:val="en-GB"/>
              </w:rPr>
              <w:t>Social Surveys and Labour Market Department</w:t>
            </w:r>
          </w:p>
          <w:p w14:paraId="5536C8A5" w14:textId="77777777" w:rsidR="00E377C9" w:rsidRDefault="00E377C9" w:rsidP="00AE54DC">
            <w:pPr>
              <w:pStyle w:val="Nagwek3"/>
              <w:spacing w:before="0" w:after="120" w:line="276" w:lineRule="auto"/>
              <w:outlineLvl w:val="2"/>
              <w:rPr>
                <w:rFonts w:ascii="Fira Sans" w:eastAsiaTheme="minorHAnsi" w:hAnsi="Fira Sans" w:cstheme="minorBidi"/>
                <w:b/>
                <w:color w:val="auto"/>
                <w:sz w:val="20"/>
                <w:szCs w:val="20"/>
              </w:rPr>
            </w:pPr>
            <w:r w:rsidRPr="00E377C9">
              <w:rPr>
                <w:rFonts w:ascii="Fira Sans" w:eastAsiaTheme="minorHAnsi" w:hAnsi="Fira Sans" w:cstheme="minorBidi"/>
                <w:b/>
                <w:color w:val="auto"/>
                <w:sz w:val="20"/>
                <w:szCs w:val="20"/>
              </w:rPr>
              <w:t xml:space="preserve">Director Agnieszka Zgierska, PhD </w:t>
            </w:r>
          </w:p>
          <w:p w14:paraId="0FD49ABE" w14:textId="77777777" w:rsidR="00DE2400" w:rsidRDefault="006C197A" w:rsidP="00AE54DC">
            <w:pPr>
              <w:pStyle w:val="Nagwek3"/>
              <w:spacing w:before="0" w:after="120" w:line="276" w:lineRule="auto"/>
              <w:outlineLvl w:val="2"/>
              <w:rPr>
                <w:rFonts w:ascii="Fira Sans" w:hAnsi="Fira Sans" w:cs="Arial"/>
                <w:color w:val="000000" w:themeColor="text1"/>
                <w:sz w:val="20"/>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E377C9" w:rsidRPr="00EA1264">
              <w:rPr>
                <w:rFonts w:ascii="Fira Sans" w:hAnsi="Fira Sans" w:cs="Arial"/>
                <w:color w:val="000000" w:themeColor="text1"/>
                <w:sz w:val="20"/>
              </w:rPr>
              <w:t>608 30 15</w:t>
            </w:r>
          </w:p>
          <w:p w14:paraId="6A413234" w14:textId="7E770A6D" w:rsidR="008E3E9E" w:rsidRPr="008E3E9E" w:rsidRDefault="008E3E9E" w:rsidP="008E3E9E">
            <w:pPr>
              <w:pStyle w:val="Nagwek3"/>
              <w:spacing w:before="0" w:after="120" w:line="276" w:lineRule="auto"/>
              <w:outlineLvl w:val="2"/>
              <w:rPr>
                <w:rFonts w:ascii="Fira Sans" w:eastAsiaTheme="minorHAnsi" w:hAnsi="Fira Sans" w:cstheme="minorBidi"/>
                <w:b/>
                <w:color w:val="auto"/>
                <w:sz w:val="20"/>
                <w:szCs w:val="20"/>
                <w:lang w:val="en-US"/>
              </w:rPr>
            </w:pPr>
            <w:r w:rsidRPr="008E3E9E">
              <w:rPr>
                <w:rFonts w:ascii="Fira Sans" w:eastAsiaTheme="minorHAnsi" w:hAnsi="Fira Sans" w:cstheme="minorBidi"/>
                <w:b/>
                <w:color w:val="auto"/>
                <w:sz w:val="20"/>
                <w:szCs w:val="20"/>
                <w:lang w:val="en-US"/>
              </w:rPr>
              <w:t>Statistical Office in Kraków</w:t>
            </w:r>
          </w:p>
          <w:p w14:paraId="5425F0B4" w14:textId="6B7139F0" w:rsidR="008E3E9E" w:rsidRPr="008E3E9E" w:rsidRDefault="008E3E9E" w:rsidP="008E3E9E">
            <w:pPr>
              <w:pStyle w:val="Nagwek3"/>
              <w:spacing w:before="0" w:after="120" w:line="276" w:lineRule="auto"/>
              <w:outlineLvl w:val="2"/>
              <w:rPr>
                <w:rFonts w:ascii="Fira Sans" w:eastAsiaTheme="minorHAnsi" w:hAnsi="Fira Sans" w:cstheme="minorBidi"/>
                <w:b/>
                <w:color w:val="auto"/>
                <w:sz w:val="20"/>
                <w:szCs w:val="20"/>
                <w:lang w:val="en-US"/>
              </w:rPr>
            </w:pPr>
            <w:r w:rsidRPr="008E3E9E">
              <w:rPr>
                <w:rFonts w:ascii="Fira Sans" w:eastAsiaTheme="minorHAnsi" w:hAnsi="Fira Sans" w:cstheme="minorBidi"/>
                <w:b/>
                <w:color w:val="auto"/>
                <w:sz w:val="20"/>
                <w:szCs w:val="20"/>
                <w:lang w:val="en-US"/>
              </w:rPr>
              <w:t xml:space="preserve">Director Agnieszka </w:t>
            </w:r>
            <w:r>
              <w:rPr>
                <w:rFonts w:ascii="Fira Sans" w:eastAsiaTheme="minorHAnsi" w:hAnsi="Fira Sans" w:cstheme="minorBidi"/>
                <w:b/>
                <w:color w:val="auto"/>
                <w:sz w:val="20"/>
                <w:szCs w:val="20"/>
                <w:lang w:val="en-US"/>
              </w:rPr>
              <w:t>Szlubowska</w:t>
            </w:r>
            <w:r w:rsidRPr="008E3E9E">
              <w:rPr>
                <w:rFonts w:ascii="Fira Sans" w:eastAsiaTheme="minorHAnsi" w:hAnsi="Fira Sans" w:cstheme="minorBidi"/>
                <w:b/>
                <w:color w:val="auto"/>
                <w:sz w:val="20"/>
                <w:szCs w:val="20"/>
                <w:lang w:val="en-US"/>
              </w:rPr>
              <w:t xml:space="preserve"> </w:t>
            </w:r>
          </w:p>
        </w:tc>
        <w:tc>
          <w:tcPr>
            <w:tcW w:w="4907" w:type="dxa"/>
          </w:tcPr>
          <w:p w14:paraId="1C9C3DF0" w14:textId="77777777" w:rsidR="00CF7C09" w:rsidRPr="005653EE" w:rsidRDefault="006C197A" w:rsidP="00CF7C09">
            <w:pPr>
              <w:rPr>
                <w:b/>
                <w:lang w:val="en-GB"/>
              </w:rPr>
            </w:pPr>
            <w:r w:rsidRPr="00CF7C09">
              <w:rPr>
                <w:rFonts w:cs="Arial"/>
                <w:sz w:val="20"/>
                <w:lang w:val="en-GB"/>
              </w:rPr>
              <w:t>Issued by</w:t>
            </w:r>
            <w:r w:rsidR="00DE2400" w:rsidRPr="00CF7C09">
              <w:rPr>
                <w:rFonts w:cs="Arial"/>
                <w:sz w:val="20"/>
                <w:lang w:val="en-GB"/>
              </w:rPr>
              <w:t>:</w:t>
            </w:r>
            <w:r w:rsidR="00DE2400" w:rsidRPr="00CF7C09">
              <w:rPr>
                <w:rFonts w:cs="Arial"/>
                <w:sz w:val="20"/>
                <w:lang w:val="en-GB"/>
              </w:rPr>
              <w:br/>
            </w:r>
            <w:r w:rsidR="00CF7C09" w:rsidRPr="005653EE">
              <w:rPr>
                <w:b/>
                <w:lang w:val="en-GB"/>
              </w:rPr>
              <w:t>Press Office</w:t>
            </w:r>
          </w:p>
          <w:p w14:paraId="3100D96F" w14:textId="1D167774" w:rsidR="00CF7C09" w:rsidRPr="0027575B" w:rsidRDefault="00CF7C09" w:rsidP="00CF7C09">
            <w:pPr>
              <w:rPr>
                <w:sz w:val="20"/>
                <w:lang w:val="en-GB"/>
              </w:rPr>
            </w:pPr>
            <w:r w:rsidRPr="0027575B">
              <w:rPr>
                <w:sz w:val="20"/>
                <w:lang w:val="en-GB"/>
              </w:rPr>
              <w:t>Mobile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w:t>
            </w:r>
            <w:r w:rsidR="006B5653" w:rsidRPr="0027575B">
              <w:rPr>
                <w:sz w:val="20"/>
                <w:lang w:val="en-GB"/>
              </w:rPr>
              <w:t>)</w:t>
            </w:r>
            <w:r w:rsidRPr="0027575B">
              <w:rPr>
                <w:sz w:val="20"/>
                <w:lang w:val="en-GB"/>
              </w:rPr>
              <w:t xml:space="preserve"> 695 255 032</w:t>
            </w:r>
          </w:p>
          <w:p w14:paraId="08A2487A" w14:textId="14A261EA" w:rsidR="00CF7C09" w:rsidRPr="00447F91" w:rsidRDefault="00CF7C09" w:rsidP="00CF7C09">
            <w:pPr>
              <w:spacing w:after="0"/>
              <w:rPr>
                <w:sz w:val="20"/>
                <w:lang w:val="fr-BE"/>
              </w:rPr>
            </w:pPr>
            <w:r w:rsidRPr="00447F91">
              <w:rPr>
                <w:sz w:val="20"/>
                <w:lang w:val="fr-BE"/>
              </w:rPr>
              <w:t>Phone</w:t>
            </w:r>
            <w:r w:rsidR="00146339" w:rsidRPr="00447F91">
              <w:rPr>
                <w:sz w:val="20"/>
                <w:lang w:val="fr-BE"/>
              </w:rPr>
              <w:t>:</w:t>
            </w:r>
            <w:r w:rsidRPr="00447F91">
              <w:rPr>
                <w:sz w:val="20"/>
                <w:lang w:val="fr-BE"/>
              </w:rPr>
              <w:t xml:space="preserve"> </w:t>
            </w:r>
            <w:r w:rsidR="006B5653" w:rsidRPr="00447F91">
              <w:rPr>
                <w:sz w:val="20"/>
                <w:lang w:val="fr-BE"/>
              </w:rPr>
              <w:t>(</w:t>
            </w:r>
            <w:r w:rsidRPr="00447F91">
              <w:rPr>
                <w:sz w:val="20"/>
                <w:lang w:val="fr-BE"/>
              </w:rPr>
              <w:t>+48 22</w:t>
            </w:r>
            <w:r w:rsidR="006B5653" w:rsidRPr="00447F91">
              <w:rPr>
                <w:sz w:val="20"/>
                <w:lang w:val="fr-BE"/>
              </w:rPr>
              <w:t>)</w:t>
            </w:r>
            <w:r w:rsidRPr="00447F91">
              <w:rPr>
                <w:sz w:val="20"/>
                <w:lang w:val="fr-BE"/>
              </w:rPr>
              <w:t xml:space="preserve"> 608 38 04, </w:t>
            </w:r>
            <w:r w:rsidR="006B5653" w:rsidRPr="00447F91">
              <w:rPr>
                <w:sz w:val="20"/>
                <w:lang w:val="fr-BE"/>
              </w:rPr>
              <w:t>(</w:t>
            </w:r>
            <w:r w:rsidRPr="00447F91">
              <w:rPr>
                <w:sz w:val="20"/>
                <w:lang w:val="fr-BE"/>
              </w:rPr>
              <w:t>+48 22</w:t>
            </w:r>
            <w:r w:rsidR="006B5653" w:rsidRPr="00447F91">
              <w:rPr>
                <w:sz w:val="20"/>
                <w:lang w:val="fr-BE"/>
              </w:rPr>
              <w:t>)</w:t>
            </w:r>
            <w:r w:rsidRPr="00447F91">
              <w:rPr>
                <w:sz w:val="20"/>
                <w:lang w:val="fr-BE"/>
              </w:rPr>
              <w:t xml:space="preserve"> 449 41 45, </w:t>
            </w:r>
          </w:p>
          <w:p w14:paraId="54C318EE" w14:textId="07703AEE" w:rsidR="00CF7C09" w:rsidRPr="00447F91" w:rsidRDefault="00146339" w:rsidP="00CF7C09">
            <w:pPr>
              <w:spacing w:before="0"/>
              <w:rPr>
                <w:sz w:val="20"/>
                <w:lang w:val="fr-BE"/>
              </w:rPr>
            </w:pPr>
            <w:r w:rsidRPr="00447F91">
              <w:rPr>
                <w:sz w:val="20"/>
                <w:lang w:val="fr-BE"/>
              </w:rPr>
              <w:t xml:space="preserve">             </w:t>
            </w:r>
            <w:r w:rsidR="006B5653" w:rsidRPr="00447F91">
              <w:rPr>
                <w:sz w:val="20"/>
                <w:lang w:val="fr-BE"/>
              </w:rPr>
              <w:t>(</w:t>
            </w:r>
            <w:r w:rsidR="00CF7C09" w:rsidRPr="00447F91">
              <w:rPr>
                <w:sz w:val="20"/>
                <w:lang w:val="fr-BE"/>
              </w:rPr>
              <w:t>+48 22</w:t>
            </w:r>
            <w:r w:rsidR="006B5653" w:rsidRPr="00447F91">
              <w:rPr>
                <w:sz w:val="20"/>
                <w:lang w:val="fr-BE"/>
              </w:rPr>
              <w:t>)</w:t>
            </w:r>
            <w:r w:rsidR="00CF7C09" w:rsidRPr="00447F91">
              <w:rPr>
                <w:sz w:val="20"/>
                <w:lang w:val="fr-BE"/>
              </w:rPr>
              <w:t xml:space="preserve"> 608 30 09</w:t>
            </w:r>
          </w:p>
          <w:p w14:paraId="3CC62B04" w14:textId="2A19EDE6" w:rsidR="00DE2400" w:rsidRPr="008E3E9E" w:rsidRDefault="00CF7C09" w:rsidP="008E3E9E">
            <w:pPr>
              <w:pStyle w:val="Nagwek3"/>
              <w:spacing w:before="0" w:after="120" w:line="276" w:lineRule="auto"/>
              <w:outlineLvl w:val="2"/>
              <w:rPr>
                <w:rFonts w:ascii="Fira Sans" w:hAnsi="Fira Sans" w:cs="Arial"/>
                <w:color w:val="000000" w:themeColor="text1"/>
                <w:sz w:val="20"/>
                <w:lang w:val="fi-FI"/>
              </w:rPr>
            </w:pPr>
            <w:r w:rsidRPr="00447F91">
              <w:rPr>
                <w:b/>
                <w:sz w:val="20"/>
                <w:lang w:val="fr-BE"/>
              </w:rPr>
              <w:t>e-mail:</w:t>
            </w:r>
            <w:r w:rsidRPr="00447F91">
              <w:rPr>
                <w:sz w:val="20"/>
                <w:lang w:val="fr-BE"/>
              </w:rPr>
              <w:t xml:space="preserve"> </w:t>
            </w:r>
            <w:hyperlink r:id="rId24" w:history="1">
              <w:r w:rsidRPr="00447F91">
                <w:rPr>
                  <w:rStyle w:val="Hipercze"/>
                  <w:rFonts w:cs="Arial"/>
                  <w:b/>
                  <w:color w:val="auto"/>
                  <w:sz w:val="20"/>
                  <w:szCs w:val="20"/>
                  <w:lang w:val="fr-BE"/>
                </w:rPr>
                <w:t>obslugaprasowa@stat.gov.pl</w:t>
              </w:r>
            </w:hyperlink>
          </w:p>
        </w:tc>
      </w:tr>
      <w:tr w:rsidR="00DE2400" w14:paraId="28647E7C" w14:textId="77777777" w:rsidTr="00734A0B">
        <w:trPr>
          <w:trHeight w:val="377"/>
        </w:trPr>
        <w:tc>
          <w:tcPr>
            <w:tcW w:w="4906" w:type="dxa"/>
            <w:vMerge w:val="restart"/>
          </w:tcPr>
          <w:p w14:paraId="07C73DA1" w14:textId="64AA54DD" w:rsidR="00DE2400" w:rsidRPr="008E3E9E" w:rsidRDefault="008E3E9E" w:rsidP="008E3E9E">
            <w:pPr>
              <w:pStyle w:val="Nagwek3"/>
              <w:spacing w:before="0" w:after="120" w:line="276" w:lineRule="auto"/>
              <w:outlineLvl w:val="2"/>
              <w:rPr>
                <w:rFonts w:ascii="Fira Sans" w:hAnsi="Fira Sans" w:cs="Arial"/>
                <w:color w:val="000000" w:themeColor="text1"/>
                <w:sz w:val="20"/>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(+48 1</w:t>
            </w:r>
            <w:r w:rsidRPr="008F3638">
              <w:rPr>
                <w:rFonts w:ascii="Fira Sans" w:hAnsi="Fira Sans" w:cs="Arial"/>
                <w:color w:val="000000" w:themeColor="text1"/>
                <w:sz w:val="20"/>
                <w:lang w:val="fi-FI"/>
              </w:rPr>
              <w:t>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rPr>
              <w:t>420</w:t>
            </w:r>
            <w:r w:rsidRPr="00EA1264">
              <w:rPr>
                <w:rFonts w:ascii="Fira Sans" w:hAnsi="Fira Sans" w:cs="Arial"/>
                <w:color w:val="000000" w:themeColor="text1"/>
                <w:sz w:val="20"/>
              </w:rPr>
              <w:t xml:space="preserve"> </w:t>
            </w:r>
            <w:r>
              <w:rPr>
                <w:rFonts w:ascii="Fira Sans" w:hAnsi="Fira Sans" w:cs="Arial"/>
                <w:color w:val="000000" w:themeColor="text1"/>
                <w:sz w:val="20"/>
              </w:rPr>
              <w:t>4</w:t>
            </w:r>
            <w:r w:rsidRPr="00EA1264">
              <w:rPr>
                <w:rFonts w:ascii="Fira Sans" w:hAnsi="Fira Sans" w:cs="Arial"/>
                <w:color w:val="000000" w:themeColor="text1"/>
                <w:sz w:val="20"/>
              </w:rPr>
              <w:t xml:space="preserve">0 </w:t>
            </w:r>
            <w:r>
              <w:rPr>
                <w:rFonts w:ascii="Fira Sans" w:hAnsi="Fira Sans" w:cs="Arial"/>
                <w:color w:val="000000" w:themeColor="text1"/>
                <w:sz w:val="20"/>
              </w:rPr>
              <w:t>50</w:t>
            </w:r>
          </w:p>
        </w:tc>
        <w:tc>
          <w:tcPr>
            <w:tcW w:w="490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2B152B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734A0B">
        <w:trPr>
          <w:trHeight w:val="377"/>
        </w:trPr>
        <w:tc>
          <w:tcPr>
            <w:tcW w:w="4906" w:type="dxa"/>
            <w:vMerge/>
          </w:tcPr>
          <w:p w14:paraId="3255344A" w14:textId="77777777" w:rsidR="00DE1D0A" w:rsidRPr="00C91687" w:rsidRDefault="00DE1D0A" w:rsidP="00DE1D0A">
            <w:pPr>
              <w:rPr>
                <w:b/>
                <w:sz w:val="20"/>
              </w:rPr>
            </w:pPr>
          </w:p>
        </w:tc>
        <w:tc>
          <w:tcPr>
            <w:tcW w:w="490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1A59E49A">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734A0B">
        <w:trPr>
          <w:trHeight w:val="433"/>
        </w:trPr>
        <w:tc>
          <w:tcPr>
            <w:tcW w:w="4906" w:type="dxa"/>
            <w:vMerge/>
          </w:tcPr>
          <w:p w14:paraId="231798A1" w14:textId="77777777" w:rsidR="00DE1D0A" w:rsidRPr="00C91687" w:rsidRDefault="00DE1D0A" w:rsidP="00DE1D0A">
            <w:pPr>
              <w:rPr>
                <w:b/>
                <w:sz w:val="20"/>
              </w:rPr>
            </w:pPr>
          </w:p>
        </w:tc>
        <w:tc>
          <w:tcPr>
            <w:tcW w:w="490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27B26AA0">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734A0B">
        <w:trPr>
          <w:trHeight w:val="433"/>
        </w:trPr>
        <w:tc>
          <w:tcPr>
            <w:tcW w:w="4906" w:type="dxa"/>
          </w:tcPr>
          <w:p w14:paraId="0DD5A4BE" w14:textId="77777777" w:rsidR="00DE1D0A" w:rsidRPr="00C91687" w:rsidRDefault="00DE1D0A" w:rsidP="00DE1D0A">
            <w:pPr>
              <w:rPr>
                <w:b/>
                <w:sz w:val="20"/>
              </w:rPr>
            </w:pPr>
          </w:p>
        </w:tc>
        <w:tc>
          <w:tcPr>
            <w:tcW w:w="490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04EA32FB">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734A0B">
        <w:trPr>
          <w:trHeight w:val="433"/>
        </w:trPr>
        <w:tc>
          <w:tcPr>
            <w:tcW w:w="4906" w:type="dxa"/>
          </w:tcPr>
          <w:p w14:paraId="327B582C" w14:textId="77777777" w:rsidR="00DE1D0A" w:rsidRPr="00C91687" w:rsidRDefault="00DE1D0A" w:rsidP="00DE1D0A">
            <w:pPr>
              <w:rPr>
                <w:b/>
                <w:sz w:val="20"/>
              </w:rPr>
            </w:pPr>
          </w:p>
        </w:tc>
        <w:tc>
          <w:tcPr>
            <w:tcW w:w="490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2B58B37B">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734A0B">
        <w:trPr>
          <w:trHeight w:val="860"/>
        </w:trPr>
        <w:tc>
          <w:tcPr>
            <w:tcW w:w="4906" w:type="dxa"/>
          </w:tcPr>
          <w:p w14:paraId="3605F212" w14:textId="77777777" w:rsidR="00DE1D0A" w:rsidRPr="00C91687" w:rsidRDefault="00DE1D0A" w:rsidP="00DE1D0A">
            <w:pPr>
              <w:rPr>
                <w:b/>
                <w:sz w:val="20"/>
              </w:rPr>
            </w:pPr>
          </w:p>
        </w:tc>
        <w:tc>
          <w:tcPr>
            <w:tcW w:w="490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2C0DE00A">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47F91" w14:paraId="385E56CC" w14:textId="77777777" w:rsidTr="00734A0B">
        <w:trPr>
          <w:trHeight w:val="3713"/>
        </w:trPr>
        <w:tc>
          <w:tcPr>
            <w:tcW w:w="9814" w:type="dxa"/>
            <w:gridSpan w:val="2"/>
            <w:shd w:val="clear" w:color="auto" w:fill="D9D9D9" w:themeFill="background1" w:themeFillShade="D9"/>
          </w:tcPr>
          <w:p w14:paraId="08948A60" w14:textId="49BD2C24" w:rsidR="00DE2400" w:rsidRDefault="00CA784C" w:rsidP="00747B8C">
            <w:pPr>
              <w:shd w:val="clear" w:color="auto" w:fill="D9D9D9" w:themeFill="background1" w:themeFillShade="D9"/>
              <w:rPr>
                <w:b/>
                <w:lang w:val="en-GB"/>
              </w:rPr>
            </w:pPr>
            <w:r w:rsidRPr="00CF7C09">
              <w:rPr>
                <w:b/>
                <w:lang w:val="en-GB"/>
              </w:rPr>
              <w:t>Related information</w:t>
            </w:r>
          </w:p>
          <w:p w14:paraId="483C969C" w14:textId="04310A53" w:rsidR="00225350" w:rsidRDefault="00001B61" w:rsidP="00747B8C">
            <w:pPr>
              <w:shd w:val="clear" w:color="auto" w:fill="D9D9D9" w:themeFill="background1" w:themeFillShade="D9"/>
              <w:rPr>
                <w:bCs/>
                <w:lang w:val="en-GB"/>
              </w:rPr>
            </w:pPr>
            <w:hyperlink r:id="rId31" w:history="1">
              <w:r w:rsidR="00225350" w:rsidRPr="00225350">
                <w:rPr>
                  <w:rStyle w:val="Hipercze"/>
                  <w:rFonts w:cstheme="minorBidi"/>
                  <w:bCs/>
                  <w:lang w:val="en-GB"/>
                </w:rPr>
                <w:t>Management and integration activities of social economy entities in 2023</w:t>
              </w:r>
            </w:hyperlink>
          </w:p>
          <w:p w14:paraId="3FCA0162" w14:textId="065576F1" w:rsidR="00F87C0D" w:rsidRDefault="00001B61" w:rsidP="00747B8C">
            <w:pPr>
              <w:shd w:val="clear" w:color="auto" w:fill="D9D9D9" w:themeFill="background1" w:themeFillShade="D9"/>
              <w:rPr>
                <w:bCs/>
                <w:lang w:val="en-GB"/>
              </w:rPr>
            </w:pPr>
            <w:hyperlink r:id="rId32" w:history="1">
              <w:r w:rsidR="00F87C0D" w:rsidRPr="00F87C0D">
                <w:rPr>
                  <w:rStyle w:val="Hipercze"/>
                  <w:rFonts w:cstheme="minorBidi"/>
                  <w:bCs/>
                  <w:lang w:val="en-GB"/>
                </w:rPr>
                <w:t>Cooperation of social economy entities in 2023</w:t>
              </w:r>
            </w:hyperlink>
          </w:p>
          <w:p w14:paraId="5486428B" w14:textId="63B576EA" w:rsidR="00F87C0D" w:rsidRDefault="00001B61" w:rsidP="00747B8C">
            <w:pPr>
              <w:shd w:val="clear" w:color="auto" w:fill="D9D9D9" w:themeFill="background1" w:themeFillShade="D9"/>
              <w:rPr>
                <w:bCs/>
                <w:lang w:val="en-GB"/>
              </w:rPr>
            </w:pPr>
            <w:hyperlink r:id="rId33" w:history="1">
              <w:r w:rsidR="00F87C0D" w:rsidRPr="00F87C0D">
                <w:rPr>
                  <w:rStyle w:val="Hipercze"/>
                  <w:rFonts w:cstheme="minorBidi"/>
                  <w:bCs/>
                  <w:lang w:val="en-GB"/>
                </w:rPr>
                <w:t>Non-governmental organizations as social economy entities in 2019–2023</w:t>
              </w:r>
            </w:hyperlink>
          </w:p>
          <w:p w14:paraId="691622E2" w14:textId="2F006797" w:rsidR="00F87C0D" w:rsidRDefault="00001B61" w:rsidP="00747B8C">
            <w:pPr>
              <w:shd w:val="clear" w:color="auto" w:fill="D9D9D9" w:themeFill="background1" w:themeFillShade="D9"/>
              <w:rPr>
                <w:bCs/>
                <w:lang w:val="en-GB"/>
              </w:rPr>
            </w:pPr>
            <w:hyperlink r:id="rId34" w:history="1">
              <w:r w:rsidR="00F87C0D" w:rsidRPr="00F87C0D">
                <w:rPr>
                  <w:rStyle w:val="Hipercze"/>
                  <w:rFonts w:cstheme="minorBidi"/>
                  <w:bCs/>
                  <w:lang w:val="en-GB"/>
                </w:rPr>
                <w:t>The non-profit sector in 2022</w:t>
              </w:r>
            </w:hyperlink>
          </w:p>
          <w:p w14:paraId="458D3940" w14:textId="2103E602" w:rsidR="00DE2400" w:rsidRPr="00F87C0D" w:rsidRDefault="00001B61" w:rsidP="00F87C0D">
            <w:pPr>
              <w:shd w:val="clear" w:color="auto" w:fill="D9D9D9" w:themeFill="background1" w:themeFillShade="D9"/>
              <w:rPr>
                <w:rStyle w:val="Hipercze"/>
                <w:rFonts w:cstheme="minorBidi"/>
                <w:bCs/>
                <w:color w:val="auto"/>
                <w:u w:val="none"/>
                <w:lang w:val="en-GB"/>
              </w:rPr>
            </w:pPr>
            <w:hyperlink r:id="rId35" w:history="1">
              <w:r w:rsidR="00F87C0D" w:rsidRPr="00F87C0D">
                <w:rPr>
                  <w:rStyle w:val="Hipercze"/>
                  <w:rFonts w:cstheme="minorBidi"/>
                  <w:bCs/>
                  <w:lang w:val="en-GB"/>
                </w:rPr>
                <w:t>Methodological report. Non-profit organizations: associations, foundations, business and professional associations and faith-based charities</w:t>
              </w:r>
            </w:hyperlink>
            <w:r w:rsidR="00CF18EE">
              <w:rPr>
                <w:rFonts w:cs="Times New Roman"/>
              </w:rPr>
              <w:fldChar w:fldCharType="begin"/>
            </w:r>
            <w:r w:rsidR="00001862" w:rsidRPr="00CF7C09">
              <w:rPr>
                <w:rFonts w:cs="Times New Roman"/>
                <w:lang w:val="en-GB"/>
              </w:rPr>
              <w:instrText>HYPERLINK "https://stat.gov.pl/" \o "description hyperlink "</w:instrText>
            </w:r>
            <w:r w:rsidR="00CF18EE">
              <w:rPr>
                <w:rFonts w:cs="Times New Roman"/>
              </w:rPr>
              <w:fldChar w:fldCharType="separate"/>
            </w:r>
          </w:p>
          <w:p w14:paraId="55DA24D0" w14:textId="32A8749D" w:rsidR="00DE2400" w:rsidRDefault="00CF18EE" w:rsidP="00734A0B">
            <w:pPr>
              <w:rPr>
                <w:b/>
                <w:color w:val="000000" w:themeColor="text1"/>
                <w:szCs w:val="24"/>
                <w:lang w:val="en-GB"/>
              </w:rPr>
            </w:pPr>
            <w:r>
              <w:rPr>
                <w:rFonts w:cs="Times New Roman"/>
              </w:rPr>
              <w:fldChar w:fldCharType="end"/>
            </w:r>
            <w:r w:rsidR="000F569C" w:rsidRPr="00CF7C09">
              <w:rPr>
                <w:b/>
                <w:color w:val="000000" w:themeColor="text1"/>
                <w:szCs w:val="24"/>
                <w:lang w:val="en-GB"/>
              </w:rPr>
              <w:t>Data available in databases</w:t>
            </w:r>
          </w:p>
          <w:p w14:paraId="4064FA84" w14:textId="0B7022CC" w:rsidR="00F87C0D" w:rsidRDefault="00001B61" w:rsidP="00734A0B">
            <w:pPr>
              <w:rPr>
                <w:bCs/>
                <w:color w:val="000000" w:themeColor="text1"/>
                <w:szCs w:val="24"/>
                <w:lang w:val="en-GB"/>
              </w:rPr>
            </w:pPr>
            <w:hyperlink r:id="rId36" w:history="1">
              <w:r w:rsidR="00F87C0D" w:rsidRPr="00F87C0D">
                <w:rPr>
                  <w:rStyle w:val="Hipercze"/>
                  <w:rFonts w:cstheme="minorBidi"/>
                  <w:bCs/>
                  <w:szCs w:val="24"/>
                  <w:lang w:val="en-GB"/>
                </w:rPr>
                <w:t>Local Data Bank Social economy</w:t>
              </w:r>
            </w:hyperlink>
          </w:p>
          <w:p w14:paraId="2CC3343A" w14:textId="272F267D" w:rsidR="00DE2400" w:rsidRPr="00937E11" w:rsidRDefault="00001B61" w:rsidP="00747B8C">
            <w:pPr>
              <w:rPr>
                <w:rStyle w:val="Hipercze"/>
                <w:rFonts w:cstheme="minorBidi"/>
                <w:bCs/>
                <w:color w:val="000000" w:themeColor="text1"/>
                <w:szCs w:val="24"/>
                <w:u w:val="none"/>
                <w:lang w:val="en-GB"/>
              </w:rPr>
            </w:pPr>
            <w:hyperlink r:id="rId37" w:history="1">
              <w:r w:rsidR="00937E11" w:rsidRPr="00937E11">
                <w:rPr>
                  <w:rStyle w:val="Hipercze"/>
                  <w:rFonts w:cstheme="minorBidi"/>
                  <w:bCs/>
                  <w:szCs w:val="24"/>
                  <w:lang w:val="en-GB"/>
                </w:rPr>
                <w:t>Knowledge Databases Social economy</w:t>
              </w:r>
            </w:hyperlink>
            <w:r w:rsidR="00CF18EE">
              <w:rPr>
                <w:rFonts w:cs="Times New Roman"/>
              </w:rPr>
              <w:fldChar w:fldCharType="begin"/>
            </w:r>
            <w:r w:rsidR="00001862" w:rsidRPr="00CF7C09">
              <w:rPr>
                <w:rFonts w:cs="Times New Roman"/>
                <w:lang w:val="en-GB"/>
              </w:rPr>
              <w:instrText>HYPERLINK "https://stat.gov.pl/" \o "description hyperlink "</w:instrText>
            </w:r>
            <w:r w:rsidR="00CF18EE">
              <w:rPr>
                <w:rFonts w:cs="Times New Roman"/>
              </w:rPr>
              <w:fldChar w:fldCharType="separate"/>
            </w:r>
          </w:p>
          <w:p w14:paraId="6EC7A51E" w14:textId="41C3873D" w:rsidR="00B16871" w:rsidRDefault="00CF18EE" w:rsidP="00734A0B">
            <w:pPr>
              <w:rPr>
                <w:b/>
                <w:color w:val="000000" w:themeColor="text1"/>
                <w:szCs w:val="24"/>
                <w:lang w:val="en-GB"/>
              </w:rPr>
            </w:pPr>
            <w:r>
              <w:rPr>
                <w:rFonts w:cs="Times New Roman"/>
              </w:rPr>
              <w:fldChar w:fldCharType="end"/>
            </w:r>
            <w:r w:rsidR="00CA784C" w:rsidRPr="00CF7C09">
              <w:rPr>
                <w:b/>
                <w:color w:val="000000" w:themeColor="text1"/>
                <w:szCs w:val="24"/>
                <w:lang w:val="en-GB"/>
              </w:rPr>
              <w:t>Terms used inn official statistics</w:t>
            </w:r>
          </w:p>
          <w:p w14:paraId="7DDE0FC9" w14:textId="21E067F2" w:rsidR="008E3E9E" w:rsidRPr="008E3E9E" w:rsidRDefault="00001B61" w:rsidP="00734A0B">
            <w:pPr>
              <w:rPr>
                <w:bCs/>
                <w:color w:val="000000" w:themeColor="text1"/>
                <w:szCs w:val="24"/>
                <w:lang w:val="en-GB"/>
              </w:rPr>
            </w:pPr>
            <w:hyperlink r:id="rId38" w:history="1">
              <w:r w:rsidR="008E3E9E" w:rsidRPr="008E3E9E">
                <w:rPr>
                  <w:rStyle w:val="Hipercze"/>
                  <w:rFonts w:cstheme="minorBidi"/>
                  <w:bCs/>
                  <w:szCs w:val="24"/>
                  <w:lang w:val="en-GB"/>
                </w:rPr>
                <w:t>Non-governmental organisation</w:t>
              </w:r>
            </w:hyperlink>
          </w:p>
          <w:p w14:paraId="3164ACEE" w14:textId="467EC4C8" w:rsidR="00937E11" w:rsidRDefault="00001B61" w:rsidP="00734A0B">
            <w:pPr>
              <w:rPr>
                <w:bCs/>
                <w:color w:val="000000" w:themeColor="text1"/>
                <w:szCs w:val="24"/>
                <w:lang w:val="en-GB"/>
              </w:rPr>
            </w:pPr>
            <w:hyperlink r:id="rId39" w:history="1">
              <w:r w:rsidR="00937E11">
                <w:rPr>
                  <w:rStyle w:val="Hipercze"/>
                  <w:rFonts w:cstheme="minorBidi"/>
                  <w:bCs/>
                  <w:szCs w:val="24"/>
                  <w:lang w:val="en-GB"/>
                </w:rPr>
                <w:t>Public benefit organisation</w:t>
              </w:r>
            </w:hyperlink>
          </w:p>
          <w:p w14:paraId="59EB7117" w14:textId="7B5D1550" w:rsidR="00DE2400" w:rsidRPr="00937E11" w:rsidRDefault="00001B61" w:rsidP="00747B8C">
            <w:pPr>
              <w:rPr>
                <w:bCs/>
                <w:color w:val="000000" w:themeColor="text1"/>
                <w:szCs w:val="24"/>
                <w:lang w:val="en-GB"/>
              </w:rPr>
            </w:pPr>
            <w:hyperlink r:id="rId40" w:history="1">
              <w:r w:rsidR="00937E11" w:rsidRPr="00937E11">
                <w:rPr>
                  <w:rStyle w:val="Hipercze"/>
                  <w:rFonts w:cstheme="minorBidi"/>
                  <w:bCs/>
                  <w:szCs w:val="24"/>
                  <w:lang w:val="en-GB"/>
                </w:rPr>
                <w:t>Volunteering</w:t>
              </w:r>
            </w:hyperlink>
          </w:p>
        </w:tc>
      </w:tr>
    </w:tbl>
    <w:p w14:paraId="1634A8FA" w14:textId="77777777" w:rsidR="000470AA" w:rsidRPr="00CF7C09"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447F91"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CF7C09" w:rsidRDefault="000470AA" w:rsidP="000470AA">
      <w:pPr>
        <w:rPr>
          <w:sz w:val="20"/>
          <w:lang w:val="en-GB"/>
        </w:rPr>
      </w:pPr>
    </w:p>
    <w:p w14:paraId="7C19EFAE" w14:textId="5AAD912C" w:rsidR="00D261A2" w:rsidRPr="00CF7C09" w:rsidRDefault="00D261A2" w:rsidP="00AD0E56">
      <w:pPr>
        <w:rPr>
          <w:sz w:val="18"/>
          <w:lang w:val="en-GB"/>
        </w:rPr>
      </w:pPr>
    </w:p>
    <w:sectPr w:rsidR="00D261A2" w:rsidRPr="00CF7C09" w:rsidSect="003B18B6">
      <w:headerReference w:type="default" r:id="rId41"/>
      <w:footerReference w:type="default" r:id="rId4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1375A523-C787-438D-918A-20AD0D88FE3A}"/>
    <w:embedBold r:id="rId2" w:fontKey="{B9C80AE0-ACE8-4F2D-A975-84085DF0829B}"/>
  </w:font>
  <w:font w:name="Fira Sans Light">
    <w:panose1 w:val="020B0403050000020004"/>
    <w:charset w:val="EE"/>
    <w:family w:val="swiss"/>
    <w:pitch w:val="variable"/>
    <w:sig w:usb0="600002FF" w:usb1="02000001" w:usb2="00000000" w:usb3="00000000" w:csb0="0000019F" w:csb1="00000000"/>
    <w:embedRegular r:id="rId3" w:fontKey="{FD4BF186-BB03-44E8-BD32-494377351AA0}"/>
    <w:embedBold r:id="rId4" w:fontKey="{8EBB3CD0-9C86-42FE-BB88-EC740913C58E}"/>
  </w:font>
  <w:font w:name="Fira Sans SemiBold">
    <w:panose1 w:val="020B0603050000020004"/>
    <w:charset w:val="EE"/>
    <w:family w:val="swiss"/>
    <w:pitch w:val="variable"/>
    <w:sig w:usb0="600002FF" w:usb1="02000001" w:usb2="00000000" w:usb3="00000000" w:csb0="0000019F" w:csb1="00000000"/>
    <w:embedRegular r:id="rId5" w:fontKey="{DA60DD32-3332-471F-AF67-1CC5EECF9424}"/>
    <w:embedBold r:id="rId6" w:fontKey="{4307C6C8-FEDC-467A-A976-0CD07A5D6BD4}"/>
  </w:font>
  <w:font w:name="Fira Sans Medium">
    <w:panose1 w:val="020B0603050000020004"/>
    <w:charset w:val="EE"/>
    <w:family w:val="swiss"/>
    <w:pitch w:val="variable"/>
    <w:sig w:usb0="600002FF" w:usb1="02000001" w:usb2="00000000" w:usb3="00000000" w:csb0="0000019F" w:csb1="00000000"/>
    <w:embedRegular r:id="rId7" w:fontKey="{581CCA65-276F-466B-8C14-C8952B22BAC1}"/>
    <w:embedBold r:id="rId8" w:fontKey="{4F46BD5F-A093-42B9-8222-F9BE8074CB0E}"/>
    <w:embedItalic r:id="rId9" w:fontKey="{4CE880C0-968F-4437-BBC3-CFE7BFDD7650}"/>
  </w:font>
  <w:font w:name="Segoe UI">
    <w:panose1 w:val="020B0502040204020203"/>
    <w:charset w:val="EE"/>
    <w:family w:val="swiss"/>
    <w:pitch w:val="variable"/>
    <w:sig w:usb0="E4002EFF" w:usb1="C000E47F" w:usb2="00000009" w:usb3="00000000" w:csb0="000001FF" w:csb1="00000000"/>
    <w:embedRegular r:id="rId10" w:fontKey="{D676011D-8776-47B8-8E4C-9333670C88FA}"/>
  </w:font>
  <w:font w:name="Fira Sans Extra Condensed SemiB">
    <w:panose1 w:val="020B0603050000020004"/>
    <w:charset w:val="EE"/>
    <w:family w:val="swiss"/>
    <w:pitch w:val="variable"/>
    <w:sig w:usb0="600002FF" w:usb1="00000001" w:usb2="00000000" w:usb3="00000000" w:csb0="0000019F" w:csb1="00000000"/>
    <w:embedRegular r:id="rId11" w:fontKey="{B7E857ED-569F-4DDA-855B-F255A0D56555}"/>
  </w:font>
  <w:font w:name="Calibri">
    <w:panose1 w:val="020F0502020204030204"/>
    <w:charset w:val="EE"/>
    <w:family w:val="swiss"/>
    <w:pitch w:val="variable"/>
    <w:sig w:usb0="E4002EFF" w:usb1="C200247B" w:usb2="00000009" w:usb3="00000000" w:csb0="000001FF" w:csb1="00000000"/>
    <w:embedRegular r:id="rId12" w:fontKey="{E0364A36-2345-40FA-A185-4A2B9D7ADC1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9D4502">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9D450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9D4502">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 w:id="1">
    <w:p w14:paraId="00E0BDDC" w14:textId="5119AB9B" w:rsidR="00DF7C4B" w:rsidRPr="00403E43" w:rsidRDefault="00DF7C4B">
      <w:pPr>
        <w:pStyle w:val="Tekstprzypisudolnego"/>
        <w:rPr>
          <w:sz w:val="16"/>
          <w:szCs w:val="16"/>
          <w:lang w:val="en-US"/>
        </w:rPr>
      </w:pPr>
      <w:r w:rsidRPr="000A7248">
        <w:rPr>
          <w:rStyle w:val="Odwoanieprzypisudolnego"/>
          <w:sz w:val="16"/>
          <w:szCs w:val="16"/>
        </w:rPr>
        <w:footnoteRef/>
      </w:r>
      <w:r w:rsidRPr="00403E43">
        <w:rPr>
          <w:sz w:val="16"/>
          <w:szCs w:val="16"/>
          <w:lang w:val="en-US"/>
        </w:rPr>
        <w:t xml:space="preserve"> </w:t>
      </w:r>
      <w:r w:rsidR="00403E43" w:rsidRPr="00403E43">
        <w:rPr>
          <w:sz w:val="16"/>
          <w:szCs w:val="16"/>
          <w:lang w:val="en-US"/>
        </w:rPr>
        <w:t xml:space="preserve">The presented </w:t>
      </w:r>
      <w:r w:rsidR="0018197F">
        <w:rPr>
          <w:sz w:val="16"/>
          <w:szCs w:val="16"/>
          <w:lang w:val="en-US"/>
        </w:rPr>
        <w:t>community</w:t>
      </w:r>
      <w:r w:rsidR="00403E43" w:rsidRPr="00403E43">
        <w:rPr>
          <w:sz w:val="16"/>
          <w:szCs w:val="16"/>
          <w:lang w:val="en-US"/>
        </w:rPr>
        <w:t xml:space="preserve"> of non-governmental organizations differs from that presented in the news releases “Activities of associations and similar organizations, foundations, </w:t>
      </w:r>
      <w:r w:rsidR="00403E43">
        <w:rPr>
          <w:sz w:val="16"/>
          <w:szCs w:val="16"/>
          <w:lang w:val="en-US"/>
        </w:rPr>
        <w:t>f</w:t>
      </w:r>
      <w:r w:rsidR="00403E43" w:rsidRPr="00403E43">
        <w:rPr>
          <w:sz w:val="16"/>
          <w:szCs w:val="16"/>
          <w:lang w:val="en-US"/>
        </w:rPr>
        <w:t xml:space="preserve">aith-based charities, </w:t>
      </w:r>
      <w:r w:rsidR="00403E43">
        <w:rPr>
          <w:sz w:val="16"/>
          <w:szCs w:val="16"/>
          <w:lang w:val="en-US"/>
        </w:rPr>
        <w:t>b</w:t>
      </w:r>
      <w:r w:rsidR="00403E43" w:rsidRPr="00403E43">
        <w:rPr>
          <w:sz w:val="16"/>
          <w:szCs w:val="16"/>
          <w:lang w:val="en-US"/>
        </w:rPr>
        <w:t xml:space="preserve">usiness and </w:t>
      </w:r>
      <w:r w:rsidR="00403E43">
        <w:rPr>
          <w:sz w:val="16"/>
          <w:szCs w:val="16"/>
          <w:lang w:val="en-US"/>
        </w:rPr>
        <w:t>p</w:t>
      </w:r>
      <w:r w:rsidR="00403E43" w:rsidRPr="00403E43">
        <w:rPr>
          <w:sz w:val="16"/>
          <w:szCs w:val="16"/>
          <w:lang w:val="en-US"/>
        </w:rPr>
        <w:t xml:space="preserve">rofessional </w:t>
      </w:r>
      <w:r w:rsidR="00616EB6">
        <w:rPr>
          <w:sz w:val="16"/>
          <w:szCs w:val="16"/>
          <w:lang w:val="en-US"/>
        </w:rPr>
        <w:t>a</w:t>
      </w:r>
      <w:r w:rsidR="00403E43" w:rsidRPr="00403E43">
        <w:rPr>
          <w:sz w:val="16"/>
          <w:szCs w:val="16"/>
          <w:lang w:val="en-US"/>
        </w:rPr>
        <w:t>ssociations in 2022 – preliminary results” as it does not include professional associations.</w:t>
      </w:r>
    </w:p>
  </w:footnote>
  <w:footnote w:id="2">
    <w:p w14:paraId="696DBE3A" w14:textId="60D935D8" w:rsidR="00DF7C4B" w:rsidRPr="00403E43" w:rsidRDefault="00DF7C4B" w:rsidP="000A7248">
      <w:pPr>
        <w:pStyle w:val="Tekstprzypisudolnego"/>
        <w:spacing w:before="0"/>
        <w:rPr>
          <w:sz w:val="16"/>
          <w:szCs w:val="16"/>
          <w:lang w:val="en-US"/>
        </w:rPr>
      </w:pPr>
      <w:r w:rsidRPr="000A7248">
        <w:rPr>
          <w:rStyle w:val="Odwoanieprzypisudolnego"/>
          <w:sz w:val="16"/>
          <w:szCs w:val="16"/>
        </w:rPr>
        <w:footnoteRef/>
      </w:r>
      <w:r w:rsidRPr="001F6CDA">
        <w:rPr>
          <w:sz w:val="16"/>
          <w:szCs w:val="16"/>
          <w:lang w:val="en-US"/>
        </w:rPr>
        <w:t xml:space="preserve"> </w:t>
      </w:r>
      <w:r w:rsidR="00403E43" w:rsidRPr="00403E43">
        <w:rPr>
          <w:sz w:val="16"/>
          <w:szCs w:val="16"/>
          <w:lang w:val="en-US"/>
        </w:rPr>
        <w:t>In this study, associations and other social organizations, excluding sports associations, sports unions, volunteer fire brigades and hunting clubs, were defined as “typical.”</w:t>
      </w:r>
    </w:p>
  </w:footnote>
  <w:footnote w:id="3">
    <w:p w14:paraId="2CA24DAB" w14:textId="6A5C69C8" w:rsidR="000C208B" w:rsidRPr="000C208B" w:rsidRDefault="000C208B">
      <w:pPr>
        <w:pStyle w:val="Tekstprzypisudolnego"/>
        <w:rPr>
          <w:sz w:val="16"/>
          <w:szCs w:val="16"/>
          <w:lang w:val="en-US"/>
        </w:rPr>
      </w:pPr>
      <w:r w:rsidRPr="000C208B">
        <w:rPr>
          <w:rStyle w:val="Odwoanieprzypisudolnego"/>
          <w:sz w:val="16"/>
          <w:szCs w:val="16"/>
        </w:rPr>
        <w:footnoteRef/>
      </w:r>
      <w:r w:rsidRPr="000C208B">
        <w:rPr>
          <w:sz w:val="16"/>
          <w:szCs w:val="16"/>
          <w:lang w:val="en-US"/>
        </w:rPr>
        <w:t xml:space="preserve"> An ordinary association is a simplified form of association without legal personality. It may be established by at least three persons and operates on the basis of its rules and regulations and an entry in the register kept by the starosta relevant for the association's registered office (cf. </w:t>
      </w:r>
      <w:r w:rsidR="00B95CCE">
        <w:rPr>
          <w:sz w:val="16"/>
          <w:szCs w:val="16"/>
          <w:lang w:val="en-US"/>
        </w:rPr>
        <w:t xml:space="preserve">The </w:t>
      </w:r>
      <w:r w:rsidRPr="000C208B">
        <w:rPr>
          <w:sz w:val="16"/>
          <w:szCs w:val="16"/>
          <w:lang w:val="en-US"/>
        </w:rPr>
        <w:t xml:space="preserve">Act of </w:t>
      </w:r>
      <w:r w:rsidR="00B95CCE">
        <w:rPr>
          <w:sz w:val="16"/>
          <w:szCs w:val="16"/>
          <w:lang w:val="en-US"/>
        </w:rPr>
        <w:t xml:space="preserve">7 </w:t>
      </w:r>
      <w:r w:rsidRPr="000C208B">
        <w:rPr>
          <w:sz w:val="16"/>
          <w:szCs w:val="16"/>
          <w:lang w:val="en-US"/>
        </w:rPr>
        <w:t>April 1989</w:t>
      </w:r>
      <w:r w:rsidR="00B95CCE">
        <w:rPr>
          <w:sz w:val="16"/>
          <w:szCs w:val="16"/>
          <w:lang w:val="en-US"/>
        </w:rPr>
        <w:t xml:space="preserve"> – </w:t>
      </w:r>
      <w:r w:rsidRPr="000C208B">
        <w:rPr>
          <w:sz w:val="16"/>
          <w:szCs w:val="16"/>
          <w:lang w:val="en-US"/>
        </w:rPr>
        <w:t>Law on Associations, Journal of Laws</w:t>
      </w:r>
      <w:r w:rsidR="00B95CCE">
        <w:rPr>
          <w:sz w:val="16"/>
          <w:szCs w:val="16"/>
          <w:lang w:val="en-US"/>
        </w:rPr>
        <w:t xml:space="preserve"> </w:t>
      </w:r>
      <w:r w:rsidRPr="000C208B">
        <w:rPr>
          <w:sz w:val="16"/>
          <w:szCs w:val="16"/>
          <w:lang w:val="en-US"/>
        </w:rPr>
        <w:t xml:space="preserve">2020, item 2261, </w:t>
      </w:r>
      <w:r w:rsidR="00B95CCE">
        <w:rPr>
          <w:sz w:val="16"/>
          <w:szCs w:val="16"/>
          <w:lang w:val="en-US"/>
        </w:rPr>
        <w:t>a</w:t>
      </w:r>
      <w:r w:rsidRPr="000C208B">
        <w:rPr>
          <w:sz w:val="16"/>
          <w:szCs w:val="16"/>
          <w:lang w:val="en-US"/>
        </w:rPr>
        <w:t>rticles 40-43).</w:t>
      </w:r>
    </w:p>
  </w:footnote>
  <w:footnote w:id="4">
    <w:p w14:paraId="48461BC4" w14:textId="1C317E26" w:rsidR="00DF7C4B" w:rsidRPr="00506201" w:rsidRDefault="00DF7C4B" w:rsidP="00DF7C4B">
      <w:pPr>
        <w:pStyle w:val="Tekstprzypisudolnego"/>
        <w:rPr>
          <w:sz w:val="16"/>
          <w:szCs w:val="16"/>
          <w:lang w:val="en-US"/>
        </w:rPr>
      </w:pPr>
      <w:r w:rsidRPr="00864744">
        <w:rPr>
          <w:rStyle w:val="Odwoanieprzypisudolnego"/>
          <w:sz w:val="16"/>
          <w:szCs w:val="16"/>
        </w:rPr>
        <w:footnoteRef/>
      </w:r>
      <w:r w:rsidRPr="00506201">
        <w:rPr>
          <w:sz w:val="16"/>
          <w:szCs w:val="16"/>
          <w:lang w:val="en-US"/>
        </w:rPr>
        <w:t xml:space="preserve"> </w:t>
      </w:r>
      <w:r w:rsidR="00506201">
        <w:rPr>
          <w:rStyle w:val="PrzypisZnak"/>
          <w:sz w:val="16"/>
          <w:szCs w:val="16"/>
          <w:lang w:val="en-US"/>
        </w:rPr>
        <w:t>Volunteer work</w:t>
      </w:r>
      <w:r w:rsidR="00506201" w:rsidRPr="00506201">
        <w:rPr>
          <w:rStyle w:val="PrzypisZnak"/>
          <w:sz w:val="16"/>
          <w:szCs w:val="16"/>
          <w:lang w:val="en-US"/>
        </w:rPr>
        <w:t xml:space="preserve"> or volunteering, is work performed voluntarily and without remuneration, both by members of an organization and by non-members.</w:t>
      </w:r>
    </w:p>
  </w:footnote>
  <w:footnote w:id="5">
    <w:p w14:paraId="09B56709" w14:textId="11D2CDCD" w:rsidR="00DF7C4B" w:rsidRPr="00773F00" w:rsidRDefault="00DF7C4B" w:rsidP="00DF7C4B">
      <w:pPr>
        <w:pStyle w:val="Przypis"/>
        <w:rPr>
          <w:sz w:val="16"/>
          <w:szCs w:val="16"/>
          <w:lang w:val="en-US"/>
        </w:rPr>
      </w:pPr>
      <w:r w:rsidRPr="00696A8D">
        <w:rPr>
          <w:rStyle w:val="Odwoanieprzypisudolnego"/>
          <w:sz w:val="16"/>
          <w:szCs w:val="16"/>
        </w:rPr>
        <w:footnoteRef/>
      </w:r>
      <w:r w:rsidRPr="00773F00">
        <w:rPr>
          <w:sz w:val="16"/>
          <w:szCs w:val="16"/>
          <w:lang w:val="en-US"/>
        </w:rPr>
        <w:t xml:space="preserve"> </w:t>
      </w:r>
      <w:r w:rsidR="00773F00" w:rsidRPr="00773F00">
        <w:rPr>
          <w:sz w:val="16"/>
          <w:szCs w:val="16"/>
          <w:lang w:val="en-US"/>
        </w:rPr>
        <w:t xml:space="preserve">Data on the number of people working and employed on the basis of an employment contract in the national economy as of December 31, according to: </w:t>
      </w:r>
      <w:r w:rsidR="00773F00" w:rsidRPr="009C6808">
        <w:rPr>
          <w:sz w:val="16"/>
          <w:szCs w:val="16"/>
          <w:lang w:val="en-US"/>
        </w:rPr>
        <w:t>Concise Statistical Yearbook of Poland 2025</w:t>
      </w:r>
      <w:r w:rsidR="00773F00" w:rsidRPr="00773F00">
        <w:rPr>
          <w:sz w:val="16"/>
          <w:szCs w:val="16"/>
          <w:lang w:val="en-US"/>
        </w:rPr>
        <w:t>, Statistics Poland, Warsaw, p. 114.</w:t>
      </w:r>
    </w:p>
  </w:footnote>
  <w:footnote w:id="6">
    <w:p w14:paraId="0F3E7C3F" w14:textId="01630FDD" w:rsidR="00DF7C4B" w:rsidRPr="009C6808" w:rsidRDefault="00DF7C4B" w:rsidP="00DF7C4B">
      <w:pPr>
        <w:pStyle w:val="Przypis"/>
        <w:spacing w:before="0"/>
        <w:rPr>
          <w:sz w:val="16"/>
          <w:szCs w:val="16"/>
          <w:lang w:val="en-US"/>
        </w:rPr>
      </w:pPr>
      <w:r w:rsidRPr="00676991">
        <w:rPr>
          <w:rStyle w:val="Odwoanieprzypisudolnego"/>
          <w:sz w:val="16"/>
          <w:szCs w:val="16"/>
        </w:rPr>
        <w:footnoteRef/>
      </w:r>
      <w:r w:rsidRPr="00773F00">
        <w:rPr>
          <w:sz w:val="16"/>
          <w:szCs w:val="16"/>
          <w:lang w:val="en-US"/>
        </w:rPr>
        <w:t xml:space="preserve"> </w:t>
      </w:r>
      <w:r w:rsidR="009C6808" w:rsidRPr="009C6808">
        <w:rPr>
          <w:rStyle w:val="PrzypisZnak"/>
          <w:sz w:val="16"/>
          <w:szCs w:val="16"/>
          <w:lang w:val="en-US"/>
        </w:rPr>
        <w:t xml:space="preserve">Data on average employment according to: </w:t>
      </w:r>
      <w:r w:rsidR="009C6808" w:rsidRPr="009C6808">
        <w:rPr>
          <w:sz w:val="16"/>
          <w:szCs w:val="16"/>
          <w:lang w:val="en-US"/>
        </w:rPr>
        <w:t>Concise Statistical Yearbook of Poland 2025</w:t>
      </w:r>
      <w:r w:rsidR="009C6808">
        <w:rPr>
          <w:sz w:val="16"/>
          <w:szCs w:val="16"/>
          <w:lang w:val="en-US"/>
        </w:rPr>
        <w:t xml:space="preserve">, </w:t>
      </w:r>
      <w:r w:rsidR="009C6808">
        <w:rPr>
          <w:rStyle w:val="PrzypisZnak"/>
          <w:sz w:val="16"/>
          <w:szCs w:val="16"/>
          <w:lang w:val="en-US"/>
        </w:rPr>
        <w:t>Statistics Poland</w:t>
      </w:r>
      <w:r w:rsidR="009C6808" w:rsidRPr="009C6808">
        <w:rPr>
          <w:rStyle w:val="PrzypisZnak"/>
          <w:sz w:val="16"/>
          <w:szCs w:val="16"/>
          <w:lang w:val="en-US"/>
        </w:rPr>
        <w:t>, Warsaw, p. 117.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3639FE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1AFE86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FD51FD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9B16714" w:rsidR="00F37172" w:rsidRPr="00A01B40" w:rsidRDefault="00447F91" w:rsidP="00F049AB">
                          <w:pPr>
                            <w:pStyle w:val="Datainformacjisygnalnej"/>
                          </w:pPr>
                          <w:r>
                            <w:t>18</w:t>
                          </w:r>
                          <w:r w:rsidR="00DE6B58">
                            <w:t>.</w:t>
                          </w:r>
                          <w:r>
                            <w:t>12</w:t>
                          </w:r>
                          <w:r w:rsidR="00DE6B58">
                            <w:t>.</w:t>
                          </w:r>
                          <w: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a"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WLIRoCACAAAXBAAADgAAAAAAAAAAAAAAAAAuAgAAZHJzL2Uyb0RvYy54bWxQ&#10;SwECLQAUAAYACAAAACEAtMlX394AAAAKAQAADwAAAAAAAAAAAAAAAAB6BAAAZHJzL2Rvd25yZXYu&#10;eG1sUEsFBgAAAAAEAAQA8wAAAIUFAAAAAA==&#10;" filled="f" stroked="f">
              <v:textbox>
                <w:txbxContent>
                  <w:p w14:paraId="71967FEA" w14:textId="19B16714" w:rsidR="00F37172" w:rsidRPr="00A01B40" w:rsidRDefault="00447F91" w:rsidP="00F049AB">
                    <w:pPr>
                      <w:pStyle w:val="Datainformacjisygnalnej"/>
                    </w:pPr>
                    <w:r>
                      <w:t>18</w:t>
                    </w:r>
                    <w:r w:rsidR="00DE6B58">
                      <w:t>.</w:t>
                    </w:r>
                    <w:r>
                      <w:t>12</w:t>
                    </w:r>
                    <w:r w:rsidR="00DE6B58">
                      <w:t>.</w:t>
                    </w:r>
                    <w:r>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5.85pt;height:125.85pt;visibility:visible;mso-wrap-style:square" o:bullet="t">
        <v:imagedata r:id="rId1" o:title=""/>
      </v:shape>
    </w:pict>
  </w:numPicBullet>
  <w:numPicBullet w:numPicBulletId="1">
    <w:pict>
      <v:shape id="_x0000_i1051" type="#_x0000_t75" style="width:125.85pt;height:125.85pt;visibility:visible;mso-wrap-style:square" o:bullet="t">
        <v:imagedata r:id="rId2" o:title=""/>
      </v:shape>
    </w:pict>
  </w:numPicBullet>
  <w:numPicBullet w:numPicBulletId="2">
    <w:pict>
      <v:shape id="_x0000_i1052" type="#_x0000_t75" style="width:18.15pt;height:30.0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B61"/>
    <w:rsid w:val="00001C5B"/>
    <w:rsid w:val="00003437"/>
    <w:rsid w:val="00005AF3"/>
    <w:rsid w:val="0000709F"/>
    <w:rsid w:val="000108B8"/>
    <w:rsid w:val="000152F5"/>
    <w:rsid w:val="00021CD0"/>
    <w:rsid w:val="0004582E"/>
    <w:rsid w:val="000470AA"/>
    <w:rsid w:val="00047867"/>
    <w:rsid w:val="000571C9"/>
    <w:rsid w:val="00057CA1"/>
    <w:rsid w:val="00061576"/>
    <w:rsid w:val="00064142"/>
    <w:rsid w:val="000647A9"/>
    <w:rsid w:val="000662E2"/>
    <w:rsid w:val="00066883"/>
    <w:rsid w:val="00071B39"/>
    <w:rsid w:val="00074DD8"/>
    <w:rsid w:val="00075759"/>
    <w:rsid w:val="000806F7"/>
    <w:rsid w:val="0009003A"/>
    <w:rsid w:val="00096F0D"/>
    <w:rsid w:val="00097840"/>
    <w:rsid w:val="000A7248"/>
    <w:rsid w:val="000B0727"/>
    <w:rsid w:val="000C135D"/>
    <w:rsid w:val="000C208B"/>
    <w:rsid w:val="000D1D43"/>
    <w:rsid w:val="000D225C"/>
    <w:rsid w:val="000D2A5C"/>
    <w:rsid w:val="000D39F0"/>
    <w:rsid w:val="000E0918"/>
    <w:rsid w:val="000E79A9"/>
    <w:rsid w:val="000F569C"/>
    <w:rsid w:val="001011C3"/>
    <w:rsid w:val="00106DA3"/>
    <w:rsid w:val="00110214"/>
    <w:rsid w:val="00110D87"/>
    <w:rsid w:val="00112399"/>
    <w:rsid w:val="00114DB9"/>
    <w:rsid w:val="00116087"/>
    <w:rsid w:val="00117711"/>
    <w:rsid w:val="00117A03"/>
    <w:rsid w:val="00122C2B"/>
    <w:rsid w:val="00130296"/>
    <w:rsid w:val="00134145"/>
    <w:rsid w:val="00136736"/>
    <w:rsid w:val="00136740"/>
    <w:rsid w:val="00136D67"/>
    <w:rsid w:val="001423B6"/>
    <w:rsid w:val="001448A7"/>
    <w:rsid w:val="00146339"/>
    <w:rsid w:val="00146621"/>
    <w:rsid w:val="00156F04"/>
    <w:rsid w:val="001570A4"/>
    <w:rsid w:val="001617E3"/>
    <w:rsid w:val="00162325"/>
    <w:rsid w:val="00180E0E"/>
    <w:rsid w:val="001810D0"/>
    <w:rsid w:val="0018197F"/>
    <w:rsid w:val="00182B58"/>
    <w:rsid w:val="001951DA"/>
    <w:rsid w:val="001B053D"/>
    <w:rsid w:val="001C3269"/>
    <w:rsid w:val="001D19B6"/>
    <w:rsid w:val="001D1DB4"/>
    <w:rsid w:val="001D23F1"/>
    <w:rsid w:val="001D25F9"/>
    <w:rsid w:val="001D61ED"/>
    <w:rsid w:val="001E0D48"/>
    <w:rsid w:val="001E5B2D"/>
    <w:rsid w:val="001F044F"/>
    <w:rsid w:val="001F6CDA"/>
    <w:rsid w:val="0020156C"/>
    <w:rsid w:val="002021A6"/>
    <w:rsid w:val="00210060"/>
    <w:rsid w:val="00216458"/>
    <w:rsid w:val="00216634"/>
    <w:rsid w:val="00225350"/>
    <w:rsid w:val="00235C53"/>
    <w:rsid w:val="00242D31"/>
    <w:rsid w:val="0025481E"/>
    <w:rsid w:val="002574F9"/>
    <w:rsid w:val="00260F7D"/>
    <w:rsid w:val="00262B61"/>
    <w:rsid w:val="00262CC6"/>
    <w:rsid w:val="00263E08"/>
    <w:rsid w:val="0027575B"/>
    <w:rsid w:val="00276811"/>
    <w:rsid w:val="00281C48"/>
    <w:rsid w:val="00282699"/>
    <w:rsid w:val="00286420"/>
    <w:rsid w:val="00290A4E"/>
    <w:rsid w:val="002926DF"/>
    <w:rsid w:val="00296697"/>
    <w:rsid w:val="002B0472"/>
    <w:rsid w:val="002B6B12"/>
    <w:rsid w:val="002C21F0"/>
    <w:rsid w:val="002D01DF"/>
    <w:rsid w:val="002D6649"/>
    <w:rsid w:val="002E2973"/>
    <w:rsid w:val="002E3EB3"/>
    <w:rsid w:val="002E485A"/>
    <w:rsid w:val="002E6140"/>
    <w:rsid w:val="002E6985"/>
    <w:rsid w:val="002E71B6"/>
    <w:rsid w:val="002E7378"/>
    <w:rsid w:val="002F18C1"/>
    <w:rsid w:val="002F35F6"/>
    <w:rsid w:val="002F77C8"/>
    <w:rsid w:val="00304F22"/>
    <w:rsid w:val="00306C7C"/>
    <w:rsid w:val="00314F86"/>
    <w:rsid w:val="00317F4D"/>
    <w:rsid w:val="00322EDD"/>
    <w:rsid w:val="003309FA"/>
    <w:rsid w:val="00332320"/>
    <w:rsid w:val="0034588E"/>
    <w:rsid w:val="00347D72"/>
    <w:rsid w:val="00353F45"/>
    <w:rsid w:val="00357611"/>
    <w:rsid w:val="0036432A"/>
    <w:rsid w:val="00364AF9"/>
    <w:rsid w:val="003660A9"/>
    <w:rsid w:val="00367237"/>
    <w:rsid w:val="0037077F"/>
    <w:rsid w:val="00372411"/>
    <w:rsid w:val="00373882"/>
    <w:rsid w:val="00376758"/>
    <w:rsid w:val="003843DB"/>
    <w:rsid w:val="003908B0"/>
    <w:rsid w:val="0039288E"/>
    <w:rsid w:val="00393761"/>
    <w:rsid w:val="00394E26"/>
    <w:rsid w:val="00396691"/>
    <w:rsid w:val="00397D18"/>
    <w:rsid w:val="003A1B36"/>
    <w:rsid w:val="003A3F7F"/>
    <w:rsid w:val="003B1454"/>
    <w:rsid w:val="003B18B6"/>
    <w:rsid w:val="003C161B"/>
    <w:rsid w:val="003C59E0"/>
    <w:rsid w:val="003C6C8D"/>
    <w:rsid w:val="003D2656"/>
    <w:rsid w:val="003D4F95"/>
    <w:rsid w:val="003D5F42"/>
    <w:rsid w:val="003D60A9"/>
    <w:rsid w:val="003F4C97"/>
    <w:rsid w:val="003F666D"/>
    <w:rsid w:val="003F7FE6"/>
    <w:rsid w:val="00400193"/>
    <w:rsid w:val="00403E43"/>
    <w:rsid w:val="004069BA"/>
    <w:rsid w:val="00416EAF"/>
    <w:rsid w:val="004212E7"/>
    <w:rsid w:val="00423C88"/>
    <w:rsid w:val="0042446D"/>
    <w:rsid w:val="00427BF8"/>
    <w:rsid w:val="00431C02"/>
    <w:rsid w:val="00437395"/>
    <w:rsid w:val="004407C6"/>
    <w:rsid w:val="00445047"/>
    <w:rsid w:val="00446749"/>
    <w:rsid w:val="00447F91"/>
    <w:rsid w:val="00453EB7"/>
    <w:rsid w:val="00463E39"/>
    <w:rsid w:val="004657FC"/>
    <w:rsid w:val="004733F6"/>
    <w:rsid w:val="00474E69"/>
    <w:rsid w:val="004757EB"/>
    <w:rsid w:val="00482D44"/>
    <w:rsid w:val="00483E9F"/>
    <w:rsid w:val="00485A2C"/>
    <w:rsid w:val="0049621B"/>
    <w:rsid w:val="004A1D19"/>
    <w:rsid w:val="004C1895"/>
    <w:rsid w:val="004C6D40"/>
    <w:rsid w:val="004C757C"/>
    <w:rsid w:val="004D7693"/>
    <w:rsid w:val="004E6AA8"/>
    <w:rsid w:val="004F0C3C"/>
    <w:rsid w:val="004F2280"/>
    <w:rsid w:val="004F23BB"/>
    <w:rsid w:val="004F2BF2"/>
    <w:rsid w:val="004F63FC"/>
    <w:rsid w:val="00505A92"/>
    <w:rsid w:val="00506201"/>
    <w:rsid w:val="005203F1"/>
    <w:rsid w:val="00521BC3"/>
    <w:rsid w:val="005303B9"/>
    <w:rsid w:val="00533632"/>
    <w:rsid w:val="00534013"/>
    <w:rsid w:val="00537642"/>
    <w:rsid w:val="00540C5C"/>
    <w:rsid w:val="00541E6E"/>
    <w:rsid w:val="0054251F"/>
    <w:rsid w:val="005515CF"/>
    <w:rsid w:val="005520D8"/>
    <w:rsid w:val="00555CFB"/>
    <w:rsid w:val="0055693F"/>
    <w:rsid w:val="00556CF1"/>
    <w:rsid w:val="005762A7"/>
    <w:rsid w:val="00587CEE"/>
    <w:rsid w:val="005916D7"/>
    <w:rsid w:val="0059427F"/>
    <w:rsid w:val="005A698C"/>
    <w:rsid w:val="005B54E1"/>
    <w:rsid w:val="005C0CAC"/>
    <w:rsid w:val="005D062E"/>
    <w:rsid w:val="005E0799"/>
    <w:rsid w:val="005E10F9"/>
    <w:rsid w:val="005E1200"/>
    <w:rsid w:val="005F45EE"/>
    <w:rsid w:val="005F5A80"/>
    <w:rsid w:val="006044FF"/>
    <w:rsid w:val="00607CC5"/>
    <w:rsid w:val="0061179B"/>
    <w:rsid w:val="006125F9"/>
    <w:rsid w:val="00616EB6"/>
    <w:rsid w:val="00620DC5"/>
    <w:rsid w:val="00633014"/>
    <w:rsid w:val="00633363"/>
    <w:rsid w:val="0063437B"/>
    <w:rsid w:val="0064017E"/>
    <w:rsid w:val="0064128F"/>
    <w:rsid w:val="00653DC3"/>
    <w:rsid w:val="00654BB6"/>
    <w:rsid w:val="006673CA"/>
    <w:rsid w:val="00673C26"/>
    <w:rsid w:val="00674DE5"/>
    <w:rsid w:val="00676991"/>
    <w:rsid w:val="00677ACA"/>
    <w:rsid w:val="00680119"/>
    <w:rsid w:val="006812AF"/>
    <w:rsid w:val="00681C69"/>
    <w:rsid w:val="0068327D"/>
    <w:rsid w:val="0069023C"/>
    <w:rsid w:val="00691278"/>
    <w:rsid w:val="00691534"/>
    <w:rsid w:val="00693880"/>
    <w:rsid w:val="00694AF0"/>
    <w:rsid w:val="006A4686"/>
    <w:rsid w:val="006B0E9E"/>
    <w:rsid w:val="006B486D"/>
    <w:rsid w:val="006B5653"/>
    <w:rsid w:val="006B5AE4"/>
    <w:rsid w:val="006C197A"/>
    <w:rsid w:val="006D1507"/>
    <w:rsid w:val="006D4054"/>
    <w:rsid w:val="006E02EC"/>
    <w:rsid w:val="006E3C4F"/>
    <w:rsid w:val="006E6F41"/>
    <w:rsid w:val="006E73E6"/>
    <w:rsid w:val="00710BF3"/>
    <w:rsid w:val="007211B1"/>
    <w:rsid w:val="007267B0"/>
    <w:rsid w:val="007277DA"/>
    <w:rsid w:val="00731D27"/>
    <w:rsid w:val="00734A0B"/>
    <w:rsid w:val="00746187"/>
    <w:rsid w:val="0076254F"/>
    <w:rsid w:val="00773F00"/>
    <w:rsid w:val="007801F5"/>
    <w:rsid w:val="00783CA4"/>
    <w:rsid w:val="007842FB"/>
    <w:rsid w:val="00786124"/>
    <w:rsid w:val="0079514B"/>
    <w:rsid w:val="00795252"/>
    <w:rsid w:val="007A2DC1"/>
    <w:rsid w:val="007A2ED8"/>
    <w:rsid w:val="007D0869"/>
    <w:rsid w:val="007D14C4"/>
    <w:rsid w:val="007D3319"/>
    <w:rsid w:val="007D335D"/>
    <w:rsid w:val="007D605C"/>
    <w:rsid w:val="007E3314"/>
    <w:rsid w:val="007E3514"/>
    <w:rsid w:val="007E4B03"/>
    <w:rsid w:val="007F324B"/>
    <w:rsid w:val="00800083"/>
    <w:rsid w:val="00803031"/>
    <w:rsid w:val="0080553C"/>
    <w:rsid w:val="00805B46"/>
    <w:rsid w:val="00805DB4"/>
    <w:rsid w:val="00823593"/>
    <w:rsid w:val="00825DC2"/>
    <w:rsid w:val="00834AD3"/>
    <w:rsid w:val="00843795"/>
    <w:rsid w:val="00846FDE"/>
    <w:rsid w:val="00847F0F"/>
    <w:rsid w:val="00850B7B"/>
    <w:rsid w:val="00852448"/>
    <w:rsid w:val="00864744"/>
    <w:rsid w:val="00877F6C"/>
    <w:rsid w:val="0088258A"/>
    <w:rsid w:val="00886332"/>
    <w:rsid w:val="008925F0"/>
    <w:rsid w:val="0089448A"/>
    <w:rsid w:val="00894C23"/>
    <w:rsid w:val="00897877"/>
    <w:rsid w:val="008A26D9"/>
    <w:rsid w:val="008A63B4"/>
    <w:rsid w:val="008A7B5B"/>
    <w:rsid w:val="008B12D2"/>
    <w:rsid w:val="008C0C29"/>
    <w:rsid w:val="008D02DA"/>
    <w:rsid w:val="008D76BC"/>
    <w:rsid w:val="008E3E9E"/>
    <w:rsid w:val="008E4543"/>
    <w:rsid w:val="008E7DBA"/>
    <w:rsid w:val="008F0829"/>
    <w:rsid w:val="008F3638"/>
    <w:rsid w:val="008F4441"/>
    <w:rsid w:val="008F6B20"/>
    <w:rsid w:val="008F6F31"/>
    <w:rsid w:val="008F74DF"/>
    <w:rsid w:val="00902274"/>
    <w:rsid w:val="009127BA"/>
    <w:rsid w:val="00920AAE"/>
    <w:rsid w:val="009227A6"/>
    <w:rsid w:val="00925388"/>
    <w:rsid w:val="00933EC1"/>
    <w:rsid w:val="00937E11"/>
    <w:rsid w:val="009446AD"/>
    <w:rsid w:val="009530DB"/>
    <w:rsid w:val="00953676"/>
    <w:rsid w:val="00956F30"/>
    <w:rsid w:val="009611CE"/>
    <w:rsid w:val="00962B00"/>
    <w:rsid w:val="00966C9A"/>
    <w:rsid w:val="009705EE"/>
    <w:rsid w:val="00977927"/>
    <w:rsid w:val="0098135C"/>
    <w:rsid w:val="0098156A"/>
    <w:rsid w:val="00991BAC"/>
    <w:rsid w:val="00993AA9"/>
    <w:rsid w:val="00996B9B"/>
    <w:rsid w:val="009A41CD"/>
    <w:rsid w:val="009A6EA0"/>
    <w:rsid w:val="009B6150"/>
    <w:rsid w:val="009C1335"/>
    <w:rsid w:val="009C1AB2"/>
    <w:rsid w:val="009C6808"/>
    <w:rsid w:val="009C7251"/>
    <w:rsid w:val="009D4502"/>
    <w:rsid w:val="009E16A0"/>
    <w:rsid w:val="009E2E91"/>
    <w:rsid w:val="009E7D31"/>
    <w:rsid w:val="00A01B40"/>
    <w:rsid w:val="00A139F5"/>
    <w:rsid w:val="00A32E16"/>
    <w:rsid w:val="00A365F4"/>
    <w:rsid w:val="00A47D80"/>
    <w:rsid w:val="00A52432"/>
    <w:rsid w:val="00A53132"/>
    <w:rsid w:val="00A54192"/>
    <w:rsid w:val="00A563F2"/>
    <w:rsid w:val="00A566E8"/>
    <w:rsid w:val="00A6550A"/>
    <w:rsid w:val="00A66347"/>
    <w:rsid w:val="00A7392B"/>
    <w:rsid w:val="00A810F9"/>
    <w:rsid w:val="00A82D31"/>
    <w:rsid w:val="00A85E7E"/>
    <w:rsid w:val="00A86ECC"/>
    <w:rsid w:val="00A86FCC"/>
    <w:rsid w:val="00A90A6D"/>
    <w:rsid w:val="00A971E5"/>
    <w:rsid w:val="00AA0A8B"/>
    <w:rsid w:val="00AA710D"/>
    <w:rsid w:val="00AB64F3"/>
    <w:rsid w:val="00AB6D25"/>
    <w:rsid w:val="00AC44F6"/>
    <w:rsid w:val="00AD031F"/>
    <w:rsid w:val="00AD0CA2"/>
    <w:rsid w:val="00AD0E56"/>
    <w:rsid w:val="00AE229B"/>
    <w:rsid w:val="00AE2D4B"/>
    <w:rsid w:val="00AE4F99"/>
    <w:rsid w:val="00AE54DC"/>
    <w:rsid w:val="00AF5985"/>
    <w:rsid w:val="00B03F80"/>
    <w:rsid w:val="00B05988"/>
    <w:rsid w:val="00B11B69"/>
    <w:rsid w:val="00B14952"/>
    <w:rsid w:val="00B16871"/>
    <w:rsid w:val="00B25B45"/>
    <w:rsid w:val="00B31E5A"/>
    <w:rsid w:val="00B47359"/>
    <w:rsid w:val="00B653AB"/>
    <w:rsid w:val="00B65F9E"/>
    <w:rsid w:val="00B66B19"/>
    <w:rsid w:val="00B914E9"/>
    <w:rsid w:val="00B956EE"/>
    <w:rsid w:val="00B95CCE"/>
    <w:rsid w:val="00BA2BA1"/>
    <w:rsid w:val="00BA3447"/>
    <w:rsid w:val="00BA3562"/>
    <w:rsid w:val="00BB4F09"/>
    <w:rsid w:val="00BB54B5"/>
    <w:rsid w:val="00BD4E33"/>
    <w:rsid w:val="00BD6A8E"/>
    <w:rsid w:val="00BE1A9D"/>
    <w:rsid w:val="00BE6ED8"/>
    <w:rsid w:val="00C030DE"/>
    <w:rsid w:val="00C051A8"/>
    <w:rsid w:val="00C1441B"/>
    <w:rsid w:val="00C22105"/>
    <w:rsid w:val="00C244B6"/>
    <w:rsid w:val="00C27BF1"/>
    <w:rsid w:val="00C31167"/>
    <w:rsid w:val="00C3702F"/>
    <w:rsid w:val="00C4500A"/>
    <w:rsid w:val="00C55A79"/>
    <w:rsid w:val="00C60504"/>
    <w:rsid w:val="00C62238"/>
    <w:rsid w:val="00C63619"/>
    <w:rsid w:val="00C64774"/>
    <w:rsid w:val="00C64A37"/>
    <w:rsid w:val="00C66259"/>
    <w:rsid w:val="00C7158E"/>
    <w:rsid w:val="00C7250B"/>
    <w:rsid w:val="00C7346B"/>
    <w:rsid w:val="00C77C0E"/>
    <w:rsid w:val="00C8585D"/>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F18EE"/>
    <w:rsid w:val="00CF30BD"/>
    <w:rsid w:val="00CF4099"/>
    <w:rsid w:val="00CF429A"/>
    <w:rsid w:val="00CF7C09"/>
    <w:rsid w:val="00D00796"/>
    <w:rsid w:val="00D02561"/>
    <w:rsid w:val="00D261A2"/>
    <w:rsid w:val="00D26F83"/>
    <w:rsid w:val="00D616D2"/>
    <w:rsid w:val="00D63B5F"/>
    <w:rsid w:val="00D70EF7"/>
    <w:rsid w:val="00D72B96"/>
    <w:rsid w:val="00D803A2"/>
    <w:rsid w:val="00D82FEA"/>
    <w:rsid w:val="00D8397C"/>
    <w:rsid w:val="00D92A1D"/>
    <w:rsid w:val="00D94EED"/>
    <w:rsid w:val="00D96026"/>
    <w:rsid w:val="00D972F6"/>
    <w:rsid w:val="00DA331D"/>
    <w:rsid w:val="00DA5B9C"/>
    <w:rsid w:val="00DA77AD"/>
    <w:rsid w:val="00DA7C1C"/>
    <w:rsid w:val="00DB0C3E"/>
    <w:rsid w:val="00DB147A"/>
    <w:rsid w:val="00DB1B7A"/>
    <w:rsid w:val="00DB706E"/>
    <w:rsid w:val="00DC2DE6"/>
    <w:rsid w:val="00DC6708"/>
    <w:rsid w:val="00DD011A"/>
    <w:rsid w:val="00DD7DCE"/>
    <w:rsid w:val="00DE1D0A"/>
    <w:rsid w:val="00DE2400"/>
    <w:rsid w:val="00DE58F1"/>
    <w:rsid w:val="00DE6B58"/>
    <w:rsid w:val="00DF0194"/>
    <w:rsid w:val="00DF5E32"/>
    <w:rsid w:val="00DF7C4B"/>
    <w:rsid w:val="00E01436"/>
    <w:rsid w:val="00E03E79"/>
    <w:rsid w:val="00E045BD"/>
    <w:rsid w:val="00E04D6C"/>
    <w:rsid w:val="00E17B77"/>
    <w:rsid w:val="00E231AB"/>
    <w:rsid w:val="00E23337"/>
    <w:rsid w:val="00E259EA"/>
    <w:rsid w:val="00E25D33"/>
    <w:rsid w:val="00E32061"/>
    <w:rsid w:val="00E33F48"/>
    <w:rsid w:val="00E377C9"/>
    <w:rsid w:val="00E42FF9"/>
    <w:rsid w:val="00E44790"/>
    <w:rsid w:val="00E4714C"/>
    <w:rsid w:val="00E5178D"/>
    <w:rsid w:val="00E51AEB"/>
    <w:rsid w:val="00E522A7"/>
    <w:rsid w:val="00E5349E"/>
    <w:rsid w:val="00E54452"/>
    <w:rsid w:val="00E63B0C"/>
    <w:rsid w:val="00E664C5"/>
    <w:rsid w:val="00E671A2"/>
    <w:rsid w:val="00E76D26"/>
    <w:rsid w:val="00E76EE5"/>
    <w:rsid w:val="00E95036"/>
    <w:rsid w:val="00E95B8E"/>
    <w:rsid w:val="00EB1390"/>
    <w:rsid w:val="00EB2C71"/>
    <w:rsid w:val="00EB3333"/>
    <w:rsid w:val="00EB4340"/>
    <w:rsid w:val="00EB556D"/>
    <w:rsid w:val="00EB5A7D"/>
    <w:rsid w:val="00ED55C0"/>
    <w:rsid w:val="00ED682B"/>
    <w:rsid w:val="00EE41D5"/>
    <w:rsid w:val="00EF2703"/>
    <w:rsid w:val="00F0166F"/>
    <w:rsid w:val="00F037A4"/>
    <w:rsid w:val="00F049AB"/>
    <w:rsid w:val="00F13A3A"/>
    <w:rsid w:val="00F142DB"/>
    <w:rsid w:val="00F27C8F"/>
    <w:rsid w:val="00F32749"/>
    <w:rsid w:val="00F37172"/>
    <w:rsid w:val="00F4477E"/>
    <w:rsid w:val="00F46269"/>
    <w:rsid w:val="00F60BA8"/>
    <w:rsid w:val="00F6625B"/>
    <w:rsid w:val="00F67D8F"/>
    <w:rsid w:val="00F724B4"/>
    <w:rsid w:val="00F737DC"/>
    <w:rsid w:val="00F77A7C"/>
    <w:rsid w:val="00F802BE"/>
    <w:rsid w:val="00F80E93"/>
    <w:rsid w:val="00F82636"/>
    <w:rsid w:val="00F84069"/>
    <w:rsid w:val="00F86024"/>
    <w:rsid w:val="00F8611A"/>
    <w:rsid w:val="00F87C0D"/>
    <w:rsid w:val="00FA4D6D"/>
    <w:rsid w:val="00FA5128"/>
    <w:rsid w:val="00FB06D6"/>
    <w:rsid w:val="00FB42D4"/>
    <w:rsid w:val="00FB5906"/>
    <w:rsid w:val="00FB762F"/>
    <w:rsid w:val="00FC2AED"/>
    <w:rsid w:val="00FC3D6C"/>
    <w:rsid w:val="00FD5EA7"/>
    <w:rsid w:val="00FE1074"/>
    <w:rsid w:val="00FE36CF"/>
    <w:rsid w:val="00FE7C51"/>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Nierozpoznanawzmianka">
    <w:name w:val="Unresolved Mention"/>
    <w:basedOn w:val="Domylnaczcionkaakapitu"/>
    <w:uiPriority w:val="99"/>
    <w:semiHidden/>
    <w:unhideWhenUsed/>
    <w:rsid w:val="00225350"/>
    <w:rPr>
      <w:color w:val="605E5C"/>
      <w:shd w:val="clear" w:color="auto" w:fill="E1DFDD"/>
    </w:rPr>
  </w:style>
  <w:style w:type="character" w:styleId="UyteHipercze">
    <w:name w:val="FollowedHyperlink"/>
    <w:basedOn w:val="Domylnaczcionkaakapitu"/>
    <w:uiPriority w:val="99"/>
    <w:semiHidden/>
    <w:unhideWhenUsed/>
    <w:rsid w:val="00F87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7.xml"/><Relationship Id="rId26" Type="http://schemas.openxmlformats.org/officeDocument/2006/relationships/image" Target="media/image7.png"/><Relationship Id="rId39" Type="http://schemas.openxmlformats.org/officeDocument/2006/relationships/hyperlink" Target="https://stat.gov.pl/metainformacje/slownik-pojec/pojecia-stosowane-w-statystyce-publicznej/1461,pojecie.html" TargetMode="External"/><Relationship Id="rId21" Type="http://schemas.openxmlformats.org/officeDocument/2006/relationships/footer" Target="footer1.xml"/><Relationship Id="rId34" Type="http://schemas.openxmlformats.org/officeDocument/2006/relationships/hyperlink" Target="https://stat.gov.pl/en/topics/social-economy/social-economy-third-sector/the-non-profit-sector-in-2022,1,8.html"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header" Target="header1.xml"/><Relationship Id="rId29" Type="http://schemas.openxmlformats.org/officeDocument/2006/relationships/image" Target="media/image10.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mailto:obslugaprasowa@stat.gov.pl" TargetMode="External"/><Relationship Id="rId32" Type="http://schemas.openxmlformats.org/officeDocument/2006/relationships/hyperlink" Target="https://stat.gov.pl/en/topics/social-economy/social-economy-third-sector/cooperation-of-social-economy-entities-in-2023,8,4.html" TargetMode="External"/><Relationship Id="rId37" Type="http://schemas.openxmlformats.org/officeDocument/2006/relationships/hyperlink" Target="https://dbw.stat.gov.pl/en/baza-danych" TargetMode="External"/><Relationship Id="rId40" Type="http://schemas.openxmlformats.org/officeDocument/2006/relationships/hyperlink" Target="https://stat.gov.pl/metainformacje/slownik-pojec/pojecia-stosowane-w-statystyce-publicznej/1465,pojecie.html" TargetMode="Externa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footer" Target="footer2.xml"/><Relationship Id="rId28" Type="http://schemas.openxmlformats.org/officeDocument/2006/relationships/image" Target="media/image9.png"/><Relationship Id="rId36" Type="http://schemas.openxmlformats.org/officeDocument/2006/relationships/hyperlink" Target="https://bdl.stat.gov.pl/bdl/dane/podgrup/temat" TargetMode="External"/><Relationship Id="rId10" Type="http://schemas.openxmlformats.org/officeDocument/2006/relationships/endnotes" Target="endnotes.xml"/><Relationship Id="rId19" Type="http://schemas.openxmlformats.org/officeDocument/2006/relationships/chart" Target="charts/chart8.xml"/><Relationship Id="rId31" Type="http://schemas.openxmlformats.org/officeDocument/2006/relationships/hyperlink" Target="https://stat.gov.pl/en/topics/social-economy/social-economy-third-sector/management-and-integration-activities-of-social-economy-entities-in-2023,9,4.htm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header" Target="header2.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stat.gov.pl/en/topics/social-economy/social-economy-third-sector/methodological-report-non-profit-organizations-associations-foundations-business-and-professional-associations-and-faith-based-charities,14,1.html"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image" Target="media/image6.png"/><Relationship Id="rId33" Type="http://schemas.openxmlformats.org/officeDocument/2006/relationships/hyperlink" Target="https://stat.gov.pl/statystyki-eksperymentalne/gospodarka-spoleczna/organizacje-pozarzadowe-jako-podmioty-ekonomii-spolecznej-w-latach-2019-2023,8,1.html" TargetMode="External"/><Relationship Id="rId38" Type="http://schemas.openxmlformats.org/officeDocument/2006/relationships/hyperlink" Target="https://stat.gov.pl/metainformacje/slownik-pojec/pojecia-stosowane-w-statystyce-publicznej/1458,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466340461626004E-2"/>
          <c:y val="0.1809007272528434"/>
          <c:w val="0.90474129558647121"/>
          <c:h val="0.65917199803149618"/>
        </c:manualLayout>
      </c:layout>
      <c:barChart>
        <c:barDir val="col"/>
        <c:grouping val="clustered"/>
        <c:varyColors val="0"/>
        <c:ser>
          <c:idx val="0"/>
          <c:order val="0"/>
          <c:tx>
            <c:strRef>
              <c:f>Arkusz1!$B$1</c:f>
              <c:strCache>
                <c:ptCount val="1"/>
                <c:pt idx="0">
                  <c:v>Seria 1</c:v>
                </c:pt>
              </c:strCache>
            </c:strRef>
          </c:tx>
          <c:spPr>
            <a:solidFill>
              <a:srgbClr val="001D77"/>
            </a:solidFill>
            <a:ln>
              <a:noFill/>
            </a:ln>
            <a:effectLst/>
          </c:spPr>
          <c:invertIfNegative val="0"/>
          <c:dLbls>
            <c:dLbl>
              <c:idx val="7"/>
              <c:tx>
                <c:rich>
                  <a:bodyPr/>
                  <a:lstStyle/>
                  <a:p>
                    <a:r>
                      <a:rPr lang="en-US"/>
                      <a:t>105,0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2F-4813-A313-1A207D637C03}"/>
                </c:ext>
              </c:extLst>
            </c:dLbl>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Arkusz1!$B$2:$B$10</c:f>
              <c:numCache>
                <c:formatCode>General</c:formatCode>
                <c:ptCount val="9"/>
                <c:pt idx="0">
                  <c:v>90.9</c:v>
                </c:pt>
                <c:pt idx="1">
                  <c:v>91.9</c:v>
                </c:pt>
                <c:pt idx="2">
                  <c:v>87.3</c:v>
                </c:pt>
                <c:pt idx="3">
                  <c:v>88.7</c:v>
                </c:pt>
                <c:pt idx="4">
                  <c:v>94.4</c:v>
                </c:pt>
                <c:pt idx="5">
                  <c:v>96.1</c:v>
                </c:pt>
                <c:pt idx="6">
                  <c:v>102.6</c:v>
                </c:pt>
                <c:pt idx="7">
                  <c:v>105</c:v>
                </c:pt>
                <c:pt idx="8">
                  <c:v>113.1</c:v>
                </c:pt>
              </c:numCache>
            </c:numRef>
          </c:val>
          <c:extLst>
            <c:ext xmlns:c16="http://schemas.microsoft.com/office/drawing/2014/chart" uri="{C3380CC4-5D6E-409C-BE32-E72D297353CC}">
              <c16:uniqueId val="{00000001-3C2F-4813-A313-1A207D637C03}"/>
            </c:ext>
          </c:extLst>
        </c:ser>
        <c:dLbls>
          <c:showLegendKey val="0"/>
          <c:showVal val="0"/>
          <c:showCatName val="0"/>
          <c:showSerName val="0"/>
          <c:showPercent val="0"/>
          <c:showBubbleSize val="0"/>
        </c:dLbls>
        <c:gapWidth val="200"/>
        <c:axId val="-1708308992"/>
        <c:axId val="-1708322048"/>
      </c:barChart>
      <c:catAx>
        <c:axId val="-1708308992"/>
        <c:scaling>
          <c:orientation val="minMax"/>
        </c:scaling>
        <c:delete val="0"/>
        <c:axPos val="b"/>
        <c:title>
          <c:tx>
            <c:rich>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thousands</a:t>
                </a:r>
              </a:p>
            </c:rich>
          </c:tx>
          <c:layout>
            <c:manualLayout>
              <c:xMode val="edge"/>
              <c:yMode val="edge"/>
              <c:x val="1.476092734218982E-2"/>
              <c:y val="5.9624622393898872E-3"/>
            </c:manualLayout>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08322048"/>
        <c:crosses val="autoZero"/>
        <c:auto val="1"/>
        <c:lblAlgn val="ctr"/>
        <c:lblOffset val="100"/>
        <c:noMultiLvlLbl val="0"/>
      </c:catAx>
      <c:valAx>
        <c:axId val="-1708322048"/>
        <c:scaling>
          <c:orientation val="minMax"/>
          <c:max val="1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08308992"/>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407139462897086"/>
          <c:y val="5.3930950938824954E-2"/>
          <c:w val="0.3971863161774829"/>
          <c:h val="0.85896601546250906"/>
        </c:manualLayout>
      </c:layout>
      <c:barChart>
        <c:barDir val="bar"/>
        <c:grouping val="clustered"/>
        <c:varyColors val="0"/>
        <c:ser>
          <c:idx val="0"/>
          <c:order val="0"/>
          <c:tx>
            <c:strRef>
              <c:f>Arkusz1!$B$1</c:f>
              <c:strCache>
                <c:ptCount val="1"/>
                <c:pt idx="0">
                  <c:v>2024</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Typical associations and social organizations</c:v>
                </c:pt>
                <c:pt idx="1">
                  <c:v>Sports associations</c:v>
                </c:pt>
                <c:pt idx="2">
                  <c:v>Volunteer fire brigades</c:v>
                </c:pt>
                <c:pt idx="3">
                  <c:v>Hunting clubs</c:v>
                </c:pt>
                <c:pt idx="4">
                  <c:v>Foundations</c:v>
                </c:pt>
                <c:pt idx="5">
                  <c:v>Rural housewives clubs</c:v>
                </c:pt>
                <c:pt idx="6">
                  <c:v>Faith-based charities</c:v>
                </c:pt>
                <c:pt idx="7">
                  <c:v>Business associations, farmers organizations</c:v>
                </c:pt>
              </c:strCache>
            </c:strRef>
          </c:cat>
          <c:val>
            <c:numRef>
              <c:f>Arkusz1!$B$2:$B$9</c:f>
              <c:numCache>
                <c:formatCode>0.0</c:formatCode>
                <c:ptCount val="8"/>
                <c:pt idx="0">
                  <c:v>32.799999999999997</c:v>
                </c:pt>
                <c:pt idx="1">
                  <c:v>20.2</c:v>
                </c:pt>
                <c:pt idx="2">
                  <c:v>14.8</c:v>
                </c:pt>
                <c:pt idx="3">
                  <c:v>2.5</c:v>
                </c:pt>
                <c:pt idx="4">
                  <c:v>22.4</c:v>
                </c:pt>
                <c:pt idx="5">
                  <c:v>17.399999999999999</c:v>
                </c:pt>
                <c:pt idx="6">
                  <c:v>2</c:v>
                </c:pt>
                <c:pt idx="7">
                  <c:v>1.2</c:v>
                </c:pt>
              </c:numCache>
            </c:numRef>
          </c:val>
          <c:extLst>
            <c:ext xmlns:c16="http://schemas.microsoft.com/office/drawing/2014/chart" uri="{C3380CC4-5D6E-409C-BE32-E72D297353CC}">
              <c16:uniqueId val="{00000000-F8E8-4E75-BD41-39C1C8FD1778}"/>
            </c:ext>
          </c:extLst>
        </c:ser>
        <c:dLbls>
          <c:showLegendKey val="0"/>
          <c:showVal val="0"/>
          <c:showCatName val="0"/>
          <c:showSerName val="0"/>
          <c:showPercent val="0"/>
          <c:showBubbleSize val="0"/>
        </c:dLbls>
        <c:gapWidth val="70"/>
        <c:axId val="-1708311712"/>
        <c:axId val="-1708316064"/>
      </c:barChart>
      <c:catAx>
        <c:axId val="-1708311712"/>
        <c:scaling>
          <c:orientation val="maxMin"/>
        </c:scaling>
        <c:delete val="0"/>
        <c:axPos val="l"/>
        <c:numFmt formatCode="General" sourceLinked="1"/>
        <c:majorTickMark val="none"/>
        <c:minorTickMark val="none"/>
        <c:tickLblPos val="nextTo"/>
        <c:spPr>
          <a:noFill/>
          <a:ln w="9525" cap="flat" cmpd="sng" algn="ctr">
            <a:solidFill>
              <a:schemeClr val="tx1">
                <a:alpha val="40000"/>
              </a:schemeClr>
            </a:solidFill>
            <a:round/>
          </a:ln>
          <a:effectLst/>
        </c:spPr>
        <c:txPr>
          <a:bodyPr rot="-60000000" spcFirstLastPara="1" vertOverflow="ellipsis" vert="horz" wrap="square" anchor="ctr" anchorCtr="1"/>
          <a:lstStyle/>
          <a:p>
            <a:pPr algn="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08316064"/>
        <c:crosses val="autoZero"/>
        <c:auto val="1"/>
        <c:lblAlgn val="ctr"/>
        <c:lblOffset val="100"/>
        <c:noMultiLvlLbl val="0"/>
      </c:catAx>
      <c:valAx>
        <c:axId val="-1708316064"/>
        <c:scaling>
          <c:orientation val="minMax"/>
          <c:max val="40"/>
          <c:min val="0"/>
        </c:scaling>
        <c:delete val="0"/>
        <c:axPos val="t"/>
        <c:majorGridlines>
          <c:spPr>
            <a:ln w="1270" cap="flat" cmpd="sng" algn="ctr">
              <a:solidFill>
                <a:schemeClr val="tx1">
                  <a:lumMod val="50000"/>
                  <a:lumOff val="50000"/>
                  <a:alpha val="50000"/>
                </a:schemeClr>
              </a:solidFill>
              <a:round/>
            </a:ln>
            <a:effectLst/>
          </c:spPr>
        </c:majorGridlines>
        <c:title>
          <c:tx>
            <c:rich>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r>
                  <a:rPr lang="pl-PL"/>
                  <a:t>thousands</a:t>
                </a:r>
              </a:p>
            </c:rich>
          </c:tx>
          <c:layout>
            <c:manualLayout>
              <c:xMode val="edge"/>
              <c:yMode val="edge"/>
              <c:x val="0.95146780899584227"/>
              <c:y val="0.92946681664791897"/>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0"/>
        <c:majorTickMark val="none"/>
        <c:minorTickMark val="none"/>
        <c:tickLblPos val="high"/>
        <c:spPr>
          <a:noFill/>
          <a:ln w="1270">
            <a:no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08311712"/>
        <c:crosses val="autoZero"/>
        <c:crossBetween val="between"/>
        <c:majorUnit val="10"/>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lgn="just">
        <a:defRPr sz="850" b="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760101155238807"/>
          <c:y val="4.9535327758385692E-2"/>
          <c:w val="0.49296752974896541"/>
          <c:h val="0.86288594560724985"/>
        </c:manualLayout>
      </c:layout>
      <c:barChart>
        <c:barDir val="bar"/>
        <c:grouping val="clustered"/>
        <c:varyColors val="0"/>
        <c:ser>
          <c:idx val="0"/>
          <c:order val="0"/>
          <c:tx>
            <c:strRef>
              <c:f>Arkusz1!$B$1</c:f>
              <c:strCache>
                <c:ptCount val="1"/>
                <c:pt idx="0">
                  <c:v>2024</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Arkusz1!$A$2:$A$15</c:f>
              <c:strCache>
                <c:ptCount val="14"/>
                <c:pt idx="0">
                  <c:v>Sports, tourism, recreation, hobbies</c:v>
                </c:pt>
                <c:pt idx="1">
                  <c:v>Rescue services</c:v>
                </c:pt>
                <c:pt idx="2">
                  <c:v>Social services</c:v>
                </c:pt>
                <c:pt idx="3">
                  <c:v>Culture and arts</c:v>
                </c:pt>
                <c:pt idx="4">
                  <c:v>Education and research</c:v>
                </c:pt>
                <c:pt idx="5">
                  <c:v>Health</c:v>
                </c:pt>
                <c:pt idx="6">
                  <c:v>Business and professional associations</c:v>
                </c:pt>
                <c:pt idx="7">
                  <c:v>Environment</c:v>
                </c:pt>
                <c:pt idx="8">
                  <c:v>Hunting</c:v>
                </c:pt>
                <c:pt idx="9">
                  <c:v>Employment assistance</c:v>
                </c:pt>
                <c:pt idx="10">
                  <c:v>Local social and economic development</c:v>
                </c:pt>
                <c:pt idx="11">
                  <c:v>Law, advocacy, civil rights, politics</c:v>
                </c:pt>
                <c:pt idx="12">
                  <c:v>Support for the third sector</c:v>
                </c:pt>
                <c:pt idx="13">
                  <c:v>Other activities</c:v>
                </c:pt>
              </c:strCache>
            </c:strRef>
          </c:cat>
          <c:val>
            <c:numRef>
              <c:f>Arkusz1!$B$2:$B$15</c:f>
              <c:numCache>
                <c:formatCode>0.0</c:formatCode>
                <c:ptCount val="14"/>
                <c:pt idx="0">
                  <c:v>26.8</c:v>
                </c:pt>
                <c:pt idx="1">
                  <c:v>13.4</c:v>
                </c:pt>
                <c:pt idx="2">
                  <c:v>8.6</c:v>
                </c:pt>
                <c:pt idx="3">
                  <c:v>13.7</c:v>
                </c:pt>
                <c:pt idx="4">
                  <c:v>9.6999999999999993</c:v>
                </c:pt>
                <c:pt idx="5">
                  <c:v>3.5</c:v>
                </c:pt>
                <c:pt idx="6">
                  <c:v>1.7</c:v>
                </c:pt>
                <c:pt idx="7">
                  <c:v>3.1</c:v>
                </c:pt>
                <c:pt idx="8">
                  <c:v>2.2000000000000002</c:v>
                </c:pt>
                <c:pt idx="9">
                  <c:v>1.3</c:v>
                </c:pt>
                <c:pt idx="10">
                  <c:v>10.8</c:v>
                </c:pt>
                <c:pt idx="11">
                  <c:v>1.7</c:v>
                </c:pt>
                <c:pt idx="12">
                  <c:v>1.6</c:v>
                </c:pt>
                <c:pt idx="13">
                  <c:v>1.9</c:v>
                </c:pt>
              </c:numCache>
            </c:numRef>
          </c:val>
          <c:extLst>
            <c:ext xmlns:c16="http://schemas.microsoft.com/office/drawing/2014/chart" uri="{C3380CC4-5D6E-409C-BE32-E72D297353CC}">
              <c16:uniqueId val="{00000000-E614-4221-AFF5-A9643FA6BA56}"/>
            </c:ext>
          </c:extLst>
        </c:ser>
        <c:dLbls>
          <c:showLegendKey val="0"/>
          <c:showVal val="0"/>
          <c:showCatName val="0"/>
          <c:showSerName val="0"/>
          <c:showPercent val="0"/>
          <c:showBubbleSize val="0"/>
        </c:dLbls>
        <c:gapWidth val="40"/>
        <c:axId val="-1708318784"/>
        <c:axId val="-1708321504"/>
      </c:barChart>
      <c:catAx>
        <c:axId val="-1708318784"/>
        <c:scaling>
          <c:orientation val="maxMin"/>
        </c:scaling>
        <c:delete val="0"/>
        <c:axPos val="l"/>
        <c:numFmt formatCode="General" sourceLinked="1"/>
        <c:majorTickMark val="none"/>
        <c:minorTickMark val="none"/>
        <c:tickLblPos val="nextTo"/>
        <c:spPr>
          <a:noFill/>
          <a:ln w="9525" cap="flat" cmpd="sng" algn="ctr">
            <a:solidFill>
              <a:schemeClr val="tx1">
                <a:alpha val="40000"/>
              </a:schemeClr>
            </a:solidFill>
            <a:round/>
          </a:ln>
          <a:effectLst/>
        </c:spPr>
        <c:txPr>
          <a:bodyPr rot="-60000000" spcFirstLastPara="1" vertOverflow="ellipsis" vert="horz" wrap="square" anchor="ctr" anchorCtr="1"/>
          <a:lstStyle/>
          <a:p>
            <a:pPr algn="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08321504"/>
        <c:crosses val="autoZero"/>
        <c:auto val="1"/>
        <c:lblAlgn val="ctr"/>
        <c:lblOffset val="100"/>
        <c:noMultiLvlLbl val="0"/>
      </c:catAx>
      <c:valAx>
        <c:axId val="-1708321504"/>
        <c:scaling>
          <c:orientation val="minMax"/>
          <c:max val="30"/>
          <c:min val="0"/>
        </c:scaling>
        <c:delete val="0"/>
        <c:axPos val="t"/>
        <c:majorGridlines>
          <c:spPr>
            <a:ln w="1270" cap="flat" cmpd="sng" algn="ctr">
              <a:solidFill>
                <a:schemeClr val="tx1">
                  <a:lumMod val="50000"/>
                  <a:lumOff val="50000"/>
                  <a:alpha val="50000"/>
                </a:schemeClr>
              </a:solidFill>
              <a:round/>
            </a:ln>
            <a:effectLst/>
          </c:spPr>
        </c:majorGridlines>
        <c:title>
          <c:tx>
            <c:rich>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0.94764836076226266"/>
              <c:y val="0.92876654824262217"/>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0"/>
        <c:majorTickMark val="none"/>
        <c:minorTickMark val="none"/>
        <c:tickLblPos val="high"/>
        <c:spPr>
          <a:noFill/>
          <a:ln w="1270">
            <a:no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08318784"/>
        <c:crosses val="autoZero"/>
        <c:crossBetween val="between"/>
        <c:majorUnit val="10"/>
        <c:minorUnit val="10"/>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lgn="just">
        <a:defRPr sz="850" b="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547807091078461"/>
          <c:y val="5.3930950938824954E-2"/>
          <c:w val="0.44509052092313584"/>
          <c:h val="0.85896601546250906"/>
        </c:manualLayout>
      </c:layout>
      <c:barChart>
        <c:barDir val="bar"/>
        <c:grouping val="clustered"/>
        <c:varyColors val="0"/>
        <c:ser>
          <c:idx val="0"/>
          <c:order val="0"/>
          <c:tx>
            <c:strRef>
              <c:f>Arkusz1!$B$1</c:f>
              <c:strCache>
                <c:ptCount val="1"/>
                <c:pt idx="0">
                  <c:v>2024</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Typical associations and social organizations</c:v>
                </c:pt>
                <c:pt idx="1">
                  <c:v>Sports associations</c:v>
                </c:pt>
                <c:pt idx="2">
                  <c:v>Volunteer fire brigades</c:v>
                </c:pt>
                <c:pt idx="3">
                  <c:v>Hunting clubs</c:v>
                </c:pt>
                <c:pt idx="4">
                  <c:v>Foundations</c:v>
                </c:pt>
                <c:pt idx="5">
                  <c:v>Rural housewives clubs</c:v>
                </c:pt>
                <c:pt idx="6">
                  <c:v>Faith-based charities</c:v>
                </c:pt>
                <c:pt idx="7">
                  <c:v>Business associations, farmers organizations</c:v>
                </c:pt>
              </c:strCache>
            </c:strRef>
          </c:cat>
          <c:val>
            <c:numRef>
              <c:f>Arkusz1!$B$2:$B$9</c:f>
              <c:numCache>
                <c:formatCode>0.0</c:formatCode>
                <c:ptCount val="8"/>
                <c:pt idx="0">
                  <c:v>59</c:v>
                </c:pt>
                <c:pt idx="1">
                  <c:v>22</c:v>
                </c:pt>
                <c:pt idx="2">
                  <c:v>8.1</c:v>
                </c:pt>
                <c:pt idx="3">
                  <c:v>1.4</c:v>
                </c:pt>
                <c:pt idx="4">
                  <c:v>1.2</c:v>
                </c:pt>
                <c:pt idx="5">
                  <c:v>6.6</c:v>
                </c:pt>
                <c:pt idx="6">
                  <c:v>1</c:v>
                </c:pt>
                <c:pt idx="7">
                  <c:v>0.7</c:v>
                </c:pt>
              </c:numCache>
            </c:numRef>
          </c:val>
          <c:extLst>
            <c:ext xmlns:c16="http://schemas.microsoft.com/office/drawing/2014/chart" uri="{C3380CC4-5D6E-409C-BE32-E72D297353CC}">
              <c16:uniqueId val="{00000000-058B-4C2D-80F3-2237045BC10A}"/>
            </c:ext>
          </c:extLst>
        </c:ser>
        <c:dLbls>
          <c:showLegendKey val="0"/>
          <c:showVal val="0"/>
          <c:showCatName val="0"/>
          <c:showSerName val="0"/>
          <c:showPercent val="0"/>
          <c:showBubbleSize val="0"/>
        </c:dLbls>
        <c:gapWidth val="70"/>
        <c:axId val="-1708318240"/>
        <c:axId val="-1708309536"/>
      </c:barChart>
      <c:catAx>
        <c:axId val="-1708318240"/>
        <c:scaling>
          <c:orientation val="maxMin"/>
        </c:scaling>
        <c:delete val="0"/>
        <c:axPos val="l"/>
        <c:numFmt formatCode="General" sourceLinked="1"/>
        <c:majorTickMark val="none"/>
        <c:minorTickMark val="none"/>
        <c:tickLblPos val="nextTo"/>
        <c:spPr>
          <a:noFill/>
          <a:ln w="9525" cap="flat" cmpd="sng" algn="ctr">
            <a:solidFill>
              <a:schemeClr val="tx1">
                <a:alpha val="40000"/>
              </a:schemeClr>
            </a:solidFill>
            <a:round/>
          </a:ln>
          <a:effectLst/>
        </c:spPr>
        <c:txPr>
          <a:bodyPr rot="-60000000" spcFirstLastPara="1" vertOverflow="ellipsis" vert="horz" wrap="square" anchor="ctr" anchorCtr="1"/>
          <a:lstStyle/>
          <a:p>
            <a:pPr algn="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08309536"/>
        <c:crosses val="autoZero"/>
        <c:auto val="1"/>
        <c:lblAlgn val="ctr"/>
        <c:lblOffset val="100"/>
        <c:noMultiLvlLbl val="0"/>
      </c:catAx>
      <c:valAx>
        <c:axId val="-1708309536"/>
        <c:scaling>
          <c:orientation val="minMax"/>
          <c:max val="100"/>
          <c:min val="0"/>
        </c:scaling>
        <c:delete val="0"/>
        <c:axPos val="t"/>
        <c:majorGridlines>
          <c:spPr>
            <a:ln w="1270" cap="flat" cmpd="sng" algn="ctr">
              <a:solidFill>
                <a:schemeClr val="tx1">
                  <a:lumMod val="50000"/>
                  <a:lumOff val="50000"/>
                  <a:alpha val="50000"/>
                </a:schemeClr>
              </a:solidFill>
              <a:round/>
            </a:ln>
            <a:effectLst/>
          </c:spPr>
        </c:majorGridlines>
        <c:title>
          <c:tx>
            <c:rich>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0.95276066742129684"/>
              <c:y val="0.92946681664791897"/>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0"/>
        <c:majorTickMark val="none"/>
        <c:minorTickMark val="none"/>
        <c:tickLblPos val="high"/>
        <c:spPr>
          <a:noFill/>
          <a:ln w="1270">
            <a:no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08318240"/>
        <c:crosses val="autoZero"/>
        <c:crossBetween val="between"/>
        <c:majorUnit val="20"/>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lgn="just">
        <a:defRPr sz="850" b="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67392347361022E-2"/>
          <c:y val="4.1487179041980279E-2"/>
          <c:w val="0.30679137694510283"/>
          <c:h val="0.93150817686250753"/>
        </c:manualLayout>
      </c:layout>
      <c:doughnutChart>
        <c:varyColors val="1"/>
        <c:ser>
          <c:idx val="0"/>
          <c:order val="0"/>
          <c:tx>
            <c:strRef>
              <c:f>Arkusz1!$B$1</c:f>
              <c:strCache>
                <c:ptCount val="1"/>
                <c:pt idx="0">
                  <c:v>Sprzedaż</c:v>
                </c:pt>
              </c:strCache>
            </c:strRef>
          </c:tx>
          <c:spPr>
            <a:ln>
              <a:noFill/>
            </a:ln>
          </c:spPr>
          <c:dPt>
            <c:idx val="0"/>
            <c:bubble3D val="0"/>
            <c:spPr>
              <a:solidFill>
                <a:srgbClr val="001D77"/>
              </a:solidFill>
              <a:ln w="19050">
                <a:noFill/>
              </a:ln>
              <a:effectLst/>
            </c:spPr>
            <c:extLst>
              <c:ext xmlns:c16="http://schemas.microsoft.com/office/drawing/2014/chart" uri="{C3380CC4-5D6E-409C-BE32-E72D297353CC}">
                <c16:uniqueId val="{00000001-2CBB-4B78-AD8B-B1319A01C34D}"/>
              </c:ext>
            </c:extLst>
          </c:dPt>
          <c:dPt>
            <c:idx val="1"/>
            <c:bubble3D val="0"/>
            <c:spPr>
              <a:solidFill>
                <a:srgbClr val="6677AD"/>
              </a:solidFill>
              <a:ln w="19050">
                <a:noFill/>
              </a:ln>
              <a:effectLst/>
            </c:spPr>
            <c:extLst>
              <c:ext xmlns:c16="http://schemas.microsoft.com/office/drawing/2014/chart" uri="{C3380CC4-5D6E-409C-BE32-E72D297353CC}">
                <c16:uniqueId val="{00000003-2CBB-4B78-AD8B-B1319A01C34D}"/>
              </c:ext>
            </c:extLst>
          </c:dPt>
          <c:dPt>
            <c:idx val="2"/>
            <c:bubble3D val="0"/>
            <c:spPr>
              <a:solidFill>
                <a:srgbClr val="CCD1E3"/>
              </a:solidFill>
              <a:ln w="19050">
                <a:noFill/>
              </a:ln>
              <a:effectLst/>
            </c:spPr>
            <c:extLst>
              <c:ext xmlns:c16="http://schemas.microsoft.com/office/drawing/2014/chart" uri="{C3380CC4-5D6E-409C-BE32-E72D297353CC}">
                <c16:uniqueId val="{00000005-2CBB-4B78-AD8B-B1319A01C34D}"/>
              </c:ext>
            </c:extLst>
          </c:dPt>
          <c:dLbls>
            <c:dLbl>
              <c:idx val="0"/>
              <c:tx>
                <c:rich>
                  <a:bodyPr rot="0" spcFirstLastPara="1" vertOverflow="ellipsis" vert="horz" wrap="square" anchor="ctr" anchorCtr="1"/>
                  <a:lstStyle/>
                  <a:p>
                    <a:pPr>
                      <a:defRPr sz="850" b="0" i="0" u="none" strike="noStrike" kern="1200" baseline="0">
                        <a:solidFill>
                          <a:schemeClr val="bg1"/>
                        </a:solidFill>
                        <a:latin typeface="Fira Sans" panose="020B0503050000020004" pitchFamily="34" charset="0"/>
                        <a:ea typeface="Fira Sans" panose="020B0503050000020004" pitchFamily="34" charset="0"/>
                        <a:cs typeface="+mn-cs"/>
                      </a:defRPr>
                    </a:pPr>
                    <a:fld id="{9E339DE6-4DB2-470D-B542-9A70CFA184E8}" type="VALUE">
                      <a:rPr lang="en-US">
                        <a:solidFill>
                          <a:schemeClr val="bg1"/>
                        </a:solidFill>
                      </a:rPr>
                      <a:pPr>
                        <a:defRPr>
                          <a:solidFill>
                            <a:schemeClr val="bg1"/>
                          </a:solidFill>
                        </a:defRPr>
                      </a:pPr>
                      <a:t>[WARTOŚĆ]</a:t>
                    </a:fld>
                    <a:r>
                      <a:rPr lang="en-US">
                        <a:solidFill>
                          <a:schemeClr val="bg1"/>
                        </a:solidFill>
                      </a:rPr>
                      <a:t>%</a:t>
                    </a:r>
                  </a:p>
                </c:rich>
              </c:tx>
              <c:spPr>
                <a:noFill/>
                <a:ln>
                  <a:noFill/>
                </a:ln>
                <a:effectLst/>
              </c:spPr>
              <c:txPr>
                <a:bodyPr rot="0" spcFirstLastPara="1" vertOverflow="ellipsis" vert="horz" wrap="square" anchor="ctr" anchorCtr="1"/>
                <a:lstStyle/>
                <a:p>
                  <a:pPr>
                    <a:defRPr sz="85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CBB-4B78-AD8B-B1319A01C34D}"/>
                </c:ext>
              </c:extLst>
            </c:dLbl>
            <c:dLbl>
              <c:idx val="1"/>
              <c:tx>
                <c:rich>
                  <a:bodyPr/>
                  <a:lstStyle/>
                  <a:p>
                    <a:fld id="{5B73D06D-83CC-453D-ABA2-36F83258E8A9}"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CBB-4B78-AD8B-B1319A01C34D}"/>
                </c:ext>
              </c:extLst>
            </c:dLbl>
            <c:dLbl>
              <c:idx val="2"/>
              <c:tx>
                <c:rich>
                  <a:bodyPr/>
                  <a:lstStyle/>
                  <a:p>
                    <a:fld id="{9671717B-9561-4982-8A62-775D528C5BAB}"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CBB-4B78-AD8B-B1319A01C34D}"/>
                </c:ext>
              </c:extLst>
            </c:dLbl>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Arkusz1!$A$2:$A$4</c:f>
              <c:strCache>
                <c:ptCount val="3"/>
                <c:pt idx="0">
                  <c:v>Organizations without paid employees</c:v>
                </c:pt>
                <c:pt idx="1">
                  <c:v>Organizations with personnel employed only on the basis of civil law contracts</c:v>
                </c:pt>
                <c:pt idx="2">
                  <c:v>Organizations with personnel employed on the basis of employment contract</c:v>
                </c:pt>
              </c:strCache>
            </c:strRef>
          </c:cat>
          <c:val>
            <c:numRef>
              <c:f>Arkusz1!$B$2:$B$4</c:f>
              <c:numCache>
                <c:formatCode>General</c:formatCode>
                <c:ptCount val="3"/>
                <c:pt idx="0">
                  <c:v>61.3</c:v>
                </c:pt>
                <c:pt idx="1">
                  <c:v>25.1</c:v>
                </c:pt>
                <c:pt idx="2">
                  <c:v>13.6</c:v>
                </c:pt>
              </c:numCache>
            </c:numRef>
          </c:val>
          <c:extLst>
            <c:ext xmlns:c16="http://schemas.microsoft.com/office/drawing/2014/chart" uri="{C3380CC4-5D6E-409C-BE32-E72D297353CC}">
              <c16:uniqueId val="{00000006-2CBB-4B78-AD8B-B1319A01C34D}"/>
            </c:ext>
          </c:extLst>
        </c:ser>
        <c:dLbls>
          <c:showLegendKey val="0"/>
          <c:showVal val="0"/>
          <c:showCatName val="0"/>
          <c:showSerName val="0"/>
          <c:showPercent val="0"/>
          <c:showBubbleSize val="0"/>
          <c:showLeaderLines val="1"/>
        </c:dLbls>
        <c:firstSliceAng val="0"/>
        <c:holeSize val="57"/>
      </c:doughnutChart>
      <c:spPr>
        <a:noFill/>
        <a:ln>
          <a:noFill/>
        </a:ln>
        <a:effectLst/>
      </c:spPr>
    </c:plotArea>
    <c:legend>
      <c:legendPos val="r"/>
      <c:layout>
        <c:manualLayout>
          <c:xMode val="edge"/>
          <c:yMode val="edge"/>
          <c:x val="0.45673792529863871"/>
          <c:y val="0.1937349341806365"/>
          <c:w val="0.49956041623057168"/>
          <c:h val="0.63279479811440331"/>
        </c:manualLayout>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929294572712861"/>
          <c:y val="5.3930950938824954E-2"/>
          <c:w val="0.4627294273109398"/>
          <c:h val="0.72457482888534064"/>
        </c:manualLayout>
      </c:layout>
      <c:barChart>
        <c:barDir val="bar"/>
        <c:grouping val="clustered"/>
        <c:varyColors val="0"/>
        <c:ser>
          <c:idx val="0"/>
          <c:order val="0"/>
          <c:tx>
            <c:strRef>
              <c:f>Arkusz1!$B$1</c:f>
              <c:strCache>
                <c:ptCount val="1"/>
                <c:pt idx="0">
                  <c:v>Organizations benefiting from work of volunteers during the year</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Total organizations</c:v>
                </c:pt>
                <c:pt idx="1">
                  <c:v>Typical associations and social organizations</c:v>
                </c:pt>
                <c:pt idx="2">
                  <c:v>Sports associations</c:v>
                </c:pt>
                <c:pt idx="3">
                  <c:v>Volunteer fire brigades</c:v>
                </c:pt>
                <c:pt idx="4">
                  <c:v>Hunting clubs</c:v>
                </c:pt>
                <c:pt idx="5">
                  <c:v>Foundations</c:v>
                </c:pt>
                <c:pt idx="6">
                  <c:v>Rural housewives clubs</c:v>
                </c:pt>
                <c:pt idx="7">
                  <c:v>Faith-based charities</c:v>
                </c:pt>
                <c:pt idx="8">
                  <c:v>Business associations, farmers organizations</c:v>
                </c:pt>
              </c:strCache>
            </c:strRef>
          </c:cat>
          <c:val>
            <c:numRef>
              <c:f>Arkusz1!$B$2:$B$10</c:f>
              <c:numCache>
                <c:formatCode>0.0</c:formatCode>
                <c:ptCount val="9"/>
                <c:pt idx="0">
                  <c:v>95.4</c:v>
                </c:pt>
                <c:pt idx="1">
                  <c:v>95.5</c:v>
                </c:pt>
                <c:pt idx="2">
                  <c:v>97</c:v>
                </c:pt>
                <c:pt idx="3">
                  <c:v>98.6</c:v>
                </c:pt>
                <c:pt idx="4">
                  <c:v>97.2</c:v>
                </c:pt>
                <c:pt idx="5">
                  <c:v>92.8</c:v>
                </c:pt>
                <c:pt idx="6">
                  <c:v>98.8</c:v>
                </c:pt>
                <c:pt idx="7">
                  <c:v>54.6</c:v>
                </c:pt>
                <c:pt idx="8">
                  <c:v>93.5</c:v>
                </c:pt>
              </c:numCache>
            </c:numRef>
          </c:val>
          <c:extLst>
            <c:ext xmlns:c16="http://schemas.microsoft.com/office/drawing/2014/chart" uri="{C3380CC4-5D6E-409C-BE32-E72D297353CC}">
              <c16:uniqueId val="{00000000-44A6-4345-9F10-018FA7BB9DD8}"/>
            </c:ext>
          </c:extLst>
        </c:ser>
        <c:ser>
          <c:idx val="1"/>
          <c:order val="1"/>
          <c:tx>
            <c:strRef>
              <c:f>Arkusz1!$C$1</c:f>
              <c:strCache>
                <c:ptCount val="1"/>
                <c:pt idx="0">
                  <c:v>Organizations with personnel employed on the basis of employment contract at the end of the year</c:v>
                </c:pt>
              </c:strCache>
            </c:strRef>
          </c:tx>
          <c:spPr>
            <a:solidFill>
              <a:srgbClr val="99A4C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Total organizations</c:v>
                </c:pt>
                <c:pt idx="1">
                  <c:v>Typical associations and social organizations</c:v>
                </c:pt>
                <c:pt idx="2">
                  <c:v>Sports associations</c:v>
                </c:pt>
                <c:pt idx="3">
                  <c:v>Volunteer fire brigades</c:v>
                </c:pt>
                <c:pt idx="4">
                  <c:v>Hunting clubs</c:v>
                </c:pt>
                <c:pt idx="5">
                  <c:v>Foundations</c:v>
                </c:pt>
                <c:pt idx="6">
                  <c:v>Rural housewives clubs</c:v>
                </c:pt>
                <c:pt idx="7">
                  <c:v>Faith-based charities</c:v>
                </c:pt>
                <c:pt idx="8">
                  <c:v>Business associations, farmers organizations</c:v>
                </c:pt>
              </c:strCache>
            </c:strRef>
          </c:cat>
          <c:val>
            <c:numRef>
              <c:f>Arkusz1!$C$2:$C$10</c:f>
              <c:numCache>
                <c:formatCode>General</c:formatCode>
                <c:ptCount val="9"/>
                <c:pt idx="0">
                  <c:v>13.6</c:v>
                </c:pt>
                <c:pt idx="1">
                  <c:v>16.899999999999999</c:v>
                </c:pt>
                <c:pt idx="2">
                  <c:v>11.2</c:v>
                </c:pt>
                <c:pt idx="3">
                  <c:v>0.4</c:v>
                </c:pt>
                <c:pt idx="4">
                  <c:v>2.4</c:v>
                </c:pt>
                <c:pt idx="5">
                  <c:v>23.1</c:v>
                </c:pt>
                <c:pt idx="6">
                  <c:v>0.3</c:v>
                </c:pt>
                <c:pt idx="7">
                  <c:v>82.1</c:v>
                </c:pt>
                <c:pt idx="8">
                  <c:v>46.6</c:v>
                </c:pt>
              </c:numCache>
            </c:numRef>
          </c:val>
          <c:extLst>
            <c:ext xmlns:c16="http://schemas.microsoft.com/office/drawing/2014/chart" uri="{C3380CC4-5D6E-409C-BE32-E72D297353CC}">
              <c16:uniqueId val="{00000001-44A6-4345-9F10-018FA7BB9DD8}"/>
            </c:ext>
          </c:extLst>
        </c:ser>
        <c:dLbls>
          <c:showLegendKey val="0"/>
          <c:showVal val="0"/>
          <c:showCatName val="0"/>
          <c:showSerName val="0"/>
          <c:showPercent val="0"/>
          <c:showBubbleSize val="0"/>
        </c:dLbls>
        <c:gapWidth val="50"/>
        <c:axId val="-1708312256"/>
        <c:axId val="-1708317696"/>
      </c:barChart>
      <c:catAx>
        <c:axId val="-1708312256"/>
        <c:scaling>
          <c:orientation val="maxMin"/>
        </c:scaling>
        <c:delete val="0"/>
        <c:axPos val="l"/>
        <c:numFmt formatCode="General" sourceLinked="1"/>
        <c:majorTickMark val="none"/>
        <c:minorTickMark val="none"/>
        <c:tickLblPos val="nextTo"/>
        <c:spPr>
          <a:noFill/>
          <a:ln w="9525" cap="flat" cmpd="sng" algn="ctr">
            <a:solidFill>
              <a:schemeClr val="tx1">
                <a:alpha val="40000"/>
              </a:schemeClr>
            </a:solidFill>
            <a:round/>
          </a:ln>
          <a:effectLst/>
        </c:spPr>
        <c:txPr>
          <a:bodyPr rot="-60000000" spcFirstLastPara="1" vertOverflow="ellipsis" vert="horz" wrap="square" anchor="ctr" anchorCtr="1"/>
          <a:lstStyle/>
          <a:p>
            <a:pPr algn="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08317696"/>
        <c:crosses val="autoZero"/>
        <c:auto val="1"/>
        <c:lblAlgn val="ctr"/>
        <c:lblOffset val="100"/>
        <c:noMultiLvlLbl val="0"/>
      </c:catAx>
      <c:valAx>
        <c:axId val="-1708317696"/>
        <c:scaling>
          <c:orientation val="minMax"/>
          <c:max val="100"/>
          <c:min val="0"/>
        </c:scaling>
        <c:delete val="0"/>
        <c:axPos val="t"/>
        <c:majorGridlines>
          <c:spPr>
            <a:ln w="1270" cap="flat" cmpd="sng" algn="ctr">
              <a:solidFill>
                <a:schemeClr val="tx1">
                  <a:lumMod val="50000"/>
                  <a:lumOff val="50000"/>
                  <a:alpha val="50000"/>
                </a:schemeClr>
              </a:solidFill>
              <a:round/>
            </a:ln>
            <a:effectLst/>
          </c:spPr>
        </c:majorGridlines>
        <c:title>
          <c:tx>
            <c:rich>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0.96535988626972824"/>
              <c:y val="0.78956069101565507"/>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0"/>
        <c:majorTickMark val="none"/>
        <c:minorTickMark val="none"/>
        <c:tickLblPos val="high"/>
        <c:spPr>
          <a:noFill/>
          <a:ln w="1270">
            <a:no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08312256"/>
        <c:crosses val="autoZero"/>
        <c:crossBetween val="between"/>
        <c:majorUnit val="20"/>
      </c:valAx>
      <c:spPr>
        <a:noFill/>
        <a:ln w="25400">
          <a:noFill/>
        </a:ln>
        <a:effectLst/>
      </c:spPr>
    </c:plotArea>
    <c:legend>
      <c:legendPos val="b"/>
      <c:layout>
        <c:manualLayout>
          <c:xMode val="edge"/>
          <c:yMode val="edge"/>
          <c:x val="0.12298583629547251"/>
          <c:y val="0.87842976214586777"/>
          <c:w val="0.81450457788152564"/>
          <c:h val="0.10474622887571765"/>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lgn="just">
        <a:defRPr sz="850" b="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59420226103023"/>
          <c:y val="4.072904294784381E-2"/>
          <c:w val="0.35150253125251119"/>
          <c:h val="0.90083164047503428"/>
        </c:manualLayout>
      </c:layout>
      <c:doughnutChart>
        <c:varyColors val="1"/>
        <c:ser>
          <c:idx val="0"/>
          <c:order val="0"/>
          <c:tx>
            <c:strRef>
              <c:f>Arkusz1!$B$1</c:f>
              <c:strCache>
                <c:ptCount val="1"/>
                <c:pt idx="0">
                  <c:v>Kolumna1</c:v>
                </c:pt>
              </c:strCache>
            </c:strRef>
          </c:tx>
          <c:spPr>
            <a:ln>
              <a:noFill/>
            </a:ln>
          </c:spPr>
          <c:dPt>
            <c:idx val="0"/>
            <c:bubble3D val="0"/>
            <c:spPr>
              <a:solidFill>
                <a:srgbClr val="001D77"/>
              </a:solidFill>
              <a:ln w="19050">
                <a:noFill/>
              </a:ln>
              <a:effectLst/>
            </c:spPr>
            <c:extLst>
              <c:ext xmlns:c16="http://schemas.microsoft.com/office/drawing/2014/chart" uri="{C3380CC4-5D6E-409C-BE32-E72D297353CC}">
                <c16:uniqueId val="{00000001-2D24-4D96-A623-D3C9B7FD12C3}"/>
              </c:ext>
            </c:extLst>
          </c:dPt>
          <c:dPt>
            <c:idx val="1"/>
            <c:bubble3D val="0"/>
            <c:spPr>
              <a:solidFill>
                <a:srgbClr val="334A92"/>
              </a:solidFill>
              <a:ln w="19050">
                <a:noFill/>
              </a:ln>
              <a:effectLst/>
            </c:spPr>
            <c:extLst>
              <c:ext xmlns:c16="http://schemas.microsoft.com/office/drawing/2014/chart" uri="{C3380CC4-5D6E-409C-BE32-E72D297353CC}">
                <c16:uniqueId val="{00000003-2D24-4D96-A623-D3C9B7FD12C3}"/>
              </c:ext>
            </c:extLst>
          </c:dPt>
          <c:dPt>
            <c:idx val="2"/>
            <c:bubble3D val="0"/>
            <c:spPr>
              <a:solidFill>
                <a:srgbClr val="6677AD"/>
              </a:solidFill>
              <a:ln w="19050">
                <a:noFill/>
              </a:ln>
              <a:effectLst/>
            </c:spPr>
            <c:extLst>
              <c:ext xmlns:c16="http://schemas.microsoft.com/office/drawing/2014/chart" uri="{C3380CC4-5D6E-409C-BE32-E72D297353CC}">
                <c16:uniqueId val="{00000005-2D24-4D96-A623-D3C9B7FD12C3}"/>
              </c:ext>
            </c:extLst>
          </c:dPt>
          <c:dPt>
            <c:idx val="3"/>
            <c:bubble3D val="0"/>
            <c:spPr>
              <a:solidFill>
                <a:srgbClr val="99A4C8"/>
              </a:solidFill>
              <a:ln w="19050">
                <a:noFill/>
              </a:ln>
              <a:effectLst/>
            </c:spPr>
            <c:extLst>
              <c:ext xmlns:c16="http://schemas.microsoft.com/office/drawing/2014/chart" uri="{C3380CC4-5D6E-409C-BE32-E72D297353CC}">
                <c16:uniqueId val="{00000007-2D24-4D96-A623-D3C9B7FD12C3}"/>
              </c:ext>
            </c:extLst>
          </c:dPt>
          <c:dPt>
            <c:idx val="4"/>
            <c:bubble3D val="0"/>
            <c:spPr>
              <a:solidFill>
                <a:srgbClr val="CCD1E3"/>
              </a:solidFill>
              <a:ln w="19050">
                <a:noFill/>
              </a:ln>
              <a:effectLst/>
            </c:spPr>
            <c:extLst>
              <c:ext xmlns:c16="http://schemas.microsoft.com/office/drawing/2014/chart" uri="{C3380CC4-5D6E-409C-BE32-E72D297353CC}">
                <c16:uniqueId val="{00000009-2D24-4D96-A623-D3C9B7FD12C3}"/>
              </c:ext>
            </c:extLst>
          </c:dPt>
          <c:dLbls>
            <c:dLbl>
              <c:idx val="0"/>
              <c:tx>
                <c:rich>
                  <a:bodyPr rot="0" spcFirstLastPara="1" vertOverflow="ellipsis" vert="horz" wrap="square" anchor="ctr" anchorCtr="1"/>
                  <a:lstStyle/>
                  <a:p>
                    <a:pPr>
                      <a:defRPr sz="850" b="0" i="0" u="none" strike="noStrike" kern="1200" baseline="0">
                        <a:solidFill>
                          <a:schemeClr val="bg1"/>
                        </a:solidFill>
                        <a:latin typeface="Fira Sans" panose="020B0503050000020004" pitchFamily="34" charset="0"/>
                        <a:ea typeface="Fira Sans" panose="020B0503050000020004" pitchFamily="34" charset="0"/>
                        <a:cs typeface="+mn-cs"/>
                      </a:defRPr>
                    </a:pPr>
                    <a:fld id="{9E339DE6-4DB2-470D-B542-9A70CFA184E8}" type="VALUE">
                      <a:rPr lang="en-US">
                        <a:solidFill>
                          <a:schemeClr val="bg1"/>
                        </a:solidFill>
                      </a:rPr>
                      <a:pPr>
                        <a:defRPr>
                          <a:solidFill>
                            <a:schemeClr val="bg1"/>
                          </a:solidFill>
                        </a:defRPr>
                      </a:pPr>
                      <a:t>[WARTOŚĆ]</a:t>
                    </a:fld>
                    <a:r>
                      <a:rPr lang="en-US">
                        <a:solidFill>
                          <a:schemeClr val="bg1"/>
                        </a:solidFill>
                      </a:rPr>
                      <a:t>%</a:t>
                    </a:r>
                  </a:p>
                </c:rich>
              </c:tx>
              <c:spPr>
                <a:noFill/>
                <a:ln>
                  <a:noFill/>
                </a:ln>
                <a:effectLst/>
              </c:spPr>
              <c:txPr>
                <a:bodyPr rot="0" spcFirstLastPara="1" vertOverflow="ellipsis" vert="horz" wrap="square" anchor="ctr" anchorCtr="1"/>
                <a:lstStyle/>
                <a:p>
                  <a:pPr>
                    <a:defRPr sz="85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D24-4D96-A623-D3C9B7FD12C3}"/>
                </c:ext>
              </c:extLst>
            </c:dLbl>
            <c:dLbl>
              <c:idx val="1"/>
              <c:tx>
                <c:rich>
                  <a:bodyPr rot="0" spcFirstLastPara="1" vertOverflow="ellipsis" vert="horz" wrap="square" anchor="ctr" anchorCtr="1"/>
                  <a:lstStyle/>
                  <a:p>
                    <a:pPr>
                      <a:defRPr sz="850" b="0" i="0" u="none" strike="noStrike" kern="1200" baseline="0">
                        <a:solidFill>
                          <a:schemeClr val="bg1"/>
                        </a:solidFill>
                        <a:latin typeface="Fira Sans" panose="020B0503050000020004" pitchFamily="34" charset="0"/>
                        <a:ea typeface="Fira Sans" panose="020B0503050000020004" pitchFamily="34" charset="0"/>
                        <a:cs typeface="+mn-cs"/>
                      </a:defRPr>
                    </a:pPr>
                    <a:fld id="{5B73D06D-83CC-453D-ABA2-36F83258E8A9}" type="VALUE">
                      <a:rPr lang="en-US">
                        <a:solidFill>
                          <a:schemeClr val="bg1"/>
                        </a:solidFill>
                      </a:rPr>
                      <a:pPr>
                        <a:defRPr>
                          <a:solidFill>
                            <a:schemeClr val="bg1"/>
                          </a:solidFill>
                        </a:defRPr>
                      </a:pPr>
                      <a:t>[WARTOŚĆ]</a:t>
                    </a:fld>
                    <a:r>
                      <a:rPr lang="en-US">
                        <a:solidFill>
                          <a:schemeClr val="bg1"/>
                        </a:solidFill>
                      </a:rPr>
                      <a:t>%</a:t>
                    </a:r>
                  </a:p>
                </c:rich>
              </c:tx>
              <c:spPr>
                <a:noFill/>
                <a:ln>
                  <a:noFill/>
                </a:ln>
                <a:effectLst/>
              </c:spPr>
              <c:txPr>
                <a:bodyPr rot="0" spcFirstLastPara="1" vertOverflow="ellipsis" vert="horz" wrap="square" anchor="ctr" anchorCtr="1"/>
                <a:lstStyle/>
                <a:p>
                  <a:pPr>
                    <a:defRPr sz="85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D24-4D96-A623-D3C9B7FD12C3}"/>
                </c:ext>
              </c:extLst>
            </c:dLbl>
            <c:dLbl>
              <c:idx val="2"/>
              <c:tx>
                <c:rich>
                  <a:bodyPr/>
                  <a:lstStyle/>
                  <a:p>
                    <a:r>
                      <a:rPr lang="en-US"/>
                      <a:t>32.4%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24-4D96-A623-D3C9B7FD12C3}"/>
                </c:ext>
              </c:extLst>
            </c:dLbl>
            <c:dLbl>
              <c:idx val="3"/>
              <c:layout>
                <c:manualLayout>
                  <c:x val="-8.8346108873587112E-2"/>
                  <c:y val="-8.1936685288640593E-2"/>
                </c:manualLayout>
              </c:layout>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24-4D96-A623-D3C9B7FD12C3}"/>
                </c:ext>
              </c:extLst>
            </c:dLbl>
            <c:dLbl>
              <c:idx val="4"/>
              <c:layout>
                <c:manualLayout>
                  <c:x val="0.13771599324412112"/>
                  <c:y val="-7.4487895716946001E-2"/>
                </c:manualLayout>
              </c:layout>
              <c:tx>
                <c:rich>
                  <a:bodyPr/>
                  <a:lstStyle/>
                  <a:p>
                    <a:fld id="{61B4D10C-F961-4DD4-AE7C-B7D4BECF71E0}"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2D24-4D96-A623-D3C9B7FD12C3}"/>
                </c:ext>
              </c:extLst>
            </c:dLbl>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Arkusz1!$A$2:$A$6</c:f>
              <c:strCache>
                <c:ptCount val="5"/>
                <c:pt idx="0">
                  <c:v>Non-market revenues public funds</c:v>
                </c:pt>
                <c:pt idx="1">
                  <c:v>Non-market revenues private funds</c:v>
                </c:pt>
                <c:pt idx="2">
                  <c:v>Market revenues</c:v>
                </c:pt>
                <c:pt idx="3">
                  <c:v>Membership dues</c:v>
                </c:pt>
                <c:pt idx="4">
                  <c:v>Other</c:v>
                </c:pt>
              </c:strCache>
            </c:strRef>
          </c:cat>
          <c:val>
            <c:numRef>
              <c:f>Arkusz1!$B$2:$B$6</c:f>
              <c:numCache>
                <c:formatCode>General</c:formatCode>
                <c:ptCount val="5"/>
                <c:pt idx="0">
                  <c:v>45.7</c:v>
                </c:pt>
                <c:pt idx="1">
                  <c:v>14.8</c:v>
                </c:pt>
                <c:pt idx="2">
                  <c:v>32.4</c:v>
                </c:pt>
                <c:pt idx="3">
                  <c:v>4.4000000000000004</c:v>
                </c:pt>
                <c:pt idx="4">
                  <c:v>2.7</c:v>
                </c:pt>
              </c:numCache>
            </c:numRef>
          </c:val>
          <c:extLst>
            <c:ext xmlns:c16="http://schemas.microsoft.com/office/drawing/2014/chart" uri="{C3380CC4-5D6E-409C-BE32-E72D297353CC}">
              <c16:uniqueId val="{0000000A-2D24-4D96-A623-D3C9B7FD12C3}"/>
            </c:ext>
          </c:extLst>
        </c:ser>
        <c:dLbls>
          <c:showLegendKey val="0"/>
          <c:showVal val="0"/>
          <c:showCatName val="0"/>
          <c:showSerName val="0"/>
          <c:showPercent val="0"/>
          <c:showBubbleSize val="0"/>
          <c:showLeaderLines val="1"/>
        </c:dLbls>
        <c:firstSliceAng val="0"/>
        <c:holeSize val="57"/>
      </c:doughnutChart>
      <c:spPr>
        <a:noFill/>
        <a:ln>
          <a:noFill/>
        </a:ln>
        <a:effectLst/>
      </c:spPr>
    </c:plotArea>
    <c:legend>
      <c:legendPos val="r"/>
      <c:layout>
        <c:manualLayout>
          <c:xMode val="edge"/>
          <c:yMode val="edge"/>
          <c:x val="0.51909991974198377"/>
          <c:y val="0.14041097674257089"/>
          <c:w val="0.33845868980551785"/>
          <c:h val="0.75384802368281689"/>
        </c:manualLayout>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547807091078461"/>
          <c:y val="5.3930950938824954E-2"/>
          <c:w val="0.4501302084625084"/>
          <c:h val="0.84138375010815958"/>
        </c:manualLayout>
      </c:layout>
      <c:barChart>
        <c:barDir val="bar"/>
        <c:grouping val="clustered"/>
        <c:varyColors val="0"/>
        <c:ser>
          <c:idx val="0"/>
          <c:order val="0"/>
          <c:tx>
            <c:strRef>
              <c:f>Arkusz1!$B$1</c:f>
              <c:strCache>
                <c:ptCount val="1"/>
                <c:pt idx="0">
                  <c:v>2024</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Total organizations</c:v>
                </c:pt>
                <c:pt idx="1">
                  <c:v>Typical associations and social organizations</c:v>
                </c:pt>
                <c:pt idx="2">
                  <c:v>Sports associations</c:v>
                </c:pt>
                <c:pt idx="3">
                  <c:v>Volunteer fire brigades</c:v>
                </c:pt>
                <c:pt idx="4">
                  <c:v>Hunting clubs</c:v>
                </c:pt>
                <c:pt idx="5">
                  <c:v>Foundations</c:v>
                </c:pt>
                <c:pt idx="6">
                  <c:v>Rural housewives clubs</c:v>
                </c:pt>
                <c:pt idx="7">
                  <c:v>Faith-based charities</c:v>
                </c:pt>
                <c:pt idx="8">
                  <c:v>Business associations, farmers organizations</c:v>
                </c:pt>
              </c:strCache>
            </c:strRef>
          </c:cat>
          <c:val>
            <c:numRef>
              <c:f>Arkusz1!$B$2:$B$10</c:f>
              <c:numCache>
                <c:formatCode>0.0</c:formatCode>
                <c:ptCount val="9"/>
                <c:pt idx="0">
                  <c:v>12.6</c:v>
                </c:pt>
                <c:pt idx="1">
                  <c:v>6.9</c:v>
                </c:pt>
                <c:pt idx="2">
                  <c:v>3.4</c:v>
                </c:pt>
                <c:pt idx="3">
                  <c:v>39.6</c:v>
                </c:pt>
                <c:pt idx="4">
                  <c:v>31.4</c:v>
                </c:pt>
                <c:pt idx="5">
                  <c:v>6.5</c:v>
                </c:pt>
                <c:pt idx="6">
                  <c:v>17.2</c:v>
                </c:pt>
                <c:pt idx="7">
                  <c:v>8.8000000000000007</c:v>
                </c:pt>
                <c:pt idx="8">
                  <c:v>8.6</c:v>
                </c:pt>
              </c:numCache>
            </c:numRef>
          </c:val>
          <c:extLst>
            <c:ext xmlns:c16="http://schemas.microsoft.com/office/drawing/2014/chart" uri="{C3380CC4-5D6E-409C-BE32-E72D297353CC}">
              <c16:uniqueId val="{00000000-16E9-48C4-A423-6EB495C202B8}"/>
            </c:ext>
          </c:extLst>
        </c:ser>
        <c:dLbls>
          <c:showLegendKey val="0"/>
          <c:showVal val="0"/>
          <c:showCatName val="0"/>
          <c:showSerName val="0"/>
          <c:showPercent val="0"/>
          <c:showBubbleSize val="0"/>
        </c:dLbls>
        <c:gapWidth val="70"/>
        <c:axId val="-1708310624"/>
        <c:axId val="-1708307904"/>
      </c:barChart>
      <c:catAx>
        <c:axId val="-1708310624"/>
        <c:scaling>
          <c:orientation val="maxMin"/>
        </c:scaling>
        <c:delete val="0"/>
        <c:axPos val="l"/>
        <c:numFmt formatCode="General" sourceLinked="1"/>
        <c:majorTickMark val="none"/>
        <c:minorTickMark val="none"/>
        <c:tickLblPos val="nextTo"/>
        <c:spPr>
          <a:noFill/>
          <a:ln w="9525" cap="flat" cmpd="sng" algn="ctr">
            <a:solidFill>
              <a:schemeClr val="tx1">
                <a:alpha val="40000"/>
              </a:schemeClr>
            </a:solidFill>
            <a:round/>
          </a:ln>
          <a:effectLst/>
        </c:spPr>
        <c:txPr>
          <a:bodyPr rot="-60000000" spcFirstLastPara="1" vertOverflow="ellipsis" vert="horz" wrap="square" anchor="ctr" anchorCtr="1"/>
          <a:lstStyle/>
          <a:p>
            <a:pPr algn="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08307904"/>
        <c:crosses val="autoZero"/>
        <c:auto val="1"/>
        <c:lblAlgn val="ctr"/>
        <c:lblOffset val="100"/>
        <c:noMultiLvlLbl val="0"/>
      </c:catAx>
      <c:valAx>
        <c:axId val="-1708307904"/>
        <c:scaling>
          <c:orientation val="minMax"/>
          <c:max val="50"/>
          <c:min val="0"/>
        </c:scaling>
        <c:delete val="0"/>
        <c:axPos val="t"/>
        <c:majorGridlines>
          <c:spPr>
            <a:ln w="1270" cap="flat" cmpd="sng" algn="ctr">
              <a:solidFill>
                <a:schemeClr val="tx1">
                  <a:lumMod val="50000"/>
                  <a:lumOff val="50000"/>
                  <a:alpha val="50000"/>
                </a:schemeClr>
              </a:solidFill>
              <a:round/>
            </a:ln>
            <a:effectLst/>
          </c:spPr>
        </c:majorGridlines>
        <c:title>
          <c:tx>
            <c:rich>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0.95276066742129684"/>
              <c:y val="0.91679120335669528"/>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0"/>
        <c:majorTickMark val="none"/>
        <c:minorTickMark val="none"/>
        <c:tickLblPos val="high"/>
        <c:spPr>
          <a:noFill/>
          <a:ln w="1270">
            <a:no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08310624"/>
        <c:crosses val="autoZero"/>
        <c:crossBetween val="between"/>
        <c:majorUnit val="10"/>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lgn="just">
        <a:defRPr sz="850" b="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Doprecyzowano parametry tablicy – wcięcia</Uwagi>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2006/documentManagement/types"/>
    <ds:schemaRef ds:uri="http://www.w3.org/XML/1998/namespace"/>
    <ds:schemaRef ds:uri="http://purl.org/dc/elements/1.1/"/>
    <ds:schemaRef ds:uri="b5698c14-9734-4c2e-b0a6-c0f0e0420a38"/>
    <ds:schemaRef ds:uri="http://purl.org/dc/terms/"/>
    <ds:schemaRef ds:uri="30d47203-49ec-4c8c-a442-62231931aabb"/>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3667D2E-373A-45CC-B1E3-7BA00A60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B0FB80-B5DC-43A2-82E5-1547A1549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8</Pages>
  <Words>2087</Words>
  <Characters>12524</Characters>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2019-02-21T09:45:00Z</cp:lastPrinted>
  <dcterms:created xsi:type="dcterms:W3CDTF">2025-10-28T07:33:00Z</dcterms:created>
  <dcterms:modified xsi:type="dcterms:W3CDTF">2025-12-16T09:51:00Z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