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008B5C" w14:textId="45A11825" w:rsidR="00393761" w:rsidRPr="00F866B3" w:rsidRDefault="00F4097B" w:rsidP="003C0C8B">
      <w:pPr>
        <w:pStyle w:val="Nagwek1"/>
      </w:pPr>
      <w:r w:rsidRPr="00F866B3">
        <w:rPr>
          <w:noProof/>
          <w:lang w:val="pl-PL" w:eastAsia="pl-PL"/>
        </w:rPr>
        <mc:AlternateContent>
          <mc:Choice Requires="wps">
            <w:drawing>
              <wp:anchor distT="45720" distB="45720" distL="114300" distR="114300" simplePos="0" relativeHeight="251738112" behindDoc="0" locked="0" layoutInCell="1" allowOverlap="1" wp14:anchorId="2FC13F97" wp14:editId="199A77C5">
                <wp:simplePos x="0" y="0"/>
                <wp:positionH relativeFrom="margin">
                  <wp:posOffset>-15240</wp:posOffset>
                </wp:positionH>
                <wp:positionV relativeFrom="paragraph">
                  <wp:posOffset>774065</wp:posOffset>
                </wp:positionV>
                <wp:extent cx="2204085" cy="1303020"/>
                <wp:effectExtent l="0" t="0" r="5715" b="0"/>
                <wp:wrapSquare wrapText="bothSides"/>
                <wp:docPr id="6" name="Pole tekstowe 2" descr="2.8% share of culture in the creation of gross value added and global production in 20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303020"/>
                        </a:xfrm>
                        <a:prstGeom prst="roundRect">
                          <a:avLst/>
                        </a:prstGeom>
                        <a:solidFill>
                          <a:srgbClr val="001D77"/>
                        </a:solidFill>
                        <a:ln w="9525">
                          <a:noFill/>
                          <a:miter lim="800000"/>
                          <a:headEnd/>
                          <a:tailEnd/>
                        </a:ln>
                      </wps:spPr>
                      <wps:txbx>
                        <w:txbxContent>
                          <w:p w14:paraId="0789F38B" w14:textId="0494623D" w:rsidR="00F4097B" w:rsidRPr="00161DE5" w:rsidRDefault="00F4097B" w:rsidP="00F4097B">
                            <w:pPr>
                              <w:autoSpaceDE w:val="0"/>
                              <w:autoSpaceDN w:val="0"/>
                              <w:adjustRightInd w:val="0"/>
                              <w:spacing w:before="0" w:after="0" w:line="240" w:lineRule="auto"/>
                              <w:jc w:val="center"/>
                              <w:rPr>
                                <w:rFonts w:ascii="Fira Sans SemiBold" w:hAnsi="Fira Sans SemiBold"/>
                                <w:color w:val="FFFFFF" w:themeColor="background1"/>
                                <w:sz w:val="72"/>
                                <w:szCs w:val="72"/>
                                <w:lang w:val="en-GB"/>
                              </w:rPr>
                            </w:pPr>
                            <w:r>
                              <w:rPr>
                                <w:rStyle w:val="WartowskanikaZnak"/>
                                <w:sz w:val="72"/>
                                <w:szCs w:val="72"/>
                              </w:rPr>
                              <w:t>2.8</w:t>
                            </w:r>
                            <w:r w:rsidRPr="00161DE5">
                              <w:rPr>
                                <w:rStyle w:val="WartowskanikaZnak"/>
                                <w:sz w:val="72"/>
                                <w:szCs w:val="72"/>
                              </w:rPr>
                              <w:t>%</w:t>
                            </w:r>
                          </w:p>
                          <w:p w14:paraId="5250C8E7" w14:textId="77777777" w:rsidR="00F4097B" w:rsidRPr="00161DE5" w:rsidRDefault="00F4097B" w:rsidP="00F4097B">
                            <w:pPr>
                              <w:pStyle w:val="Opiswskanika"/>
                              <w:spacing w:before="120"/>
                              <w:rPr>
                                <w:sz w:val="18"/>
                                <w:szCs w:val="20"/>
                              </w:rPr>
                            </w:pPr>
                            <w:r w:rsidRPr="00161DE5">
                              <w:t>Contribution of the area of culture to the creat</w:t>
                            </w:r>
                            <w:r>
                              <w:t>ion of gross value added in 2021</w:t>
                            </w:r>
                            <w:r w:rsidRPr="00161DE5">
                              <w:t xml:space="preserve"> </w:t>
                            </w:r>
                          </w:p>
                          <w:p w14:paraId="63B3F253" w14:textId="4AD27972" w:rsidR="005C0CAC" w:rsidRPr="00F4097B" w:rsidRDefault="005C0CAC" w:rsidP="00F4097B">
                            <w:pPr>
                              <w:autoSpaceDE w:val="0"/>
                              <w:autoSpaceDN w:val="0"/>
                              <w:adjustRightInd w:val="0"/>
                              <w:spacing w:before="0" w:after="0" w:line="240" w:lineRule="auto"/>
                              <w:rPr>
                                <w:sz w:val="18"/>
                                <w:szCs w:val="20"/>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FC13F97" id="Pole tekstowe 2" o:spid="_x0000_s1026" alt="2.8% share of culture in the creation of gross value added and global production in 2021" style="position:absolute;margin-left:-1.2pt;margin-top:60.95pt;width:173.55pt;height:102.6pt;z-index:251738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" fillcolor="#001d77" stroked="f">
                <v:stroke joinstyle="miter"/>
                <v:textbox>
                  <w:txbxContent>
                    <w:p w14:paraId="0789F38B" w14:textId="0494623D" w:rsidR="00F4097B" w:rsidRPr="00161DE5" w:rsidRDefault="00F4097B" w:rsidP="00F4097B">
                      <w:pPr>
                        <w:autoSpaceDE w:val="0"/>
                        <w:autoSpaceDN w:val="0"/>
                        <w:adjustRightInd w:val="0"/>
                        <w:spacing w:before="0" w:after="0" w:line="240" w:lineRule="auto"/>
                        <w:jc w:val="center"/>
                        <w:rPr>
                          <w:rFonts w:ascii="Fira Sans SemiBold" w:hAnsi="Fira Sans SemiBold"/>
                          <w:color w:val="FFFFFF" w:themeColor="background1"/>
                          <w:sz w:val="72"/>
                          <w:szCs w:val="72"/>
                          <w:lang w:val="en-GB"/>
                        </w:rPr>
                      </w:pPr>
                      <w:r>
                        <w:rPr>
                          <w:rStyle w:val="WartowskanikaZnak"/>
                          <w:sz w:val="72"/>
                          <w:szCs w:val="72"/>
                        </w:rPr>
                        <w:t>2.8</w:t>
                      </w:r>
                      <w:r w:rsidRPr="00161DE5">
                        <w:rPr>
                          <w:rStyle w:val="WartowskanikaZnak"/>
                          <w:sz w:val="72"/>
                          <w:szCs w:val="72"/>
                        </w:rPr>
                        <w:t>%</w:t>
                      </w:r>
                    </w:p>
                    <w:p w14:paraId="5250C8E7" w14:textId="77777777" w:rsidR="00F4097B" w:rsidRPr="00161DE5" w:rsidRDefault="00F4097B" w:rsidP="00F4097B">
                      <w:pPr>
                        <w:pStyle w:val="Opiswskanika"/>
                        <w:spacing w:before="120"/>
                        <w:rPr>
                          <w:sz w:val="18"/>
                          <w:szCs w:val="20"/>
                        </w:rPr>
                      </w:pPr>
                      <w:r w:rsidRPr="00161DE5">
                        <w:t>Contribution of the area of culture to the creat</w:t>
                      </w:r>
                      <w:r>
                        <w:t>ion of gross value added in 2021</w:t>
                      </w:r>
                      <w:r w:rsidRPr="00161DE5">
                        <w:t xml:space="preserve"> </w:t>
                      </w:r>
                    </w:p>
                    <w:p w14:paraId="63B3F253" w14:textId="4AD27972" w:rsidR="005C0CAC" w:rsidRPr="00F4097B" w:rsidRDefault="005C0CAC" w:rsidP="00F4097B">
                      <w:pPr>
                        <w:autoSpaceDE w:val="0"/>
                        <w:autoSpaceDN w:val="0"/>
                        <w:adjustRightInd w:val="0"/>
                        <w:spacing w:before="0" w:after="0" w:line="240" w:lineRule="auto"/>
                        <w:rPr>
                          <w:sz w:val="18"/>
                          <w:szCs w:val="20"/>
                          <w:lang w:val="en-GB"/>
                        </w:rPr>
                      </w:pPr>
                    </w:p>
                  </w:txbxContent>
                </v:textbox>
                <w10:wrap type="square" anchorx="margin"/>
              </v:roundrect>
            </w:pict>
          </mc:Fallback>
        </mc:AlternateContent>
      </w:r>
      <w:r w:rsidR="00980AF3" w:rsidRPr="00980AF3">
        <w:t xml:space="preserve">Culture Satellite Account </w:t>
      </w:r>
      <w:r w:rsidR="00003FA6">
        <w:t>in</w:t>
      </w:r>
      <w:r w:rsidR="00980AF3" w:rsidRPr="00980AF3">
        <w:t xml:space="preserve"> 2021</w:t>
      </w:r>
    </w:p>
    <w:p w14:paraId="2F834C51" w14:textId="77777777" w:rsidR="00F4097B" w:rsidRDefault="00F4097B" w:rsidP="00CF371D">
      <w:pPr>
        <w:pStyle w:val="Lead"/>
        <w:spacing w:after="840"/>
        <w:rPr>
          <w:bCs/>
        </w:rPr>
      </w:pPr>
      <w:r w:rsidRPr="00F4097B">
        <w:t>The gross value added generated by the area of culture in 2021 amounted to PLN 63.2 billion, which was PLN 4.1 billion higher than in 2020. Two domains, Advertising and Audio-visual arts and multimedia, dominated most transactions within the culture satellite account.</w:t>
      </w:r>
    </w:p>
    <w:p w14:paraId="3FD492E1" w14:textId="2EB976A1" w:rsidR="00F4097B" w:rsidRDefault="00F4097B" w:rsidP="0030079A">
      <w:pPr>
        <w:rPr>
          <w:rFonts w:eastAsia="Times New Roman" w:cs="Times New Roman"/>
          <w:szCs w:val="19"/>
          <w:lang w:val="en-GB" w:eastAsia="pl-PL"/>
        </w:rPr>
      </w:pPr>
      <w:r>
        <w:rPr>
          <w:rFonts w:eastAsia="Times New Roman" w:cs="Times New Roman"/>
          <w:szCs w:val="19"/>
          <w:lang w:val="en-GB" w:eastAsia="pl-PL"/>
        </w:rPr>
        <w:t xml:space="preserve">In 2021, the area of culture saw lower growth in the value of main transactions in comparison to the national economy. The value of gross output in the area of culture reached PLN 138.2 billion and increased by 7.4% in comparison to 2020. The value of intermediate consumption amounted to PLN 75.0 billion, while the gross value added, representing the difference between the gross output and the intermediate consumption, amounted to PLN 63.2 billion (an increase of 7.7% and 7.0% respectively compared to the previous year). The compensation of employees increased by 2.5% on an annual basis to PLN 26.7 billion. The gross operating surplus, representing the difference between the gross value added and the compensation of employees and the other taxes on production, less other subsidies on production, amounted to PLN 37.0 billion (2.9% less than in 2020). The other subsidies on production decreased significantly (by PLN 4.5 billion compared to 2020), </w:t>
      </w:r>
      <w:r w:rsidRPr="0011607D">
        <w:rPr>
          <w:rFonts w:eastAsia="Times New Roman" w:cs="Times New Roman"/>
          <w:szCs w:val="19"/>
          <w:lang w:val="en-GB" w:eastAsia="pl-PL"/>
        </w:rPr>
        <w:t xml:space="preserve">which may be related to a reduction in financial support </w:t>
      </w:r>
      <w:r>
        <w:rPr>
          <w:rFonts w:eastAsia="Times New Roman" w:cs="Times New Roman"/>
          <w:szCs w:val="19"/>
          <w:lang w:val="en-GB" w:eastAsia="pl-PL"/>
        </w:rPr>
        <w:t xml:space="preserve">granted </w:t>
      </w:r>
      <w:r w:rsidRPr="0011607D">
        <w:rPr>
          <w:rFonts w:eastAsia="Times New Roman" w:cs="Times New Roman"/>
          <w:szCs w:val="19"/>
          <w:lang w:val="en-GB" w:eastAsia="pl-PL"/>
        </w:rPr>
        <w:t>to many entities in 2020 in</w:t>
      </w:r>
      <w:r>
        <w:rPr>
          <w:rFonts w:eastAsia="Times New Roman" w:cs="Times New Roman"/>
          <w:szCs w:val="19"/>
          <w:lang w:val="en-GB" w:eastAsia="pl-PL"/>
        </w:rPr>
        <w:t> </w:t>
      </w:r>
      <w:r w:rsidRPr="0011607D">
        <w:rPr>
          <w:rFonts w:eastAsia="Times New Roman" w:cs="Times New Roman"/>
          <w:szCs w:val="19"/>
          <w:lang w:val="en-GB" w:eastAsia="pl-PL"/>
        </w:rPr>
        <w:t>connection with the announcement of an epidemic threa</w:t>
      </w:r>
      <w:r>
        <w:rPr>
          <w:rFonts w:eastAsia="Times New Roman" w:cs="Times New Roman"/>
          <w:szCs w:val="19"/>
          <w:lang w:val="en-GB" w:eastAsia="pl-PL"/>
        </w:rPr>
        <w:t>t in Poland (COVID-19).</w:t>
      </w:r>
    </w:p>
    <w:p w14:paraId="53BA2886" w14:textId="77777777" w:rsidR="00F8129E" w:rsidRPr="002E2583" w:rsidRDefault="00F8129E" w:rsidP="00F8129E">
      <w:pPr>
        <w:pStyle w:val="Tytutablicy"/>
      </w:pPr>
      <w:r w:rsidRPr="002E2583">
        <w:t>Table 1. Main transactions in the culture satellite account</w:t>
      </w:r>
    </w:p>
    <w:tbl>
      <w:tblPr>
        <w:tblW w:w="7938" w:type="dxa"/>
        <w:tblCellMar>
          <w:left w:w="70" w:type="dxa"/>
          <w:right w:w="70" w:type="dxa"/>
        </w:tblCellMar>
        <w:tblLook w:val="0620" w:firstRow="1" w:lastRow="0" w:firstColumn="0" w:lastColumn="0" w:noHBand="1" w:noVBand="1"/>
        <w:tblCaption w:val="Table 1. Main transactions in the culture satellite account"/>
        <w:tblDescription w:val="accessibility in excel file "/>
      </w:tblPr>
      <w:tblGrid>
        <w:gridCol w:w="3686"/>
        <w:gridCol w:w="1363"/>
        <w:gridCol w:w="1239"/>
        <w:gridCol w:w="1650"/>
      </w:tblGrid>
      <w:tr w:rsidR="00F8129E" w:rsidRPr="002E2583" w14:paraId="7A6C17EB" w14:textId="77777777" w:rsidTr="005566BC">
        <w:trPr>
          <w:trHeight w:val="456"/>
          <w:tblHeader/>
        </w:trPr>
        <w:tc>
          <w:tcPr>
            <w:tcW w:w="3686" w:type="dxa"/>
            <w:vMerge w:val="restart"/>
            <w:tcBorders>
              <w:top w:val="single" w:sz="4" w:space="0" w:color="001D77"/>
              <w:right w:val="single" w:sz="4" w:space="0" w:color="001D77"/>
            </w:tcBorders>
            <w:noWrap/>
            <w:vAlign w:val="center"/>
            <w:hideMark/>
          </w:tcPr>
          <w:p w14:paraId="27B18F8C" w14:textId="77777777" w:rsidR="00F8129E" w:rsidRPr="002E2583" w:rsidRDefault="00F8129E" w:rsidP="005566BC">
            <w:pPr>
              <w:pStyle w:val="Tablicagwka"/>
              <w:spacing w:before="0" w:after="0"/>
              <w:rPr>
                <w:lang w:val="en-GB"/>
              </w:rPr>
            </w:pPr>
            <w:r>
              <w:rPr>
                <w:lang w:val="en-GB"/>
              </w:rPr>
              <w:t>Transactions</w:t>
            </w:r>
          </w:p>
        </w:tc>
        <w:tc>
          <w:tcPr>
            <w:tcW w:w="1363" w:type="dxa"/>
            <w:tcBorders>
              <w:top w:val="single" w:sz="4" w:space="0" w:color="001D77"/>
              <w:left w:val="single" w:sz="4" w:space="0" w:color="001D77"/>
              <w:bottom w:val="single" w:sz="4" w:space="0" w:color="001D77"/>
              <w:right w:val="single" w:sz="4" w:space="0" w:color="001D77"/>
            </w:tcBorders>
            <w:vAlign w:val="center"/>
            <w:hideMark/>
          </w:tcPr>
          <w:p w14:paraId="61DCB2CB" w14:textId="77777777" w:rsidR="00F8129E" w:rsidRPr="002E2583" w:rsidRDefault="00F8129E" w:rsidP="005566BC">
            <w:pPr>
              <w:pStyle w:val="Tablicagwka"/>
              <w:spacing w:before="0" w:after="0"/>
              <w:rPr>
                <w:lang w:val="en-GB"/>
              </w:rPr>
            </w:pPr>
            <w:r w:rsidRPr="00E131D6">
              <w:t>2020</w:t>
            </w:r>
          </w:p>
        </w:tc>
        <w:tc>
          <w:tcPr>
            <w:tcW w:w="2889" w:type="dxa"/>
            <w:gridSpan w:val="2"/>
            <w:tcBorders>
              <w:top w:val="single" w:sz="4" w:space="0" w:color="001D77"/>
              <w:left w:val="single" w:sz="4" w:space="0" w:color="001D77"/>
              <w:bottom w:val="single" w:sz="4" w:space="0" w:color="001D77"/>
            </w:tcBorders>
            <w:vAlign w:val="center"/>
            <w:hideMark/>
          </w:tcPr>
          <w:p w14:paraId="6AC3F3C7" w14:textId="77777777" w:rsidR="00F8129E" w:rsidRPr="002E2583" w:rsidRDefault="00F8129E" w:rsidP="005566BC">
            <w:pPr>
              <w:pStyle w:val="Tablicagwka"/>
              <w:spacing w:before="0" w:after="0"/>
              <w:rPr>
                <w:lang w:val="en-GB"/>
              </w:rPr>
            </w:pPr>
            <w:r w:rsidRPr="00E131D6">
              <w:t>2021</w:t>
            </w:r>
          </w:p>
        </w:tc>
      </w:tr>
      <w:tr w:rsidR="00F8129E" w:rsidRPr="002E2583" w14:paraId="3C63A6BF" w14:textId="77777777" w:rsidTr="005566BC">
        <w:trPr>
          <w:trHeight w:val="456"/>
          <w:tblHeader/>
        </w:trPr>
        <w:tc>
          <w:tcPr>
            <w:tcW w:w="0" w:type="auto"/>
            <w:vMerge/>
            <w:tcBorders>
              <w:bottom w:val="single" w:sz="4" w:space="0" w:color="001D77"/>
              <w:right w:val="single" w:sz="4" w:space="0" w:color="001D77"/>
            </w:tcBorders>
            <w:vAlign w:val="center"/>
            <w:hideMark/>
          </w:tcPr>
          <w:p w14:paraId="1FDE9187" w14:textId="77777777" w:rsidR="00F8129E" w:rsidRPr="002E2583" w:rsidRDefault="00F8129E" w:rsidP="005566BC">
            <w:pPr>
              <w:spacing w:before="0" w:after="0" w:line="256" w:lineRule="auto"/>
              <w:jc w:val="center"/>
              <w:rPr>
                <w:rFonts w:eastAsia="Times New Roman" w:cs="Calibri"/>
                <w:szCs w:val="19"/>
                <w:lang w:val="en-GB" w:eastAsia="pl-PL"/>
              </w:rPr>
            </w:pPr>
          </w:p>
        </w:tc>
        <w:tc>
          <w:tcPr>
            <w:tcW w:w="2602" w:type="dxa"/>
            <w:gridSpan w:val="2"/>
            <w:tcBorders>
              <w:top w:val="single" w:sz="4" w:space="0" w:color="001D77"/>
              <w:left w:val="single" w:sz="4" w:space="0" w:color="001D77"/>
              <w:bottom w:val="single" w:sz="4" w:space="0" w:color="001D77"/>
              <w:right w:val="single" w:sz="4" w:space="0" w:color="001D77"/>
            </w:tcBorders>
            <w:vAlign w:val="center"/>
            <w:hideMark/>
          </w:tcPr>
          <w:p w14:paraId="3881A4F6" w14:textId="77777777" w:rsidR="00F8129E" w:rsidRDefault="00F8129E" w:rsidP="005566BC">
            <w:pPr>
              <w:pStyle w:val="Tablicagwka"/>
              <w:spacing w:before="0" w:after="0"/>
              <w:rPr>
                <w:lang w:val="en-GB"/>
              </w:rPr>
            </w:pPr>
            <w:r>
              <w:rPr>
                <w:lang w:val="en-GB"/>
              </w:rPr>
              <w:t xml:space="preserve">in PLN million, </w:t>
            </w:r>
          </w:p>
          <w:p w14:paraId="60A23EB1" w14:textId="77777777" w:rsidR="00F8129E" w:rsidRPr="002E2583" w:rsidRDefault="00F8129E" w:rsidP="005566BC">
            <w:pPr>
              <w:pStyle w:val="Tablicagwka"/>
              <w:spacing w:before="0" w:after="0"/>
              <w:rPr>
                <w:lang w:val="en-GB"/>
              </w:rPr>
            </w:pPr>
            <w:r>
              <w:rPr>
                <w:lang w:val="en-GB"/>
              </w:rPr>
              <w:t>current prices</w:t>
            </w:r>
          </w:p>
        </w:tc>
        <w:tc>
          <w:tcPr>
            <w:tcW w:w="1650" w:type="dxa"/>
            <w:tcBorders>
              <w:top w:val="single" w:sz="4" w:space="0" w:color="001D77"/>
              <w:left w:val="single" w:sz="4" w:space="0" w:color="001D77"/>
              <w:bottom w:val="single" w:sz="4" w:space="0" w:color="001D77"/>
            </w:tcBorders>
            <w:vAlign w:val="center"/>
            <w:hideMark/>
          </w:tcPr>
          <w:p w14:paraId="4B4BF786" w14:textId="77777777" w:rsidR="00F8129E" w:rsidRPr="002E2583" w:rsidRDefault="00F8129E" w:rsidP="005566BC">
            <w:pPr>
              <w:pStyle w:val="Tablicagwka"/>
              <w:spacing w:before="0" w:after="0"/>
              <w:rPr>
                <w:lang w:val="en-GB"/>
              </w:rPr>
            </w:pPr>
            <w:r w:rsidRPr="002E2583">
              <w:rPr>
                <w:lang w:val="en-GB"/>
              </w:rPr>
              <w:t>2020=100</w:t>
            </w:r>
          </w:p>
        </w:tc>
      </w:tr>
      <w:tr w:rsidR="00F8129E" w:rsidRPr="002E2583" w14:paraId="7CBEC576" w14:textId="77777777" w:rsidTr="005566BC">
        <w:trPr>
          <w:trHeight w:val="300"/>
          <w:tblHeader/>
        </w:trPr>
        <w:tc>
          <w:tcPr>
            <w:tcW w:w="3686" w:type="dxa"/>
            <w:tcBorders>
              <w:top w:val="single" w:sz="4" w:space="0" w:color="001D77"/>
              <w:bottom w:val="single" w:sz="4" w:space="0" w:color="001D77"/>
              <w:right w:val="single" w:sz="4" w:space="0" w:color="001D77"/>
            </w:tcBorders>
            <w:noWrap/>
            <w:hideMark/>
          </w:tcPr>
          <w:p w14:paraId="5600C9C6" w14:textId="77777777" w:rsidR="00F8129E" w:rsidRPr="002E2583" w:rsidRDefault="00F8129E" w:rsidP="005566BC">
            <w:pPr>
              <w:pStyle w:val="Tablicaboczek"/>
              <w:ind w:left="170" w:hanging="170"/>
            </w:pPr>
            <w:r>
              <w:t>Gross output</w:t>
            </w:r>
            <w:r w:rsidRPr="002E2583">
              <w:t xml:space="preserve"> </w:t>
            </w:r>
          </w:p>
        </w:tc>
        <w:tc>
          <w:tcPr>
            <w:tcW w:w="1363" w:type="dxa"/>
            <w:tcBorders>
              <w:top w:val="single" w:sz="4" w:space="0" w:color="001D77"/>
              <w:left w:val="single" w:sz="4" w:space="0" w:color="001D77"/>
              <w:bottom w:val="single" w:sz="4" w:space="0" w:color="001D77"/>
              <w:right w:val="single" w:sz="4" w:space="0" w:color="001D77"/>
            </w:tcBorders>
            <w:hideMark/>
          </w:tcPr>
          <w:p w14:paraId="77498958" w14:textId="77777777" w:rsidR="00F8129E" w:rsidRPr="002E2583" w:rsidRDefault="00F8129E" w:rsidP="005566BC">
            <w:pPr>
              <w:pStyle w:val="Tablicadanerodek"/>
              <w:rPr>
                <w:lang w:val="en-GB"/>
              </w:rPr>
            </w:pPr>
            <w:r>
              <w:rPr>
                <w:lang w:val="en-GB"/>
              </w:rPr>
              <w:t>128,694.</w:t>
            </w:r>
            <w:r w:rsidRPr="002E2583">
              <w:rPr>
                <w:lang w:val="en-GB"/>
              </w:rPr>
              <w:t>5</w:t>
            </w:r>
          </w:p>
        </w:tc>
        <w:tc>
          <w:tcPr>
            <w:tcW w:w="1239" w:type="dxa"/>
            <w:tcBorders>
              <w:top w:val="single" w:sz="4" w:space="0" w:color="001D77"/>
              <w:left w:val="single" w:sz="4" w:space="0" w:color="001D77"/>
              <w:bottom w:val="single" w:sz="4" w:space="0" w:color="001D77"/>
              <w:right w:val="single" w:sz="4" w:space="0" w:color="001D77"/>
            </w:tcBorders>
            <w:hideMark/>
          </w:tcPr>
          <w:p w14:paraId="5B26DBB2" w14:textId="77777777" w:rsidR="00F8129E" w:rsidRPr="002E2583" w:rsidRDefault="00F8129E" w:rsidP="005566BC">
            <w:pPr>
              <w:pStyle w:val="Tablicadanerodek"/>
              <w:rPr>
                <w:highlight w:val="yellow"/>
                <w:lang w:val="en-GB"/>
              </w:rPr>
            </w:pPr>
            <w:r>
              <w:rPr>
                <w:lang w:val="en-GB"/>
              </w:rPr>
              <w:t>138,205.</w:t>
            </w:r>
            <w:r w:rsidRPr="002E2583">
              <w:rPr>
                <w:lang w:val="en-GB"/>
              </w:rPr>
              <w:t>5</w:t>
            </w:r>
          </w:p>
        </w:tc>
        <w:tc>
          <w:tcPr>
            <w:tcW w:w="1650" w:type="dxa"/>
            <w:tcBorders>
              <w:top w:val="single" w:sz="4" w:space="0" w:color="001D77"/>
              <w:left w:val="single" w:sz="4" w:space="0" w:color="001D77"/>
              <w:bottom w:val="single" w:sz="4" w:space="0" w:color="001D77"/>
            </w:tcBorders>
            <w:noWrap/>
            <w:hideMark/>
          </w:tcPr>
          <w:p w14:paraId="7CC716B3" w14:textId="77777777" w:rsidR="00F8129E" w:rsidRPr="002E2583" w:rsidRDefault="00F8129E" w:rsidP="005566BC">
            <w:pPr>
              <w:pStyle w:val="Tablicadanerodek"/>
              <w:rPr>
                <w:lang w:val="en-GB"/>
              </w:rPr>
            </w:pPr>
            <w:r>
              <w:rPr>
                <w:lang w:val="en-GB"/>
              </w:rPr>
              <w:t>107.</w:t>
            </w:r>
            <w:r w:rsidRPr="002E2583">
              <w:rPr>
                <w:lang w:val="en-GB"/>
              </w:rPr>
              <w:t>4</w:t>
            </w:r>
          </w:p>
        </w:tc>
      </w:tr>
      <w:tr w:rsidR="00F8129E" w:rsidRPr="002E2583" w14:paraId="569BF341" w14:textId="77777777" w:rsidTr="005566BC">
        <w:trPr>
          <w:trHeight w:val="300"/>
          <w:tblHeader/>
        </w:trPr>
        <w:tc>
          <w:tcPr>
            <w:tcW w:w="3686" w:type="dxa"/>
            <w:tcBorders>
              <w:top w:val="single" w:sz="4" w:space="0" w:color="001D77"/>
              <w:bottom w:val="single" w:sz="4" w:space="0" w:color="001D77"/>
              <w:right w:val="single" w:sz="4" w:space="0" w:color="001D77"/>
            </w:tcBorders>
            <w:noWrap/>
          </w:tcPr>
          <w:p w14:paraId="3DAA4A8F" w14:textId="77777777" w:rsidR="00F8129E" w:rsidRPr="002E2583" w:rsidRDefault="00F8129E" w:rsidP="005566BC">
            <w:pPr>
              <w:pStyle w:val="Tablicaboczek"/>
              <w:ind w:left="170" w:hanging="170"/>
            </w:pPr>
            <w:r>
              <w:t>Intermediate consumption</w:t>
            </w:r>
          </w:p>
        </w:tc>
        <w:tc>
          <w:tcPr>
            <w:tcW w:w="1363" w:type="dxa"/>
            <w:tcBorders>
              <w:top w:val="single" w:sz="4" w:space="0" w:color="001D77"/>
              <w:left w:val="single" w:sz="4" w:space="0" w:color="001D77"/>
              <w:bottom w:val="single" w:sz="4" w:space="0" w:color="001D77"/>
              <w:right w:val="single" w:sz="4" w:space="0" w:color="001D77"/>
            </w:tcBorders>
          </w:tcPr>
          <w:p w14:paraId="48FB322E" w14:textId="77777777" w:rsidR="00F8129E" w:rsidRPr="002E2583" w:rsidRDefault="00F8129E" w:rsidP="005566BC">
            <w:pPr>
              <w:pStyle w:val="Tablicadanerodek"/>
              <w:rPr>
                <w:lang w:val="en-GB"/>
              </w:rPr>
            </w:pPr>
            <w:r>
              <w:rPr>
                <w:lang w:val="en-GB"/>
              </w:rPr>
              <w:t>69,600.</w:t>
            </w:r>
            <w:r w:rsidRPr="002E2583">
              <w:rPr>
                <w:lang w:val="en-GB"/>
              </w:rPr>
              <w:t>9</w:t>
            </w:r>
          </w:p>
        </w:tc>
        <w:tc>
          <w:tcPr>
            <w:tcW w:w="1239" w:type="dxa"/>
            <w:tcBorders>
              <w:top w:val="single" w:sz="4" w:space="0" w:color="001D77"/>
              <w:left w:val="single" w:sz="4" w:space="0" w:color="001D77"/>
              <w:bottom w:val="single" w:sz="4" w:space="0" w:color="001D77"/>
              <w:right w:val="single" w:sz="4" w:space="0" w:color="001D77"/>
            </w:tcBorders>
          </w:tcPr>
          <w:p w14:paraId="67C0ED91" w14:textId="77777777" w:rsidR="00F8129E" w:rsidRPr="002E2583" w:rsidRDefault="00F8129E" w:rsidP="005566BC">
            <w:pPr>
              <w:pStyle w:val="Tablicadanerodek"/>
              <w:rPr>
                <w:lang w:val="en-GB"/>
              </w:rPr>
            </w:pPr>
            <w:r>
              <w:rPr>
                <w:lang w:val="en-GB"/>
              </w:rPr>
              <w:t>74,989.</w:t>
            </w:r>
            <w:r w:rsidRPr="002E2583">
              <w:rPr>
                <w:lang w:val="en-GB"/>
              </w:rPr>
              <w:t>7</w:t>
            </w:r>
          </w:p>
        </w:tc>
        <w:tc>
          <w:tcPr>
            <w:tcW w:w="1650" w:type="dxa"/>
            <w:tcBorders>
              <w:top w:val="single" w:sz="4" w:space="0" w:color="001D77"/>
              <w:left w:val="single" w:sz="4" w:space="0" w:color="001D77"/>
              <w:bottom w:val="single" w:sz="4" w:space="0" w:color="001D77"/>
            </w:tcBorders>
            <w:noWrap/>
          </w:tcPr>
          <w:p w14:paraId="6F66D23A" w14:textId="77777777" w:rsidR="00F8129E" w:rsidRPr="002E2583" w:rsidRDefault="00F8129E" w:rsidP="005566BC">
            <w:pPr>
              <w:pStyle w:val="Tablicadanerodek"/>
              <w:rPr>
                <w:lang w:val="en-GB"/>
              </w:rPr>
            </w:pPr>
            <w:r>
              <w:rPr>
                <w:lang w:val="en-GB"/>
              </w:rPr>
              <w:t>107.</w:t>
            </w:r>
            <w:r w:rsidRPr="002E2583">
              <w:rPr>
                <w:lang w:val="en-GB"/>
              </w:rPr>
              <w:t>7</w:t>
            </w:r>
          </w:p>
        </w:tc>
      </w:tr>
      <w:tr w:rsidR="00F8129E" w:rsidRPr="002E2583" w14:paraId="652105D1" w14:textId="77777777" w:rsidTr="005566BC">
        <w:trPr>
          <w:trHeight w:val="300"/>
          <w:tblHeader/>
        </w:trPr>
        <w:tc>
          <w:tcPr>
            <w:tcW w:w="3686" w:type="dxa"/>
            <w:tcBorders>
              <w:top w:val="single" w:sz="4" w:space="0" w:color="001D77"/>
              <w:bottom w:val="single" w:sz="4" w:space="0" w:color="001D77"/>
              <w:right w:val="single" w:sz="4" w:space="0" w:color="001D77"/>
            </w:tcBorders>
            <w:noWrap/>
          </w:tcPr>
          <w:p w14:paraId="37CFEBF1" w14:textId="77777777" w:rsidR="00F8129E" w:rsidRPr="002E2583" w:rsidRDefault="00F8129E" w:rsidP="005566BC">
            <w:pPr>
              <w:pStyle w:val="Tablicaboczek"/>
              <w:ind w:left="170" w:hanging="170"/>
            </w:pPr>
            <w:r>
              <w:t>Value added, gross</w:t>
            </w:r>
          </w:p>
        </w:tc>
        <w:tc>
          <w:tcPr>
            <w:tcW w:w="1363" w:type="dxa"/>
            <w:tcBorders>
              <w:top w:val="single" w:sz="4" w:space="0" w:color="001D77"/>
              <w:left w:val="single" w:sz="4" w:space="0" w:color="001D77"/>
              <w:bottom w:val="single" w:sz="4" w:space="0" w:color="001D77"/>
              <w:right w:val="single" w:sz="4" w:space="0" w:color="001D77"/>
            </w:tcBorders>
          </w:tcPr>
          <w:p w14:paraId="3E9B4289" w14:textId="77777777" w:rsidR="00F8129E" w:rsidRPr="002E2583" w:rsidRDefault="00F8129E" w:rsidP="005566BC">
            <w:pPr>
              <w:pStyle w:val="Tablicadanerodek"/>
              <w:rPr>
                <w:lang w:val="en-GB"/>
              </w:rPr>
            </w:pPr>
            <w:r>
              <w:rPr>
                <w:lang w:val="en-GB"/>
              </w:rPr>
              <w:t>59,093.</w:t>
            </w:r>
            <w:r w:rsidRPr="002E2583">
              <w:rPr>
                <w:lang w:val="en-GB"/>
              </w:rPr>
              <w:t>6</w:t>
            </w:r>
          </w:p>
        </w:tc>
        <w:tc>
          <w:tcPr>
            <w:tcW w:w="1239" w:type="dxa"/>
            <w:tcBorders>
              <w:top w:val="single" w:sz="4" w:space="0" w:color="001D77"/>
              <w:left w:val="single" w:sz="4" w:space="0" w:color="001D77"/>
              <w:bottom w:val="single" w:sz="4" w:space="0" w:color="001D77"/>
              <w:right w:val="single" w:sz="4" w:space="0" w:color="001D77"/>
            </w:tcBorders>
          </w:tcPr>
          <w:p w14:paraId="65544E45" w14:textId="77777777" w:rsidR="00F8129E" w:rsidRPr="002E2583" w:rsidRDefault="00F8129E" w:rsidP="005566BC">
            <w:pPr>
              <w:pStyle w:val="Tablicadanerodek"/>
              <w:rPr>
                <w:lang w:val="en-GB"/>
              </w:rPr>
            </w:pPr>
            <w:r>
              <w:rPr>
                <w:lang w:val="en-GB"/>
              </w:rPr>
              <w:t>63,215.</w:t>
            </w:r>
            <w:r w:rsidRPr="002E2583">
              <w:rPr>
                <w:lang w:val="en-GB"/>
              </w:rPr>
              <w:t>8</w:t>
            </w:r>
          </w:p>
        </w:tc>
        <w:tc>
          <w:tcPr>
            <w:tcW w:w="1650" w:type="dxa"/>
            <w:tcBorders>
              <w:top w:val="single" w:sz="4" w:space="0" w:color="001D77"/>
              <w:left w:val="single" w:sz="4" w:space="0" w:color="001D77"/>
              <w:bottom w:val="single" w:sz="4" w:space="0" w:color="001D77"/>
            </w:tcBorders>
            <w:noWrap/>
          </w:tcPr>
          <w:p w14:paraId="6E4B985C" w14:textId="77777777" w:rsidR="00F8129E" w:rsidRPr="002E2583" w:rsidRDefault="00F8129E" w:rsidP="005566BC">
            <w:pPr>
              <w:pStyle w:val="Tablicadanerodek"/>
              <w:rPr>
                <w:lang w:val="en-GB"/>
              </w:rPr>
            </w:pPr>
            <w:r>
              <w:rPr>
                <w:lang w:val="en-GB"/>
              </w:rPr>
              <w:t>107.</w:t>
            </w:r>
            <w:r w:rsidRPr="002E2583">
              <w:rPr>
                <w:lang w:val="en-GB"/>
              </w:rPr>
              <w:t>0</w:t>
            </w:r>
          </w:p>
        </w:tc>
      </w:tr>
      <w:tr w:rsidR="00F8129E" w:rsidRPr="002E2583" w14:paraId="51DB7042" w14:textId="77777777" w:rsidTr="005566BC">
        <w:trPr>
          <w:trHeight w:val="300"/>
          <w:tblHeader/>
        </w:trPr>
        <w:tc>
          <w:tcPr>
            <w:tcW w:w="3686" w:type="dxa"/>
            <w:tcBorders>
              <w:top w:val="single" w:sz="4" w:space="0" w:color="001D77"/>
              <w:bottom w:val="single" w:sz="4" w:space="0" w:color="001D77"/>
              <w:right w:val="single" w:sz="4" w:space="0" w:color="001D77"/>
            </w:tcBorders>
            <w:noWrap/>
          </w:tcPr>
          <w:p w14:paraId="3EE921A1" w14:textId="77777777" w:rsidR="00F8129E" w:rsidRPr="002E2583" w:rsidRDefault="00F8129E" w:rsidP="005566BC">
            <w:pPr>
              <w:pStyle w:val="Tablicaboczek"/>
              <w:ind w:left="170" w:hanging="170"/>
            </w:pPr>
            <w:r>
              <w:t>Compensation of employees</w:t>
            </w:r>
          </w:p>
        </w:tc>
        <w:tc>
          <w:tcPr>
            <w:tcW w:w="1363" w:type="dxa"/>
            <w:tcBorders>
              <w:top w:val="single" w:sz="4" w:space="0" w:color="001D77"/>
              <w:left w:val="single" w:sz="4" w:space="0" w:color="001D77"/>
              <w:bottom w:val="single" w:sz="4" w:space="0" w:color="001D77"/>
              <w:right w:val="single" w:sz="4" w:space="0" w:color="001D77"/>
            </w:tcBorders>
          </w:tcPr>
          <w:p w14:paraId="10BBFD40" w14:textId="77777777" w:rsidR="00F8129E" w:rsidRPr="002E2583" w:rsidRDefault="00F8129E" w:rsidP="005566BC">
            <w:pPr>
              <w:pStyle w:val="Tablicadanerodek"/>
              <w:rPr>
                <w:lang w:val="en-GB"/>
              </w:rPr>
            </w:pPr>
            <w:r>
              <w:rPr>
                <w:lang w:val="en-GB"/>
              </w:rPr>
              <w:t>26,080.</w:t>
            </w:r>
            <w:r w:rsidRPr="002E2583">
              <w:rPr>
                <w:lang w:val="en-GB"/>
              </w:rPr>
              <w:t>1</w:t>
            </w:r>
          </w:p>
        </w:tc>
        <w:tc>
          <w:tcPr>
            <w:tcW w:w="1239" w:type="dxa"/>
            <w:tcBorders>
              <w:top w:val="single" w:sz="4" w:space="0" w:color="001D77"/>
              <w:left w:val="single" w:sz="4" w:space="0" w:color="001D77"/>
              <w:bottom w:val="single" w:sz="4" w:space="0" w:color="001D77"/>
              <w:right w:val="single" w:sz="4" w:space="0" w:color="001D77"/>
            </w:tcBorders>
          </w:tcPr>
          <w:p w14:paraId="16EF38F9" w14:textId="77777777" w:rsidR="00F8129E" w:rsidRPr="002E2583" w:rsidRDefault="00F8129E" w:rsidP="005566BC">
            <w:pPr>
              <w:pStyle w:val="Tablicadanerodek"/>
              <w:rPr>
                <w:lang w:val="en-GB"/>
              </w:rPr>
            </w:pPr>
            <w:r>
              <w:rPr>
                <w:lang w:val="en-GB"/>
              </w:rPr>
              <w:t>26,727.</w:t>
            </w:r>
            <w:r w:rsidRPr="002E2583">
              <w:rPr>
                <w:lang w:val="en-GB"/>
              </w:rPr>
              <w:t>4</w:t>
            </w:r>
          </w:p>
        </w:tc>
        <w:tc>
          <w:tcPr>
            <w:tcW w:w="1650" w:type="dxa"/>
            <w:tcBorders>
              <w:top w:val="single" w:sz="4" w:space="0" w:color="001D77"/>
              <w:left w:val="single" w:sz="4" w:space="0" w:color="001D77"/>
              <w:bottom w:val="single" w:sz="4" w:space="0" w:color="001D77"/>
            </w:tcBorders>
            <w:noWrap/>
          </w:tcPr>
          <w:p w14:paraId="72696F30" w14:textId="77777777" w:rsidR="00F8129E" w:rsidRPr="002E2583" w:rsidRDefault="00F8129E" w:rsidP="005566BC">
            <w:pPr>
              <w:pStyle w:val="Tablicadanerodek"/>
              <w:rPr>
                <w:lang w:val="en-GB"/>
              </w:rPr>
            </w:pPr>
            <w:r>
              <w:rPr>
                <w:lang w:val="en-GB"/>
              </w:rPr>
              <w:t>102.</w:t>
            </w:r>
            <w:r w:rsidRPr="002E2583">
              <w:rPr>
                <w:lang w:val="en-GB"/>
              </w:rPr>
              <w:t>5</w:t>
            </w:r>
          </w:p>
        </w:tc>
      </w:tr>
      <w:tr w:rsidR="00F8129E" w:rsidRPr="002E2583" w14:paraId="406FF1A6" w14:textId="77777777" w:rsidTr="005566BC">
        <w:trPr>
          <w:trHeight w:val="300"/>
          <w:tblHeader/>
        </w:trPr>
        <w:tc>
          <w:tcPr>
            <w:tcW w:w="3686" w:type="dxa"/>
            <w:tcBorders>
              <w:top w:val="single" w:sz="4" w:space="0" w:color="001D77"/>
              <w:right w:val="single" w:sz="4" w:space="0" w:color="001D77"/>
            </w:tcBorders>
            <w:noWrap/>
            <w:hideMark/>
          </w:tcPr>
          <w:p w14:paraId="6A6E7C80" w14:textId="77777777" w:rsidR="00F8129E" w:rsidRPr="002E2583" w:rsidRDefault="00F8129E" w:rsidP="005566BC">
            <w:pPr>
              <w:pStyle w:val="Tablicaboczek"/>
            </w:pPr>
            <w:r>
              <w:t>Operating surplus, gross</w:t>
            </w:r>
          </w:p>
        </w:tc>
        <w:tc>
          <w:tcPr>
            <w:tcW w:w="1363" w:type="dxa"/>
            <w:tcBorders>
              <w:top w:val="single" w:sz="4" w:space="0" w:color="001D77"/>
              <w:left w:val="single" w:sz="4" w:space="0" w:color="001D77"/>
              <w:right w:val="single" w:sz="4" w:space="0" w:color="001D77"/>
            </w:tcBorders>
            <w:hideMark/>
          </w:tcPr>
          <w:p w14:paraId="2BAB2340" w14:textId="77777777" w:rsidR="00F8129E" w:rsidRPr="002E2583" w:rsidRDefault="00F8129E" w:rsidP="005566BC">
            <w:pPr>
              <w:pStyle w:val="Tablicadanerodek"/>
              <w:rPr>
                <w:lang w:val="en-GB"/>
              </w:rPr>
            </w:pPr>
            <w:r>
              <w:rPr>
                <w:lang w:val="en-GB"/>
              </w:rPr>
              <w:t>38,115.</w:t>
            </w:r>
            <w:r w:rsidRPr="002E2583">
              <w:rPr>
                <w:lang w:val="en-GB"/>
              </w:rPr>
              <w:t>5</w:t>
            </w:r>
          </w:p>
        </w:tc>
        <w:tc>
          <w:tcPr>
            <w:tcW w:w="1239" w:type="dxa"/>
            <w:tcBorders>
              <w:top w:val="single" w:sz="4" w:space="0" w:color="001D77"/>
              <w:left w:val="single" w:sz="4" w:space="0" w:color="001D77"/>
              <w:right w:val="single" w:sz="4" w:space="0" w:color="001D77"/>
            </w:tcBorders>
            <w:hideMark/>
          </w:tcPr>
          <w:p w14:paraId="5F74258A" w14:textId="77777777" w:rsidR="00F8129E" w:rsidRPr="002E2583" w:rsidRDefault="00F8129E" w:rsidP="005566BC">
            <w:pPr>
              <w:pStyle w:val="Tablicadanerodek"/>
              <w:rPr>
                <w:highlight w:val="yellow"/>
                <w:lang w:val="en-GB"/>
              </w:rPr>
            </w:pPr>
            <w:r>
              <w:rPr>
                <w:lang w:val="en-GB"/>
              </w:rPr>
              <w:t>37,003.</w:t>
            </w:r>
            <w:r w:rsidRPr="002E2583">
              <w:rPr>
                <w:lang w:val="en-GB"/>
              </w:rPr>
              <w:t>2</w:t>
            </w:r>
          </w:p>
        </w:tc>
        <w:tc>
          <w:tcPr>
            <w:tcW w:w="1650" w:type="dxa"/>
            <w:tcBorders>
              <w:top w:val="single" w:sz="4" w:space="0" w:color="001D77"/>
              <w:left w:val="single" w:sz="4" w:space="0" w:color="001D77"/>
            </w:tcBorders>
            <w:noWrap/>
            <w:hideMark/>
          </w:tcPr>
          <w:p w14:paraId="05D1106E" w14:textId="77777777" w:rsidR="00F8129E" w:rsidRPr="002E2583" w:rsidRDefault="00F8129E" w:rsidP="005566BC">
            <w:pPr>
              <w:pStyle w:val="Tablicadanerodek"/>
              <w:rPr>
                <w:lang w:val="en-GB"/>
              </w:rPr>
            </w:pPr>
            <w:r>
              <w:rPr>
                <w:lang w:val="en-GB"/>
              </w:rPr>
              <w:t>97.</w:t>
            </w:r>
            <w:r w:rsidRPr="002E2583">
              <w:rPr>
                <w:lang w:val="en-GB"/>
              </w:rPr>
              <w:t>1</w:t>
            </w:r>
          </w:p>
        </w:tc>
      </w:tr>
    </w:tbl>
    <w:p w14:paraId="1F4DAFEE" w14:textId="6140C8D3" w:rsidR="00F8129E" w:rsidRDefault="00F8129E" w:rsidP="009B5730">
      <w:pPr>
        <w:spacing w:before="360"/>
        <w:rPr>
          <w:rFonts w:eastAsia="Times New Roman" w:cs="Times New Roman"/>
          <w:szCs w:val="19"/>
          <w:lang w:val="en-GB" w:eastAsia="pl-PL"/>
        </w:rPr>
      </w:pPr>
      <w:r w:rsidRPr="008D7507">
        <w:rPr>
          <w:noProof/>
          <w:lang w:eastAsia="pl-PL"/>
        </w:rPr>
        <mc:AlternateContent>
          <mc:Choice Requires="wps">
            <w:drawing>
              <wp:anchor distT="45720" distB="45720" distL="114300" distR="114300" simplePos="0" relativeHeight="251774976" behindDoc="1" locked="0" layoutInCell="1" allowOverlap="1" wp14:anchorId="0263137C" wp14:editId="2DEF1D3E">
                <wp:simplePos x="0" y="0"/>
                <wp:positionH relativeFrom="column">
                  <wp:posOffset>5288280</wp:posOffset>
                </wp:positionH>
                <wp:positionV relativeFrom="paragraph">
                  <wp:posOffset>264464</wp:posOffset>
                </wp:positionV>
                <wp:extent cx="1725295" cy="899160"/>
                <wp:effectExtent l="0" t="0" r="0" b="0"/>
                <wp:wrapTight wrapText="bothSides">
                  <wp:wrapPolygon edited="0">
                    <wp:start x="715" y="0"/>
                    <wp:lineTo x="715" y="21051"/>
                    <wp:lineTo x="20749" y="21051"/>
                    <wp:lineTo x="20749" y="0"/>
                    <wp:lineTo x="715" y="0"/>
                  </wp:wrapPolygon>
                </wp:wrapTight>
                <wp:docPr id="2" name="Pole tekstowe 2" descr="The share of gross value added of the area of culture in the national economy decreased by 0.1 p.p. compared to 20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99160"/>
                        </a:xfrm>
                        <a:prstGeom prst="rect">
                          <a:avLst/>
                        </a:prstGeom>
                        <a:noFill/>
                        <a:ln w="9525">
                          <a:noFill/>
                          <a:miter lim="800000"/>
                          <a:headEnd/>
                          <a:tailEnd/>
                        </a:ln>
                      </wps:spPr>
                      <wps:txbx>
                        <w:txbxContent>
                          <w:p w14:paraId="192C4E07" w14:textId="77777777" w:rsidR="00F8129E" w:rsidRPr="000B0898" w:rsidRDefault="00F8129E" w:rsidP="00F8129E">
                            <w:pPr>
                              <w:pStyle w:val="Tekstzbokuwramcenaszarympolu"/>
                            </w:pPr>
                            <w:r w:rsidRPr="000B0898">
                              <w:t xml:space="preserve">The share of gross value added of the area of culture </w:t>
                            </w:r>
                            <w:r>
                              <w:t>in the national economy decreased by 0.1 p.p. compared to 2020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63137C" id="_x0000_t202" coordsize="21600,21600" o:spt="202" path="m,l,21600r21600,l21600,xe">
                <v:stroke joinstyle="miter"/>
                <v:path gradientshapeok="t" o:connecttype="rect"/>
              </v:shapetype>
              <v:shape id="_x0000_s1027" type="#_x0000_t202" alt="The share of gross value added of the area of culture in the national economy decreased by 0.1 p.p. compared to 2020" style="position:absolute;margin-left:416.4pt;margin-top:20.8pt;width:135.85pt;height:70.8pt;z-index:-251541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" filled="f" stroked="f">
                <v:textbox>
                  <w:txbxContent>
                    <w:p w14:paraId="192C4E07" w14:textId="77777777" w:rsidR="00F8129E" w:rsidRPr="000B0898" w:rsidRDefault="00F8129E" w:rsidP="00F8129E">
                      <w:pPr>
                        <w:pStyle w:val="Tekstzbokuwramcenaszarympolu"/>
                      </w:pPr>
                      <w:r w:rsidRPr="000B0898">
                        <w:t xml:space="preserve">The share of gross value added of the area of culture </w:t>
                      </w:r>
                      <w:r>
                        <w:t>in the national economy decreased by 0.1 p.p. compared to 2020</w:t>
                      </w:r>
                    </w:p>
                  </w:txbxContent>
                </v:textbox>
                <w10:wrap type="tight"/>
              </v:shape>
            </w:pict>
          </mc:Fallback>
        </mc:AlternateContent>
      </w:r>
      <w:r>
        <w:rPr>
          <w:rFonts w:eastAsia="Times New Roman" w:cs="Times New Roman"/>
          <w:szCs w:val="19"/>
          <w:lang w:val="en-GB" w:eastAsia="pl-PL"/>
        </w:rPr>
        <w:t>In 2021, the value of gross output generated by the area of culture accounted for 2.6% of the gross output of the entire national economy (0.2 p.p. less compared to 2020), while the share of gross value added amounted to 2.8% (0.1 p.p. less than in 2020). The c</w:t>
      </w:r>
      <w:r w:rsidRPr="0094485D">
        <w:rPr>
          <w:rFonts w:eastAsia="Times New Roman" w:cs="Times New Roman"/>
          <w:szCs w:val="19"/>
          <w:lang w:val="en-GB" w:eastAsia="pl-PL"/>
        </w:rPr>
        <w:t>on</w:t>
      </w:r>
      <w:bookmarkStart w:id="0" w:name="_GoBack"/>
      <w:bookmarkEnd w:id="0"/>
      <w:r w:rsidRPr="0094485D">
        <w:rPr>
          <w:rFonts w:eastAsia="Times New Roman" w:cs="Times New Roman"/>
          <w:szCs w:val="19"/>
          <w:lang w:val="en-GB" w:eastAsia="pl-PL"/>
        </w:rPr>
        <w:t xml:space="preserve">tribution </w:t>
      </w:r>
      <w:r>
        <w:rPr>
          <w:rFonts w:eastAsia="Times New Roman" w:cs="Times New Roman"/>
          <w:szCs w:val="19"/>
          <w:lang w:val="en-GB" w:eastAsia="pl-PL"/>
        </w:rPr>
        <w:t xml:space="preserve">of area of culture </w:t>
      </w:r>
      <w:r w:rsidRPr="0094485D">
        <w:rPr>
          <w:rFonts w:eastAsia="Times New Roman" w:cs="Times New Roman"/>
          <w:szCs w:val="19"/>
          <w:lang w:val="en-GB" w:eastAsia="pl-PL"/>
        </w:rPr>
        <w:t xml:space="preserve">to the creation of </w:t>
      </w:r>
      <w:r>
        <w:rPr>
          <w:rFonts w:eastAsia="Times New Roman" w:cs="Times New Roman"/>
          <w:szCs w:val="19"/>
          <w:lang w:val="en-GB" w:eastAsia="pl-PL"/>
        </w:rPr>
        <w:t xml:space="preserve">gross operating </w:t>
      </w:r>
      <w:r w:rsidRPr="0094485D">
        <w:rPr>
          <w:rFonts w:eastAsia="Times New Roman" w:cs="Times New Roman"/>
          <w:szCs w:val="19"/>
          <w:lang w:val="en-GB" w:eastAsia="pl-PL"/>
        </w:rPr>
        <w:t>surplus</w:t>
      </w:r>
      <w:r>
        <w:rPr>
          <w:rFonts w:eastAsia="Times New Roman" w:cs="Times New Roman"/>
          <w:szCs w:val="19"/>
          <w:lang w:val="en-GB" w:eastAsia="pl-PL"/>
        </w:rPr>
        <w:t xml:space="preserve"> in the economy amounted to 3.0% (0.3</w:t>
      </w:r>
      <w:r w:rsidR="003577E7">
        <w:rPr>
          <w:rFonts w:eastAsia="Times New Roman" w:cs="Times New Roman"/>
          <w:szCs w:val="19"/>
          <w:lang w:val="en-GB" w:eastAsia="pl-PL"/>
        </w:rPr>
        <w:t> </w:t>
      </w:r>
      <w:r>
        <w:rPr>
          <w:rFonts w:eastAsia="Times New Roman" w:cs="Times New Roman"/>
          <w:szCs w:val="19"/>
          <w:lang w:val="en-GB" w:eastAsia="pl-PL"/>
        </w:rPr>
        <w:t>p.p. less in comparison to 2020).</w:t>
      </w:r>
    </w:p>
    <w:p w14:paraId="789F9331" w14:textId="52BC6F97" w:rsidR="00F8129E" w:rsidRPr="007E2342" w:rsidRDefault="00260F32" w:rsidP="00F8129E">
      <w:pPr>
        <w:pStyle w:val="tytuwykresu0"/>
        <w:spacing w:before="360"/>
        <w:rPr>
          <w:noProof/>
          <w:sz w:val="19"/>
          <w:szCs w:val="19"/>
          <w:lang w:val="en-GB"/>
        </w:rPr>
      </w:pPr>
      <w:bookmarkStart w:id="1" w:name="_Hlk188447694"/>
      <w:r>
        <w:rPr>
          <w:noProof/>
          <w:lang w:eastAsia="pl-PL"/>
        </w:rPr>
        <w:lastRenderedPageBreak/>
        <w:drawing>
          <wp:anchor distT="0" distB="0" distL="114300" distR="114300" simplePos="0" relativeHeight="251783168" behindDoc="0" locked="0" layoutInCell="1" allowOverlap="1" wp14:anchorId="37A95A92" wp14:editId="6EA993C5">
            <wp:simplePos x="0" y="0"/>
            <wp:positionH relativeFrom="column">
              <wp:posOffset>-83820</wp:posOffset>
            </wp:positionH>
            <wp:positionV relativeFrom="paragraph">
              <wp:posOffset>240665</wp:posOffset>
            </wp:positionV>
            <wp:extent cx="5035550" cy="2084705"/>
            <wp:effectExtent l="0" t="0" r="0" b="0"/>
            <wp:wrapTopAndBottom/>
            <wp:docPr id="4" name="Obraz 4" descr="Chart 1. bar chart showing the share of area of culture in the national economy by main transactions in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35550" cy="2084705"/>
                    </a:xfrm>
                    <a:prstGeom prst="rect">
                      <a:avLst/>
                    </a:prstGeom>
                    <a:noFill/>
                  </pic:spPr>
                </pic:pic>
              </a:graphicData>
            </a:graphic>
          </wp:anchor>
        </w:drawing>
      </w:r>
      <w:r w:rsidR="00F8129E" w:rsidRPr="007E2342">
        <w:rPr>
          <w:iCs/>
          <w:noProof/>
          <w:sz w:val="19"/>
          <w:szCs w:val="19"/>
          <w:lang w:val="en-GB"/>
        </w:rPr>
        <w:t xml:space="preserve">Chart 1. </w:t>
      </w:r>
      <w:r w:rsidR="00F8129E">
        <w:rPr>
          <w:iCs/>
          <w:noProof/>
          <w:sz w:val="19"/>
          <w:szCs w:val="19"/>
          <w:lang w:val="en-GB"/>
        </w:rPr>
        <w:t xml:space="preserve">The share of area of culture in the national economy by main transactions </w:t>
      </w:r>
      <w:r w:rsidR="00F8129E" w:rsidRPr="007E2342">
        <w:rPr>
          <w:noProof/>
          <w:sz w:val="19"/>
          <w:szCs w:val="19"/>
          <w:lang w:val="en-GB"/>
        </w:rPr>
        <w:t>in 202</w:t>
      </w:r>
      <w:bookmarkEnd w:id="1"/>
      <w:r w:rsidR="00F8129E">
        <w:rPr>
          <w:noProof/>
          <w:sz w:val="19"/>
          <w:szCs w:val="19"/>
          <w:lang w:val="en-GB"/>
        </w:rPr>
        <w:t>1</w:t>
      </w:r>
    </w:p>
    <w:p w14:paraId="27F93F0C" w14:textId="61885975" w:rsidR="00F8129E" w:rsidRDefault="00F8129E" w:rsidP="00F8129E">
      <w:pPr>
        <w:spacing w:before="360"/>
        <w:rPr>
          <w:lang w:val="en-GB"/>
        </w:rPr>
      </w:pPr>
      <w:r>
        <w:rPr>
          <w:lang w:val="en-GB"/>
        </w:rPr>
        <w:t xml:space="preserve">In 2021, the largest share in the value of gross output in the area of culture was recorded in Advertising domain </w:t>
      </w:r>
      <w:r w:rsidRPr="00161DE5">
        <w:rPr>
          <w:rFonts w:eastAsia="Times New Roman" w:cs="Times New Roman"/>
          <w:szCs w:val="19"/>
          <w:lang w:val="en-GB" w:eastAsia="pl-PL"/>
        </w:rPr>
        <w:t>–</w:t>
      </w:r>
      <w:r>
        <w:rPr>
          <w:rFonts w:eastAsia="Times New Roman" w:cs="Times New Roman"/>
          <w:szCs w:val="19"/>
          <w:lang w:val="en-GB" w:eastAsia="pl-PL"/>
        </w:rPr>
        <w:t xml:space="preserve"> 25.7%. A </w:t>
      </w:r>
      <w:r w:rsidRPr="00D837C3">
        <w:rPr>
          <w:rFonts w:eastAsia="Times New Roman" w:cs="Times New Roman"/>
          <w:szCs w:val="19"/>
          <w:lang w:val="en-GB" w:eastAsia="pl-PL"/>
        </w:rPr>
        <w:t>significant contribut</w:t>
      </w:r>
      <w:r>
        <w:rPr>
          <w:rFonts w:eastAsia="Times New Roman" w:cs="Times New Roman"/>
          <w:szCs w:val="19"/>
          <w:lang w:val="en-GB" w:eastAsia="pl-PL"/>
        </w:rPr>
        <w:t>ion, amounting to</w:t>
      </w:r>
      <w:r w:rsidRPr="00D837C3">
        <w:rPr>
          <w:rFonts w:eastAsia="Times New Roman" w:cs="Times New Roman"/>
          <w:szCs w:val="19"/>
          <w:lang w:val="en-GB" w:eastAsia="pl-PL"/>
        </w:rPr>
        <w:t xml:space="preserve"> </w:t>
      </w:r>
      <w:r>
        <w:rPr>
          <w:rFonts w:eastAsia="Times New Roman" w:cs="Times New Roman"/>
          <w:szCs w:val="19"/>
          <w:lang w:val="en-GB" w:eastAsia="pl-PL"/>
        </w:rPr>
        <w:t xml:space="preserve">20.2%, was recorded in </w:t>
      </w:r>
      <w:r w:rsidRPr="00D837C3">
        <w:rPr>
          <w:rFonts w:eastAsia="Times New Roman" w:cs="Times New Roman"/>
          <w:szCs w:val="19"/>
          <w:lang w:val="en-GB" w:eastAsia="pl-PL"/>
        </w:rPr>
        <w:t>Audio</w:t>
      </w:r>
      <w:r>
        <w:rPr>
          <w:rFonts w:eastAsia="Times New Roman" w:cs="Times New Roman"/>
          <w:szCs w:val="19"/>
          <w:lang w:val="en-GB" w:eastAsia="pl-PL"/>
        </w:rPr>
        <w:t>-visual</w:t>
      </w:r>
      <w:r w:rsidRPr="00D837C3">
        <w:rPr>
          <w:rFonts w:eastAsia="Times New Roman" w:cs="Times New Roman"/>
          <w:szCs w:val="19"/>
          <w:lang w:val="en-GB" w:eastAsia="pl-PL"/>
        </w:rPr>
        <w:t xml:space="preserve"> arts </w:t>
      </w:r>
      <w:r>
        <w:rPr>
          <w:rFonts w:eastAsia="Times New Roman" w:cs="Times New Roman"/>
          <w:szCs w:val="19"/>
          <w:lang w:val="en-GB" w:eastAsia="pl-PL"/>
        </w:rPr>
        <w:t>and multimedia domain. These two domains</w:t>
      </w:r>
      <w:r w:rsidRPr="00D837C3">
        <w:rPr>
          <w:rFonts w:eastAsia="Times New Roman" w:cs="Times New Roman"/>
          <w:szCs w:val="19"/>
          <w:lang w:val="en-GB" w:eastAsia="pl-PL"/>
        </w:rPr>
        <w:t xml:space="preserve"> also dominated </w:t>
      </w:r>
      <w:r>
        <w:rPr>
          <w:rFonts w:eastAsia="Times New Roman" w:cs="Times New Roman"/>
          <w:szCs w:val="19"/>
          <w:lang w:val="en-GB" w:eastAsia="pl-PL"/>
        </w:rPr>
        <w:t xml:space="preserve">in </w:t>
      </w:r>
      <w:r w:rsidRPr="00D837C3">
        <w:rPr>
          <w:rFonts w:eastAsia="Times New Roman" w:cs="Times New Roman"/>
          <w:szCs w:val="19"/>
          <w:lang w:val="en-GB" w:eastAsia="pl-PL"/>
        </w:rPr>
        <w:t>other transactions, such as intermediate consumption (31.4% and 22.3%, respectively), gross value added (19.0% and 17.6%, respectively) and gross operating surplus (22.2% and 19.7%, respectively).</w:t>
      </w:r>
    </w:p>
    <w:p w14:paraId="1FF46F0D" w14:textId="4BD51115" w:rsidR="00F8129E" w:rsidRDefault="00237C22" w:rsidP="00E01954">
      <w:pPr>
        <w:pStyle w:val="tytuwykresu0"/>
        <w:spacing w:before="360"/>
        <w:rPr>
          <w:iCs/>
          <w:noProof/>
          <w:sz w:val="19"/>
          <w:szCs w:val="19"/>
          <w:lang w:val="en-GB"/>
        </w:rPr>
      </w:pPr>
      <w:r>
        <w:rPr>
          <w:rFonts w:eastAsia="Times New Roman" w:cs="Times New Roman"/>
          <w:noProof/>
          <w:szCs w:val="19"/>
          <w:lang w:eastAsia="pl-PL"/>
        </w:rPr>
        <w:drawing>
          <wp:anchor distT="0" distB="0" distL="114300" distR="114300" simplePos="0" relativeHeight="251786240" behindDoc="0" locked="0" layoutInCell="1" allowOverlap="1" wp14:anchorId="60F71901" wp14:editId="7A61A9A1">
            <wp:simplePos x="0" y="0"/>
            <wp:positionH relativeFrom="column">
              <wp:posOffset>-83820</wp:posOffset>
            </wp:positionH>
            <wp:positionV relativeFrom="paragraph">
              <wp:posOffset>355600</wp:posOffset>
            </wp:positionV>
            <wp:extent cx="5084445" cy="3797935"/>
            <wp:effectExtent l="0" t="0" r="0" b="0"/>
            <wp:wrapTopAndBottom/>
            <wp:docPr id="19" name="Obraz 19" descr="Chart 2. bar chart showing the gross output by cultural domains in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84445" cy="3797935"/>
                    </a:xfrm>
                    <a:prstGeom prst="rect">
                      <a:avLst/>
                    </a:prstGeom>
                    <a:noFill/>
                  </pic:spPr>
                </pic:pic>
              </a:graphicData>
            </a:graphic>
          </wp:anchor>
        </w:drawing>
      </w:r>
      <w:r w:rsidR="00F8129E" w:rsidRPr="007E2342">
        <w:rPr>
          <w:noProof/>
          <w:szCs w:val="19"/>
          <w:lang w:eastAsia="pl-PL"/>
        </w:rPr>
        <mc:AlternateContent>
          <mc:Choice Requires="wps">
            <w:drawing>
              <wp:anchor distT="45720" distB="45720" distL="114300" distR="114300" simplePos="0" relativeHeight="251777024" behindDoc="1" locked="0" layoutInCell="1" allowOverlap="1" wp14:anchorId="510A2785" wp14:editId="4BA32077">
                <wp:simplePos x="0" y="0"/>
                <wp:positionH relativeFrom="page">
                  <wp:posOffset>5734050</wp:posOffset>
                </wp:positionH>
                <wp:positionV relativeFrom="paragraph">
                  <wp:posOffset>165100</wp:posOffset>
                </wp:positionV>
                <wp:extent cx="1725295" cy="1219200"/>
                <wp:effectExtent l="0" t="0" r="0" b="0"/>
                <wp:wrapTight wrapText="bothSides">
                  <wp:wrapPolygon edited="0">
                    <wp:start x="715" y="0"/>
                    <wp:lineTo x="715" y="21263"/>
                    <wp:lineTo x="20749" y="21263"/>
                    <wp:lineTo x="20749" y="0"/>
                    <wp:lineTo x="715" y="0"/>
                  </wp:wrapPolygon>
                </wp:wrapTight>
                <wp:docPr id="578548238" name="Pole tekstowe 578548238" descr="Three domains: Advertising, Audio-visual arts and multimedia, and Related to culture, together generated 58.0% of the gross output of the area of cultur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219200"/>
                        </a:xfrm>
                        <a:prstGeom prst="rect">
                          <a:avLst/>
                        </a:prstGeom>
                        <a:noFill/>
                        <a:ln w="9525">
                          <a:noFill/>
                          <a:miter lim="800000"/>
                          <a:headEnd/>
                          <a:tailEnd/>
                        </a:ln>
                      </wps:spPr>
                      <wps:txbx>
                        <w:txbxContent>
                          <w:p w14:paraId="58315BE7" w14:textId="77777777" w:rsidR="00F8129E" w:rsidRPr="00161DE5" w:rsidRDefault="00F8129E" w:rsidP="00F8129E">
                            <w:pPr>
                              <w:pStyle w:val="tekstzboku"/>
                              <w:spacing w:before="0"/>
                              <w:rPr>
                                <w:bCs w:val="0"/>
                                <w:iCs/>
                                <w:lang w:val="en-GB"/>
                              </w:rPr>
                            </w:pPr>
                            <w:r>
                              <w:rPr>
                                <w:bCs w:val="0"/>
                                <w:iCs/>
                                <w:lang w:val="en-GB"/>
                              </w:rPr>
                              <w:t>Three domains: Advertising, Audio-visual arts and multimedia, and R</w:t>
                            </w:r>
                            <w:r w:rsidRPr="0037581D">
                              <w:rPr>
                                <w:bCs w:val="0"/>
                                <w:iCs/>
                                <w:lang w:val="en-GB"/>
                              </w:rPr>
                              <w:t>elated</w:t>
                            </w:r>
                            <w:r>
                              <w:rPr>
                                <w:bCs w:val="0"/>
                                <w:iCs/>
                                <w:lang w:val="en-GB"/>
                              </w:rPr>
                              <w:t xml:space="preserve"> to culture,</w:t>
                            </w:r>
                            <w:r w:rsidRPr="0037581D">
                              <w:rPr>
                                <w:bCs w:val="0"/>
                                <w:iCs/>
                                <w:lang w:val="en-GB"/>
                              </w:rPr>
                              <w:t xml:space="preserve"> </w:t>
                            </w:r>
                            <w:r>
                              <w:rPr>
                                <w:bCs w:val="0"/>
                                <w:iCs/>
                                <w:lang w:val="en-GB"/>
                              </w:rPr>
                              <w:t xml:space="preserve">together </w:t>
                            </w:r>
                            <w:r w:rsidRPr="0037581D">
                              <w:rPr>
                                <w:bCs w:val="0"/>
                                <w:iCs/>
                                <w:lang w:val="en-GB"/>
                              </w:rPr>
                              <w:t>generated 58.0% of the</w:t>
                            </w:r>
                            <w:r>
                              <w:rPr>
                                <w:bCs w:val="0"/>
                                <w:iCs/>
                                <w:lang w:val="en-GB"/>
                              </w:rPr>
                              <w:t xml:space="preserve"> gross output of the area of culture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0A2785" id="Pole tekstowe 578548238" o:spid="_x0000_s1028" type="#_x0000_t202" alt="Three domains: Advertising, Audio-visual arts and multimedia, and Related to culture, together generated 58.0% of the gross output of the area of culture" style="position:absolute;margin-left:451.5pt;margin-top:13pt;width:135.85pt;height:96pt;z-index:-25153945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" filled="f" stroked="f">
                <v:textbox>
                  <w:txbxContent>
                    <w:p w14:paraId="58315BE7" w14:textId="77777777" w:rsidR="00F8129E" w:rsidRPr="00161DE5" w:rsidRDefault="00F8129E" w:rsidP="00F8129E">
                      <w:pPr>
                        <w:pStyle w:val="tekstzboku"/>
                        <w:spacing w:before="0"/>
                        <w:rPr>
                          <w:bCs w:val="0"/>
                          <w:iCs/>
                          <w:lang w:val="en-GB"/>
                        </w:rPr>
                      </w:pPr>
                      <w:r>
                        <w:rPr>
                          <w:bCs w:val="0"/>
                          <w:iCs/>
                          <w:lang w:val="en-GB"/>
                        </w:rPr>
                        <w:t>Three domains: Advertising, Audio-visual arts and multimedia, and R</w:t>
                      </w:r>
                      <w:r w:rsidRPr="0037581D">
                        <w:rPr>
                          <w:bCs w:val="0"/>
                          <w:iCs/>
                          <w:lang w:val="en-GB"/>
                        </w:rPr>
                        <w:t>elated</w:t>
                      </w:r>
                      <w:r>
                        <w:rPr>
                          <w:bCs w:val="0"/>
                          <w:iCs/>
                          <w:lang w:val="en-GB"/>
                        </w:rPr>
                        <w:t xml:space="preserve"> to culture,</w:t>
                      </w:r>
                      <w:r w:rsidRPr="0037581D">
                        <w:rPr>
                          <w:bCs w:val="0"/>
                          <w:iCs/>
                          <w:lang w:val="en-GB"/>
                        </w:rPr>
                        <w:t xml:space="preserve"> </w:t>
                      </w:r>
                      <w:r>
                        <w:rPr>
                          <w:bCs w:val="0"/>
                          <w:iCs/>
                          <w:lang w:val="en-GB"/>
                        </w:rPr>
                        <w:t xml:space="preserve">together </w:t>
                      </w:r>
                      <w:r w:rsidRPr="0037581D">
                        <w:rPr>
                          <w:bCs w:val="0"/>
                          <w:iCs/>
                          <w:lang w:val="en-GB"/>
                        </w:rPr>
                        <w:t>generated 58.0% of the</w:t>
                      </w:r>
                      <w:r>
                        <w:rPr>
                          <w:bCs w:val="0"/>
                          <w:iCs/>
                          <w:lang w:val="en-GB"/>
                        </w:rPr>
                        <w:t xml:space="preserve"> gross output of the area of culture</w:t>
                      </w:r>
                    </w:p>
                  </w:txbxContent>
                </v:textbox>
                <w10:wrap type="tight" anchorx="page"/>
              </v:shape>
            </w:pict>
          </mc:Fallback>
        </mc:AlternateContent>
      </w:r>
      <w:r w:rsidR="00F8129E" w:rsidRPr="007E2342">
        <w:rPr>
          <w:iCs/>
          <w:noProof/>
          <w:sz w:val="19"/>
          <w:szCs w:val="19"/>
          <w:lang w:val="en-GB"/>
        </w:rPr>
        <w:t xml:space="preserve">Chart </w:t>
      </w:r>
      <w:r w:rsidR="00F8129E">
        <w:rPr>
          <w:iCs/>
          <w:noProof/>
          <w:sz w:val="19"/>
          <w:szCs w:val="19"/>
          <w:lang w:val="en-GB"/>
        </w:rPr>
        <w:t>2</w:t>
      </w:r>
      <w:r w:rsidR="00F8129E" w:rsidRPr="007E2342">
        <w:rPr>
          <w:iCs/>
          <w:noProof/>
          <w:sz w:val="19"/>
          <w:szCs w:val="19"/>
          <w:lang w:val="en-GB"/>
        </w:rPr>
        <w:t xml:space="preserve">. </w:t>
      </w:r>
      <w:r w:rsidR="00F8129E">
        <w:rPr>
          <w:iCs/>
          <w:noProof/>
          <w:sz w:val="19"/>
          <w:szCs w:val="19"/>
          <w:lang w:val="en-GB"/>
        </w:rPr>
        <w:t>The gross output by cultural domains in 2021</w:t>
      </w:r>
    </w:p>
    <w:p w14:paraId="4E561A07" w14:textId="27FE52AB" w:rsidR="00F8129E" w:rsidRDefault="00F8129E" w:rsidP="00E01954">
      <w:pPr>
        <w:spacing w:before="360"/>
        <w:rPr>
          <w:rFonts w:eastAsia="Times New Roman" w:cs="Times New Roman"/>
          <w:szCs w:val="19"/>
          <w:lang w:val="en-GB" w:eastAsia="pl-PL"/>
        </w:rPr>
      </w:pPr>
      <w:r>
        <w:rPr>
          <w:rFonts w:eastAsia="Times New Roman" w:cs="Times New Roman"/>
          <w:szCs w:val="19"/>
          <w:lang w:val="en-GB" w:eastAsia="pl-PL"/>
        </w:rPr>
        <w:t>Domains Related to culture and Books and press had</w:t>
      </w:r>
      <w:r w:rsidRPr="00506E6C">
        <w:rPr>
          <w:rFonts w:eastAsia="Times New Roman" w:cs="Times New Roman"/>
          <w:szCs w:val="19"/>
          <w:lang w:val="en-GB" w:eastAsia="pl-PL"/>
        </w:rPr>
        <w:t xml:space="preserve"> also significant</w:t>
      </w:r>
      <w:r>
        <w:rPr>
          <w:rFonts w:eastAsia="Times New Roman" w:cs="Times New Roman"/>
          <w:szCs w:val="19"/>
          <w:lang w:val="en-GB" w:eastAsia="pl-PL"/>
        </w:rPr>
        <w:t xml:space="preserve"> share</w:t>
      </w:r>
      <w:r w:rsidRPr="00506E6C">
        <w:rPr>
          <w:rFonts w:eastAsia="Times New Roman" w:cs="Times New Roman"/>
          <w:szCs w:val="19"/>
          <w:lang w:val="en-GB" w:eastAsia="pl-PL"/>
        </w:rPr>
        <w:t xml:space="preserve"> (in </w:t>
      </w:r>
      <w:r>
        <w:rPr>
          <w:rFonts w:eastAsia="Times New Roman" w:cs="Times New Roman"/>
          <w:szCs w:val="19"/>
          <w:lang w:val="en-GB" w:eastAsia="pl-PL"/>
        </w:rPr>
        <w:t xml:space="preserve">gross output </w:t>
      </w:r>
      <w:r w:rsidRPr="00506E6C">
        <w:rPr>
          <w:rFonts w:eastAsia="Times New Roman" w:cs="Times New Roman"/>
          <w:szCs w:val="19"/>
          <w:lang w:val="en-GB" w:eastAsia="pl-PL"/>
        </w:rPr>
        <w:t xml:space="preserve">12.1% and 10.4%, respectively; in </w:t>
      </w:r>
      <w:r>
        <w:rPr>
          <w:rFonts w:eastAsia="Times New Roman" w:cs="Times New Roman"/>
          <w:szCs w:val="19"/>
          <w:lang w:val="en-GB" w:eastAsia="pl-PL"/>
        </w:rPr>
        <w:t xml:space="preserve">gross </w:t>
      </w:r>
      <w:r w:rsidRPr="00506E6C">
        <w:rPr>
          <w:rFonts w:eastAsia="Times New Roman" w:cs="Times New Roman"/>
          <w:szCs w:val="19"/>
          <w:lang w:val="en-GB" w:eastAsia="pl-PL"/>
        </w:rPr>
        <w:t>value added 10.3% and 12.5%, respectively).</w:t>
      </w:r>
      <w:r>
        <w:rPr>
          <w:rFonts w:eastAsia="Times New Roman" w:cs="Times New Roman"/>
          <w:szCs w:val="19"/>
          <w:lang w:val="en-GB" w:eastAsia="pl-PL"/>
        </w:rPr>
        <w:t xml:space="preserve"> In case of gross operating surplus,</w:t>
      </w:r>
      <w:r w:rsidRPr="005817D9">
        <w:rPr>
          <w:rFonts w:eastAsia="Times New Roman" w:cs="Times New Roman"/>
          <w:szCs w:val="19"/>
          <w:lang w:val="en-GB" w:eastAsia="pl-PL"/>
        </w:rPr>
        <w:t xml:space="preserve"> </w:t>
      </w:r>
      <w:r>
        <w:rPr>
          <w:rFonts w:eastAsia="Times New Roman" w:cs="Times New Roman"/>
          <w:szCs w:val="19"/>
          <w:lang w:val="en-GB" w:eastAsia="pl-PL"/>
        </w:rPr>
        <w:t>apart from</w:t>
      </w:r>
      <w:r w:rsidRPr="005817D9">
        <w:rPr>
          <w:rFonts w:eastAsia="Times New Roman" w:cs="Times New Roman"/>
          <w:szCs w:val="19"/>
          <w:lang w:val="en-GB" w:eastAsia="pl-PL"/>
        </w:rPr>
        <w:t xml:space="preserve"> </w:t>
      </w:r>
      <w:r>
        <w:rPr>
          <w:rFonts w:eastAsia="Times New Roman" w:cs="Times New Roman"/>
          <w:szCs w:val="19"/>
          <w:lang w:val="en-GB" w:eastAsia="pl-PL"/>
        </w:rPr>
        <w:t>domains</w:t>
      </w:r>
      <w:r w:rsidRPr="005817D9">
        <w:rPr>
          <w:rFonts w:eastAsia="Times New Roman" w:cs="Times New Roman"/>
          <w:szCs w:val="19"/>
          <w:lang w:val="en-GB" w:eastAsia="pl-PL"/>
        </w:rPr>
        <w:t>: Advertising, Audio</w:t>
      </w:r>
      <w:r>
        <w:rPr>
          <w:rFonts w:eastAsia="Times New Roman" w:cs="Times New Roman"/>
          <w:szCs w:val="19"/>
          <w:lang w:val="en-GB" w:eastAsia="pl-PL"/>
        </w:rPr>
        <w:t>-visual a</w:t>
      </w:r>
      <w:r w:rsidRPr="005817D9">
        <w:rPr>
          <w:rFonts w:eastAsia="Times New Roman" w:cs="Times New Roman"/>
          <w:szCs w:val="19"/>
          <w:lang w:val="en-GB" w:eastAsia="pl-PL"/>
        </w:rPr>
        <w:t xml:space="preserve">rts </w:t>
      </w:r>
      <w:r>
        <w:rPr>
          <w:rFonts w:eastAsia="Times New Roman" w:cs="Times New Roman"/>
          <w:szCs w:val="19"/>
          <w:lang w:val="en-GB" w:eastAsia="pl-PL"/>
        </w:rPr>
        <w:t>and multimedia and Books and p</w:t>
      </w:r>
      <w:r w:rsidRPr="005817D9">
        <w:rPr>
          <w:rFonts w:eastAsia="Times New Roman" w:cs="Times New Roman"/>
          <w:szCs w:val="19"/>
          <w:lang w:val="en-GB" w:eastAsia="pl-PL"/>
        </w:rPr>
        <w:t>ress (22.2%, 19.7% and 12.9% respectively), the contribut</w:t>
      </w:r>
      <w:r>
        <w:rPr>
          <w:rFonts w:eastAsia="Times New Roman" w:cs="Times New Roman"/>
          <w:szCs w:val="19"/>
          <w:lang w:val="en-GB" w:eastAsia="pl-PL"/>
        </w:rPr>
        <w:t>ion of Architecture and Visual a</w:t>
      </w:r>
      <w:r w:rsidRPr="005817D9">
        <w:rPr>
          <w:rFonts w:eastAsia="Times New Roman" w:cs="Times New Roman"/>
          <w:szCs w:val="19"/>
          <w:lang w:val="en-GB" w:eastAsia="pl-PL"/>
        </w:rPr>
        <w:t xml:space="preserve">rts </w:t>
      </w:r>
      <w:r>
        <w:rPr>
          <w:rFonts w:eastAsia="Times New Roman" w:cs="Times New Roman"/>
          <w:szCs w:val="19"/>
          <w:lang w:val="en-GB" w:eastAsia="pl-PL"/>
        </w:rPr>
        <w:t xml:space="preserve">domains </w:t>
      </w:r>
      <w:r w:rsidRPr="005817D9">
        <w:rPr>
          <w:rFonts w:eastAsia="Times New Roman" w:cs="Times New Roman"/>
          <w:szCs w:val="19"/>
          <w:lang w:val="en-GB" w:eastAsia="pl-PL"/>
        </w:rPr>
        <w:t>was also significant (11.8% and 11.5% respectively).</w:t>
      </w:r>
    </w:p>
    <w:p w14:paraId="7068B8EC" w14:textId="4072832B" w:rsidR="00F8129E" w:rsidRPr="0094410A" w:rsidRDefault="00DD257F" w:rsidP="00DD257F">
      <w:pPr>
        <w:spacing w:before="1320" w:after="160" w:line="259" w:lineRule="auto"/>
        <w:rPr>
          <w:b/>
          <w:iCs/>
          <w:noProof/>
          <w:szCs w:val="19"/>
          <w:lang w:val="en-GB"/>
        </w:rPr>
      </w:pPr>
      <w:r>
        <w:rPr>
          <w:rFonts w:eastAsia="Times New Roman" w:cs="Times New Roman"/>
          <w:noProof/>
          <w:szCs w:val="19"/>
          <w:lang w:eastAsia="pl-PL"/>
        </w:rPr>
        <w:lastRenderedPageBreak/>
        <w:drawing>
          <wp:anchor distT="0" distB="0" distL="114300" distR="114300" simplePos="0" relativeHeight="251785216" behindDoc="0" locked="0" layoutInCell="1" allowOverlap="1" wp14:anchorId="13A531A3" wp14:editId="2E15654F">
            <wp:simplePos x="0" y="0"/>
            <wp:positionH relativeFrom="column">
              <wp:posOffset>-38100</wp:posOffset>
            </wp:positionH>
            <wp:positionV relativeFrom="paragraph">
              <wp:posOffset>301625</wp:posOffset>
            </wp:positionV>
            <wp:extent cx="5090795" cy="2304415"/>
            <wp:effectExtent l="0" t="0" r="0" b="635"/>
            <wp:wrapTopAndBottom/>
            <wp:docPr id="13" name="Obraz 13" descr="Chart 3. bar chart showing the gross value added by cultural domains in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90795" cy="2304415"/>
                    </a:xfrm>
                    <a:prstGeom prst="rect">
                      <a:avLst/>
                    </a:prstGeom>
                    <a:noFill/>
                  </pic:spPr>
                </pic:pic>
              </a:graphicData>
            </a:graphic>
          </wp:anchor>
        </w:drawing>
      </w:r>
      <w:r w:rsidR="00F8129E" w:rsidRPr="0094410A">
        <w:rPr>
          <w:b/>
          <w:iCs/>
          <w:noProof/>
          <w:szCs w:val="19"/>
          <w:lang w:val="en-GB"/>
        </w:rPr>
        <w:t>Chart 3. The gross value added by cultural domains in 2021</w:t>
      </w:r>
    </w:p>
    <w:p w14:paraId="5C32FD5A" w14:textId="77777777" w:rsidR="00101161" w:rsidRDefault="00F8129E" w:rsidP="00F8129E">
      <w:pPr>
        <w:spacing w:before="360"/>
        <w:rPr>
          <w:shd w:val="clear" w:color="auto" w:fill="FFFFFF"/>
          <w:lang w:val="en-GB"/>
        </w:rPr>
      </w:pPr>
      <w:r>
        <w:rPr>
          <w:rFonts w:eastAsia="Times New Roman" w:cs="Times New Roman"/>
          <w:szCs w:val="19"/>
          <w:lang w:val="en-GB" w:eastAsia="pl-PL"/>
        </w:rPr>
        <w:t xml:space="preserve">Two domains </w:t>
      </w:r>
      <w:r w:rsidR="00FA7240">
        <w:rPr>
          <w:rFonts w:eastAsia="Times New Roman" w:cs="Times New Roman"/>
          <w:szCs w:val="19"/>
          <w:lang w:val="en-GB" w:eastAsia="pl-PL"/>
        </w:rPr>
        <w:t>accounted for the largest share</w:t>
      </w:r>
      <w:r w:rsidRPr="00F8194E">
        <w:rPr>
          <w:rFonts w:eastAsia="Times New Roman" w:cs="Times New Roman"/>
          <w:szCs w:val="19"/>
          <w:lang w:val="en-GB" w:eastAsia="pl-PL"/>
        </w:rPr>
        <w:t xml:space="preserve"> </w:t>
      </w:r>
      <w:r w:rsidRPr="007E2342">
        <w:rPr>
          <w:noProof/>
          <w:szCs w:val="19"/>
          <w:lang w:eastAsia="pl-PL"/>
        </w:rPr>
        <mc:AlternateContent>
          <mc:Choice Requires="wps">
            <w:drawing>
              <wp:anchor distT="45720" distB="45720" distL="114300" distR="114300" simplePos="0" relativeHeight="251780096" behindDoc="1" locked="0" layoutInCell="1" allowOverlap="1" wp14:anchorId="4DF4077D" wp14:editId="25D02FC3">
                <wp:simplePos x="0" y="0"/>
                <wp:positionH relativeFrom="margin">
                  <wp:posOffset>5295900</wp:posOffset>
                </wp:positionH>
                <wp:positionV relativeFrom="paragraph">
                  <wp:posOffset>2630170</wp:posOffset>
                </wp:positionV>
                <wp:extent cx="1725295" cy="1257300"/>
                <wp:effectExtent l="0" t="0" r="0" b="0"/>
                <wp:wrapTight wrapText="bothSides">
                  <wp:wrapPolygon edited="0">
                    <wp:start x="715" y="0"/>
                    <wp:lineTo x="715" y="21273"/>
                    <wp:lineTo x="20749" y="21273"/>
                    <wp:lineTo x="20749" y="0"/>
                    <wp:lineTo x="715" y="0"/>
                  </wp:wrapPolygon>
                </wp:wrapTight>
                <wp:docPr id="18" name="Pole tekstowe 18" descr="The highest compensation of employees was observed in the following domains: Advertising and Artistic education (PLN 4.0 billion each)"/>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257300"/>
                        </a:xfrm>
                        <a:prstGeom prst="rect">
                          <a:avLst/>
                        </a:prstGeom>
                        <a:noFill/>
                        <a:ln w="9525">
                          <a:noFill/>
                          <a:miter lim="800000"/>
                          <a:headEnd/>
                          <a:tailEnd/>
                        </a:ln>
                      </wps:spPr>
                      <wps:txbx>
                        <w:txbxContent>
                          <w:p w14:paraId="553514B8" w14:textId="77777777" w:rsidR="00F8129E" w:rsidRPr="00161DE5" w:rsidRDefault="00F8129E" w:rsidP="00F8129E">
                            <w:pPr>
                              <w:pStyle w:val="tekstzboku"/>
                              <w:spacing w:before="0"/>
                              <w:rPr>
                                <w:bCs w:val="0"/>
                                <w:iCs/>
                                <w:lang w:val="en-GB"/>
                              </w:rPr>
                            </w:pPr>
                            <w:r>
                              <w:rPr>
                                <w:bCs w:val="0"/>
                                <w:iCs/>
                                <w:lang w:val="en-GB"/>
                              </w:rPr>
                              <w:t>The highest compensation of employees was observed in the following domains:</w:t>
                            </w:r>
                            <w:r w:rsidRPr="000F0E97">
                              <w:rPr>
                                <w:bCs w:val="0"/>
                                <w:iCs/>
                                <w:lang w:val="en-GB"/>
                              </w:rPr>
                              <w:t xml:space="preserve"> Advertising and Artistic education (PLN 4.0 billion each)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F4077D" id="Pole tekstowe 18" o:spid="_x0000_s1029" type="#_x0000_t202" alt="The highest compensation of employees was observed in the following domains: Advertising and Artistic education (PLN 4.0 billion each)" style="position:absolute;margin-left:417pt;margin-top:207.1pt;width:135.85pt;height:99pt;z-index:-251536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" filled="f" stroked="f">
                <v:textbox>
                  <w:txbxContent>
                    <w:p w14:paraId="553514B8" w14:textId="77777777" w:rsidR="00F8129E" w:rsidRPr="00161DE5" w:rsidRDefault="00F8129E" w:rsidP="00F8129E">
                      <w:pPr>
                        <w:pStyle w:val="tekstzboku"/>
                        <w:spacing w:before="0"/>
                        <w:rPr>
                          <w:bCs w:val="0"/>
                          <w:iCs/>
                          <w:lang w:val="en-GB"/>
                        </w:rPr>
                      </w:pPr>
                      <w:r>
                        <w:rPr>
                          <w:bCs w:val="0"/>
                          <w:iCs/>
                          <w:lang w:val="en-GB"/>
                        </w:rPr>
                        <w:t>The highest compensation of employees was observed in the following domains:</w:t>
                      </w:r>
                      <w:r w:rsidRPr="000F0E97">
                        <w:rPr>
                          <w:bCs w:val="0"/>
                          <w:iCs/>
                          <w:lang w:val="en-GB"/>
                        </w:rPr>
                        <w:t xml:space="preserve"> Advertising and Artistic education (PLN 4.0 billion each)</w:t>
                      </w:r>
                    </w:p>
                  </w:txbxContent>
                </v:textbox>
                <w10:wrap type="tight" anchorx="margin"/>
              </v:shape>
            </w:pict>
          </mc:Fallback>
        </mc:AlternateContent>
      </w:r>
      <w:r>
        <w:rPr>
          <w:rFonts w:eastAsia="Times New Roman" w:cs="Times New Roman"/>
          <w:szCs w:val="19"/>
          <w:lang w:val="en-GB" w:eastAsia="pl-PL"/>
        </w:rPr>
        <w:t xml:space="preserve">in compensation of employees </w:t>
      </w:r>
      <w:r w:rsidRPr="00F8194E">
        <w:rPr>
          <w:shd w:val="clear" w:color="auto" w:fill="FFFFFF"/>
          <w:lang w:val="en-GB"/>
        </w:rPr>
        <w:t>– Advertising and Artistic education</w:t>
      </w:r>
      <w:r>
        <w:rPr>
          <w:shd w:val="clear" w:color="auto" w:fill="FFFFFF"/>
          <w:lang w:val="en-GB"/>
        </w:rPr>
        <w:t xml:space="preserve"> (14.9% each).</w:t>
      </w:r>
    </w:p>
    <w:p w14:paraId="2BF43053" w14:textId="77777777" w:rsidR="00101161" w:rsidRDefault="00FA7240" w:rsidP="00101161">
      <w:pPr>
        <w:rPr>
          <w:shd w:val="clear" w:color="auto" w:fill="FFFFFF"/>
          <w:lang w:val="en-GB"/>
        </w:rPr>
      </w:pPr>
      <w:r>
        <w:rPr>
          <w:shd w:val="clear" w:color="auto" w:fill="FFFFFF"/>
          <w:lang w:val="en-GB"/>
        </w:rPr>
        <w:t xml:space="preserve">In terms of </w:t>
      </w:r>
      <w:r w:rsidR="00F8129E">
        <w:rPr>
          <w:shd w:val="clear" w:color="auto" w:fill="FFFFFF"/>
          <w:lang w:val="en-GB"/>
        </w:rPr>
        <w:t>other taxes on production Audio-visual arts and multimedia domain</w:t>
      </w:r>
      <w:r>
        <w:rPr>
          <w:shd w:val="clear" w:color="auto" w:fill="FFFFFF"/>
          <w:lang w:val="en-GB"/>
        </w:rPr>
        <w:t xml:space="preserve"> dominated</w:t>
      </w:r>
      <w:r w:rsidR="00F8129E">
        <w:rPr>
          <w:shd w:val="clear" w:color="auto" w:fill="FFFFFF"/>
          <w:lang w:val="en-GB"/>
        </w:rPr>
        <w:t xml:space="preserve"> (54.6%), while </w:t>
      </w:r>
      <w:r>
        <w:rPr>
          <w:shd w:val="clear" w:color="auto" w:fill="FFFFFF"/>
          <w:lang w:val="en-GB"/>
        </w:rPr>
        <w:t>Artistic education accounted for the largest share</w:t>
      </w:r>
      <w:r w:rsidR="00F8129E">
        <w:rPr>
          <w:shd w:val="clear" w:color="auto" w:fill="FFFFFF"/>
          <w:lang w:val="en-GB"/>
        </w:rPr>
        <w:t xml:space="preserve"> </w:t>
      </w:r>
      <w:r>
        <w:rPr>
          <w:shd w:val="clear" w:color="auto" w:fill="FFFFFF"/>
          <w:lang w:val="en-GB"/>
        </w:rPr>
        <w:t xml:space="preserve">in other subsidies on production </w:t>
      </w:r>
      <w:r w:rsidR="00F8129E">
        <w:rPr>
          <w:shd w:val="clear" w:color="auto" w:fill="FFFFFF"/>
          <w:lang w:val="en-GB"/>
        </w:rPr>
        <w:t xml:space="preserve">(34.9%). </w:t>
      </w:r>
    </w:p>
    <w:p w14:paraId="7C8B2D04" w14:textId="51EE9E31" w:rsidR="00F8129E" w:rsidRDefault="00F8129E" w:rsidP="00101161">
      <w:pPr>
        <w:rPr>
          <w:shd w:val="clear" w:color="auto" w:fill="FFFFFF"/>
          <w:lang w:val="en-GB"/>
        </w:rPr>
      </w:pPr>
      <w:r>
        <w:rPr>
          <w:shd w:val="clear" w:color="auto" w:fill="FFFFFF"/>
          <w:lang w:val="en-GB"/>
        </w:rPr>
        <w:t>During analysed year the gross capital formation</w:t>
      </w:r>
      <w:r>
        <w:rPr>
          <w:rStyle w:val="Odwoanieprzypisudolnego"/>
          <w:shd w:val="clear" w:color="auto" w:fill="FFFFFF"/>
          <w:lang w:val="en-GB"/>
        </w:rPr>
        <w:footnoteReference w:id="2"/>
      </w:r>
      <w:r>
        <w:rPr>
          <w:shd w:val="clear" w:color="auto" w:fill="FFFFFF"/>
          <w:lang w:val="en-GB"/>
        </w:rPr>
        <w:t xml:space="preserve"> in the area of culture amounted to PLN 6,687.1 million. As in 2020, the highest value of gross capital formation was noticed in Architecture domain (PLN 3,309.5 million).</w:t>
      </w:r>
    </w:p>
    <w:p w14:paraId="23F1F490" w14:textId="77777777" w:rsidR="00501BF6" w:rsidRDefault="00F8129E" w:rsidP="00F8129E">
      <w:pPr>
        <w:rPr>
          <w:rFonts w:eastAsia="Times New Roman" w:cs="Times New Roman"/>
          <w:szCs w:val="19"/>
          <w:lang w:val="en-GB" w:eastAsia="pl-PL"/>
        </w:rPr>
      </w:pPr>
      <w:r>
        <w:rPr>
          <w:rFonts w:eastAsia="Times New Roman" w:cs="Times New Roman"/>
          <w:szCs w:val="19"/>
          <w:lang w:val="en-GB" w:eastAsia="pl-PL"/>
        </w:rPr>
        <w:t xml:space="preserve">The final consumption expenditure in the area of culture amounted to PLN 55,770.4 million (PLN 5,423.2 million more than in 2020). </w:t>
      </w:r>
      <w:r w:rsidRPr="00332B0C">
        <w:rPr>
          <w:rFonts w:eastAsia="Times New Roman" w:cs="Times New Roman"/>
          <w:szCs w:val="19"/>
          <w:lang w:val="en-GB" w:eastAsia="pl-PL"/>
        </w:rPr>
        <w:t>Audio</w:t>
      </w:r>
      <w:r>
        <w:rPr>
          <w:rFonts w:eastAsia="Times New Roman" w:cs="Times New Roman"/>
          <w:szCs w:val="19"/>
          <w:lang w:val="en-GB" w:eastAsia="pl-PL"/>
        </w:rPr>
        <w:t>-</w:t>
      </w:r>
      <w:r w:rsidRPr="00332B0C">
        <w:rPr>
          <w:rFonts w:eastAsia="Times New Roman" w:cs="Times New Roman"/>
          <w:szCs w:val="19"/>
          <w:lang w:val="en-GB" w:eastAsia="pl-PL"/>
        </w:rPr>
        <w:t xml:space="preserve">visual arts and multimedia accounted for almost half of the </w:t>
      </w:r>
      <w:r>
        <w:rPr>
          <w:rFonts w:eastAsia="Times New Roman" w:cs="Times New Roman"/>
          <w:szCs w:val="19"/>
          <w:lang w:val="en-GB" w:eastAsia="pl-PL"/>
        </w:rPr>
        <w:t xml:space="preserve">final </w:t>
      </w:r>
      <w:r w:rsidRPr="00332B0C">
        <w:rPr>
          <w:rFonts w:eastAsia="Times New Roman" w:cs="Times New Roman"/>
          <w:szCs w:val="19"/>
          <w:lang w:val="en-GB" w:eastAsia="pl-PL"/>
        </w:rPr>
        <w:t>consumption</w:t>
      </w:r>
      <w:r>
        <w:rPr>
          <w:rFonts w:eastAsia="Times New Roman" w:cs="Times New Roman"/>
          <w:szCs w:val="19"/>
          <w:lang w:val="en-GB" w:eastAsia="pl-PL"/>
        </w:rPr>
        <w:t xml:space="preserve"> expenditure</w:t>
      </w:r>
      <w:r w:rsidRPr="00332B0C">
        <w:rPr>
          <w:rFonts w:eastAsia="Times New Roman" w:cs="Times New Roman"/>
          <w:szCs w:val="19"/>
          <w:lang w:val="en-GB" w:eastAsia="pl-PL"/>
        </w:rPr>
        <w:t xml:space="preserve"> (PLN 26,231.2 million).</w:t>
      </w:r>
      <w:r>
        <w:rPr>
          <w:rFonts w:eastAsia="Times New Roman" w:cs="Times New Roman"/>
          <w:szCs w:val="19"/>
          <w:lang w:val="en-GB" w:eastAsia="pl-PL"/>
        </w:rPr>
        <w:t xml:space="preserve"> </w:t>
      </w:r>
    </w:p>
    <w:p w14:paraId="7619D576" w14:textId="77777777" w:rsidR="00501BF6" w:rsidRDefault="00F8129E" w:rsidP="00F8129E">
      <w:pPr>
        <w:rPr>
          <w:rFonts w:eastAsia="Times New Roman" w:cs="Times New Roman"/>
          <w:szCs w:val="19"/>
          <w:lang w:val="en-GB" w:eastAsia="pl-PL"/>
        </w:rPr>
      </w:pPr>
      <w:r>
        <w:rPr>
          <w:rFonts w:eastAsia="Times New Roman" w:cs="Times New Roman"/>
          <w:szCs w:val="19"/>
          <w:lang w:val="en-GB" w:eastAsia="pl-PL"/>
        </w:rPr>
        <w:t xml:space="preserve">The final consumption by households accounted for 66.3% of the final consumption expenditure and increased by 11.8% compared to 2020. The highest amount of this consumption was recorded in Audio-visual arts and multimedia domain (PLN 23,639.7 million, i.e. 2,702.7 million more than in 2020). </w:t>
      </w:r>
    </w:p>
    <w:p w14:paraId="3A3F99B8" w14:textId="77777777" w:rsidR="00501BF6" w:rsidRDefault="00F8129E" w:rsidP="00F8129E">
      <w:pPr>
        <w:rPr>
          <w:rFonts w:eastAsia="Times New Roman" w:cs="Times New Roman"/>
          <w:szCs w:val="19"/>
          <w:lang w:val="en-GB" w:eastAsia="pl-PL"/>
        </w:rPr>
      </w:pPr>
      <w:r>
        <w:rPr>
          <w:rFonts w:eastAsia="Times New Roman" w:cs="Times New Roman"/>
          <w:szCs w:val="19"/>
          <w:lang w:val="en-GB" w:eastAsia="pl-PL"/>
        </w:rPr>
        <w:t xml:space="preserve">In the general </w:t>
      </w:r>
      <w:r w:rsidRPr="00A33B51">
        <w:rPr>
          <w:rFonts w:eastAsia="Times New Roman" w:cs="Times New Roman"/>
          <w:szCs w:val="19"/>
          <w:lang w:val="en-GB" w:eastAsia="pl-PL"/>
        </w:rPr>
        <w:t xml:space="preserve">government sector (31.1% of total </w:t>
      </w:r>
      <w:r>
        <w:rPr>
          <w:rFonts w:eastAsia="Times New Roman" w:cs="Times New Roman"/>
          <w:szCs w:val="19"/>
          <w:lang w:val="en-GB" w:eastAsia="pl-PL"/>
        </w:rPr>
        <w:t xml:space="preserve">final </w:t>
      </w:r>
      <w:r w:rsidRPr="00A33B51">
        <w:rPr>
          <w:rFonts w:eastAsia="Times New Roman" w:cs="Times New Roman"/>
          <w:szCs w:val="19"/>
          <w:lang w:val="en-GB" w:eastAsia="pl-PL"/>
        </w:rPr>
        <w:t>consumption</w:t>
      </w:r>
      <w:r>
        <w:rPr>
          <w:rFonts w:eastAsia="Times New Roman" w:cs="Times New Roman"/>
          <w:szCs w:val="19"/>
          <w:lang w:val="en-GB" w:eastAsia="pl-PL"/>
        </w:rPr>
        <w:t xml:space="preserve"> expenditures), the highest value of consumption</w:t>
      </w:r>
      <w:r w:rsidRPr="00A33B51">
        <w:rPr>
          <w:rFonts w:eastAsia="Times New Roman" w:cs="Times New Roman"/>
          <w:szCs w:val="19"/>
          <w:lang w:val="en-GB" w:eastAsia="pl-PL"/>
        </w:rPr>
        <w:t xml:space="preserve"> </w:t>
      </w:r>
      <w:r>
        <w:rPr>
          <w:rFonts w:eastAsia="Times New Roman" w:cs="Times New Roman"/>
          <w:szCs w:val="19"/>
          <w:lang w:val="en-GB" w:eastAsia="pl-PL"/>
        </w:rPr>
        <w:t xml:space="preserve">was recorded in Performing arts </w:t>
      </w:r>
      <w:r w:rsidRPr="00A33B51">
        <w:rPr>
          <w:rFonts w:eastAsia="Times New Roman" w:cs="Times New Roman"/>
          <w:szCs w:val="19"/>
          <w:lang w:val="en-GB" w:eastAsia="pl-PL"/>
        </w:rPr>
        <w:t>(PLN</w:t>
      </w:r>
      <w:r w:rsidR="00BB26D3">
        <w:rPr>
          <w:rFonts w:eastAsia="Times New Roman" w:cs="Times New Roman"/>
          <w:szCs w:val="19"/>
          <w:lang w:val="en-GB" w:eastAsia="pl-PL"/>
        </w:rPr>
        <w:t> </w:t>
      </w:r>
      <w:r w:rsidRPr="00A33B51">
        <w:rPr>
          <w:rFonts w:eastAsia="Times New Roman" w:cs="Times New Roman"/>
          <w:szCs w:val="19"/>
          <w:lang w:val="en-GB" w:eastAsia="pl-PL"/>
        </w:rPr>
        <w:t>5,397.9 million, i.e. PLN 427.5 million more than in 2020).</w:t>
      </w:r>
      <w:r>
        <w:rPr>
          <w:rFonts w:eastAsia="Times New Roman" w:cs="Times New Roman"/>
          <w:szCs w:val="19"/>
          <w:lang w:val="en-GB" w:eastAsia="pl-PL"/>
        </w:rPr>
        <w:t xml:space="preserve"> </w:t>
      </w:r>
    </w:p>
    <w:p w14:paraId="024AF941" w14:textId="581F0CEC" w:rsidR="00F8129E" w:rsidRDefault="00F8129E" w:rsidP="00F8129E">
      <w:pPr>
        <w:rPr>
          <w:rFonts w:eastAsia="Times New Roman" w:cs="Times New Roman"/>
          <w:szCs w:val="19"/>
          <w:lang w:val="en-GB" w:eastAsia="pl-PL"/>
        </w:rPr>
      </w:pPr>
      <w:r w:rsidRPr="00D02992">
        <w:rPr>
          <w:rFonts w:eastAsia="Times New Roman" w:cs="Times New Roman"/>
          <w:szCs w:val="19"/>
          <w:lang w:val="en-GB" w:eastAsia="pl-PL"/>
        </w:rPr>
        <w:t>In the sector of non-profit institutions serving households</w:t>
      </w:r>
      <w:r>
        <w:rPr>
          <w:rFonts w:eastAsia="Times New Roman" w:cs="Times New Roman"/>
          <w:szCs w:val="19"/>
          <w:lang w:val="en-GB" w:eastAsia="pl-PL"/>
        </w:rPr>
        <w:t>, which are related to culture, final consumption expenditure amounted to PLN 1,425.5 million (PLN 95.2 million more than in 2020). The highest value of final consumption expenditure, as in the general government sector, was recorded in Performing arts domain (PLN 401.7 million, i.e. PLN 73.8 million more than in 2020).</w:t>
      </w:r>
    </w:p>
    <w:p w14:paraId="04CD43B9" w14:textId="77777777" w:rsidR="008D4E26" w:rsidRDefault="00F8129E" w:rsidP="008D4E26">
      <w:pPr>
        <w:spacing w:before="360"/>
        <w:rPr>
          <w:rFonts w:eastAsia="Times New Roman" w:cs="Times New Roman"/>
          <w:szCs w:val="19"/>
          <w:lang w:val="en-GB" w:eastAsia="pl-PL"/>
        </w:rPr>
      </w:pPr>
      <w:r>
        <w:rPr>
          <w:rFonts w:eastAsia="Times New Roman" w:cs="Times New Roman"/>
          <w:szCs w:val="19"/>
          <w:lang w:val="en-GB" w:eastAsia="pl-PL"/>
        </w:rPr>
        <w:t xml:space="preserve">In 2021, a </w:t>
      </w:r>
      <w:r w:rsidRPr="00F95CAB">
        <w:rPr>
          <w:rFonts w:eastAsia="Times New Roman" w:cs="Times New Roman"/>
          <w:szCs w:val="19"/>
          <w:lang w:val="en-GB" w:eastAsia="pl-PL"/>
        </w:rPr>
        <w:t xml:space="preserve">positive balance </w:t>
      </w:r>
      <w:r>
        <w:rPr>
          <w:rFonts w:eastAsia="Times New Roman" w:cs="Times New Roman"/>
          <w:szCs w:val="19"/>
          <w:lang w:val="en-GB" w:eastAsia="pl-PL"/>
        </w:rPr>
        <w:t xml:space="preserve">of PLN 3,399.5 million (PLN 2,036.2 million less than in 2020) </w:t>
      </w:r>
      <w:r w:rsidRPr="00F95CAB">
        <w:rPr>
          <w:rFonts w:eastAsia="Times New Roman" w:cs="Times New Roman"/>
          <w:szCs w:val="19"/>
          <w:lang w:val="en-GB" w:eastAsia="pl-PL"/>
        </w:rPr>
        <w:t>was recorded</w:t>
      </w:r>
      <w:r>
        <w:rPr>
          <w:rFonts w:eastAsia="Times New Roman" w:cs="Times New Roman"/>
          <w:szCs w:val="19"/>
          <w:lang w:val="en-GB" w:eastAsia="pl-PL"/>
        </w:rPr>
        <w:t xml:space="preserve"> in foreign trade in cultural and creative goods and services. </w:t>
      </w:r>
      <w:r w:rsidRPr="00F95CAB">
        <w:rPr>
          <w:rFonts w:eastAsia="Times New Roman" w:cs="Times New Roman"/>
          <w:szCs w:val="19"/>
          <w:lang w:val="en-GB" w:eastAsia="pl-PL"/>
        </w:rPr>
        <w:t xml:space="preserve">The positive foreign trade balance was mainly influenced by </w:t>
      </w:r>
      <w:r>
        <w:rPr>
          <w:rFonts w:eastAsia="Times New Roman" w:cs="Times New Roman"/>
          <w:szCs w:val="19"/>
          <w:lang w:val="en-GB" w:eastAsia="pl-PL"/>
        </w:rPr>
        <w:t>two domains: Books and press (balance of PLN 4,070.9</w:t>
      </w:r>
      <w:r w:rsidRPr="00F95CAB">
        <w:rPr>
          <w:rFonts w:eastAsia="Times New Roman" w:cs="Times New Roman"/>
          <w:szCs w:val="19"/>
          <w:lang w:val="en-GB" w:eastAsia="pl-PL"/>
        </w:rPr>
        <w:t xml:space="preserve"> million) and A</w:t>
      </w:r>
      <w:r>
        <w:rPr>
          <w:rFonts w:eastAsia="Times New Roman" w:cs="Times New Roman"/>
          <w:szCs w:val="19"/>
          <w:lang w:val="en-GB" w:eastAsia="pl-PL"/>
        </w:rPr>
        <w:t>dvertising (balance of PLN 2,002.1</w:t>
      </w:r>
      <w:r w:rsidRPr="00F95CAB">
        <w:rPr>
          <w:rFonts w:eastAsia="Times New Roman" w:cs="Times New Roman"/>
          <w:szCs w:val="19"/>
          <w:lang w:val="en-GB" w:eastAsia="pl-PL"/>
        </w:rPr>
        <w:t xml:space="preserve"> million). </w:t>
      </w:r>
      <w:r>
        <w:rPr>
          <w:rFonts w:eastAsia="Times New Roman" w:cs="Times New Roman"/>
          <w:szCs w:val="19"/>
          <w:lang w:val="en-GB" w:eastAsia="pl-PL"/>
        </w:rPr>
        <w:t xml:space="preserve">Exports increased by 8.7% compared to 2020. The largest share in exports of cultural and creative goods and services was observed in the Advertising domain (39.3%). </w:t>
      </w:r>
      <w:r w:rsidRPr="00F95CAB">
        <w:rPr>
          <w:rFonts w:eastAsia="Times New Roman" w:cs="Times New Roman"/>
          <w:szCs w:val="19"/>
          <w:lang w:val="en-GB" w:eastAsia="pl-PL"/>
        </w:rPr>
        <w:t>Audio-</w:t>
      </w:r>
      <w:r>
        <w:rPr>
          <w:rFonts w:eastAsia="Times New Roman" w:cs="Times New Roman"/>
          <w:szCs w:val="19"/>
          <w:lang w:val="en-GB" w:eastAsia="pl-PL"/>
        </w:rPr>
        <w:t>visual arts and multimedia (29.6%) and Books and press (26.7</w:t>
      </w:r>
      <w:r w:rsidRPr="00F95CAB">
        <w:rPr>
          <w:rFonts w:eastAsia="Times New Roman" w:cs="Times New Roman"/>
          <w:szCs w:val="19"/>
          <w:lang w:val="en-GB" w:eastAsia="pl-PL"/>
        </w:rPr>
        <w:t xml:space="preserve">%) also had a large share in exports. </w:t>
      </w:r>
      <w:r>
        <w:rPr>
          <w:rFonts w:eastAsia="Times New Roman" w:cs="Times New Roman"/>
          <w:szCs w:val="19"/>
          <w:lang w:val="en-GB" w:eastAsia="pl-PL"/>
        </w:rPr>
        <w:t xml:space="preserve">The value of imports of </w:t>
      </w:r>
      <w:r>
        <w:rPr>
          <w:rFonts w:eastAsia="Times New Roman" w:cs="Times New Roman"/>
          <w:szCs w:val="19"/>
          <w:lang w:val="en-GB" w:eastAsia="pl-PL"/>
        </w:rPr>
        <w:lastRenderedPageBreak/>
        <w:t xml:space="preserve">cultural and creative goods and services increased by 20.7% compared to 2020. </w:t>
      </w:r>
      <w:bookmarkStart w:id="2" w:name="_Hlk222393430"/>
      <w:r w:rsidR="00304A03">
        <w:rPr>
          <w:rFonts w:eastAsia="Times New Roman" w:cs="Times New Roman"/>
          <w:szCs w:val="19"/>
          <w:lang w:val="en-GB" w:eastAsia="pl-PL"/>
        </w:rPr>
        <w:t>T</w:t>
      </w:r>
      <w:r w:rsidR="00304A03" w:rsidRPr="00F95CAB">
        <w:rPr>
          <w:rFonts w:eastAsia="Times New Roman" w:cs="Times New Roman"/>
          <w:szCs w:val="19"/>
          <w:lang w:val="en-GB" w:eastAsia="pl-PL"/>
        </w:rPr>
        <w:t>he same domains</w:t>
      </w:r>
      <w:r w:rsidR="00304A03">
        <w:rPr>
          <w:rFonts w:eastAsia="Times New Roman" w:cs="Times New Roman"/>
          <w:szCs w:val="19"/>
          <w:lang w:val="en-GB" w:eastAsia="pl-PL"/>
        </w:rPr>
        <w:t xml:space="preserve"> prevailed </w:t>
      </w:r>
      <w:r w:rsidR="0041220B">
        <w:rPr>
          <w:rFonts w:eastAsia="Times New Roman" w:cs="Times New Roman"/>
          <w:szCs w:val="19"/>
          <w:lang w:val="en-GB" w:eastAsia="pl-PL"/>
        </w:rPr>
        <w:t xml:space="preserve">in imports </w:t>
      </w:r>
      <w:r w:rsidR="00304A03">
        <w:rPr>
          <w:rFonts w:eastAsia="Times New Roman" w:cs="Times New Roman"/>
          <w:szCs w:val="19"/>
          <w:lang w:val="en-GB" w:eastAsia="pl-PL"/>
        </w:rPr>
        <w:t>a</w:t>
      </w:r>
      <w:r>
        <w:rPr>
          <w:rFonts w:eastAsia="Times New Roman" w:cs="Times New Roman"/>
          <w:szCs w:val="19"/>
          <w:lang w:val="en-GB" w:eastAsia="pl-PL"/>
        </w:rPr>
        <w:t xml:space="preserve">s in </w:t>
      </w:r>
      <w:r w:rsidR="00304A03">
        <w:rPr>
          <w:rFonts w:eastAsia="Times New Roman" w:cs="Times New Roman"/>
          <w:szCs w:val="19"/>
          <w:lang w:val="en-GB" w:eastAsia="pl-PL"/>
        </w:rPr>
        <w:t>ex</w:t>
      </w:r>
      <w:r>
        <w:rPr>
          <w:rFonts w:eastAsia="Times New Roman" w:cs="Times New Roman"/>
          <w:szCs w:val="19"/>
          <w:lang w:val="en-GB" w:eastAsia="pl-PL"/>
        </w:rPr>
        <w:t>ports</w:t>
      </w:r>
      <w:r w:rsidRPr="00F95CAB">
        <w:rPr>
          <w:rFonts w:eastAsia="Times New Roman" w:cs="Times New Roman"/>
          <w:szCs w:val="19"/>
          <w:lang w:val="en-GB" w:eastAsia="pl-PL"/>
        </w:rPr>
        <w:t>: Audio-</w:t>
      </w:r>
      <w:r>
        <w:rPr>
          <w:rFonts w:eastAsia="Times New Roman" w:cs="Times New Roman"/>
          <w:szCs w:val="19"/>
          <w:lang w:val="en-GB" w:eastAsia="pl-PL"/>
        </w:rPr>
        <w:t>visual arts and multimedia (42.9</w:t>
      </w:r>
      <w:r w:rsidRPr="00F95CAB">
        <w:rPr>
          <w:rFonts w:eastAsia="Times New Roman" w:cs="Times New Roman"/>
          <w:szCs w:val="19"/>
          <w:lang w:val="en-GB" w:eastAsia="pl-PL"/>
        </w:rPr>
        <w:t>% of all imports of the are</w:t>
      </w:r>
      <w:r>
        <w:rPr>
          <w:rFonts w:eastAsia="Times New Roman" w:cs="Times New Roman"/>
          <w:szCs w:val="19"/>
          <w:lang w:val="en-GB" w:eastAsia="pl-PL"/>
        </w:rPr>
        <w:t>a of culture), Advertising (36.7%) and Books and press (14.3</w:t>
      </w:r>
      <w:r w:rsidRPr="00F95CAB">
        <w:rPr>
          <w:rFonts w:eastAsia="Times New Roman" w:cs="Times New Roman"/>
          <w:szCs w:val="19"/>
          <w:lang w:val="en-GB" w:eastAsia="pl-PL"/>
        </w:rPr>
        <w:t>%).</w:t>
      </w:r>
      <w:bookmarkEnd w:id="2"/>
    </w:p>
    <w:p w14:paraId="33626108" w14:textId="2EF4EA4C" w:rsidR="00F8129E" w:rsidRPr="008D4E26" w:rsidRDefault="00F8129E" w:rsidP="008D4E26">
      <w:pPr>
        <w:spacing w:before="360"/>
        <w:rPr>
          <w:rFonts w:ascii="Fira Sans SemiBold" w:eastAsia="Times New Roman" w:hAnsi="Fira Sans SemiBold" w:cs="Times New Roman"/>
          <w:bCs/>
          <w:color w:val="001D77"/>
          <w:szCs w:val="24"/>
          <w:lang w:val="en-GB" w:eastAsia="pl-PL"/>
        </w:rPr>
      </w:pPr>
      <w:r w:rsidRPr="008D4E26">
        <w:rPr>
          <w:rFonts w:ascii="Fira Sans SemiBold" w:eastAsia="Times New Roman" w:hAnsi="Fira Sans SemiBold" w:cs="Times New Roman"/>
          <w:bCs/>
          <w:color w:val="001D77"/>
          <w:szCs w:val="24"/>
          <w:lang w:val="en-GB" w:eastAsia="pl-PL"/>
        </w:rPr>
        <w:t>Methodological notes</w:t>
      </w:r>
    </w:p>
    <w:p w14:paraId="60314B9E" w14:textId="188CEDFE" w:rsidR="00F8129E" w:rsidRPr="00895FC2" w:rsidRDefault="00F8129E" w:rsidP="00F8129E">
      <w:pPr>
        <w:rPr>
          <w:rFonts w:eastAsia="Times New Roman" w:cs="Times New Roman"/>
          <w:szCs w:val="19"/>
          <w:lang w:val="en-GB" w:eastAsia="pl-PL"/>
        </w:rPr>
      </w:pPr>
      <w:r>
        <w:rPr>
          <w:rFonts w:eastAsia="Times New Roman" w:cs="Times New Roman"/>
          <w:szCs w:val="19"/>
          <w:lang w:val="en-GB" w:eastAsia="pl-PL"/>
        </w:rPr>
        <w:t>The Culture Satellite Account allows to measure</w:t>
      </w:r>
      <w:r w:rsidRPr="00895FC2">
        <w:rPr>
          <w:rFonts w:eastAsia="Times New Roman" w:cs="Times New Roman"/>
          <w:szCs w:val="19"/>
          <w:lang w:val="en-GB" w:eastAsia="pl-PL"/>
        </w:rPr>
        <w:t xml:space="preserve"> the </w:t>
      </w:r>
      <w:r>
        <w:rPr>
          <w:rFonts w:eastAsia="Times New Roman" w:cs="Times New Roman"/>
          <w:szCs w:val="19"/>
          <w:lang w:val="en-GB" w:eastAsia="pl-PL"/>
        </w:rPr>
        <w:t>share</w:t>
      </w:r>
      <w:r w:rsidRPr="00895FC2">
        <w:rPr>
          <w:rFonts w:eastAsia="Times New Roman" w:cs="Times New Roman"/>
          <w:szCs w:val="19"/>
          <w:lang w:val="en-GB" w:eastAsia="pl-PL"/>
        </w:rPr>
        <w:t xml:space="preserve"> of cultural entities </w:t>
      </w:r>
      <w:r w:rsidR="00304A03">
        <w:rPr>
          <w:rFonts w:eastAsia="Times New Roman" w:cs="Times New Roman"/>
          <w:szCs w:val="19"/>
          <w:lang w:val="en-GB" w:eastAsia="pl-PL"/>
        </w:rPr>
        <w:t>in generation of</w:t>
      </w:r>
      <w:r w:rsidRPr="00895FC2">
        <w:rPr>
          <w:rFonts w:eastAsia="Times New Roman" w:cs="Times New Roman"/>
          <w:szCs w:val="19"/>
          <w:lang w:val="en-GB" w:eastAsia="pl-PL"/>
        </w:rPr>
        <w:t xml:space="preserve"> gross domestic product. The scope of the </w:t>
      </w:r>
      <w:r>
        <w:rPr>
          <w:rFonts w:eastAsia="Times New Roman" w:cs="Times New Roman"/>
          <w:szCs w:val="19"/>
          <w:lang w:val="en-GB" w:eastAsia="pl-PL"/>
        </w:rPr>
        <w:t xml:space="preserve">area of </w:t>
      </w:r>
      <w:r w:rsidRPr="00895FC2">
        <w:rPr>
          <w:rFonts w:eastAsia="Times New Roman" w:cs="Times New Roman"/>
          <w:szCs w:val="19"/>
          <w:lang w:val="en-GB" w:eastAsia="pl-PL"/>
        </w:rPr>
        <w:t>cultur</w:t>
      </w:r>
      <w:r>
        <w:rPr>
          <w:rFonts w:eastAsia="Times New Roman" w:cs="Times New Roman"/>
          <w:szCs w:val="19"/>
          <w:lang w:val="en-GB" w:eastAsia="pl-PL"/>
        </w:rPr>
        <w:t>e</w:t>
      </w:r>
      <w:r w:rsidRPr="00895FC2">
        <w:rPr>
          <w:rFonts w:eastAsia="Times New Roman" w:cs="Times New Roman"/>
          <w:szCs w:val="19"/>
          <w:lang w:val="en-GB" w:eastAsia="pl-PL"/>
        </w:rPr>
        <w:t xml:space="preserve"> encompasses the activities of state </w:t>
      </w:r>
      <w:r>
        <w:rPr>
          <w:rFonts w:eastAsia="Times New Roman" w:cs="Times New Roman"/>
          <w:szCs w:val="19"/>
          <w:lang w:val="en-GB" w:eastAsia="pl-PL"/>
        </w:rPr>
        <w:t xml:space="preserve">and </w:t>
      </w:r>
      <w:r w:rsidRPr="00895FC2">
        <w:rPr>
          <w:rFonts w:eastAsia="Times New Roman" w:cs="Times New Roman"/>
          <w:szCs w:val="19"/>
          <w:lang w:val="en-GB" w:eastAsia="pl-PL"/>
        </w:rPr>
        <w:t>local government cultural institutions, non-governmental organi</w:t>
      </w:r>
      <w:r>
        <w:rPr>
          <w:rFonts w:eastAsia="Times New Roman" w:cs="Times New Roman"/>
          <w:szCs w:val="19"/>
          <w:lang w:val="en-GB" w:eastAsia="pl-PL"/>
        </w:rPr>
        <w:t>s</w:t>
      </w:r>
      <w:r w:rsidRPr="00895FC2">
        <w:rPr>
          <w:rFonts w:eastAsia="Times New Roman" w:cs="Times New Roman"/>
          <w:szCs w:val="19"/>
          <w:lang w:val="en-GB" w:eastAsia="pl-PL"/>
        </w:rPr>
        <w:t xml:space="preserve">ations operating in the </w:t>
      </w:r>
      <w:r>
        <w:rPr>
          <w:rFonts w:eastAsia="Times New Roman" w:cs="Times New Roman"/>
          <w:szCs w:val="19"/>
          <w:lang w:val="en-GB" w:eastAsia="pl-PL"/>
        </w:rPr>
        <w:t xml:space="preserve">area of </w:t>
      </w:r>
      <w:r w:rsidRPr="00895FC2">
        <w:rPr>
          <w:rFonts w:eastAsia="Times New Roman" w:cs="Times New Roman"/>
          <w:szCs w:val="19"/>
          <w:lang w:val="en-GB" w:eastAsia="pl-PL"/>
        </w:rPr>
        <w:t>cultur</w:t>
      </w:r>
      <w:r>
        <w:rPr>
          <w:rFonts w:eastAsia="Times New Roman" w:cs="Times New Roman"/>
          <w:szCs w:val="19"/>
          <w:lang w:val="en-GB" w:eastAsia="pl-PL"/>
        </w:rPr>
        <w:t>e</w:t>
      </w:r>
      <w:r w:rsidRPr="00895FC2">
        <w:rPr>
          <w:rFonts w:eastAsia="Times New Roman" w:cs="Times New Roman"/>
          <w:szCs w:val="19"/>
          <w:lang w:val="en-GB" w:eastAsia="pl-PL"/>
        </w:rPr>
        <w:t xml:space="preserve"> and entities classified as cultural and creative industries. Information on the methodological solutions used can be found in the "</w:t>
      </w:r>
      <w:r w:rsidRPr="00A733CF">
        <w:rPr>
          <w:rFonts w:eastAsia="Times New Roman" w:cs="Times New Roman"/>
          <w:szCs w:val="19"/>
          <w:lang w:val="en-GB" w:eastAsia="pl-PL"/>
        </w:rPr>
        <w:t>Report on methodological work. Culture Satellite Account</w:t>
      </w:r>
      <w:r w:rsidRPr="00895FC2">
        <w:rPr>
          <w:rFonts w:eastAsia="Times New Roman" w:cs="Times New Roman"/>
          <w:szCs w:val="19"/>
          <w:lang w:val="en-GB" w:eastAsia="pl-PL"/>
        </w:rPr>
        <w:t>" (hyperlink available on the last page).</w:t>
      </w:r>
    </w:p>
    <w:p w14:paraId="1C08D050" w14:textId="09FABEE3" w:rsidR="00F8129E" w:rsidRDefault="00F8129E" w:rsidP="00BB26D3">
      <w:pPr>
        <w:spacing w:before="360"/>
        <w:rPr>
          <w:rFonts w:eastAsia="Times New Roman" w:cs="Times New Roman"/>
          <w:szCs w:val="19"/>
          <w:lang w:val="en-GB" w:eastAsia="pl-PL"/>
        </w:rPr>
      </w:pPr>
      <w:r w:rsidRPr="00895FC2">
        <w:rPr>
          <w:rFonts w:eastAsia="Times New Roman" w:cs="Times New Roman"/>
          <w:szCs w:val="19"/>
          <w:lang w:val="en-GB" w:eastAsia="pl-PL"/>
        </w:rPr>
        <w:t xml:space="preserve">Cultural Satellite Account </w:t>
      </w:r>
      <w:r>
        <w:rPr>
          <w:rFonts w:eastAsia="Times New Roman" w:cs="Times New Roman"/>
          <w:szCs w:val="19"/>
          <w:lang w:val="en-GB" w:eastAsia="pl-PL"/>
        </w:rPr>
        <w:t xml:space="preserve">for 2021 </w:t>
      </w:r>
      <w:r w:rsidRPr="00895FC2">
        <w:rPr>
          <w:rFonts w:eastAsia="Times New Roman" w:cs="Times New Roman"/>
          <w:szCs w:val="19"/>
          <w:lang w:val="en-GB" w:eastAsia="pl-PL"/>
        </w:rPr>
        <w:t>was developed based on data from before the introduction of the benchmarking revisio</w:t>
      </w:r>
      <w:r>
        <w:rPr>
          <w:rFonts w:eastAsia="Times New Roman" w:cs="Times New Roman"/>
          <w:szCs w:val="19"/>
          <w:lang w:val="en-GB" w:eastAsia="pl-PL"/>
        </w:rPr>
        <w:t>n in national accounts carried out</w:t>
      </w:r>
      <w:r w:rsidRPr="00895FC2">
        <w:rPr>
          <w:rFonts w:eastAsia="Times New Roman" w:cs="Times New Roman"/>
          <w:szCs w:val="19"/>
          <w:lang w:val="en-GB" w:eastAsia="pl-PL"/>
        </w:rPr>
        <w:t xml:space="preserve"> in 2024 and covering the years 1995–2022.</w:t>
      </w:r>
    </w:p>
    <w:p w14:paraId="226CC1B9" w14:textId="77777777" w:rsidR="00BB26D3" w:rsidRPr="00F866B3" w:rsidRDefault="00BB26D3" w:rsidP="008D4E26">
      <w:pPr>
        <w:spacing w:before="9360"/>
        <w:rPr>
          <w:sz w:val="18"/>
          <w:lang w:val="en-GB"/>
        </w:rPr>
      </w:pPr>
      <w:r w:rsidRPr="00F866B3">
        <w:rPr>
          <w:spacing w:val="-2"/>
          <w:szCs w:val="19"/>
          <w:lang w:val="en-GB" w:eastAsia="pl-PL"/>
        </w:rPr>
        <w:t>In the case of quoting data from the Statistics Poland, please provide information: "Statistics Poland data source", and in the case of publishing calculations made on data published by the Statistics Poland, please provide information: "Own study based on Statistics Poland data"</w:t>
      </w:r>
      <w:r w:rsidRPr="00F866B3">
        <w:rPr>
          <w:shd w:val="clear" w:color="auto" w:fill="FFFFFF"/>
          <w:lang w:val="en-GB"/>
        </w:rPr>
        <w:t>.</w:t>
      </w:r>
    </w:p>
    <w:p w14:paraId="50F7C4D4" w14:textId="77777777" w:rsidR="00F4097B" w:rsidRDefault="00F4097B" w:rsidP="0030079A">
      <w:pPr>
        <w:rPr>
          <w:sz w:val="18"/>
          <w:lang w:val="en-GB"/>
        </w:rPr>
      </w:pPr>
    </w:p>
    <w:p w14:paraId="3C222B0C" w14:textId="6C31E3A9" w:rsidR="00F8129E" w:rsidRPr="00F866B3" w:rsidRDefault="00F8129E" w:rsidP="0030079A">
      <w:pPr>
        <w:rPr>
          <w:sz w:val="18"/>
          <w:lang w:val="en-GB"/>
        </w:rPr>
        <w:sectPr w:rsidR="00F8129E" w:rsidRPr="00F866B3" w:rsidSect="002D37FA">
          <w:headerReference w:type="default" r:id="rId15"/>
          <w:footerReference w:type="default" r:id="rId16"/>
          <w:headerReference w:type="first" r:id="rId17"/>
          <w:footerReference w:type="first" r:id="rId18"/>
          <w:pgSz w:w="11906" w:h="16838"/>
          <w:pgMar w:top="720" w:right="3119" w:bottom="720" w:left="720" w:header="283"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926"/>
        <w:gridCol w:w="4927"/>
      </w:tblGrid>
      <w:tr w:rsidR="00DE2400" w:rsidRPr="0071157F" w14:paraId="196D0BDA" w14:textId="77777777" w:rsidTr="00F40BB1">
        <w:trPr>
          <w:cantSplit/>
          <w:trHeight w:val="2763"/>
        </w:trPr>
        <w:tc>
          <w:tcPr>
            <w:tcW w:w="4926" w:type="dxa"/>
          </w:tcPr>
          <w:p w14:paraId="2ACD197B" w14:textId="29D0D5AF" w:rsidR="00A65C31" w:rsidRPr="00F866B3" w:rsidRDefault="00827493" w:rsidP="00A65C31">
            <w:pPr>
              <w:spacing w:before="0" w:after="0" w:line="276" w:lineRule="auto"/>
              <w:rPr>
                <w:rFonts w:cs="Arial"/>
                <w:sz w:val="20"/>
                <w:lang w:val="en-GB"/>
              </w:rPr>
            </w:pPr>
            <w:r w:rsidRPr="00F866B3">
              <w:rPr>
                <w:rFonts w:cs="Arial"/>
                <w:sz w:val="20"/>
                <w:lang w:val="en-GB"/>
              </w:rPr>
              <w:lastRenderedPageBreak/>
              <w:t>Prepared by</w:t>
            </w:r>
            <w:r w:rsidR="00DE2400" w:rsidRPr="00F866B3">
              <w:rPr>
                <w:rFonts w:cs="Arial"/>
                <w:sz w:val="20"/>
                <w:lang w:val="en-GB"/>
              </w:rPr>
              <w:t>:</w:t>
            </w:r>
          </w:p>
          <w:p w14:paraId="5CD91645" w14:textId="7DC4927F" w:rsidR="001F3471" w:rsidRPr="00F866B3" w:rsidRDefault="00827493" w:rsidP="001F3471">
            <w:pPr>
              <w:spacing w:before="0" w:line="276" w:lineRule="auto"/>
              <w:rPr>
                <w:b/>
                <w:color w:val="000000" w:themeColor="text1"/>
                <w:sz w:val="20"/>
                <w:szCs w:val="20"/>
                <w:lang w:val="en-GB"/>
              </w:rPr>
            </w:pPr>
            <w:r w:rsidRPr="00F866B3">
              <w:rPr>
                <w:b/>
                <w:sz w:val="20"/>
                <w:szCs w:val="20"/>
                <w:lang w:val="en-GB"/>
              </w:rPr>
              <w:t>Statistical Office in Kraków</w:t>
            </w:r>
          </w:p>
          <w:p w14:paraId="6B4C3E6D" w14:textId="77777777" w:rsidR="00827493" w:rsidRPr="00F866B3" w:rsidRDefault="00827493" w:rsidP="00827493">
            <w:pPr>
              <w:spacing w:before="0" w:after="0" w:line="276" w:lineRule="auto"/>
              <w:rPr>
                <w:b/>
                <w:sz w:val="20"/>
                <w:szCs w:val="20"/>
                <w:lang w:val="en-GB"/>
              </w:rPr>
            </w:pPr>
            <w:r w:rsidRPr="00F866B3">
              <w:rPr>
                <w:b/>
                <w:sz w:val="20"/>
                <w:szCs w:val="20"/>
                <w:lang w:val="en-GB"/>
              </w:rPr>
              <w:t>Director Agnieszka Szlubowska</w:t>
            </w:r>
          </w:p>
          <w:p w14:paraId="5425F0B4" w14:textId="3FF39F1D" w:rsidR="00DE2400" w:rsidRPr="00F866B3" w:rsidRDefault="00827493" w:rsidP="00827493">
            <w:pPr>
              <w:spacing w:before="0" w:line="276" w:lineRule="auto"/>
              <w:rPr>
                <w:rFonts w:cs="Arial"/>
                <w:color w:val="000000" w:themeColor="text1"/>
                <w:lang w:val="en-GB"/>
              </w:rPr>
            </w:pPr>
            <w:r w:rsidRPr="00F866B3">
              <w:rPr>
                <w:lang w:val="en-GB"/>
              </w:rPr>
              <w:t>Phone:</w:t>
            </w:r>
            <w:r w:rsidRPr="00F866B3">
              <w:rPr>
                <w:color w:val="000000" w:themeColor="text1"/>
                <w:lang w:val="en-GB"/>
              </w:rPr>
              <w:t xml:space="preserve"> </w:t>
            </w:r>
            <w:hyperlink r:id="rId19" w:tooltip="click to call" w:history="1">
              <w:r w:rsidRPr="00F866B3">
                <w:rPr>
                  <w:rStyle w:val="Hipercze"/>
                  <w:rFonts w:cstheme="minorBidi"/>
                  <w:color w:val="000000" w:themeColor="text1"/>
                  <w:u w:val="none"/>
                  <w:lang w:val="en-GB"/>
                </w:rPr>
                <w:t>(+48 12) 420 40 50</w:t>
              </w:r>
            </w:hyperlink>
            <w:r w:rsidRPr="00F866B3">
              <w:rPr>
                <w:lang w:val="en-GB"/>
              </w:rPr>
              <w:t xml:space="preserve"> </w:t>
            </w:r>
          </w:p>
        </w:tc>
        <w:tc>
          <w:tcPr>
            <w:tcW w:w="4927" w:type="dxa"/>
          </w:tcPr>
          <w:p w14:paraId="24DC42C0" w14:textId="02CAB3BE" w:rsidR="00A65C31" w:rsidRPr="00F866B3" w:rsidRDefault="00827493" w:rsidP="00A65C31">
            <w:pPr>
              <w:spacing w:before="0" w:after="0" w:line="276" w:lineRule="auto"/>
              <w:rPr>
                <w:rFonts w:cs="Arial"/>
                <w:sz w:val="20"/>
                <w:szCs w:val="20"/>
                <w:lang w:val="en-GB"/>
              </w:rPr>
            </w:pPr>
            <w:r w:rsidRPr="00F866B3">
              <w:rPr>
                <w:rFonts w:cs="Arial"/>
                <w:sz w:val="20"/>
                <w:szCs w:val="20"/>
                <w:lang w:val="en-GB"/>
              </w:rPr>
              <w:t>Issued by</w:t>
            </w:r>
            <w:r w:rsidR="00DE2400" w:rsidRPr="00F866B3">
              <w:rPr>
                <w:rFonts w:cs="Arial"/>
                <w:sz w:val="20"/>
                <w:szCs w:val="20"/>
                <w:lang w:val="en-GB"/>
              </w:rPr>
              <w:t>:</w:t>
            </w:r>
          </w:p>
          <w:p w14:paraId="3596B22A" w14:textId="77777777" w:rsidR="00F40BB1" w:rsidRPr="00F866B3" w:rsidRDefault="00F40BB1" w:rsidP="00F40BB1">
            <w:pPr>
              <w:spacing w:before="0"/>
              <w:rPr>
                <w:b/>
                <w:sz w:val="20"/>
                <w:szCs w:val="20"/>
                <w:lang w:val="en-GB"/>
              </w:rPr>
            </w:pPr>
            <w:r w:rsidRPr="00F866B3">
              <w:rPr>
                <w:b/>
                <w:sz w:val="20"/>
                <w:szCs w:val="20"/>
                <w:lang w:val="en-GB"/>
              </w:rPr>
              <w:t>Press Office</w:t>
            </w:r>
          </w:p>
          <w:p w14:paraId="713DBB50" w14:textId="3B00DD8F" w:rsidR="00F40BB1" w:rsidRPr="00F866B3" w:rsidRDefault="00F40BB1" w:rsidP="00F40BB1">
            <w:pPr>
              <w:rPr>
                <w:sz w:val="20"/>
                <w:szCs w:val="20"/>
                <w:lang w:val="en-GB"/>
              </w:rPr>
            </w:pPr>
            <w:r w:rsidRPr="00F866B3">
              <w:rPr>
                <w:sz w:val="20"/>
                <w:szCs w:val="20"/>
                <w:lang w:val="en-GB"/>
              </w:rPr>
              <w:t>Mobile: (+48) 695 255 032</w:t>
            </w:r>
          </w:p>
          <w:p w14:paraId="6847E5E5" w14:textId="541EC1E2" w:rsidR="00F40BB1" w:rsidRPr="00F866B3" w:rsidRDefault="00F40BB1" w:rsidP="00F40BB1">
            <w:pPr>
              <w:spacing w:after="0"/>
              <w:rPr>
                <w:sz w:val="20"/>
                <w:szCs w:val="20"/>
                <w:lang w:val="en-GB"/>
              </w:rPr>
            </w:pPr>
            <w:r w:rsidRPr="00F866B3">
              <w:rPr>
                <w:sz w:val="20"/>
                <w:szCs w:val="20"/>
                <w:lang w:val="en-GB"/>
              </w:rPr>
              <w:t xml:space="preserve">Phone: (+48 22) 608 38 04, (+48 22) 449 41 45, </w:t>
            </w:r>
          </w:p>
          <w:p w14:paraId="05991921" w14:textId="7DB9340B" w:rsidR="00DE2400" w:rsidRPr="00F866B3" w:rsidRDefault="00F40BB1" w:rsidP="005D0245">
            <w:pPr>
              <w:spacing w:before="0"/>
              <w:ind w:left="680"/>
              <w:rPr>
                <w:sz w:val="20"/>
                <w:szCs w:val="20"/>
                <w:lang w:val="en-GB"/>
              </w:rPr>
            </w:pPr>
            <w:r w:rsidRPr="00F866B3">
              <w:rPr>
                <w:sz w:val="20"/>
                <w:szCs w:val="20"/>
                <w:lang w:val="en-GB"/>
              </w:rPr>
              <w:t>(+48 22) 608 30 09</w:t>
            </w:r>
            <w:r w:rsidR="00A46A86" w:rsidRPr="00F866B3">
              <w:rPr>
                <w:sz w:val="20"/>
                <w:szCs w:val="20"/>
                <w:lang w:val="en-GB"/>
              </w:rPr>
              <w:t xml:space="preserve"> </w:t>
            </w:r>
          </w:p>
          <w:p w14:paraId="3CC62B04" w14:textId="02B1D38C" w:rsidR="00F40BB1" w:rsidRPr="00F866B3" w:rsidRDefault="00F40BB1" w:rsidP="003D0A8D">
            <w:pPr>
              <w:spacing w:before="0"/>
              <w:rPr>
                <w:b/>
                <w:sz w:val="20"/>
                <w:szCs w:val="20"/>
                <w:lang w:val="en-GB"/>
              </w:rPr>
            </w:pPr>
            <w:r w:rsidRPr="00F866B3">
              <w:rPr>
                <w:b/>
                <w:sz w:val="20"/>
                <w:szCs w:val="20"/>
                <w:lang w:val="en-GB"/>
              </w:rPr>
              <w:t>e-mail:</w:t>
            </w:r>
            <w:r w:rsidRPr="00F866B3">
              <w:rPr>
                <w:sz w:val="20"/>
                <w:szCs w:val="20"/>
                <w:lang w:val="en-GB"/>
              </w:rPr>
              <w:t xml:space="preserve"> </w:t>
            </w:r>
            <w:hyperlink r:id="rId20" w:tooltip="mail to Press Office" w:history="1">
              <w:r w:rsidRPr="00F866B3">
                <w:rPr>
                  <w:rStyle w:val="Hipercze"/>
                  <w:rFonts w:eastAsiaTheme="majorEastAsia" w:cs="Arial"/>
                  <w:b/>
                  <w:color w:val="auto"/>
                  <w:sz w:val="20"/>
                  <w:szCs w:val="20"/>
                  <w:lang w:val="en-GB"/>
                </w:rPr>
                <w:t>obslugaprasowa@stat.gov.pl</w:t>
              </w:r>
            </w:hyperlink>
          </w:p>
        </w:tc>
      </w:tr>
      <w:tr w:rsidR="005B6AE9" w:rsidRPr="00F866B3" w14:paraId="28647E7C" w14:textId="77777777" w:rsidTr="001F3471">
        <w:trPr>
          <w:cantSplit/>
          <w:trHeight w:val="418"/>
        </w:trPr>
        <w:tc>
          <w:tcPr>
            <w:tcW w:w="4926" w:type="dxa"/>
            <w:vMerge w:val="restart"/>
          </w:tcPr>
          <w:p w14:paraId="07C73DA1" w14:textId="064DE5DA" w:rsidR="005B6AE9" w:rsidRPr="00F866B3" w:rsidRDefault="005B6AE9" w:rsidP="00747B8C">
            <w:pPr>
              <w:rPr>
                <w:sz w:val="18"/>
                <w:lang w:val="en-GB"/>
              </w:rPr>
            </w:pPr>
          </w:p>
        </w:tc>
        <w:tc>
          <w:tcPr>
            <w:tcW w:w="4927" w:type="dxa"/>
            <w:vAlign w:val="center"/>
          </w:tcPr>
          <w:p w14:paraId="01941133" w14:textId="682F808A" w:rsidR="005B6AE9" w:rsidRPr="00F866B3" w:rsidRDefault="005B6AE9" w:rsidP="00747B8C">
            <w:pPr>
              <w:ind w:firstLine="680"/>
              <w:rPr>
                <w:sz w:val="18"/>
                <w:lang w:val="en-GB"/>
              </w:rPr>
            </w:pPr>
            <w:r w:rsidRPr="00F866B3">
              <w:rPr>
                <w:noProof/>
                <w:color w:val="000000" w:themeColor="text1"/>
                <w:sz w:val="20"/>
                <w:lang w:eastAsia="pl-PL"/>
              </w:rPr>
              <w:drawing>
                <wp:anchor distT="0" distB="0" distL="114300" distR="114300" simplePos="0" relativeHeight="251761664" behindDoc="0" locked="0" layoutInCell="1" allowOverlap="1" wp14:anchorId="5018E5AE" wp14:editId="3CA01559">
                  <wp:simplePos x="0" y="0"/>
                  <wp:positionH relativeFrom="column">
                    <wp:posOffset>78740</wp:posOffset>
                  </wp:positionH>
                  <wp:positionV relativeFrom="paragraph">
                    <wp:posOffset>21590</wp:posOffset>
                  </wp:positionV>
                  <wp:extent cx="251460" cy="251460"/>
                  <wp:effectExtent l="0" t="0" r="0" b="0"/>
                  <wp:wrapNone/>
                  <wp:docPr id="21" name="Obraz 21" descr="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2" w:tooltip="website" w:history="1">
              <w:r w:rsidR="0047786B" w:rsidRPr="00F866B3">
                <w:rPr>
                  <w:rStyle w:val="Hipercze"/>
                  <w:rFonts w:cstheme="minorBidi"/>
                  <w:color w:val="000000" w:themeColor="text1"/>
                  <w:sz w:val="20"/>
                  <w:u w:val="none"/>
                  <w:lang w:val="en-GB"/>
                </w:rPr>
                <w:t>stat.gov.pl/</w:t>
              </w:r>
              <w:proofErr w:type="spellStart"/>
              <w:r w:rsidR="0047786B" w:rsidRPr="00F866B3">
                <w:rPr>
                  <w:rStyle w:val="Hipercze"/>
                  <w:rFonts w:cstheme="minorBidi"/>
                  <w:color w:val="000000" w:themeColor="text1"/>
                  <w:sz w:val="20"/>
                  <w:u w:val="none"/>
                  <w:lang w:val="en-GB"/>
                </w:rPr>
                <w:t>en</w:t>
              </w:r>
              <w:proofErr w:type="spellEnd"/>
              <w:r w:rsidR="0047786B" w:rsidRPr="00F866B3">
                <w:rPr>
                  <w:rStyle w:val="Hipercze"/>
                  <w:rFonts w:cstheme="minorBidi"/>
                  <w:color w:val="000000" w:themeColor="text1"/>
                  <w:sz w:val="20"/>
                  <w:u w:val="none"/>
                  <w:lang w:val="en-GB"/>
                </w:rPr>
                <w:t>/</w:t>
              </w:r>
            </w:hyperlink>
          </w:p>
        </w:tc>
      </w:tr>
      <w:tr w:rsidR="005B6AE9" w:rsidRPr="00F866B3" w14:paraId="36A99721" w14:textId="77777777" w:rsidTr="001F3471">
        <w:trPr>
          <w:cantSplit/>
          <w:trHeight w:val="418"/>
        </w:trPr>
        <w:tc>
          <w:tcPr>
            <w:tcW w:w="4926" w:type="dxa"/>
            <w:vMerge/>
          </w:tcPr>
          <w:p w14:paraId="3255344A" w14:textId="77777777" w:rsidR="005B6AE9" w:rsidRPr="00F866B3" w:rsidRDefault="005B6AE9" w:rsidP="00747B8C">
            <w:pPr>
              <w:rPr>
                <w:b/>
                <w:sz w:val="20"/>
                <w:lang w:val="en-GB"/>
              </w:rPr>
            </w:pPr>
          </w:p>
        </w:tc>
        <w:tc>
          <w:tcPr>
            <w:tcW w:w="4927" w:type="dxa"/>
            <w:vAlign w:val="center"/>
          </w:tcPr>
          <w:p w14:paraId="09C3C6AD" w14:textId="2C1EB42E" w:rsidR="0047786B" w:rsidRPr="00F866B3" w:rsidRDefault="00DE6C02" w:rsidP="0047786B">
            <w:pPr>
              <w:ind w:firstLine="680"/>
              <w:rPr>
                <w:color w:val="000000" w:themeColor="text1"/>
                <w:sz w:val="20"/>
                <w:lang w:val="en-GB"/>
              </w:rPr>
            </w:pPr>
            <w:r w:rsidRPr="00F866B3">
              <w:rPr>
                <w:noProof/>
                <w:sz w:val="20"/>
                <w:lang w:eastAsia="pl-PL"/>
              </w:rPr>
              <w:drawing>
                <wp:anchor distT="0" distB="0" distL="114300" distR="114300" simplePos="0" relativeHeight="251772928" behindDoc="0" locked="0" layoutInCell="1" allowOverlap="1" wp14:anchorId="471861A5" wp14:editId="5083A67E">
                  <wp:simplePos x="0" y="0"/>
                  <wp:positionH relativeFrom="column">
                    <wp:posOffset>80010</wp:posOffset>
                  </wp:positionH>
                  <wp:positionV relativeFrom="paragraph">
                    <wp:posOffset>30480</wp:posOffset>
                  </wp:positionV>
                  <wp:extent cx="251460" cy="251460"/>
                  <wp:effectExtent l="0" t="0" r="0" b="0"/>
                  <wp:wrapNone/>
                  <wp:docPr id="22" name="Obraz 22" descr="x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47786B" w:rsidRPr="00F866B3">
              <w:rPr>
                <w:color w:val="000000" w:themeColor="text1"/>
                <w:lang w:val="en-GB"/>
              </w:rPr>
              <w:t>@</w:t>
            </w:r>
            <w:proofErr w:type="spellStart"/>
            <w:r w:rsidR="002A5404" w:rsidRPr="00F866B3">
              <w:fldChar w:fldCharType="begin"/>
            </w:r>
            <w:r w:rsidR="002A5404" w:rsidRPr="00F866B3">
              <w:rPr>
                <w:lang w:val="en-GB"/>
              </w:rPr>
              <w:instrText xml:space="preserve"> HYPERLINK "https://twitter.com/StatPoland" \o "X" </w:instrText>
            </w:r>
            <w:r w:rsidR="002A5404" w:rsidRPr="00F866B3">
              <w:fldChar w:fldCharType="separate"/>
            </w:r>
            <w:r w:rsidR="009649D2" w:rsidRPr="00F866B3">
              <w:rPr>
                <w:rStyle w:val="Hipercze"/>
                <w:rFonts w:cstheme="minorBidi"/>
                <w:color w:val="000000" w:themeColor="text1"/>
                <w:u w:val="none"/>
                <w:lang w:val="en-GB"/>
              </w:rPr>
              <w:t>StatPoland</w:t>
            </w:r>
            <w:proofErr w:type="spellEnd"/>
            <w:r w:rsidR="002A5404" w:rsidRPr="00F866B3">
              <w:rPr>
                <w:rStyle w:val="Hipercze"/>
                <w:rFonts w:cstheme="minorBidi"/>
                <w:color w:val="000000" w:themeColor="text1"/>
                <w:u w:val="none"/>
                <w:lang w:val="en-GB"/>
              </w:rPr>
              <w:fldChar w:fldCharType="end"/>
            </w:r>
          </w:p>
        </w:tc>
      </w:tr>
      <w:tr w:rsidR="005B6AE9" w:rsidRPr="00F866B3" w14:paraId="549C3B1C" w14:textId="77777777" w:rsidTr="001F3471">
        <w:trPr>
          <w:cantSplit/>
          <w:trHeight w:val="476"/>
        </w:trPr>
        <w:tc>
          <w:tcPr>
            <w:tcW w:w="4926" w:type="dxa"/>
            <w:vMerge/>
          </w:tcPr>
          <w:p w14:paraId="231798A1" w14:textId="77777777" w:rsidR="005B6AE9" w:rsidRPr="00F866B3" w:rsidRDefault="005B6AE9" w:rsidP="00747B8C">
            <w:pPr>
              <w:rPr>
                <w:b/>
                <w:sz w:val="20"/>
                <w:lang w:val="en-GB"/>
              </w:rPr>
            </w:pPr>
          </w:p>
        </w:tc>
        <w:tc>
          <w:tcPr>
            <w:tcW w:w="4927" w:type="dxa"/>
          </w:tcPr>
          <w:p w14:paraId="5B472D28" w14:textId="25E78124" w:rsidR="005B6AE9" w:rsidRPr="00F866B3" w:rsidRDefault="005B6AE9" w:rsidP="00747B8C">
            <w:pPr>
              <w:ind w:firstLine="680"/>
              <w:rPr>
                <w:sz w:val="18"/>
                <w:lang w:val="en-GB"/>
              </w:rPr>
            </w:pPr>
            <w:r w:rsidRPr="00F866B3">
              <w:rPr>
                <w:noProof/>
                <w:color w:val="000000" w:themeColor="text1"/>
                <w:sz w:val="20"/>
                <w:lang w:eastAsia="pl-PL"/>
              </w:rPr>
              <w:drawing>
                <wp:anchor distT="0" distB="0" distL="114300" distR="114300" simplePos="0" relativeHeight="251763712" behindDoc="0" locked="0" layoutInCell="1" allowOverlap="1" wp14:anchorId="171E4E22" wp14:editId="462920C9">
                  <wp:simplePos x="0" y="0"/>
                  <wp:positionH relativeFrom="column">
                    <wp:posOffset>80645</wp:posOffset>
                  </wp:positionH>
                  <wp:positionV relativeFrom="paragraph">
                    <wp:posOffset>39214</wp:posOffset>
                  </wp:positionV>
                  <wp:extent cx="251460" cy="251460"/>
                  <wp:effectExtent l="0" t="0" r="0" b="0"/>
                  <wp:wrapNone/>
                  <wp:docPr id="23" name="Obraz 23" descr="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5" w:tooltip="facebook" w:history="1">
              <w:r w:rsidRPr="00F866B3">
                <w:rPr>
                  <w:rStyle w:val="Hipercze"/>
                  <w:rFonts w:cstheme="minorBidi"/>
                  <w:color w:val="000000" w:themeColor="text1"/>
                  <w:sz w:val="20"/>
                  <w:u w:val="none"/>
                  <w:lang w:val="en-GB"/>
                </w:rPr>
                <w:t>@</w:t>
              </w:r>
              <w:proofErr w:type="spellStart"/>
              <w:r w:rsidRPr="00F866B3">
                <w:rPr>
                  <w:rStyle w:val="Hipercze"/>
                  <w:rFonts w:cstheme="minorBidi"/>
                  <w:color w:val="000000" w:themeColor="text1"/>
                  <w:sz w:val="20"/>
                  <w:u w:val="none"/>
                  <w:lang w:val="en-GB"/>
                </w:rPr>
                <w:t>GlownyUrzadStatystyczny</w:t>
              </w:r>
              <w:proofErr w:type="spellEnd"/>
            </w:hyperlink>
            <w:r w:rsidRPr="00F866B3">
              <w:rPr>
                <w:noProof/>
                <w:color w:val="000000" w:themeColor="text1"/>
                <w:sz w:val="20"/>
                <w:lang w:val="en-GB" w:eastAsia="pl-PL"/>
              </w:rPr>
              <w:t xml:space="preserve"> </w:t>
            </w:r>
          </w:p>
        </w:tc>
      </w:tr>
      <w:tr w:rsidR="00935E1E" w:rsidRPr="00F866B3" w14:paraId="4884FF26" w14:textId="77777777" w:rsidTr="001F3471">
        <w:trPr>
          <w:cantSplit/>
          <w:trHeight w:val="426"/>
        </w:trPr>
        <w:tc>
          <w:tcPr>
            <w:tcW w:w="4926" w:type="dxa"/>
            <w:vMerge/>
          </w:tcPr>
          <w:p w14:paraId="282131AD" w14:textId="77777777" w:rsidR="00935E1E" w:rsidRPr="00F866B3" w:rsidRDefault="00935E1E" w:rsidP="00935E1E">
            <w:pPr>
              <w:rPr>
                <w:b/>
                <w:sz w:val="20"/>
                <w:lang w:val="en-GB"/>
              </w:rPr>
            </w:pPr>
          </w:p>
        </w:tc>
        <w:tc>
          <w:tcPr>
            <w:tcW w:w="4927" w:type="dxa"/>
          </w:tcPr>
          <w:p w14:paraId="1C7B7D5C" w14:textId="3FFF763D" w:rsidR="00935E1E" w:rsidRPr="00F866B3" w:rsidRDefault="00935E1E" w:rsidP="00935E1E">
            <w:pPr>
              <w:ind w:firstLine="680"/>
              <w:rPr>
                <w:noProof/>
                <w:sz w:val="20"/>
                <w:lang w:val="en-GB" w:eastAsia="pl-PL"/>
              </w:rPr>
            </w:pPr>
            <w:r w:rsidRPr="00F866B3">
              <w:rPr>
                <w:noProof/>
                <w:color w:val="000000" w:themeColor="text1"/>
                <w:sz w:val="20"/>
                <w:lang w:eastAsia="pl-PL"/>
              </w:rPr>
              <w:drawing>
                <wp:anchor distT="0" distB="0" distL="114300" distR="114300" simplePos="0" relativeHeight="251768832" behindDoc="0" locked="0" layoutInCell="1" allowOverlap="1" wp14:anchorId="45FF4380" wp14:editId="2DFF383A">
                  <wp:simplePos x="0" y="0"/>
                  <wp:positionH relativeFrom="column">
                    <wp:posOffset>82550</wp:posOffset>
                  </wp:positionH>
                  <wp:positionV relativeFrom="paragraph">
                    <wp:posOffset>37944</wp:posOffset>
                  </wp:positionV>
                  <wp:extent cx="251460" cy="251460"/>
                  <wp:effectExtent l="0" t="0" r="0" b="0"/>
                  <wp:wrapNone/>
                  <wp:docPr id="5" name="Obraz 5" descr="inst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7" w:tooltip="intagram" w:history="1">
              <w:proofErr w:type="spellStart"/>
              <w:r w:rsidRPr="00F866B3">
                <w:rPr>
                  <w:rStyle w:val="Hipercze"/>
                  <w:rFonts w:cstheme="minorBidi"/>
                  <w:color w:val="000000" w:themeColor="text1"/>
                  <w:sz w:val="20"/>
                  <w:u w:val="none"/>
                  <w:lang w:val="en-GB"/>
                </w:rPr>
                <w:t>gus_stat</w:t>
              </w:r>
              <w:proofErr w:type="spellEnd"/>
            </w:hyperlink>
          </w:p>
        </w:tc>
      </w:tr>
      <w:tr w:rsidR="00935E1E" w:rsidRPr="00F866B3" w14:paraId="2C7A5D68" w14:textId="77777777" w:rsidTr="001F3471">
        <w:trPr>
          <w:cantSplit/>
          <w:trHeight w:val="504"/>
        </w:trPr>
        <w:tc>
          <w:tcPr>
            <w:tcW w:w="4926" w:type="dxa"/>
            <w:vMerge/>
          </w:tcPr>
          <w:p w14:paraId="627AA41B" w14:textId="77777777" w:rsidR="00935E1E" w:rsidRPr="00F866B3" w:rsidRDefault="00935E1E" w:rsidP="00935E1E">
            <w:pPr>
              <w:rPr>
                <w:b/>
                <w:sz w:val="20"/>
                <w:lang w:val="en-GB"/>
              </w:rPr>
            </w:pPr>
          </w:p>
        </w:tc>
        <w:tc>
          <w:tcPr>
            <w:tcW w:w="4927" w:type="dxa"/>
          </w:tcPr>
          <w:p w14:paraId="15F67F32" w14:textId="0710FF66" w:rsidR="00935E1E" w:rsidRPr="00F866B3" w:rsidRDefault="00935E1E" w:rsidP="00935E1E">
            <w:pPr>
              <w:ind w:firstLine="680"/>
              <w:rPr>
                <w:noProof/>
                <w:sz w:val="20"/>
                <w:lang w:val="en-GB" w:eastAsia="pl-PL"/>
              </w:rPr>
            </w:pPr>
            <w:r w:rsidRPr="00F866B3">
              <w:rPr>
                <w:noProof/>
                <w:color w:val="000000" w:themeColor="text1"/>
                <w:sz w:val="20"/>
                <w:lang w:eastAsia="pl-PL"/>
              </w:rPr>
              <w:drawing>
                <wp:anchor distT="0" distB="0" distL="114300" distR="114300" simplePos="0" relativeHeight="251769856" behindDoc="0" locked="0" layoutInCell="1" allowOverlap="1" wp14:anchorId="269699FF" wp14:editId="0C8107F4">
                  <wp:simplePos x="0" y="0"/>
                  <wp:positionH relativeFrom="column">
                    <wp:posOffset>82550</wp:posOffset>
                  </wp:positionH>
                  <wp:positionV relativeFrom="paragraph">
                    <wp:posOffset>47629</wp:posOffset>
                  </wp:positionV>
                  <wp:extent cx="251460" cy="251460"/>
                  <wp:effectExtent l="0" t="0" r="0" b="0"/>
                  <wp:wrapNone/>
                  <wp:docPr id="11" name="Obraz 11" descr="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9" w:tooltip="youtube" w:history="1">
              <w:proofErr w:type="spellStart"/>
              <w:r w:rsidRPr="00F866B3">
                <w:rPr>
                  <w:rStyle w:val="Hipercze"/>
                  <w:rFonts w:cstheme="minorBidi"/>
                  <w:color w:val="000000" w:themeColor="text1"/>
                  <w:sz w:val="20"/>
                  <w:u w:val="none"/>
                  <w:lang w:val="en-GB"/>
                </w:rPr>
                <w:t>glownyurzadstatystycznygus</w:t>
              </w:r>
              <w:proofErr w:type="spellEnd"/>
            </w:hyperlink>
          </w:p>
        </w:tc>
      </w:tr>
      <w:tr w:rsidR="00935E1E" w:rsidRPr="00F866B3" w14:paraId="373CEFAE" w14:textId="77777777" w:rsidTr="00F40BB1">
        <w:trPr>
          <w:cantSplit/>
          <w:trHeight w:val="1208"/>
        </w:trPr>
        <w:tc>
          <w:tcPr>
            <w:tcW w:w="4926" w:type="dxa"/>
            <w:vMerge/>
          </w:tcPr>
          <w:p w14:paraId="7F9FD058" w14:textId="77777777" w:rsidR="00935E1E" w:rsidRPr="00F866B3" w:rsidRDefault="00935E1E" w:rsidP="00935E1E">
            <w:pPr>
              <w:rPr>
                <w:b/>
                <w:sz w:val="20"/>
                <w:lang w:val="en-GB"/>
              </w:rPr>
            </w:pPr>
          </w:p>
        </w:tc>
        <w:tc>
          <w:tcPr>
            <w:tcW w:w="4927" w:type="dxa"/>
          </w:tcPr>
          <w:p w14:paraId="3108BCBA" w14:textId="292074E2" w:rsidR="00935E1E" w:rsidRPr="00F866B3" w:rsidRDefault="00FD2E22" w:rsidP="00935E1E">
            <w:pPr>
              <w:ind w:firstLine="680"/>
              <w:rPr>
                <w:noProof/>
                <w:sz w:val="20"/>
                <w:lang w:val="en-GB" w:eastAsia="pl-PL"/>
              </w:rPr>
            </w:pPr>
            <w:hyperlink r:id="rId30" w:tooltip="linkedin" w:history="1">
              <w:r w:rsidR="00935E1E" w:rsidRPr="00F866B3">
                <w:rPr>
                  <w:rStyle w:val="Hipercze"/>
                  <w:rFonts w:cstheme="minorBidi"/>
                  <w:noProof/>
                  <w:color w:val="000000" w:themeColor="text1"/>
                  <w:sz w:val="20"/>
                  <w:u w:val="none"/>
                  <w:lang w:val="en-GB" w:eastAsia="pl-PL"/>
                </w:rPr>
                <w:t>glownyurzadstatystyczny</w:t>
              </w:r>
              <w:r w:rsidR="00935E1E" w:rsidRPr="00F866B3">
                <w:rPr>
                  <w:rStyle w:val="Hipercze"/>
                  <w:rFonts w:cstheme="minorBidi"/>
                  <w:noProof/>
                  <w:color w:val="000000" w:themeColor="text1"/>
                  <w:sz w:val="20"/>
                  <w:u w:val="none"/>
                  <w:lang w:eastAsia="pl-PL"/>
                </w:rPr>
                <w:drawing>
                  <wp:anchor distT="0" distB="0" distL="114300" distR="114300" simplePos="0" relativeHeight="251770880" behindDoc="0" locked="0" layoutInCell="1" allowOverlap="1" wp14:anchorId="00F88B01" wp14:editId="59F96460">
                    <wp:simplePos x="0" y="0"/>
                    <wp:positionH relativeFrom="column">
                      <wp:posOffset>82550</wp:posOffset>
                    </wp:positionH>
                    <wp:positionV relativeFrom="paragraph">
                      <wp:posOffset>15240</wp:posOffset>
                    </wp:positionV>
                    <wp:extent cx="251460" cy="251460"/>
                    <wp:effectExtent l="0" t="0" r="0" b="0"/>
                    <wp:wrapNone/>
                    <wp:docPr id="14" name="Obraz 14" descr="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w:p>
        </w:tc>
      </w:tr>
      <w:tr w:rsidR="00531873" w:rsidRPr="00980AF3" w14:paraId="385E56CC" w14:textId="77777777" w:rsidTr="001F3471">
        <w:trPr>
          <w:cantSplit/>
          <w:trHeight w:val="4114"/>
        </w:trPr>
        <w:tc>
          <w:tcPr>
            <w:tcW w:w="9853" w:type="dxa"/>
            <w:gridSpan w:val="2"/>
            <w:shd w:val="clear" w:color="auto" w:fill="D9D9D9" w:themeFill="background1" w:themeFillShade="D9"/>
          </w:tcPr>
          <w:p w14:paraId="08948A60" w14:textId="02FB45BC" w:rsidR="00531873" w:rsidRPr="00F866B3" w:rsidRDefault="00762F43" w:rsidP="00F866B3">
            <w:pPr>
              <w:shd w:val="clear" w:color="auto" w:fill="D9D9D9" w:themeFill="background1" w:themeFillShade="D9"/>
              <w:spacing w:line="240" w:lineRule="exact"/>
              <w:rPr>
                <w:b/>
                <w:lang w:val="en-GB"/>
              </w:rPr>
            </w:pPr>
            <w:r w:rsidRPr="00F866B3">
              <w:rPr>
                <w:b/>
                <w:lang w:val="en-GB"/>
              </w:rPr>
              <w:t>Related information</w:t>
            </w:r>
          </w:p>
          <w:p w14:paraId="7F12460D" w14:textId="77777777" w:rsidR="00F8129E" w:rsidRPr="00161DE5" w:rsidRDefault="00FD2E22" w:rsidP="00F8129E">
            <w:pPr>
              <w:rPr>
                <w:rStyle w:val="Hipercze"/>
                <w:lang w:val="en-GB"/>
              </w:rPr>
            </w:pPr>
            <w:hyperlink r:id="rId32" w:tooltip="link to publication &quot;Report on methodological work. Culture Satellite Account&quot;" w:history="1">
              <w:r w:rsidR="00F8129E" w:rsidRPr="00161DE5">
                <w:rPr>
                  <w:rStyle w:val="Hipercze"/>
                  <w:lang w:val="en-GB"/>
                </w:rPr>
                <w:t>Report on methodological work. Culture Satellite Account</w:t>
              </w:r>
            </w:hyperlink>
            <w:r w:rsidR="00F8129E">
              <w:rPr>
                <w:rStyle w:val="Hipercze"/>
                <w:lang w:val="en-GB"/>
              </w:rPr>
              <w:t xml:space="preserve"> </w:t>
            </w:r>
            <w:r w:rsidR="00F8129E" w:rsidRPr="00D275E4">
              <w:rPr>
                <w:rStyle w:val="Hipercze"/>
                <w:lang w:val="en-GB"/>
              </w:rPr>
              <w:t>(PL version o</w:t>
            </w:r>
            <w:r w:rsidR="00F8129E" w:rsidRPr="00F020AB">
              <w:rPr>
                <w:rStyle w:val="Hipercze"/>
                <w:lang w:val="en-GB"/>
              </w:rPr>
              <w:t>nly)</w:t>
            </w:r>
          </w:p>
          <w:p w14:paraId="7B166E8F" w14:textId="77777777" w:rsidR="00F8129E" w:rsidRPr="00161DE5" w:rsidRDefault="00F8129E" w:rsidP="00F8129E">
            <w:pPr>
              <w:rPr>
                <w:rStyle w:val="Hipercze"/>
                <w:lang w:val="en-GB"/>
              </w:rPr>
            </w:pPr>
            <w:r w:rsidRPr="00161DE5">
              <w:rPr>
                <w:rFonts w:cs="Times New Roman"/>
                <w:lang w:val="en-GB"/>
              </w:rPr>
              <w:fldChar w:fldCharType="begin"/>
            </w:r>
            <w:r>
              <w:rPr>
                <w:rFonts w:cs="Times New Roman"/>
                <w:lang w:val="en-GB"/>
              </w:rPr>
              <w:instrText>HYPERLINK "https://stat.gov.pl/en/topics/culture-tourism-sport/culture/culture-satellite-account-for-2020,18,4.html" \o "link to publication \"Culture satellite account for 2020\" "</w:instrText>
            </w:r>
            <w:r w:rsidRPr="00161DE5">
              <w:rPr>
                <w:rFonts w:cs="Times New Roman"/>
                <w:lang w:val="en-GB"/>
              </w:rPr>
              <w:fldChar w:fldCharType="separate"/>
            </w:r>
            <w:r w:rsidRPr="00161DE5">
              <w:rPr>
                <w:rStyle w:val="Hipercze"/>
                <w:lang w:val="en-GB"/>
              </w:rPr>
              <w:t>Cultur</w:t>
            </w:r>
            <w:r>
              <w:rPr>
                <w:rStyle w:val="Hipercze"/>
                <w:lang w:val="en-GB"/>
              </w:rPr>
              <w:t>e</w:t>
            </w:r>
            <w:r w:rsidRPr="00161DE5">
              <w:rPr>
                <w:rStyle w:val="Hipercze"/>
                <w:lang w:val="en-GB"/>
              </w:rPr>
              <w:t xml:space="preserve"> satellite account for</w:t>
            </w:r>
            <w:r>
              <w:rPr>
                <w:rStyle w:val="Hipercze"/>
                <w:lang w:val="en-GB"/>
              </w:rPr>
              <w:t xml:space="preserve"> 2020</w:t>
            </w:r>
          </w:p>
          <w:p w14:paraId="269C5E4F" w14:textId="7BFDA36A" w:rsidR="00F8129E" w:rsidRPr="00161DE5" w:rsidRDefault="00F8129E" w:rsidP="00F8129E">
            <w:pPr>
              <w:rPr>
                <w:rStyle w:val="Hipercze"/>
                <w:lang w:val="en-GB"/>
              </w:rPr>
            </w:pPr>
            <w:r w:rsidRPr="00161DE5">
              <w:rPr>
                <w:rFonts w:cs="Times New Roman"/>
                <w:lang w:val="en-GB"/>
              </w:rPr>
              <w:fldChar w:fldCharType="end"/>
            </w:r>
            <w:hyperlink r:id="rId33" w:tooltip="link to publication &quot;Cultural and creative industries in 2017–2021&quot;" w:history="1">
              <w:r w:rsidRPr="00161DE5">
                <w:rPr>
                  <w:rStyle w:val="Hipercze"/>
                  <w:lang w:val="en-GB"/>
                </w:rPr>
                <w:t>Cultural and creative industries in 2017</w:t>
              </w:r>
              <w:r w:rsidR="00FD2E22">
                <w:rPr>
                  <w:rStyle w:val="Hipercze"/>
                  <w:lang w:val="en-GB"/>
                </w:rPr>
                <w:t>–</w:t>
              </w:r>
              <w:r w:rsidRPr="00161DE5">
                <w:rPr>
                  <w:rStyle w:val="Hipercze"/>
                  <w:lang w:val="en-GB"/>
                </w:rPr>
                <w:t>2021</w:t>
              </w:r>
            </w:hyperlink>
            <w:r w:rsidRPr="00161DE5">
              <w:rPr>
                <w:rStyle w:val="Hipercze"/>
                <w:lang w:val="en-GB"/>
              </w:rPr>
              <w:t xml:space="preserve"> </w:t>
            </w:r>
          </w:p>
          <w:p w14:paraId="57DAC800" w14:textId="77777777" w:rsidR="00F8129E" w:rsidRPr="00161DE5" w:rsidRDefault="00FD2E22" w:rsidP="00F8129E">
            <w:pPr>
              <w:rPr>
                <w:rStyle w:val="Hipercze"/>
                <w:lang w:val="en-GB"/>
              </w:rPr>
            </w:pPr>
            <w:hyperlink r:id="rId34" w:tooltip="link to publication &quot;Cultural and creative industries in 2023&quot; " w:history="1">
              <w:r w:rsidR="00F8129E">
                <w:rPr>
                  <w:rStyle w:val="Hipercze"/>
                  <w:lang w:val="en-GB"/>
                </w:rPr>
                <w:t>Cultural and creative industries in 2023</w:t>
              </w:r>
            </w:hyperlink>
          </w:p>
          <w:p w14:paraId="1878D550" w14:textId="66AEA5A5" w:rsidR="00F8129E" w:rsidRPr="00F866B3" w:rsidRDefault="00FD2E22" w:rsidP="00F8129E">
            <w:pPr>
              <w:spacing w:line="240" w:lineRule="exact"/>
              <w:rPr>
                <w:b/>
                <w:color w:val="000000" w:themeColor="text1"/>
                <w:szCs w:val="24"/>
                <w:lang w:val="en-GB"/>
              </w:rPr>
            </w:pPr>
            <w:hyperlink r:id="rId35" w:tooltip="link to publication &quot;Culture and national heritage in 2024&quot;" w:history="1">
              <w:r w:rsidR="00F8129E">
                <w:rPr>
                  <w:rStyle w:val="Hipercze"/>
                  <w:lang w:val="en-GB"/>
                </w:rPr>
                <w:t>Culture and national heritage in 2024</w:t>
              </w:r>
            </w:hyperlink>
          </w:p>
          <w:p w14:paraId="6EC7A51E" w14:textId="7AC08B12" w:rsidR="00531873" w:rsidRPr="00F866B3" w:rsidRDefault="00762F43" w:rsidP="00F866B3">
            <w:pPr>
              <w:shd w:val="clear" w:color="auto" w:fill="D9D9D9" w:themeFill="background1" w:themeFillShade="D9"/>
              <w:spacing w:before="360" w:line="240" w:lineRule="exact"/>
              <w:rPr>
                <w:b/>
                <w:color w:val="000000" w:themeColor="text1"/>
                <w:szCs w:val="24"/>
                <w:lang w:val="en-GB"/>
              </w:rPr>
            </w:pPr>
            <w:r w:rsidRPr="00F866B3">
              <w:rPr>
                <w:b/>
                <w:color w:val="000000" w:themeColor="text1"/>
                <w:szCs w:val="24"/>
                <w:lang w:val="en-GB"/>
              </w:rPr>
              <w:t>Terms used inn official statistics</w:t>
            </w:r>
          </w:p>
          <w:p w14:paraId="2F066ED3" w14:textId="77777777" w:rsidR="00F8129E" w:rsidRPr="00161DE5" w:rsidRDefault="00FD2E22" w:rsidP="00F8129E">
            <w:pPr>
              <w:rPr>
                <w:rStyle w:val="Hipercze"/>
                <w:lang w:val="en-GB"/>
              </w:rPr>
            </w:pPr>
            <w:hyperlink r:id="rId36" w:tooltip="link to term &quot;Gross capital formation&quot;" w:history="1">
              <w:r w:rsidR="00F8129E" w:rsidRPr="00161DE5">
                <w:rPr>
                  <w:rStyle w:val="Hipercze"/>
                  <w:lang w:val="en-GB"/>
                </w:rPr>
                <w:t>Gross capital formation</w:t>
              </w:r>
            </w:hyperlink>
          </w:p>
          <w:p w14:paraId="24D66CFF" w14:textId="77777777" w:rsidR="00F8129E" w:rsidRPr="00161DE5" w:rsidRDefault="00FD2E22" w:rsidP="00F8129E">
            <w:pPr>
              <w:rPr>
                <w:rStyle w:val="Hipercze"/>
                <w:lang w:val="en-GB"/>
              </w:rPr>
            </w:pPr>
            <w:hyperlink r:id="rId37" w:tooltip="link to term &quot;Exports of goods and services&quot;" w:history="1">
              <w:r w:rsidR="00F8129E" w:rsidRPr="00161DE5">
                <w:rPr>
                  <w:rStyle w:val="Hipercze"/>
                  <w:lang w:val="en-GB"/>
                </w:rPr>
                <w:t>Exports of goods and services</w:t>
              </w:r>
            </w:hyperlink>
          </w:p>
          <w:p w14:paraId="51202C08" w14:textId="77777777" w:rsidR="00F8129E" w:rsidRPr="00161DE5" w:rsidRDefault="00FD2E22" w:rsidP="00F8129E">
            <w:pPr>
              <w:rPr>
                <w:rStyle w:val="Hipercze"/>
                <w:lang w:val="en-GB"/>
              </w:rPr>
            </w:pPr>
            <w:hyperlink r:id="rId38" w:tooltip="link to term &quot;Imports of goods and services&quot;" w:history="1">
              <w:r w:rsidR="00F8129E" w:rsidRPr="00161DE5">
                <w:rPr>
                  <w:rStyle w:val="Hipercze"/>
                  <w:lang w:val="en-GB"/>
                </w:rPr>
                <w:t>Imports of goods and services</w:t>
              </w:r>
            </w:hyperlink>
          </w:p>
          <w:p w14:paraId="5A460DFD" w14:textId="77777777" w:rsidR="00F8129E" w:rsidRPr="00161DE5" w:rsidRDefault="00FD2E22" w:rsidP="00F8129E">
            <w:pPr>
              <w:rPr>
                <w:rStyle w:val="Hipercze"/>
                <w:lang w:val="en-GB"/>
              </w:rPr>
            </w:pPr>
            <w:hyperlink r:id="rId39" w:tooltip="link to term &quot;Compensation of employees&quot;" w:history="1">
              <w:r w:rsidR="00F8129E" w:rsidRPr="00161DE5">
                <w:rPr>
                  <w:rStyle w:val="Hipercze"/>
                  <w:lang w:val="en-GB"/>
                </w:rPr>
                <w:t>Compensation of employees</w:t>
              </w:r>
            </w:hyperlink>
          </w:p>
          <w:p w14:paraId="4C939001" w14:textId="77777777" w:rsidR="00F8129E" w:rsidRPr="00161DE5" w:rsidRDefault="00FD2E22" w:rsidP="00F8129E">
            <w:pPr>
              <w:rPr>
                <w:rStyle w:val="Hipercze"/>
                <w:lang w:val="en-GB"/>
              </w:rPr>
            </w:pPr>
            <w:hyperlink r:id="rId40" w:tooltip="link to term &quot;Operating surplus, gross&quot;" w:history="1">
              <w:r w:rsidR="00F8129E" w:rsidRPr="00161DE5">
                <w:rPr>
                  <w:rStyle w:val="Hipercze"/>
                  <w:lang w:val="en-GB"/>
                </w:rPr>
                <w:t>Operating surplus, gross</w:t>
              </w:r>
            </w:hyperlink>
          </w:p>
          <w:p w14:paraId="5408622F" w14:textId="684E1889" w:rsidR="00F8129E" w:rsidRPr="00C0713C" w:rsidRDefault="00F8129E" w:rsidP="00F8129E">
            <w:pPr>
              <w:rPr>
                <w:rStyle w:val="Hipercze"/>
                <w:lang w:val="en-GB"/>
              </w:rPr>
            </w:pPr>
            <w:r>
              <w:fldChar w:fldCharType="begin"/>
            </w:r>
            <w:r w:rsidR="00010766" w:rsidRPr="00010766">
              <w:rPr>
                <w:lang w:val="en-GB"/>
              </w:rPr>
              <w:instrText>HYPERLINK "https://stat.gov.pl/en/metainformation/glossary/terms-used-in-official-statistics/361,term.html" \o "link to term \"Output\" "</w:instrText>
            </w:r>
            <w:r>
              <w:fldChar w:fldCharType="separate"/>
            </w:r>
            <w:r w:rsidRPr="00C0713C">
              <w:rPr>
                <w:rStyle w:val="Hipercze"/>
                <w:lang w:val="en-GB"/>
              </w:rPr>
              <w:t>Output</w:t>
            </w:r>
          </w:p>
          <w:p w14:paraId="60AB8D86" w14:textId="77777777" w:rsidR="00F8129E" w:rsidRPr="00161DE5" w:rsidRDefault="00F8129E" w:rsidP="00F8129E">
            <w:pPr>
              <w:rPr>
                <w:rStyle w:val="Hipercze"/>
                <w:lang w:val="en-GB"/>
              </w:rPr>
            </w:pPr>
            <w:r>
              <w:fldChar w:fldCharType="end"/>
            </w:r>
            <w:hyperlink r:id="rId41" w:tooltip="link to term &quot;Gross Domestic Product (GDP)&quot;" w:history="1">
              <w:r w:rsidRPr="00161DE5">
                <w:rPr>
                  <w:rStyle w:val="Hipercze"/>
                  <w:lang w:val="en-GB"/>
                </w:rPr>
                <w:t>Gross Domestic Product (GDP)</w:t>
              </w:r>
            </w:hyperlink>
          </w:p>
          <w:p w14:paraId="30612F76" w14:textId="77777777" w:rsidR="00F8129E" w:rsidRPr="00161DE5" w:rsidRDefault="00FD2E22" w:rsidP="00F8129E">
            <w:pPr>
              <w:rPr>
                <w:rStyle w:val="Hipercze"/>
                <w:lang w:val="en-GB"/>
              </w:rPr>
            </w:pPr>
            <w:hyperlink r:id="rId42" w:tooltip="link to term &quot;Final consumption expenditure&quot;" w:history="1">
              <w:r w:rsidR="00F8129E" w:rsidRPr="00161DE5">
                <w:rPr>
                  <w:rStyle w:val="Hipercze"/>
                  <w:lang w:val="en-GB"/>
                </w:rPr>
                <w:t>Final consumption expenditure</w:t>
              </w:r>
            </w:hyperlink>
          </w:p>
          <w:p w14:paraId="1B669D48" w14:textId="77777777" w:rsidR="00F8129E" w:rsidRPr="00161DE5" w:rsidRDefault="00FD2E22" w:rsidP="00F8129E">
            <w:pPr>
              <w:rPr>
                <w:rStyle w:val="Hipercze"/>
                <w:lang w:val="en-GB"/>
              </w:rPr>
            </w:pPr>
            <w:hyperlink r:id="rId43" w:tooltip="link to term &quot;Value added, gross&quot;" w:history="1">
              <w:r w:rsidR="00F8129E" w:rsidRPr="00161DE5">
                <w:rPr>
                  <w:rStyle w:val="Hipercze"/>
                  <w:lang w:val="en-GB"/>
                </w:rPr>
                <w:t>Value added, gross</w:t>
              </w:r>
            </w:hyperlink>
          </w:p>
          <w:p w14:paraId="3FD90911" w14:textId="1C20D02B" w:rsidR="005B6AE9" w:rsidRPr="00F866B3" w:rsidRDefault="00FD2E22" w:rsidP="00F8129E">
            <w:pPr>
              <w:spacing w:line="240" w:lineRule="exact"/>
              <w:rPr>
                <w:rStyle w:val="Hipercze"/>
                <w:rFonts w:cstheme="minorBidi"/>
                <w:lang w:val="en-GB"/>
              </w:rPr>
            </w:pPr>
            <w:hyperlink r:id="rId44" w:tooltip="link to term &quot;Intermediate consumption&quot;" w:history="1">
              <w:r w:rsidR="00F8129E" w:rsidRPr="00161DE5">
                <w:rPr>
                  <w:rStyle w:val="Hipercze"/>
                  <w:lang w:val="en-GB"/>
                </w:rPr>
                <w:t>Intermediate consumption</w:t>
              </w:r>
            </w:hyperlink>
            <w:r w:rsidR="005B6AE9" w:rsidRPr="00F866B3">
              <w:rPr>
                <w:rFonts w:cs="Times New Roman"/>
                <w:lang w:val="en-GB"/>
              </w:rPr>
              <w:fldChar w:fldCharType="begin"/>
            </w:r>
            <w:r w:rsidR="00762F43" w:rsidRPr="00F866B3">
              <w:rPr>
                <w:rFonts w:cs="Times New Roman"/>
                <w:lang w:val="en-GB"/>
              </w:rPr>
              <w:instrText>HYPERLINK "https://stat.gov.pl/" \o "glossary"</w:instrText>
            </w:r>
            <w:r w:rsidR="005B6AE9" w:rsidRPr="00F866B3">
              <w:rPr>
                <w:rFonts w:cs="Times New Roman"/>
                <w:lang w:val="en-GB"/>
              </w:rPr>
              <w:fldChar w:fldCharType="separate"/>
            </w:r>
          </w:p>
          <w:p w14:paraId="59EB7117" w14:textId="043DB7C2" w:rsidR="00531873" w:rsidRPr="00F866B3" w:rsidRDefault="005B6AE9" w:rsidP="00F866B3">
            <w:pPr>
              <w:spacing w:line="240" w:lineRule="exact"/>
              <w:rPr>
                <w:rFonts w:cs="Times New Roman"/>
                <w:color w:val="0000FF"/>
                <w:u w:val="single"/>
                <w:lang w:val="en-GB"/>
              </w:rPr>
            </w:pPr>
            <w:r w:rsidRPr="00F866B3">
              <w:rPr>
                <w:rFonts w:cs="Times New Roman"/>
                <w:lang w:val="en-GB"/>
              </w:rPr>
              <w:fldChar w:fldCharType="end"/>
            </w:r>
          </w:p>
        </w:tc>
      </w:tr>
    </w:tbl>
    <w:p w14:paraId="7C19EFAE" w14:textId="5AAD912C" w:rsidR="00D261A2" w:rsidRPr="00F866B3" w:rsidRDefault="00D261A2" w:rsidP="002D37FA">
      <w:pPr>
        <w:rPr>
          <w:sz w:val="18"/>
          <w:lang w:val="en-GB"/>
        </w:rPr>
      </w:pPr>
    </w:p>
    <w:sectPr w:rsidR="00D261A2" w:rsidRPr="00F866B3" w:rsidSect="003B18B6">
      <w:headerReference w:type="default" r:id="rId45"/>
      <w:footerReference w:type="default" r:id="rId46"/>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5B2BB7" w14:textId="77777777" w:rsidR="002A5404" w:rsidRDefault="002A5404" w:rsidP="000662E2">
      <w:pPr>
        <w:spacing w:after="0" w:line="240" w:lineRule="auto"/>
      </w:pPr>
      <w:r>
        <w:separator/>
      </w:r>
    </w:p>
    <w:p w14:paraId="69A8FCC5" w14:textId="77777777" w:rsidR="002A5404" w:rsidRDefault="002A5404"/>
    <w:p w14:paraId="12F603FC" w14:textId="77777777" w:rsidR="002A5404" w:rsidRDefault="002A5404"/>
    <w:p w14:paraId="03039C0A" w14:textId="77777777" w:rsidR="002A5404" w:rsidRDefault="002A5404"/>
    <w:p w14:paraId="3C85D5AB" w14:textId="77777777" w:rsidR="002A5404" w:rsidRDefault="002A5404"/>
    <w:p w14:paraId="7562D723" w14:textId="77777777" w:rsidR="002A5404" w:rsidRDefault="002A5404"/>
  </w:endnote>
  <w:endnote w:type="continuationSeparator" w:id="0">
    <w:p w14:paraId="330F760C" w14:textId="77777777" w:rsidR="002A5404" w:rsidRDefault="002A5404" w:rsidP="000662E2">
      <w:pPr>
        <w:spacing w:after="0" w:line="240" w:lineRule="auto"/>
      </w:pPr>
      <w:r>
        <w:continuationSeparator/>
      </w:r>
    </w:p>
    <w:p w14:paraId="73307450" w14:textId="77777777" w:rsidR="002A5404" w:rsidRDefault="002A5404"/>
    <w:p w14:paraId="24EB059E" w14:textId="77777777" w:rsidR="002A5404" w:rsidRDefault="002A5404"/>
    <w:p w14:paraId="67434F3E" w14:textId="77777777" w:rsidR="002A5404" w:rsidRDefault="002A5404"/>
    <w:p w14:paraId="1C43FD5B" w14:textId="77777777" w:rsidR="002A5404" w:rsidRDefault="002A5404"/>
    <w:p w14:paraId="775B3AE3" w14:textId="77777777" w:rsidR="002A5404" w:rsidRDefault="002A54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6725AA75-6DB6-4C5E-ACE7-66D77684FAB7}"/>
    <w:embedBold r:id="rId2" w:fontKey="{BEDDB78D-A1D5-4D4A-80A9-A1D65025FB1B}"/>
  </w:font>
  <w:font w:name="Fira Sans Light">
    <w:panose1 w:val="020B0403050000020004"/>
    <w:charset w:val="EE"/>
    <w:family w:val="swiss"/>
    <w:pitch w:val="variable"/>
    <w:sig w:usb0="600002FF" w:usb1="02000001" w:usb2="00000000" w:usb3="00000000" w:csb0="0000019F" w:csb1="00000000"/>
    <w:embedRegular r:id="rId3" w:fontKey="{87416C02-A0E6-4C00-990B-63127F348B2E}"/>
    <w:embedBold r:id="rId4" w:fontKey="{C9616085-5788-428A-ADB0-AB3EC9C1B1EF}"/>
  </w:font>
  <w:font w:name="Fira Sans Extra Condensed SemiB">
    <w:panose1 w:val="020B0603050000020004"/>
    <w:charset w:val="EE"/>
    <w:family w:val="swiss"/>
    <w:pitch w:val="variable"/>
    <w:sig w:usb0="600002FF" w:usb1="00000001" w:usb2="00000000" w:usb3="00000000" w:csb0="0000019F" w:csb1="00000000"/>
    <w:embedRegular r:id="rId5" w:fontKey="{363E517B-7CCC-4B24-A3E1-0FE0151F717F}"/>
  </w:font>
  <w:font w:name="Fira Sans Medium">
    <w:panose1 w:val="020B0603050000020004"/>
    <w:charset w:val="EE"/>
    <w:family w:val="swiss"/>
    <w:pitch w:val="variable"/>
    <w:sig w:usb0="600002FF" w:usb1="02000001" w:usb2="00000000" w:usb3="00000000" w:csb0="0000019F" w:csb1="00000000"/>
    <w:embedRegular r:id="rId6" w:fontKey="{37E0CAFE-167D-47E5-B8A1-6274EB1EA6AB}"/>
    <w:embedItalic r:id="rId7" w:fontKey="{BB7E42CB-07B6-481C-B825-77A8F6817E84}"/>
  </w:font>
  <w:font w:name="Segoe UI">
    <w:panose1 w:val="020B0502040204020203"/>
    <w:charset w:val="EE"/>
    <w:family w:val="swiss"/>
    <w:pitch w:val="variable"/>
    <w:sig w:usb0="E4002EFF" w:usb1="C000E47F" w:usb2="00000009" w:usb3="00000000" w:csb0="000001FF" w:csb1="00000000"/>
    <w:embedRegular r:id="rId8" w:fontKey="{0E65A1E4-ACAF-407F-B472-F2759E27C12F}"/>
  </w:font>
  <w:font w:name="Fira Sans SemiBold">
    <w:panose1 w:val="020B0603050000020004"/>
    <w:charset w:val="EE"/>
    <w:family w:val="swiss"/>
    <w:pitch w:val="variable"/>
    <w:sig w:usb0="600002FF" w:usb1="02000001" w:usb2="00000000" w:usb3="00000000" w:csb0="0000019F" w:csb1="00000000"/>
    <w:embedRegular r:id="rId9" w:fontKey="{4F55747A-903C-4C51-9414-C08C1EBC0392}"/>
  </w:font>
  <w:font w:name="Calibri">
    <w:panose1 w:val="020F0502020204030204"/>
    <w:charset w:val="EE"/>
    <w:family w:val="swiss"/>
    <w:pitch w:val="variable"/>
    <w:sig w:usb0="E4002EFF" w:usb1="C200247B" w:usb2="00000009" w:usb3="00000000" w:csb0="000001FF" w:csb1="00000000"/>
    <w:embedRegular r:id="rId10" w:fontKey="{1BD610AF-84C7-4C24-9602-CCD48DD51786}"/>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09074784"/>
      <w:docPartObj>
        <w:docPartGallery w:val="Page Numbers (Bottom of Page)"/>
        <w:docPartUnique/>
      </w:docPartObj>
    </w:sdtPr>
    <w:sdtEndPr/>
    <w:sdtContent>
      <w:p w14:paraId="6E91F2FF" w14:textId="77777777" w:rsidR="00EB556D" w:rsidRDefault="00541E6E" w:rsidP="003B18B6">
        <w:pPr>
          <w:jc w:val="center"/>
        </w:pPr>
        <w:r>
          <w:fldChar w:fldCharType="begin"/>
        </w:r>
        <w:r>
          <w:instrText>PAGE   \* MERGEFORMAT</w:instrText>
        </w:r>
        <w:r>
          <w:fldChar w:fldCharType="separate"/>
        </w:r>
        <w:r w:rsidR="00C95957">
          <w:rPr>
            <w:noProof/>
          </w:rPr>
          <w:t>4</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6342790"/>
      <w:docPartObj>
        <w:docPartGallery w:val="Page Numbers (Bottom of Page)"/>
        <w:docPartUnique/>
      </w:docPartObj>
    </w:sdtPr>
    <w:sdtEndPr/>
    <w:sdtContent>
      <w:p w14:paraId="7A63DCE2" w14:textId="77777777" w:rsidR="00EB556D" w:rsidRDefault="00541E6E" w:rsidP="003B18B6">
        <w:pPr>
          <w:jc w:val="center"/>
        </w:pPr>
        <w:r>
          <w:fldChar w:fldCharType="begin"/>
        </w:r>
        <w:r>
          <w:instrText>PAGE   \* MERGEFORMAT</w:instrText>
        </w:r>
        <w:r>
          <w:fldChar w:fldCharType="separate"/>
        </w:r>
        <w:r w:rsidR="00C95957">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69846837"/>
      <w:docPartObj>
        <w:docPartGallery w:val="Page Numbers (Bottom of Page)"/>
        <w:docPartUnique/>
      </w:docPartObj>
    </w:sdtPr>
    <w:sdtEndPr/>
    <w:sdtContent>
      <w:p w14:paraId="58E83B8F" w14:textId="57F0C84F" w:rsidR="002D37FA" w:rsidRPr="002D37FA" w:rsidRDefault="002D37FA" w:rsidP="00362C3A">
        <w:pPr>
          <w:ind w:left="2124"/>
          <w:jc w:val="center"/>
        </w:pPr>
        <w:r w:rsidRPr="002D37FA">
          <w:fldChar w:fldCharType="begin"/>
        </w:r>
        <w:r w:rsidRPr="002D37FA">
          <w:instrText>PAGE   \* MERGEFORMAT</w:instrText>
        </w:r>
        <w:r w:rsidRPr="002D37FA">
          <w:fldChar w:fldCharType="separate"/>
        </w:r>
        <w:r w:rsidR="00C95957">
          <w:rPr>
            <w:noProof/>
          </w:rPr>
          <w:t>5</w:t>
        </w:r>
        <w:r w:rsidRPr="002D37FA">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E6765F" w14:textId="77777777" w:rsidR="002A5404" w:rsidRDefault="002A5404" w:rsidP="000662E2">
      <w:pPr>
        <w:spacing w:after="0" w:line="240" w:lineRule="auto"/>
      </w:pPr>
      <w:r>
        <w:separator/>
      </w:r>
    </w:p>
  </w:footnote>
  <w:footnote w:type="continuationSeparator" w:id="0">
    <w:p w14:paraId="189EB757" w14:textId="77777777" w:rsidR="002A5404" w:rsidRDefault="002A5404" w:rsidP="000662E2">
      <w:pPr>
        <w:spacing w:after="0" w:line="240" w:lineRule="auto"/>
      </w:pPr>
      <w:r>
        <w:continuationSeparator/>
      </w:r>
    </w:p>
    <w:p w14:paraId="1BEC4CB0" w14:textId="77777777" w:rsidR="002A5404" w:rsidRDefault="002A5404"/>
  </w:footnote>
  <w:footnote w:type="continuationNotice" w:id="1">
    <w:p w14:paraId="5E02D64B" w14:textId="77777777" w:rsidR="002A5404" w:rsidRDefault="002A5404">
      <w:pPr>
        <w:spacing w:before="0" w:after="0" w:line="240" w:lineRule="auto"/>
      </w:pPr>
    </w:p>
    <w:p w14:paraId="2DE3E3C6" w14:textId="77777777" w:rsidR="002A5404" w:rsidRDefault="002A5404"/>
  </w:footnote>
  <w:footnote w:id="2">
    <w:p w14:paraId="3EC50E27" w14:textId="77777777" w:rsidR="00F8129E" w:rsidRPr="00D910D8" w:rsidRDefault="00F8129E" w:rsidP="00F8129E">
      <w:pPr>
        <w:pStyle w:val="Tekstprzypisudolnego"/>
        <w:rPr>
          <w:lang w:val="en-GB"/>
        </w:rPr>
      </w:pPr>
      <w:r>
        <w:rPr>
          <w:rStyle w:val="Odwoanieprzypisudolnego"/>
        </w:rPr>
        <w:footnoteRef/>
      </w:r>
      <w:r w:rsidRPr="00D910D8">
        <w:rPr>
          <w:lang w:val="en-GB"/>
        </w:rPr>
        <w:t xml:space="preserve"> </w:t>
      </w:r>
      <w:r w:rsidRPr="00E055E4">
        <w:rPr>
          <w:sz w:val="19"/>
          <w:szCs w:val="19"/>
          <w:lang w:val="en-GB"/>
        </w:rPr>
        <w:t>Gross capital formation measures the increase in wealth, including, in value terms, gross fixed capital formation, the increase in tangible current assets, and the acquisition of valuable assets less their disposal.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DCE83E" w14:textId="1349A005" w:rsidR="000662E2" w:rsidRDefault="00D972F6" w:rsidP="002D37FA">
    <w:pPr>
      <w:tabs>
        <w:tab w:val="left" w:pos="2980"/>
      </w:tabs>
      <w:spacing w:after="360"/>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A45B4F"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94277A" w14:textId="72C5BBD6" w:rsidR="00F32749" w:rsidRDefault="00287211" w:rsidP="00287211">
    <w:pPr>
      <w:tabs>
        <w:tab w:val="left" w:pos="6098"/>
      </w:tabs>
      <w:spacing w:before="240" w:after="840"/>
      <w:rPr>
        <w:noProof/>
        <w:lang w:eastAsia="pl-PL"/>
      </w:rPr>
    </w:pPr>
    <w:r>
      <w:rPr>
        <w:noProof/>
        <w:shd w:val="clear" w:color="auto" w:fill="FFFFFF"/>
        <w:lang w:eastAsia="pl-PL"/>
      </w:rPr>
      <w:drawing>
        <wp:anchor distT="0" distB="0" distL="114300" distR="114300" simplePos="0" relativeHeight="251675648" behindDoc="0" locked="0" layoutInCell="1" allowOverlap="1" wp14:anchorId="3F0BC617" wp14:editId="556B0158">
          <wp:simplePos x="0" y="0"/>
          <wp:positionH relativeFrom="column">
            <wp:posOffset>0</wp:posOffset>
          </wp:positionH>
          <wp:positionV relativeFrom="paragraph">
            <wp:posOffset>48895</wp:posOffset>
          </wp:positionV>
          <wp:extent cx="1838325" cy="696595"/>
          <wp:effectExtent l="0" t="0" r="9525" b="0"/>
          <wp:wrapSquare wrapText="bothSides"/>
          <wp:docPr id="15" name="Obraz 15"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B5C7F">
      <w:rPr>
        <w:noProof/>
        <w:lang w:eastAsia="pl-PL"/>
      </w:rPr>
      <mc:AlternateContent>
        <mc:Choice Requires="wps">
          <w:drawing>
            <wp:anchor distT="0" distB="0" distL="114300" distR="114300" simplePos="0" relativeHeight="251666432" behindDoc="1" locked="0" layoutInCell="1" allowOverlap="1" wp14:anchorId="5CAA771D" wp14:editId="1F39B3B4">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34B3EA"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596B64" w:rsidRPr="00F37172">
      <w:rPr>
        <w:noProof/>
        <w:lang w:eastAsia="pl-PL"/>
      </w:rPr>
      <mc:AlternateContent>
        <mc:Choice Requires="wps">
          <w:drawing>
            <wp:anchor distT="45720" distB="45720" distL="114300" distR="114300" simplePos="0" relativeHeight="251669504" behindDoc="0" locked="0" layoutInCell="1" allowOverlap="1" wp14:anchorId="65476D37" wp14:editId="02472261">
              <wp:simplePos x="0" y="0"/>
              <wp:positionH relativeFrom="column">
                <wp:posOffset>5287645</wp:posOffset>
              </wp:positionH>
              <wp:positionV relativeFrom="paragraph">
                <wp:posOffset>918072</wp:posOffset>
              </wp:positionV>
              <wp:extent cx="1432293" cy="336589"/>
              <wp:effectExtent l="0" t="0" r="0" b="6350"/>
              <wp:wrapNone/>
              <wp:docPr id="8" name="Pole tekstowe 2" descr="Date of publication: 25.02.2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0D783F0A" w:rsidR="00F37172" w:rsidRPr="00A01B40" w:rsidRDefault="001172DB" w:rsidP="00F049AB">
                          <w:pPr>
                            <w:pStyle w:val="Datainformacjisygnalnej"/>
                          </w:pPr>
                          <w:r>
                            <w:t>25</w:t>
                          </w:r>
                          <w:r w:rsidR="00287211">
                            <w:t>.</w:t>
                          </w:r>
                          <w:r>
                            <w:t>02</w:t>
                          </w:r>
                          <w:r w:rsidR="00287211">
                            <w:t>.</w:t>
                          </w:r>
                          <w:r>
                            <w:t>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0" type="#_x0000_t202" alt="Date of publication: 25.02.2026" style="position:absolute;margin-left:416.35pt;margin-top:72.3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" filled="f" stroked="f">
              <v:textbox>
                <w:txbxContent>
                  <w:p w14:paraId="71967FEA" w14:textId="0D783F0A" w:rsidR="00F37172" w:rsidRPr="00A01B40" w:rsidRDefault="001172DB" w:rsidP="00F049AB">
                    <w:pPr>
                      <w:pStyle w:val="Datainformacjisygnalnej"/>
                    </w:pPr>
                    <w:r>
                      <w:t>25</w:t>
                    </w:r>
                    <w:r w:rsidR="00287211">
                      <w:t>.</w:t>
                    </w:r>
                    <w:r>
                      <w:t>02</w:t>
                    </w:r>
                    <w:r w:rsidR="00287211">
                      <w:t>.</w:t>
                    </w:r>
                    <w:r>
                      <w:t>2026</w:t>
                    </w:r>
                  </w:p>
                </w:txbxContent>
              </v:textbox>
            </v:shape>
          </w:pict>
        </mc:Fallback>
      </mc:AlternateContent>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04742530">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39CC80EA" w:rsidR="00F37172" w:rsidRPr="003C6C8D" w:rsidRDefault="00287211" w:rsidP="00287211">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31"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6+1UgYAACc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39CC80EA" w:rsidR="00F37172" w:rsidRPr="003C6C8D" w:rsidRDefault="00287211" w:rsidP="00287211">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71B0E8" w14:textId="77777777" w:rsidR="00786578" w:rsidRDefault="00786578"/>
  <w:p w14:paraId="3F80A880" w14:textId="77777777" w:rsidR="001B22E0" w:rsidRDefault="001B22E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3pt;height:123pt;visibility:visible;mso-wrap-style:square" o:bullet="t">
        <v:imagedata r:id="rId1" o:title=""/>
      </v:shape>
    </w:pict>
  </w:numPicBullet>
  <w:numPicBullet w:numPicBulletId="1">
    <w:pict>
      <v:shape id="_x0000_i1027" type="#_x0000_t75" style="width:121.5pt;height:123pt;visibility:visible;mso-wrap-style:square" o:bullet="t">
        <v:imagedata r:id="rId2" o:title=""/>
      </v:shape>
    </w:pict>
  </w:numPicBullet>
  <w:numPicBullet w:numPicBulletId="2">
    <w:pict>
      <v:shape id="_x0000_i1028" type="#_x0000_t75" style="width:22.5pt;height:22.5pt;visibility:visible;mso-wrap-style:square" o:bullet="t">
        <v:imagedata r:id="rId3" o:title=""/>
      </v:shape>
    </w:pict>
  </w:numPicBullet>
  <w:numPicBullet w:numPicBulletId="3">
    <w:pict>
      <v:shape id="_x0000_i1029" type="#_x0000_t75" style="width:22.5pt;height:22.5pt;visibility:visible;mso-wrap-style:square" o:bullet="t">
        <v:imagedata r:id="rId4"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6" w15:restartNumberingAfterBreak="0">
    <w:nsid w:val="73C77535"/>
    <w:multiLevelType w:val="hybridMultilevel"/>
    <w:tmpl w:val="73145A04"/>
    <w:lvl w:ilvl="0" w:tplc="0FF446F0">
      <w:start w:val="1"/>
      <w:numFmt w:val="bullet"/>
      <w:pStyle w:val="Akapitzlis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3437"/>
    <w:rsid w:val="00003FA6"/>
    <w:rsid w:val="0000709F"/>
    <w:rsid w:val="00010766"/>
    <w:rsid w:val="000108B8"/>
    <w:rsid w:val="000152F5"/>
    <w:rsid w:val="0004582E"/>
    <w:rsid w:val="000470AA"/>
    <w:rsid w:val="000572A8"/>
    <w:rsid w:val="00057CA1"/>
    <w:rsid w:val="000647A9"/>
    <w:rsid w:val="000662E2"/>
    <w:rsid w:val="00066883"/>
    <w:rsid w:val="00071B39"/>
    <w:rsid w:val="000741F2"/>
    <w:rsid w:val="00074DD8"/>
    <w:rsid w:val="00075759"/>
    <w:rsid w:val="00075BD4"/>
    <w:rsid w:val="000806F7"/>
    <w:rsid w:val="00097840"/>
    <w:rsid w:val="000A0F1F"/>
    <w:rsid w:val="000A7C20"/>
    <w:rsid w:val="000B0727"/>
    <w:rsid w:val="000C135D"/>
    <w:rsid w:val="000D1D43"/>
    <w:rsid w:val="000D225C"/>
    <w:rsid w:val="000D2A5C"/>
    <w:rsid w:val="000D39F0"/>
    <w:rsid w:val="000D4F03"/>
    <w:rsid w:val="000E0918"/>
    <w:rsid w:val="000E7594"/>
    <w:rsid w:val="000E79A9"/>
    <w:rsid w:val="00101161"/>
    <w:rsid w:val="001011C3"/>
    <w:rsid w:val="00106DA3"/>
    <w:rsid w:val="00110214"/>
    <w:rsid w:val="00110D87"/>
    <w:rsid w:val="00111CF4"/>
    <w:rsid w:val="00112399"/>
    <w:rsid w:val="00114DB9"/>
    <w:rsid w:val="00116087"/>
    <w:rsid w:val="001172DB"/>
    <w:rsid w:val="00117711"/>
    <w:rsid w:val="00123B02"/>
    <w:rsid w:val="00126F60"/>
    <w:rsid w:val="00130296"/>
    <w:rsid w:val="00133E7B"/>
    <w:rsid w:val="00134145"/>
    <w:rsid w:val="00136736"/>
    <w:rsid w:val="00136740"/>
    <w:rsid w:val="00136D67"/>
    <w:rsid w:val="001423B6"/>
    <w:rsid w:val="001448A7"/>
    <w:rsid w:val="00146621"/>
    <w:rsid w:val="0016099F"/>
    <w:rsid w:val="001617E3"/>
    <w:rsid w:val="00162325"/>
    <w:rsid w:val="0017190C"/>
    <w:rsid w:val="00171E3A"/>
    <w:rsid w:val="001951DA"/>
    <w:rsid w:val="00197A7A"/>
    <w:rsid w:val="001A3C1E"/>
    <w:rsid w:val="001B053D"/>
    <w:rsid w:val="001B22E0"/>
    <w:rsid w:val="001C3269"/>
    <w:rsid w:val="001D19B6"/>
    <w:rsid w:val="001D1DB4"/>
    <w:rsid w:val="001D23F1"/>
    <w:rsid w:val="001D25F9"/>
    <w:rsid w:val="001D61ED"/>
    <w:rsid w:val="001E5B2D"/>
    <w:rsid w:val="001E6BF8"/>
    <w:rsid w:val="001F13DB"/>
    <w:rsid w:val="001F3471"/>
    <w:rsid w:val="0020156C"/>
    <w:rsid w:val="00216634"/>
    <w:rsid w:val="00217A35"/>
    <w:rsid w:val="00237C22"/>
    <w:rsid w:val="00242D31"/>
    <w:rsid w:val="00253AB6"/>
    <w:rsid w:val="0025481E"/>
    <w:rsid w:val="002574F9"/>
    <w:rsid w:val="00260F32"/>
    <w:rsid w:val="00262B61"/>
    <w:rsid w:val="00262CC6"/>
    <w:rsid w:val="00263BA9"/>
    <w:rsid w:val="00263E08"/>
    <w:rsid w:val="002762FD"/>
    <w:rsid w:val="00276811"/>
    <w:rsid w:val="00282699"/>
    <w:rsid w:val="00287211"/>
    <w:rsid w:val="002926DF"/>
    <w:rsid w:val="00296697"/>
    <w:rsid w:val="002A21E1"/>
    <w:rsid w:val="002A5404"/>
    <w:rsid w:val="002B0472"/>
    <w:rsid w:val="002B6B12"/>
    <w:rsid w:val="002C21F0"/>
    <w:rsid w:val="002D01DF"/>
    <w:rsid w:val="002D37FA"/>
    <w:rsid w:val="002E3EB3"/>
    <w:rsid w:val="002E6140"/>
    <w:rsid w:val="002E6985"/>
    <w:rsid w:val="002E71B6"/>
    <w:rsid w:val="002F35F6"/>
    <w:rsid w:val="002F77C8"/>
    <w:rsid w:val="002F7CBF"/>
    <w:rsid w:val="0030079A"/>
    <w:rsid w:val="00304A03"/>
    <w:rsid w:val="00304F22"/>
    <w:rsid w:val="00306C7C"/>
    <w:rsid w:val="00313F5C"/>
    <w:rsid w:val="00314F86"/>
    <w:rsid w:val="00317F4D"/>
    <w:rsid w:val="00322EDD"/>
    <w:rsid w:val="003309FA"/>
    <w:rsid w:val="00331135"/>
    <w:rsid w:val="00332320"/>
    <w:rsid w:val="00333342"/>
    <w:rsid w:val="00336999"/>
    <w:rsid w:val="00340F5D"/>
    <w:rsid w:val="00347D72"/>
    <w:rsid w:val="00353F45"/>
    <w:rsid w:val="00357611"/>
    <w:rsid w:val="003577E7"/>
    <w:rsid w:val="00362C3A"/>
    <w:rsid w:val="0036432A"/>
    <w:rsid w:val="00364AF9"/>
    <w:rsid w:val="00367237"/>
    <w:rsid w:val="0037077F"/>
    <w:rsid w:val="00372411"/>
    <w:rsid w:val="00373882"/>
    <w:rsid w:val="003843DB"/>
    <w:rsid w:val="003877B8"/>
    <w:rsid w:val="00391929"/>
    <w:rsid w:val="00393761"/>
    <w:rsid w:val="003937A5"/>
    <w:rsid w:val="00394E26"/>
    <w:rsid w:val="00396691"/>
    <w:rsid w:val="00397D18"/>
    <w:rsid w:val="003A1B36"/>
    <w:rsid w:val="003B1454"/>
    <w:rsid w:val="003B18B6"/>
    <w:rsid w:val="003B66E8"/>
    <w:rsid w:val="003C0C8B"/>
    <w:rsid w:val="003C161B"/>
    <w:rsid w:val="003C59E0"/>
    <w:rsid w:val="003C6A24"/>
    <w:rsid w:val="003C6C8D"/>
    <w:rsid w:val="003D0A8D"/>
    <w:rsid w:val="003D2656"/>
    <w:rsid w:val="003D4F95"/>
    <w:rsid w:val="003D5F42"/>
    <w:rsid w:val="003D60A9"/>
    <w:rsid w:val="003D72DD"/>
    <w:rsid w:val="003E4367"/>
    <w:rsid w:val="003F0BD9"/>
    <w:rsid w:val="003F4C97"/>
    <w:rsid w:val="003F666D"/>
    <w:rsid w:val="003F7FE6"/>
    <w:rsid w:val="00400193"/>
    <w:rsid w:val="0041220B"/>
    <w:rsid w:val="00416EAF"/>
    <w:rsid w:val="0041798E"/>
    <w:rsid w:val="004212E7"/>
    <w:rsid w:val="00423C88"/>
    <w:rsid w:val="0042446D"/>
    <w:rsid w:val="00427BF8"/>
    <w:rsid w:val="00430CC3"/>
    <w:rsid w:val="00431C02"/>
    <w:rsid w:val="004350AB"/>
    <w:rsid w:val="00437395"/>
    <w:rsid w:val="00445047"/>
    <w:rsid w:val="00446749"/>
    <w:rsid w:val="00453EB7"/>
    <w:rsid w:val="00463E39"/>
    <w:rsid w:val="004657FC"/>
    <w:rsid w:val="004733F6"/>
    <w:rsid w:val="00474E69"/>
    <w:rsid w:val="0047786B"/>
    <w:rsid w:val="00482202"/>
    <w:rsid w:val="00483E9F"/>
    <w:rsid w:val="004841E9"/>
    <w:rsid w:val="00485A2C"/>
    <w:rsid w:val="00487935"/>
    <w:rsid w:val="0049621B"/>
    <w:rsid w:val="0049717D"/>
    <w:rsid w:val="004A1D19"/>
    <w:rsid w:val="004B1564"/>
    <w:rsid w:val="004B4292"/>
    <w:rsid w:val="004B58B7"/>
    <w:rsid w:val="004C1895"/>
    <w:rsid w:val="004C6D40"/>
    <w:rsid w:val="004D5710"/>
    <w:rsid w:val="004E6AA8"/>
    <w:rsid w:val="004F0C3C"/>
    <w:rsid w:val="004F21A0"/>
    <w:rsid w:val="004F2280"/>
    <w:rsid w:val="004F23BB"/>
    <w:rsid w:val="004F63FC"/>
    <w:rsid w:val="00501BF6"/>
    <w:rsid w:val="00503558"/>
    <w:rsid w:val="00503641"/>
    <w:rsid w:val="00505A92"/>
    <w:rsid w:val="00505BF7"/>
    <w:rsid w:val="00506A77"/>
    <w:rsid w:val="005203F1"/>
    <w:rsid w:val="00521BC3"/>
    <w:rsid w:val="00531873"/>
    <w:rsid w:val="00533632"/>
    <w:rsid w:val="00534013"/>
    <w:rsid w:val="00540C5C"/>
    <w:rsid w:val="00541E6E"/>
    <w:rsid w:val="0054251F"/>
    <w:rsid w:val="005438AB"/>
    <w:rsid w:val="005520D8"/>
    <w:rsid w:val="00553507"/>
    <w:rsid w:val="00555CFB"/>
    <w:rsid w:val="00556ADB"/>
    <w:rsid w:val="00556CF1"/>
    <w:rsid w:val="005762A7"/>
    <w:rsid w:val="00581F71"/>
    <w:rsid w:val="00587CEE"/>
    <w:rsid w:val="005916D7"/>
    <w:rsid w:val="0059427F"/>
    <w:rsid w:val="00596B64"/>
    <w:rsid w:val="005A698C"/>
    <w:rsid w:val="005B6AE9"/>
    <w:rsid w:val="005B7EBC"/>
    <w:rsid w:val="005B7FAE"/>
    <w:rsid w:val="005C0CAC"/>
    <w:rsid w:val="005D0245"/>
    <w:rsid w:val="005D062E"/>
    <w:rsid w:val="005D2F6B"/>
    <w:rsid w:val="005D334E"/>
    <w:rsid w:val="005E0799"/>
    <w:rsid w:val="005E10F9"/>
    <w:rsid w:val="005E1200"/>
    <w:rsid w:val="005F45EE"/>
    <w:rsid w:val="005F5A80"/>
    <w:rsid w:val="005F7611"/>
    <w:rsid w:val="006044FF"/>
    <w:rsid w:val="00607CC5"/>
    <w:rsid w:val="0061179B"/>
    <w:rsid w:val="006125F9"/>
    <w:rsid w:val="00633014"/>
    <w:rsid w:val="0063437B"/>
    <w:rsid w:val="0063660D"/>
    <w:rsid w:val="0064017E"/>
    <w:rsid w:val="006459CE"/>
    <w:rsid w:val="00654BB6"/>
    <w:rsid w:val="00656AF5"/>
    <w:rsid w:val="006673CA"/>
    <w:rsid w:val="00673C26"/>
    <w:rsid w:val="00673F75"/>
    <w:rsid w:val="00674DE5"/>
    <w:rsid w:val="00677ACA"/>
    <w:rsid w:val="006812AF"/>
    <w:rsid w:val="0068327D"/>
    <w:rsid w:val="00691534"/>
    <w:rsid w:val="00693880"/>
    <w:rsid w:val="00694AF0"/>
    <w:rsid w:val="006A4686"/>
    <w:rsid w:val="006B0E9E"/>
    <w:rsid w:val="006B486D"/>
    <w:rsid w:val="006B515E"/>
    <w:rsid w:val="006B5AE4"/>
    <w:rsid w:val="006C11E6"/>
    <w:rsid w:val="006D1507"/>
    <w:rsid w:val="006D1608"/>
    <w:rsid w:val="006D4054"/>
    <w:rsid w:val="006D7409"/>
    <w:rsid w:val="006E02EC"/>
    <w:rsid w:val="006E3C4F"/>
    <w:rsid w:val="006E6F41"/>
    <w:rsid w:val="006E73E6"/>
    <w:rsid w:val="006F67D7"/>
    <w:rsid w:val="006F6B9F"/>
    <w:rsid w:val="007102D5"/>
    <w:rsid w:val="00710E54"/>
    <w:rsid w:val="0071157F"/>
    <w:rsid w:val="007211B1"/>
    <w:rsid w:val="007277DA"/>
    <w:rsid w:val="00731D27"/>
    <w:rsid w:val="007357EB"/>
    <w:rsid w:val="00742174"/>
    <w:rsid w:val="00746187"/>
    <w:rsid w:val="0076254F"/>
    <w:rsid w:val="00762F43"/>
    <w:rsid w:val="0077599B"/>
    <w:rsid w:val="007801F5"/>
    <w:rsid w:val="00783CA4"/>
    <w:rsid w:val="007842FB"/>
    <w:rsid w:val="00786124"/>
    <w:rsid w:val="00786578"/>
    <w:rsid w:val="0079514B"/>
    <w:rsid w:val="00795252"/>
    <w:rsid w:val="007A2DC1"/>
    <w:rsid w:val="007B5F9A"/>
    <w:rsid w:val="007D0869"/>
    <w:rsid w:val="007D14C4"/>
    <w:rsid w:val="007D3319"/>
    <w:rsid w:val="007D335D"/>
    <w:rsid w:val="007D605C"/>
    <w:rsid w:val="007E3314"/>
    <w:rsid w:val="007E3514"/>
    <w:rsid w:val="007E4B03"/>
    <w:rsid w:val="007E5A69"/>
    <w:rsid w:val="007F324B"/>
    <w:rsid w:val="007F6493"/>
    <w:rsid w:val="0080553C"/>
    <w:rsid w:val="00805B46"/>
    <w:rsid w:val="00805DB4"/>
    <w:rsid w:val="00815D44"/>
    <w:rsid w:val="008179CF"/>
    <w:rsid w:val="00823593"/>
    <w:rsid w:val="00825DC2"/>
    <w:rsid w:val="00827493"/>
    <w:rsid w:val="00834AD3"/>
    <w:rsid w:val="008353DB"/>
    <w:rsid w:val="00843795"/>
    <w:rsid w:val="00847F0F"/>
    <w:rsid w:val="00852448"/>
    <w:rsid w:val="00852466"/>
    <w:rsid w:val="008635C8"/>
    <w:rsid w:val="00877F6C"/>
    <w:rsid w:val="0088258A"/>
    <w:rsid w:val="00886332"/>
    <w:rsid w:val="008925F0"/>
    <w:rsid w:val="008938CA"/>
    <w:rsid w:val="0089448A"/>
    <w:rsid w:val="00897877"/>
    <w:rsid w:val="008A15CA"/>
    <w:rsid w:val="008A26D9"/>
    <w:rsid w:val="008A7B5B"/>
    <w:rsid w:val="008B12D2"/>
    <w:rsid w:val="008C0C29"/>
    <w:rsid w:val="008D02DA"/>
    <w:rsid w:val="008D4E26"/>
    <w:rsid w:val="008D76BC"/>
    <w:rsid w:val="008E63E1"/>
    <w:rsid w:val="008E7D50"/>
    <w:rsid w:val="008E7DBA"/>
    <w:rsid w:val="008F0829"/>
    <w:rsid w:val="008F3638"/>
    <w:rsid w:val="008F4441"/>
    <w:rsid w:val="008F6B20"/>
    <w:rsid w:val="008F6F31"/>
    <w:rsid w:val="008F74DF"/>
    <w:rsid w:val="00902274"/>
    <w:rsid w:val="009127BA"/>
    <w:rsid w:val="00920AAE"/>
    <w:rsid w:val="009227A6"/>
    <w:rsid w:val="00933EC1"/>
    <w:rsid w:val="00935E1E"/>
    <w:rsid w:val="009446AD"/>
    <w:rsid w:val="009530DB"/>
    <w:rsid w:val="00953676"/>
    <w:rsid w:val="00956F30"/>
    <w:rsid w:val="009649D2"/>
    <w:rsid w:val="00965C7D"/>
    <w:rsid w:val="009664F7"/>
    <w:rsid w:val="00966C9A"/>
    <w:rsid w:val="00967527"/>
    <w:rsid w:val="009705EE"/>
    <w:rsid w:val="00977927"/>
    <w:rsid w:val="00980AF3"/>
    <w:rsid w:val="0098135C"/>
    <w:rsid w:val="0098156A"/>
    <w:rsid w:val="00991BAC"/>
    <w:rsid w:val="00993989"/>
    <w:rsid w:val="009A6EA0"/>
    <w:rsid w:val="009A6F0B"/>
    <w:rsid w:val="009B2A4A"/>
    <w:rsid w:val="009B5730"/>
    <w:rsid w:val="009C1335"/>
    <w:rsid w:val="009C1AB2"/>
    <w:rsid w:val="009C7251"/>
    <w:rsid w:val="009D0892"/>
    <w:rsid w:val="009E2E91"/>
    <w:rsid w:val="009F0A4F"/>
    <w:rsid w:val="00A01B40"/>
    <w:rsid w:val="00A03BEC"/>
    <w:rsid w:val="00A1359F"/>
    <w:rsid w:val="00A139F5"/>
    <w:rsid w:val="00A27FC7"/>
    <w:rsid w:val="00A32E16"/>
    <w:rsid w:val="00A365F4"/>
    <w:rsid w:val="00A427AF"/>
    <w:rsid w:val="00A43449"/>
    <w:rsid w:val="00A460CD"/>
    <w:rsid w:val="00A46A86"/>
    <w:rsid w:val="00A47B0E"/>
    <w:rsid w:val="00A47D80"/>
    <w:rsid w:val="00A53132"/>
    <w:rsid w:val="00A563F2"/>
    <w:rsid w:val="00A566E8"/>
    <w:rsid w:val="00A61BBA"/>
    <w:rsid w:val="00A65C31"/>
    <w:rsid w:val="00A66347"/>
    <w:rsid w:val="00A7038E"/>
    <w:rsid w:val="00A757D1"/>
    <w:rsid w:val="00A810F9"/>
    <w:rsid w:val="00A82D31"/>
    <w:rsid w:val="00A85E48"/>
    <w:rsid w:val="00A85E7E"/>
    <w:rsid w:val="00A86EC0"/>
    <w:rsid w:val="00A86ECC"/>
    <w:rsid w:val="00A86FCC"/>
    <w:rsid w:val="00A90A6D"/>
    <w:rsid w:val="00A92B87"/>
    <w:rsid w:val="00A971E5"/>
    <w:rsid w:val="00A97238"/>
    <w:rsid w:val="00AA710D"/>
    <w:rsid w:val="00AB1F20"/>
    <w:rsid w:val="00AB64F3"/>
    <w:rsid w:val="00AB6D25"/>
    <w:rsid w:val="00AC0B07"/>
    <w:rsid w:val="00AD0E56"/>
    <w:rsid w:val="00AD4BFC"/>
    <w:rsid w:val="00AD6872"/>
    <w:rsid w:val="00AE229B"/>
    <w:rsid w:val="00AE2D4B"/>
    <w:rsid w:val="00AE4F99"/>
    <w:rsid w:val="00AE7EE6"/>
    <w:rsid w:val="00B02B2F"/>
    <w:rsid w:val="00B101B4"/>
    <w:rsid w:val="00B11B69"/>
    <w:rsid w:val="00B14952"/>
    <w:rsid w:val="00B16871"/>
    <w:rsid w:val="00B25B45"/>
    <w:rsid w:val="00B31E5A"/>
    <w:rsid w:val="00B47359"/>
    <w:rsid w:val="00B653AB"/>
    <w:rsid w:val="00B65F9E"/>
    <w:rsid w:val="00B66B19"/>
    <w:rsid w:val="00B71D70"/>
    <w:rsid w:val="00B7386E"/>
    <w:rsid w:val="00B84C43"/>
    <w:rsid w:val="00B914E9"/>
    <w:rsid w:val="00B956EE"/>
    <w:rsid w:val="00BA2BA1"/>
    <w:rsid w:val="00BA3447"/>
    <w:rsid w:val="00BA3562"/>
    <w:rsid w:val="00BB26D3"/>
    <w:rsid w:val="00BB4F09"/>
    <w:rsid w:val="00BB54B5"/>
    <w:rsid w:val="00BB5522"/>
    <w:rsid w:val="00BC4322"/>
    <w:rsid w:val="00BD0EE6"/>
    <w:rsid w:val="00BD4E33"/>
    <w:rsid w:val="00C030DE"/>
    <w:rsid w:val="00C051A8"/>
    <w:rsid w:val="00C22105"/>
    <w:rsid w:val="00C244B6"/>
    <w:rsid w:val="00C27BF1"/>
    <w:rsid w:val="00C310E6"/>
    <w:rsid w:val="00C3702F"/>
    <w:rsid w:val="00C44084"/>
    <w:rsid w:val="00C4500A"/>
    <w:rsid w:val="00C5148D"/>
    <w:rsid w:val="00C62238"/>
    <w:rsid w:val="00C64A37"/>
    <w:rsid w:val="00C7158E"/>
    <w:rsid w:val="00C7250B"/>
    <w:rsid w:val="00C7346B"/>
    <w:rsid w:val="00C77C0E"/>
    <w:rsid w:val="00C91687"/>
    <w:rsid w:val="00C924A8"/>
    <w:rsid w:val="00C945FE"/>
    <w:rsid w:val="00C95957"/>
    <w:rsid w:val="00C96FAA"/>
    <w:rsid w:val="00C97A04"/>
    <w:rsid w:val="00CA107B"/>
    <w:rsid w:val="00CA2619"/>
    <w:rsid w:val="00CA484D"/>
    <w:rsid w:val="00CA4FB6"/>
    <w:rsid w:val="00CB0110"/>
    <w:rsid w:val="00CB0BC5"/>
    <w:rsid w:val="00CB2F90"/>
    <w:rsid w:val="00CB5C7F"/>
    <w:rsid w:val="00CB6AD4"/>
    <w:rsid w:val="00CC739E"/>
    <w:rsid w:val="00CD1EBB"/>
    <w:rsid w:val="00CD28CF"/>
    <w:rsid w:val="00CD58B7"/>
    <w:rsid w:val="00CD7967"/>
    <w:rsid w:val="00CE6A09"/>
    <w:rsid w:val="00CF18EE"/>
    <w:rsid w:val="00CF30BD"/>
    <w:rsid w:val="00CF371D"/>
    <w:rsid w:val="00CF4099"/>
    <w:rsid w:val="00D00796"/>
    <w:rsid w:val="00D261A2"/>
    <w:rsid w:val="00D616D2"/>
    <w:rsid w:val="00D63B5F"/>
    <w:rsid w:val="00D6541D"/>
    <w:rsid w:val="00D70EF7"/>
    <w:rsid w:val="00D8397C"/>
    <w:rsid w:val="00D942B1"/>
    <w:rsid w:val="00D94EED"/>
    <w:rsid w:val="00D96026"/>
    <w:rsid w:val="00D972F6"/>
    <w:rsid w:val="00DA331D"/>
    <w:rsid w:val="00DA7C1C"/>
    <w:rsid w:val="00DB147A"/>
    <w:rsid w:val="00DB1B7A"/>
    <w:rsid w:val="00DB6A3B"/>
    <w:rsid w:val="00DB706E"/>
    <w:rsid w:val="00DC6708"/>
    <w:rsid w:val="00DD011A"/>
    <w:rsid w:val="00DD23C1"/>
    <w:rsid w:val="00DD257F"/>
    <w:rsid w:val="00DE2400"/>
    <w:rsid w:val="00DE58F1"/>
    <w:rsid w:val="00DE6B58"/>
    <w:rsid w:val="00DE6C02"/>
    <w:rsid w:val="00DF5E32"/>
    <w:rsid w:val="00E01436"/>
    <w:rsid w:val="00E01954"/>
    <w:rsid w:val="00E03E79"/>
    <w:rsid w:val="00E045BD"/>
    <w:rsid w:val="00E04D6C"/>
    <w:rsid w:val="00E0559B"/>
    <w:rsid w:val="00E150EA"/>
    <w:rsid w:val="00E17B77"/>
    <w:rsid w:val="00E231AB"/>
    <w:rsid w:val="00E23337"/>
    <w:rsid w:val="00E259EA"/>
    <w:rsid w:val="00E25D33"/>
    <w:rsid w:val="00E2752C"/>
    <w:rsid w:val="00E32061"/>
    <w:rsid w:val="00E33F48"/>
    <w:rsid w:val="00E42FF9"/>
    <w:rsid w:val="00E44790"/>
    <w:rsid w:val="00E4714C"/>
    <w:rsid w:val="00E5178D"/>
    <w:rsid w:val="00E51AEB"/>
    <w:rsid w:val="00E522A7"/>
    <w:rsid w:val="00E5349E"/>
    <w:rsid w:val="00E54452"/>
    <w:rsid w:val="00E63B0C"/>
    <w:rsid w:val="00E664C5"/>
    <w:rsid w:val="00E671A2"/>
    <w:rsid w:val="00E76D26"/>
    <w:rsid w:val="00E76EE5"/>
    <w:rsid w:val="00E77D2D"/>
    <w:rsid w:val="00E95036"/>
    <w:rsid w:val="00E95B8E"/>
    <w:rsid w:val="00EB1390"/>
    <w:rsid w:val="00EB1DC0"/>
    <w:rsid w:val="00EB2C71"/>
    <w:rsid w:val="00EB3333"/>
    <w:rsid w:val="00EB4340"/>
    <w:rsid w:val="00EB556D"/>
    <w:rsid w:val="00EB5A7D"/>
    <w:rsid w:val="00ED55C0"/>
    <w:rsid w:val="00ED682B"/>
    <w:rsid w:val="00EE41D5"/>
    <w:rsid w:val="00EE5940"/>
    <w:rsid w:val="00F0166F"/>
    <w:rsid w:val="00F037A4"/>
    <w:rsid w:val="00F03D62"/>
    <w:rsid w:val="00F049AB"/>
    <w:rsid w:val="00F142DB"/>
    <w:rsid w:val="00F27C8F"/>
    <w:rsid w:val="00F32749"/>
    <w:rsid w:val="00F37172"/>
    <w:rsid w:val="00F37727"/>
    <w:rsid w:val="00F4097B"/>
    <w:rsid w:val="00F40BB1"/>
    <w:rsid w:val="00F4477E"/>
    <w:rsid w:val="00F46269"/>
    <w:rsid w:val="00F60BA8"/>
    <w:rsid w:val="00F64D7C"/>
    <w:rsid w:val="00F65A5A"/>
    <w:rsid w:val="00F67D8F"/>
    <w:rsid w:val="00F802BE"/>
    <w:rsid w:val="00F80E93"/>
    <w:rsid w:val="00F8129E"/>
    <w:rsid w:val="00F86024"/>
    <w:rsid w:val="00F8611A"/>
    <w:rsid w:val="00F866B3"/>
    <w:rsid w:val="00FA3E6A"/>
    <w:rsid w:val="00FA5128"/>
    <w:rsid w:val="00FA7240"/>
    <w:rsid w:val="00FB01B8"/>
    <w:rsid w:val="00FB42D4"/>
    <w:rsid w:val="00FB5906"/>
    <w:rsid w:val="00FB7150"/>
    <w:rsid w:val="00FB762F"/>
    <w:rsid w:val="00FC2AED"/>
    <w:rsid w:val="00FC5F4F"/>
    <w:rsid w:val="00FD08AE"/>
    <w:rsid w:val="00FD2E22"/>
    <w:rsid w:val="00FD5EA7"/>
    <w:rsid w:val="00FE36CF"/>
    <w:rsid w:val="00FF02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A7038E"/>
    <w:pPr>
      <w:suppressAutoHyphens/>
      <w:spacing w:before="120" w:after="120" w:line="288" w:lineRule="auto"/>
    </w:pPr>
    <w:rPr>
      <w:rFonts w:ascii="Fira Sans" w:hAnsi="Fira Sans"/>
      <w:sz w:val="19"/>
    </w:rPr>
  </w:style>
  <w:style w:type="paragraph" w:styleId="Nagwek1">
    <w:name w:val="heading 1"/>
    <w:aliases w:val="Tytuł sygnalnej,tytuł podrozdziału"/>
    <w:basedOn w:val="Normalny"/>
    <w:next w:val="Normalny"/>
    <w:link w:val="Nagwek1Znak"/>
    <w:qFormat/>
    <w:rsid w:val="004841E9"/>
    <w:pPr>
      <w:spacing w:after="600" w:line="240" w:lineRule="auto"/>
      <w:outlineLvl w:val="0"/>
    </w:pPr>
    <w:rPr>
      <w:rFonts w:ascii="Fira Sans Extra Condensed SemiB" w:hAnsi="Fira Sans Extra Condensed SemiB"/>
      <w:color w:val="000000" w:themeColor="text1"/>
      <w:sz w:val="40"/>
      <w:szCs w:val="26"/>
      <w:shd w:val="clear" w:color="auto" w:fill="FFFFFF"/>
      <w:lang w:val="en-GB"/>
    </w:rPr>
  </w:style>
  <w:style w:type="paragraph" w:styleId="Nagwek2">
    <w:name w:val="heading 2"/>
    <w:next w:val="Normalny"/>
    <w:link w:val="Nagwek2Znak"/>
    <w:uiPriority w:val="9"/>
    <w:unhideWhenUsed/>
    <w:rsid w:val="004841E9"/>
    <w:pPr>
      <w:suppressAutoHyphens/>
      <w:spacing w:before="360" w:after="120" w:line="240" w:lineRule="auto"/>
      <w:outlineLvl w:val="1"/>
    </w:pPr>
    <w:rPr>
      <w:rFonts w:ascii="Fira Sans" w:eastAsia="Times New Roman" w:hAnsi="Fira Sans" w:cs="Times New Roman"/>
      <w:b/>
      <w:bCs/>
      <w:color w:val="001D77"/>
      <w:sz w:val="19"/>
      <w:szCs w:val="19"/>
      <w:lang w:val="en-GB" w:eastAsia="pl-PL"/>
    </w:rPr>
  </w:style>
  <w:style w:type="paragraph" w:styleId="Nagwek3">
    <w:name w:val="heading 3"/>
    <w:basedOn w:val="Tytuwykresu"/>
    <w:next w:val="Normalny"/>
    <w:link w:val="Nagwek3Znak"/>
    <w:uiPriority w:val="9"/>
    <w:unhideWhenUsed/>
    <w:rsid w:val="004841E9"/>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rsid w:val="004841E9"/>
    <w:pPr>
      <w:keepNext/>
      <w:keepLines/>
      <w:spacing w:after="0"/>
      <w:outlineLvl w:val="7"/>
    </w:pPr>
    <w:rPr>
      <w:rFonts w:eastAsiaTheme="majorEastAsia" w:cstheme="majorBidi"/>
      <w:b/>
      <w:color w:val="272727" w:themeColor="text1" w:themeTint="D8"/>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sygnalnej Znak,tytuł podrozdziału Znak"/>
    <w:basedOn w:val="Domylnaczcionkaakapitu"/>
    <w:link w:val="Nagwek1"/>
    <w:rsid w:val="004841E9"/>
    <w:rPr>
      <w:rFonts w:ascii="Fira Sans Extra Condensed SemiB" w:hAnsi="Fira Sans Extra Condensed SemiB"/>
      <w:color w:val="000000" w:themeColor="text1"/>
      <w:sz w:val="40"/>
      <w:szCs w:val="26"/>
      <w:lang w:val="en-GB"/>
    </w:rPr>
  </w:style>
  <w:style w:type="character" w:customStyle="1" w:styleId="Nagwek2Znak">
    <w:name w:val="Nagłówek 2 Znak"/>
    <w:basedOn w:val="Domylnaczcionkaakapitu"/>
    <w:link w:val="Nagwek2"/>
    <w:uiPriority w:val="9"/>
    <w:rsid w:val="004841E9"/>
    <w:rPr>
      <w:rFonts w:ascii="Fira Sans" w:eastAsia="Times New Roman" w:hAnsi="Fira Sans" w:cs="Times New Roman"/>
      <w:b/>
      <w:bCs/>
      <w:color w:val="001D77"/>
      <w:sz w:val="19"/>
      <w:szCs w:val="19"/>
      <w:lang w:val="en-GB" w:eastAsia="pl-PL"/>
    </w:rPr>
  </w:style>
  <w:style w:type="character" w:customStyle="1" w:styleId="Nagwek3Znak">
    <w:name w:val="Nagłówek 3 Znak"/>
    <w:basedOn w:val="Domylnaczcionkaakapitu"/>
    <w:link w:val="Nagwek3"/>
    <w:uiPriority w:val="9"/>
    <w:rsid w:val="004841E9"/>
    <w:rPr>
      <w:rFonts w:ascii="Fira Sans" w:eastAsia="Times New Roman" w:hAnsi="Fira Sans" w:cs="Times New Roman"/>
      <w:b/>
      <w:bCs/>
      <w:noProof/>
      <w:sz w:val="19"/>
      <w:szCs w:val="24"/>
      <w:lang w:val="en-GB" w:eastAsia="pl-PL"/>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4841E9"/>
    <w:rPr>
      <w:rFonts w:ascii="Fira Sans" w:eastAsiaTheme="majorEastAsia" w:hAnsi="Fira Sans" w:cstheme="majorBidi"/>
      <w:b/>
      <w:color w:val="272727" w:themeColor="text1" w:themeTint="D8"/>
      <w:sz w:val="19"/>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4841E9"/>
    <w:rPr>
      <w:rFonts w:ascii="Fira Sans" w:hAnsi="Fira Sans"/>
      <w:b/>
      <w:bCs/>
      <w:sz w:val="19"/>
      <w:lang w:val="en-GB"/>
    </w:rPr>
  </w:style>
  <w:style w:type="paragraph" w:styleId="Akapitzlist">
    <w:name w:val="List Paragraph"/>
    <w:basedOn w:val="Normalny"/>
    <w:link w:val="AkapitzlistZnak"/>
    <w:uiPriority w:val="34"/>
    <w:qFormat/>
    <w:rsid w:val="004841E9"/>
    <w:pPr>
      <w:numPr>
        <w:numId w:val="7"/>
      </w:numPr>
      <w:ind w:left="425" w:hanging="425"/>
      <w:contextualSpacing/>
    </w:pPr>
    <w:rPr>
      <w:lang w:val="en-GB"/>
    </w:r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aliases w:val="Footnote Reference Number,Footnote symbol,Footnote reference number,note TESI,Footnote Reference Superscript,SUPERS,EN Footnote Reference,Footnote number,FZ,(Voetnootmarkering),Appel note de bas de p,Nota"/>
    <w:basedOn w:val="Domylnaczcionkaakapitu"/>
    <w:uiPriority w:val="99"/>
    <w:unhideWhenUsed/>
    <w:rsid w:val="001448A7"/>
    <w:rPr>
      <w:vertAlign w:val="superscript"/>
    </w:rPr>
  </w:style>
  <w:style w:type="paragraph" w:styleId="Tytu">
    <w:name w:val="Title"/>
    <w:aliases w:val="brak"/>
    <w:basedOn w:val="Normalny"/>
    <w:next w:val="Normalny"/>
    <w:link w:val="TytuZnak"/>
    <w:uiPriority w:val="10"/>
    <w:qFormat/>
    <w:rsid w:val="004841E9"/>
    <w:pPr>
      <w:spacing w:before="0" w:after="0"/>
      <w:contextualSpacing/>
    </w:pPr>
    <w:rPr>
      <w:rFonts w:eastAsiaTheme="majorEastAsia" w:cstheme="majorBidi"/>
      <w:kern w:val="28"/>
      <w:szCs w:val="56"/>
      <w:lang w:val="en-GB"/>
    </w:rPr>
  </w:style>
  <w:style w:type="paragraph" w:customStyle="1" w:styleId="Tekstzbokuwramcenaszarympolu">
    <w:name w:val="Tekst z boku w ramce na szarym polu"/>
    <w:basedOn w:val="Normalny"/>
    <w:qFormat/>
    <w:rsid w:val="004841E9"/>
    <w:pPr>
      <w:spacing w:before="0" w:after="0" w:line="240" w:lineRule="exact"/>
    </w:pPr>
    <w:rPr>
      <w:rFonts w:eastAsia="Times New Roman" w:cs="Times New Roman"/>
      <w:bCs/>
      <w:color w:val="001D77"/>
      <w:sz w:val="18"/>
      <w:szCs w:val="18"/>
      <w:lang w:val="en-GB" w:eastAsia="pl-PL"/>
    </w:rPr>
  </w:style>
  <w:style w:type="character" w:styleId="UyteHipercze">
    <w:name w:val="FollowedHyperlink"/>
    <w:basedOn w:val="Domylnaczcionkaakapitu"/>
    <w:uiPriority w:val="99"/>
    <w:semiHidden/>
    <w:unhideWhenUsed/>
    <w:rsid w:val="005B7EBC"/>
    <w:rPr>
      <w:color w:val="954F72" w:themeColor="followedHyperlink"/>
      <w:u w:val="single"/>
    </w:rPr>
  </w:style>
  <w:style w:type="character" w:customStyle="1" w:styleId="TytuZnak">
    <w:name w:val="Tytuł Znak"/>
    <w:aliases w:val="brak Znak"/>
    <w:basedOn w:val="Domylnaczcionkaakapitu"/>
    <w:link w:val="Tytu"/>
    <w:uiPriority w:val="10"/>
    <w:rsid w:val="004841E9"/>
    <w:rPr>
      <w:rFonts w:ascii="Fira Sans" w:eastAsiaTheme="majorEastAsia" w:hAnsi="Fira Sans" w:cstheme="majorBidi"/>
      <w:kern w:val="28"/>
      <w:sz w:val="19"/>
      <w:szCs w:val="56"/>
      <w:lang w:val="en-GB"/>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Ikonawskanika">
    <w:name w:val="Ikona wskaźnika"/>
    <w:basedOn w:val="Normalny"/>
    <w:link w:val="IkonawskanikaZnak"/>
    <w:qFormat/>
    <w:rsid w:val="004841E9"/>
    <w:pPr>
      <w:autoSpaceDE w:val="0"/>
      <w:autoSpaceDN w:val="0"/>
      <w:adjustRightInd w:val="0"/>
      <w:spacing w:before="0" w:after="0" w:line="240" w:lineRule="auto"/>
    </w:pPr>
    <w:rPr>
      <w:rFonts w:ascii="Fira Sans SemiBold" w:hAnsi="Fira Sans SemiBold"/>
      <w:color w:val="66AFDE"/>
      <w:sz w:val="60"/>
      <w:szCs w:val="60"/>
      <w:lang w:val="en-GB"/>
    </w:rPr>
  </w:style>
  <w:style w:type="paragraph" w:customStyle="1" w:styleId="Wartowskanika">
    <w:name w:val="Wartość wskaźnika"/>
    <w:basedOn w:val="Normalny"/>
    <w:link w:val="WartowskanikaZnak"/>
    <w:qFormat/>
    <w:rsid w:val="004841E9"/>
    <w:pPr>
      <w:autoSpaceDE w:val="0"/>
      <w:autoSpaceDN w:val="0"/>
      <w:adjustRightInd w:val="0"/>
      <w:spacing w:before="160" w:after="0" w:line="240" w:lineRule="auto"/>
    </w:pPr>
    <w:rPr>
      <w:rFonts w:ascii="Fira Sans SemiBold" w:hAnsi="Fira Sans SemiBold"/>
      <w:color w:val="FFFFFF" w:themeColor="background1"/>
      <w:sz w:val="40"/>
      <w:szCs w:val="56"/>
      <w:lang w:val="en-GB"/>
    </w:rPr>
  </w:style>
  <w:style w:type="character" w:customStyle="1" w:styleId="IkonawskanikaZnak">
    <w:name w:val="Ikona wskaźnika Znak"/>
    <w:basedOn w:val="Domylnaczcionkaakapitu"/>
    <w:link w:val="Ikonawskanika"/>
    <w:rsid w:val="004841E9"/>
    <w:rPr>
      <w:rFonts w:ascii="Fira Sans SemiBold" w:hAnsi="Fira Sans SemiBold"/>
      <w:color w:val="66AFDE"/>
      <w:sz w:val="60"/>
      <w:szCs w:val="60"/>
      <w:lang w:val="en-GB"/>
    </w:rPr>
  </w:style>
  <w:style w:type="paragraph" w:customStyle="1" w:styleId="Opiswskanika">
    <w:name w:val="Opis wskaźnika"/>
    <w:basedOn w:val="Normalny"/>
    <w:link w:val="OpiswskanikaZnak"/>
    <w:qFormat/>
    <w:rsid w:val="004841E9"/>
    <w:pPr>
      <w:spacing w:before="0" w:after="0" w:line="240" w:lineRule="auto"/>
    </w:pPr>
    <w:rPr>
      <w:color w:val="FFFFFF" w:themeColor="background1"/>
      <w:sz w:val="20"/>
      <w:lang w:val="en-GB"/>
    </w:rPr>
  </w:style>
  <w:style w:type="character" w:customStyle="1" w:styleId="WartowskanikaZnak">
    <w:name w:val="Wartość wskaźnika Znak"/>
    <w:basedOn w:val="Domylnaczcionkaakapitu"/>
    <w:link w:val="Wartowskanika"/>
    <w:rsid w:val="004841E9"/>
    <w:rPr>
      <w:rFonts w:ascii="Fira Sans SemiBold" w:hAnsi="Fira Sans SemiBold"/>
      <w:color w:val="FFFFFF" w:themeColor="background1"/>
      <w:sz w:val="40"/>
      <w:szCs w:val="56"/>
      <w:lang w:val="en-GB"/>
    </w:rPr>
  </w:style>
  <w:style w:type="paragraph" w:customStyle="1" w:styleId="Lead">
    <w:name w:val="Lead"/>
    <w:basedOn w:val="Normalny"/>
    <w:link w:val="LeadZnak"/>
    <w:qFormat/>
    <w:rsid w:val="004841E9"/>
    <w:pPr>
      <w:spacing w:before="360" w:line="240" w:lineRule="exact"/>
    </w:pPr>
    <w:rPr>
      <w:b/>
      <w:noProof/>
      <w:szCs w:val="19"/>
      <w:lang w:val="en-GB" w:eastAsia="pl-PL"/>
    </w:rPr>
  </w:style>
  <w:style w:type="character" w:customStyle="1" w:styleId="OpiswskanikaZnak">
    <w:name w:val="Opis wskaźnika Znak"/>
    <w:basedOn w:val="Domylnaczcionkaakapitu"/>
    <w:link w:val="Opiswskanika"/>
    <w:rsid w:val="004841E9"/>
    <w:rPr>
      <w:rFonts w:ascii="Fira Sans" w:hAnsi="Fira Sans"/>
      <w:color w:val="FFFFFF" w:themeColor="background1"/>
      <w:sz w:val="20"/>
      <w:lang w:val="en-GB"/>
    </w:rPr>
  </w:style>
  <w:style w:type="paragraph" w:customStyle="1" w:styleId="Datainformacjisygnalnej">
    <w:name w:val="Data informacji sygnalnej"/>
    <w:basedOn w:val="Normalny"/>
    <w:link w:val="DatainformacjisygnalnejZnak"/>
    <w:qFormat/>
    <w:rsid w:val="004841E9"/>
    <w:pPr>
      <w:jc w:val="both"/>
    </w:pPr>
    <w:rPr>
      <w:rFonts w:ascii="Fira Sans SemiBold" w:hAnsi="Fira Sans SemiBold"/>
      <w:color w:val="001D77"/>
      <w:sz w:val="20"/>
      <w:szCs w:val="20"/>
      <w:lang w:val="en-GB"/>
    </w:rPr>
  </w:style>
  <w:style w:type="character" w:customStyle="1" w:styleId="LeadZnak">
    <w:name w:val="Lead Znak"/>
    <w:basedOn w:val="Domylnaczcionkaakapitu"/>
    <w:link w:val="Lead"/>
    <w:rsid w:val="004841E9"/>
    <w:rPr>
      <w:rFonts w:ascii="Fira Sans" w:hAnsi="Fira Sans"/>
      <w:b/>
      <w:noProof/>
      <w:sz w:val="19"/>
      <w:szCs w:val="19"/>
      <w:lang w:val="en-GB" w:eastAsia="pl-PL"/>
    </w:rPr>
  </w:style>
  <w:style w:type="paragraph" w:customStyle="1" w:styleId="Tytutablicy">
    <w:name w:val="Tytuł tablicy"/>
    <w:link w:val="TytutablicyZnak"/>
    <w:qFormat/>
    <w:rsid w:val="004841E9"/>
    <w:pPr>
      <w:suppressAutoHyphens/>
      <w:spacing w:before="360" w:after="120" w:line="240" w:lineRule="auto"/>
    </w:pPr>
    <w:rPr>
      <w:rFonts w:ascii="Fira Sans" w:eastAsia="Times New Roman" w:hAnsi="Fira Sans" w:cs="Times New Roman"/>
      <w:b/>
      <w:bCs/>
      <w:color w:val="000000" w:themeColor="text1"/>
      <w:sz w:val="19"/>
      <w:szCs w:val="19"/>
      <w:lang w:val="en-GB" w:eastAsia="pl-PL"/>
    </w:rPr>
  </w:style>
  <w:style w:type="character" w:customStyle="1" w:styleId="DatainformacjisygnalnejZnak">
    <w:name w:val="Data informacji sygnalnej Znak"/>
    <w:basedOn w:val="Domylnaczcionkaakapitu"/>
    <w:link w:val="Datainformacjisygnalnej"/>
    <w:rsid w:val="004841E9"/>
    <w:rPr>
      <w:rFonts w:ascii="Fira Sans SemiBold" w:hAnsi="Fira Sans SemiBold"/>
      <w:color w:val="001D77"/>
      <w:sz w:val="20"/>
      <w:szCs w:val="20"/>
      <w:lang w:val="en-GB"/>
    </w:rPr>
  </w:style>
  <w:style w:type="paragraph" w:customStyle="1" w:styleId="Tablicagwka">
    <w:name w:val="Tablica główka"/>
    <w:basedOn w:val="Normalny"/>
    <w:link w:val="TablicagwkaZnak"/>
    <w:qFormat/>
    <w:rsid w:val="000D4F03"/>
    <w:pPr>
      <w:spacing w:line="240" w:lineRule="exact"/>
      <w:jc w:val="center"/>
    </w:pPr>
    <w:rPr>
      <w:rFonts w:eastAsia="Fira Sans Light" w:cs="Times New Roman"/>
      <w:szCs w:val="19"/>
      <w:lang w:eastAsia="pl-PL"/>
    </w:rPr>
  </w:style>
  <w:style w:type="character" w:customStyle="1" w:styleId="TytutablicyZnak">
    <w:name w:val="Tytuł tablicy Znak"/>
    <w:basedOn w:val="Nagwek1Znak"/>
    <w:link w:val="Tytutablicy"/>
    <w:rsid w:val="004841E9"/>
    <w:rPr>
      <w:rFonts w:ascii="Fira Sans" w:eastAsia="Times New Roman" w:hAnsi="Fira Sans" w:cs="Times New Roman"/>
      <w:b/>
      <w:bCs/>
      <w:color w:val="000000" w:themeColor="text1"/>
      <w:sz w:val="19"/>
      <w:szCs w:val="19"/>
      <w:lang w:val="en-GB" w:eastAsia="pl-PL"/>
    </w:rPr>
  </w:style>
  <w:style w:type="character" w:customStyle="1" w:styleId="AkapitzlistZnak">
    <w:name w:val="Akapit z listą Znak"/>
    <w:basedOn w:val="Domylnaczcionkaakapitu"/>
    <w:link w:val="Akapitzlist"/>
    <w:uiPriority w:val="34"/>
    <w:rsid w:val="004841E9"/>
    <w:rPr>
      <w:rFonts w:ascii="Fira Sans" w:hAnsi="Fira Sans"/>
      <w:sz w:val="19"/>
      <w:lang w:val="en-GB"/>
    </w:rPr>
  </w:style>
  <w:style w:type="character" w:customStyle="1" w:styleId="TablicagwkaZnak">
    <w:name w:val="Tablica główka Znak"/>
    <w:basedOn w:val="AkapitzlistZnak"/>
    <w:link w:val="Tablicagwka"/>
    <w:rsid w:val="000D4F03"/>
    <w:rPr>
      <w:rFonts w:ascii="Fira Sans" w:eastAsia="Fira Sans Light" w:hAnsi="Fira Sans" w:cs="Times New Roman"/>
      <w:sz w:val="19"/>
      <w:szCs w:val="19"/>
      <w:lang w:val="en-GB" w:eastAsia="pl-PL"/>
    </w:rPr>
  </w:style>
  <w:style w:type="paragraph" w:customStyle="1" w:styleId="Tablicadanerodek">
    <w:name w:val="Tablica dane środek"/>
    <w:basedOn w:val="Normalny"/>
    <w:link w:val="TablicadanerodekZnak"/>
    <w:qFormat/>
    <w:rsid w:val="000D4F03"/>
    <w:pPr>
      <w:spacing w:line="240" w:lineRule="exact"/>
      <w:jc w:val="right"/>
    </w:pPr>
    <w:rPr>
      <w:rFonts w:eastAsia="Times New Roman" w:cs="Calibri"/>
      <w:szCs w:val="19"/>
      <w:lang w:eastAsia="pl-PL"/>
    </w:rPr>
  </w:style>
  <w:style w:type="paragraph" w:customStyle="1" w:styleId="Tablicaboczek">
    <w:name w:val="Tablica boczek"/>
    <w:basedOn w:val="Normalny"/>
    <w:link w:val="TablicaboczekZnak"/>
    <w:qFormat/>
    <w:rsid w:val="004841E9"/>
    <w:pPr>
      <w:spacing w:line="240" w:lineRule="exact"/>
    </w:pPr>
    <w:rPr>
      <w:rFonts w:eastAsia="Times New Roman" w:cs="Calibri"/>
      <w:szCs w:val="19"/>
      <w:lang w:val="en-GB" w:eastAsia="pl-PL"/>
    </w:rPr>
  </w:style>
  <w:style w:type="character" w:customStyle="1" w:styleId="TablicadanerodekZnak">
    <w:name w:val="Tablica dane środek Znak"/>
    <w:basedOn w:val="Domylnaczcionkaakapitu"/>
    <w:link w:val="Tablicadanerodek"/>
    <w:rsid w:val="000D4F03"/>
    <w:rPr>
      <w:rFonts w:ascii="Fira Sans" w:eastAsia="Times New Roman" w:hAnsi="Fira Sans" w:cs="Calibri"/>
      <w:sz w:val="19"/>
      <w:szCs w:val="19"/>
      <w:lang w:eastAsia="pl-PL"/>
    </w:rPr>
  </w:style>
  <w:style w:type="character" w:customStyle="1" w:styleId="TablicaboczekZnak">
    <w:name w:val="Tablica boczek Znak"/>
    <w:basedOn w:val="Domylnaczcionkaakapitu"/>
    <w:link w:val="Tablicaboczek"/>
    <w:rsid w:val="004841E9"/>
    <w:rPr>
      <w:rFonts w:ascii="Fira Sans" w:eastAsia="Times New Roman" w:hAnsi="Fira Sans" w:cs="Calibri"/>
      <w:sz w:val="19"/>
      <w:szCs w:val="19"/>
      <w:lang w:val="en-GB" w:eastAsia="pl-PL"/>
    </w:rPr>
  </w:style>
  <w:style w:type="paragraph" w:customStyle="1" w:styleId="Tablicanotka">
    <w:name w:val="Tablica notka"/>
    <w:basedOn w:val="Normalny"/>
    <w:link w:val="TablicanotkaZnak"/>
    <w:qFormat/>
    <w:rsid w:val="000D4F03"/>
    <w:pPr>
      <w:spacing w:line="240" w:lineRule="exact"/>
    </w:pPr>
    <w:rPr>
      <w:sz w:val="16"/>
      <w:lang w:val="en-GB"/>
    </w:rPr>
  </w:style>
  <w:style w:type="paragraph" w:customStyle="1" w:styleId="Przypis">
    <w:name w:val="Przypis"/>
    <w:basedOn w:val="Tekstprzypisudolnego"/>
    <w:link w:val="PrzypisZnak"/>
    <w:qFormat/>
    <w:rsid w:val="004841E9"/>
    <w:rPr>
      <w:sz w:val="19"/>
      <w:szCs w:val="19"/>
      <w:shd w:val="clear" w:color="auto" w:fill="FFFFFF"/>
      <w:lang w:val="en-GB"/>
    </w:rPr>
  </w:style>
  <w:style w:type="character" w:customStyle="1" w:styleId="TablicanotkaZnak">
    <w:name w:val="Tablica notka Znak"/>
    <w:basedOn w:val="Domylnaczcionkaakapitu"/>
    <w:link w:val="Tablicanotka"/>
    <w:rsid w:val="000D4F03"/>
    <w:rPr>
      <w:rFonts w:ascii="Fira Sans" w:hAnsi="Fira Sans"/>
      <w:sz w:val="16"/>
      <w:lang w:val="en-GB"/>
    </w:rPr>
  </w:style>
  <w:style w:type="character" w:customStyle="1" w:styleId="PrzypisZnak">
    <w:name w:val="Przypis Znak"/>
    <w:basedOn w:val="TekstprzypisudolnegoZnak"/>
    <w:link w:val="Przypis"/>
    <w:rsid w:val="004841E9"/>
    <w:rPr>
      <w:rFonts w:ascii="Fira Sans" w:hAnsi="Fira Sans"/>
      <w:sz w:val="19"/>
      <w:szCs w:val="19"/>
      <w:lang w:val="en-GB"/>
    </w:rPr>
  </w:style>
  <w:style w:type="paragraph" w:customStyle="1" w:styleId="Tytuwykresu">
    <w:name w:val="Tytuł wykresu"/>
    <w:basedOn w:val="Normalny"/>
    <w:link w:val="TytuwykresuZnak"/>
    <w:qFormat/>
    <w:rsid w:val="004841E9"/>
    <w:pPr>
      <w:spacing w:before="360" w:line="240" w:lineRule="auto"/>
      <w:outlineLvl w:val="2"/>
    </w:pPr>
    <w:rPr>
      <w:rFonts w:eastAsia="Times New Roman" w:cs="Times New Roman"/>
      <w:b/>
      <w:bCs/>
      <w:noProof/>
      <w:szCs w:val="24"/>
      <w:lang w:val="en-GB" w:eastAsia="pl-PL"/>
    </w:rPr>
  </w:style>
  <w:style w:type="character" w:customStyle="1" w:styleId="TytuwykresuZnak">
    <w:name w:val="Tytuł wykresu Znak"/>
    <w:basedOn w:val="Nagwek1Znak"/>
    <w:link w:val="Tytuwykresu"/>
    <w:rsid w:val="004841E9"/>
    <w:rPr>
      <w:rFonts w:ascii="Fira Sans" w:eastAsia="Times New Roman" w:hAnsi="Fira Sans" w:cs="Times New Roman"/>
      <w:b/>
      <w:bCs/>
      <w:noProof/>
      <w:color w:val="000000" w:themeColor="text1"/>
      <w:sz w:val="19"/>
      <w:szCs w:val="24"/>
      <w:lang w:val="en-GB" w:eastAsia="pl-PL"/>
    </w:rPr>
  </w:style>
  <w:style w:type="paragraph" w:styleId="Stopka">
    <w:name w:val="footer"/>
    <w:basedOn w:val="Normalny"/>
    <w:link w:val="StopkaZnak"/>
    <w:uiPriority w:val="99"/>
    <w:unhideWhenUsed/>
    <w:rsid w:val="004841E9"/>
    <w:pPr>
      <w:tabs>
        <w:tab w:val="center" w:pos="4536"/>
        <w:tab w:val="right" w:pos="9072"/>
      </w:tabs>
      <w:spacing w:before="0" w:after="0" w:line="240" w:lineRule="auto"/>
    </w:pPr>
    <w:rPr>
      <w:lang w:val="en-GB"/>
    </w:rPr>
  </w:style>
  <w:style w:type="character" w:customStyle="1" w:styleId="StopkaZnak">
    <w:name w:val="Stopka Znak"/>
    <w:basedOn w:val="Domylnaczcionkaakapitu"/>
    <w:link w:val="Stopka"/>
    <w:uiPriority w:val="99"/>
    <w:rsid w:val="004841E9"/>
    <w:rPr>
      <w:rFonts w:ascii="Fira Sans" w:hAnsi="Fira Sans"/>
      <w:sz w:val="19"/>
      <w:lang w:val="en-GB"/>
    </w:rPr>
  </w:style>
  <w:style w:type="character" w:customStyle="1" w:styleId="Nierozpoznanawzmianka2">
    <w:name w:val="Nierozpoznana wzmianka2"/>
    <w:basedOn w:val="Domylnaczcionkaakapitu"/>
    <w:uiPriority w:val="99"/>
    <w:semiHidden/>
    <w:unhideWhenUsed/>
    <w:rsid w:val="00827493"/>
    <w:rPr>
      <w:color w:val="605E5C"/>
      <w:shd w:val="clear" w:color="auto" w:fill="E1DFDD"/>
    </w:rPr>
  </w:style>
  <w:style w:type="paragraph" w:customStyle="1" w:styleId="tekstzboku">
    <w:name w:val="tekst z boku"/>
    <w:basedOn w:val="Normalny"/>
    <w:qFormat/>
    <w:rsid w:val="00F8129E"/>
    <w:pPr>
      <w:suppressAutoHyphens w:val="0"/>
      <w:spacing w:after="0" w:line="240" w:lineRule="exact"/>
    </w:pPr>
    <w:rPr>
      <w:rFonts w:eastAsia="Times New Roman" w:cs="Times New Roman"/>
      <w:bCs/>
      <w:color w:val="001D77"/>
      <w:sz w:val="18"/>
      <w:szCs w:val="18"/>
      <w:lang w:eastAsia="pl-PL"/>
    </w:rPr>
  </w:style>
  <w:style w:type="paragraph" w:customStyle="1" w:styleId="tytuwykresu0">
    <w:name w:val="tytuł wykresu"/>
    <w:basedOn w:val="Normalny"/>
    <w:qFormat/>
    <w:rsid w:val="00F8129E"/>
    <w:pPr>
      <w:suppressAutoHyphens w:val="0"/>
      <w:spacing w:line="240" w:lineRule="exact"/>
    </w:pPr>
    <w:rPr>
      <w:b/>
      <w:spacing w:val="-2"/>
      <w:sz w:val="18"/>
    </w:rPr>
  </w:style>
  <w:style w:type="paragraph" w:styleId="Nagwek">
    <w:name w:val="header"/>
    <w:basedOn w:val="Normalny"/>
    <w:link w:val="NagwekZnak"/>
    <w:uiPriority w:val="99"/>
    <w:unhideWhenUsed/>
    <w:rsid w:val="001172DB"/>
    <w:pPr>
      <w:tabs>
        <w:tab w:val="center" w:pos="4536"/>
        <w:tab w:val="right" w:pos="9072"/>
      </w:tabs>
      <w:spacing w:before="0" w:after="0" w:line="240" w:lineRule="auto"/>
    </w:pPr>
  </w:style>
  <w:style w:type="character" w:customStyle="1" w:styleId="NagwekZnak">
    <w:name w:val="Nagłówek Znak"/>
    <w:basedOn w:val="Domylnaczcionkaakapitu"/>
    <w:link w:val="Nagwek"/>
    <w:uiPriority w:val="99"/>
    <w:rsid w:val="001172DB"/>
    <w:rPr>
      <w:rFonts w:ascii="Fira Sans" w:hAnsi="Fira Sans"/>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887450222">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footer" Target="footer2.xml"/><Relationship Id="rId26" Type="http://schemas.openxmlformats.org/officeDocument/2006/relationships/image" Target="media/image12.png"/><Relationship Id="rId39" Type="http://schemas.openxmlformats.org/officeDocument/2006/relationships/hyperlink" Target="https://stat.gov.pl/en/metainformation/glossary/terms-used-in-official-statistics/159,term.html" TargetMode="External"/><Relationship Id="rId21" Type="http://schemas.openxmlformats.org/officeDocument/2006/relationships/image" Target="media/image9.png"/><Relationship Id="rId34" Type="http://schemas.openxmlformats.org/officeDocument/2006/relationships/hyperlink" Target="https://stat.gov.pl/en/topics/culture-tourism-sport/culture/cultural-and-creative-industries-in-2023,14,7.html" TargetMode="External"/><Relationship Id="rId42" Type="http://schemas.openxmlformats.org/officeDocument/2006/relationships/hyperlink" Target="https://stat.gov.pl/en/metainformation/glossary/terms-used-in-official-statistics/467,term.html" TargetMode="External"/><Relationship Id="rId47"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yperlink" Target="https://www.youtube.com/channel/UC0wiQMElFgYszpAoYgTnXtg/featured"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1.png"/><Relationship Id="rId32" Type="http://schemas.openxmlformats.org/officeDocument/2006/relationships/hyperlink" Target="https://stat.gov.pl/en/experimental-statistics/national-accounts-regional-accounts/report-on-methodological-work-culture-satellite-account,8,1.html" TargetMode="External"/><Relationship Id="rId37" Type="http://schemas.openxmlformats.org/officeDocument/2006/relationships/hyperlink" Target="https://stat.gov.pl/en/metainformation/glossary/terms-used-in-official-statistics/3774,term.html" TargetMode="External"/><Relationship Id="rId40" Type="http://schemas.openxmlformats.org/officeDocument/2006/relationships/hyperlink" Target="https://stat.gov.pl/en/metainformation/glossary/terms-used-in-official-statistics/220,term.html" TargetMode="External"/><Relationship Id="rId45"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image" Target="media/image10.png"/><Relationship Id="rId28" Type="http://schemas.openxmlformats.org/officeDocument/2006/relationships/image" Target="media/image13.png"/><Relationship Id="rId36" Type="http://schemas.openxmlformats.org/officeDocument/2006/relationships/hyperlink" Target="https://stat.gov.pl/en/metainformation/glossary/terms-used-in-official-statistics/6,term.html" TargetMode="External"/><Relationship Id="rId10" Type="http://schemas.openxmlformats.org/officeDocument/2006/relationships/footnotes" Target="footnotes.xml"/><Relationship Id="rId19" Type="http://schemas.openxmlformats.org/officeDocument/2006/relationships/hyperlink" Target="tel:+48124204050" TargetMode="External"/><Relationship Id="rId31" Type="http://schemas.openxmlformats.org/officeDocument/2006/relationships/image" Target="media/image14.png"/><Relationship Id="rId44" Type="http://schemas.openxmlformats.org/officeDocument/2006/relationships/hyperlink" Target="https://stat.gov.pl/en/metainformation/glossary/terms-used-in-official-statistics/3768,term.htm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7.png"/><Relationship Id="rId22" Type="http://schemas.openxmlformats.org/officeDocument/2006/relationships/hyperlink" Target="https://stat.gov.pl/en/" TargetMode="External"/><Relationship Id="rId27" Type="http://schemas.openxmlformats.org/officeDocument/2006/relationships/hyperlink" Target="https://www.instagram.com/gus_stat/" TargetMode="External"/><Relationship Id="rId30" Type="http://schemas.openxmlformats.org/officeDocument/2006/relationships/hyperlink" Target="https://pl.linkedin.com/company/glownyurzadstatystyczny" TargetMode="External"/><Relationship Id="rId35" Type="http://schemas.openxmlformats.org/officeDocument/2006/relationships/hyperlink" Target="https://stat.gov.pl/en/topics/culture-tourism-sport/culture/culture-and-national-heritage-in-2024,1,17.html" TargetMode="External"/><Relationship Id="rId43" Type="http://schemas.openxmlformats.org/officeDocument/2006/relationships/hyperlink" Target="https://stat.gov.pl/en/metainformation/glossary/terms-used-in-official-statistics/563,term.html" TargetMode="External"/><Relationship Id="rId48" Type="http://schemas.openxmlformats.org/officeDocument/2006/relationships/theme" Target="theme/theme1.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5.png"/><Relationship Id="rId17" Type="http://schemas.openxmlformats.org/officeDocument/2006/relationships/header" Target="header2.xml"/><Relationship Id="rId25" Type="http://schemas.openxmlformats.org/officeDocument/2006/relationships/hyperlink" Target="https://www.facebook.com/GlownyUrzadStatystyczny/" TargetMode="External"/><Relationship Id="rId33" Type="http://schemas.openxmlformats.org/officeDocument/2006/relationships/hyperlink" Target="https://stat.gov.pl/en/topics/culture-tourism-sport/culture/cultural-and-creative-industries-2017-2021,12,2.html" TargetMode="External"/><Relationship Id="rId38" Type="http://schemas.openxmlformats.org/officeDocument/2006/relationships/hyperlink" Target="https://stat.gov.pl/en/metainformation/glossary/terms-used-in-official-statistics/3775,term.html" TargetMode="External"/><Relationship Id="rId46" Type="http://schemas.openxmlformats.org/officeDocument/2006/relationships/footer" Target="footer3.xml"/><Relationship Id="rId20" Type="http://schemas.openxmlformats.org/officeDocument/2006/relationships/hyperlink" Target="mailto:obslugaprasowa@stat.gov.pl" TargetMode="External"/><Relationship Id="rId41" Type="http://schemas.openxmlformats.org/officeDocument/2006/relationships/hyperlink" Target="https://stat.gov.pl/en/metainformation/glossary/terms-used-in-official-statistics/364,term.html"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 Id="rId4" Type="http://schemas.openxmlformats.org/officeDocument/2006/relationships/image" Target="media/image4.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Kolejno_x015b__x0107_ xmlns="30d47203-49ec-4c8c-a442-62231931aabb">1</Kolejno_x015b__x0107_>
    <Tematyka xmlns="b5698c14-9734-4c2e-b0a6-c0f0e0420a38">07 - Informacje sygnalne</Tematyka>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2" ma:contentTypeDescription="Utwórz nowy dokument." ma:contentTypeScope="" ma:versionID="61828af194c162a3f8ba12efac41088b">
  <xsd:schema xmlns:xsd="http://www.w3.org/2001/XMLSchema" xmlns:xs="http://www.w3.org/2001/XMLSchema" xmlns:p="http://schemas.microsoft.com/office/2006/metadata/properties" xmlns:ns2="b5698c14-9734-4c2e-b0a6-c0f0e0420a38" xmlns:ns3="30d47203-49ec-4c8c-a442-62231931aabb" targetNamespace="http://schemas.microsoft.com/office/2006/metadata/properties" ma:root="true" ma:fieldsID="496f7d50f109622d7e203c236940c321" ns2:_="" ns3:_="">
    <xsd:import namespace="b5698c14-9734-4c2e-b0a6-c0f0e0420a38"/>
    <xsd:import namespace="30d47203-49ec-4c8c-a442-62231931aabb"/>
    <xsd:element name="properties">
      <xsd:complexType>
        <xsd:sequence>
          <xsd:element name="documentManagement">
            <xsd:complexType>
              <xsd:all>
                <xsd:element ref="ns2:Tematyka" minOccurs="0"/>
                <xsd:element ref="ns3:Kolejno_x015b__x0107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698c14-9734-4c2e-b0a6-c0f0e0420a38" elementFormDefault="qualified">
    <xsd:import namespace="http://schemas.microsoft.com/office/2006/documentManagement/types"/>
    <xsd:import namespace="http://schemas.microsoft.com/office/infopath/2007/PartnerControls"/>
    <xsd:element name="Tematyka" ma:index="2" nillable="true" ma:displayName=":" ma:description="Należy wybrać tematykę pliku" ma:format="Dropdown" ma:internalName="Tematyka">
      <xsd:simpleType>
        <xsd:restriction base="dms:Choice">
          <xsd:enumeration value="00 - Organizacja Systemu Publikacyjnego"/>
          <xsd:enumeration value="00 - Zasady - skład i typografia"/>
          <xsd:enumeration value="01 - Analizy statystyczne"/>
          <xsd:enumeration value="02 - Informacje statystyczne"/>
          <xsd:enumeration value="03 - Roczniki statystyczne"/>
          <xsd:enumeration value="04 - Foldery i publikacje okolicznościowe"/>
          <xsd:enumeration value="05 - Prace eksperymentalne"/>
          <xsd:enumeration value="06 - Metodologia badań statystycznych"/>
          <xsd:enumeration value="07 - Informacje sygnalne"/>
          <xsd:enumeration value="08 - Archiwum"/>
          <xsd:enumeration value="10 - Księga Identyfikacji Wizualnej"/>
        </xsd:restriction>
      </xsd:simpleType>
    </xsd:element>
  </xsd:schema>
  <xsd:schema xmlns:xsd="http://www.w3.org/2001/XMLSchema" xmlns:xs="http://www.w3.org/2001/XMLSchema" xmlns:dms="http://schemas.microsoft.com/office/2006/documentManagement/types" xmlns:pc="http://schemas.microsoft.com/office/infopath/2007/PartnerControls" targetNamespace="30d47203-49ec-4c8c-a442-62231931aabb" elementFormDefault="qualified">
    <xsd:import namespace="http://schemas.microsoft.com/office/2006/documentManagement/types"/>
    <xsd:import namespace="http://schemas.microsoft.com/office/infopath/2007/PartnerControls"/>
    <xsd:element name="Kolejno_x015b__x0107_" ma:index="3" nillable="true" ma:displayName="Kolejność" ma:decimals="0" ma:description="sortowanie plików" ma:internalName="Kolejno_x015b__x0107_">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 zawartości"/>
        <xsd:element ref="dc:title" minOccurs="0" maxOccurs="1" ma:index="1"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1 6 " ? > < D o c u m e n t S e t t i n g s   x m l n s : x s d = " h t t p : / / w w w . w 3 . o r g / 2 0 0 1 / X M L S c h e m a "   x m l n s : x s i = " h t t p : / / w w w . w 3 . o r g / 2 0 0 1 / X M L S c h e m a - i n s t a n c e " 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0771BC-9B62-4E6D-8D34-ECED8FD8F923}">
  <ds:schemaRefs>
    <ds:schemaRef ds:uri="http://schemas.microsoft.com/sharepoint/v3/contenttype/forms"/>
  </ds:schemaRefs>
</ds:datastoreItem>
</file>

<file path=customXml/itemProps2.xml><?xml version="1.0" encoding="utf-8"?>
<ds:datastoreItem xmlns:ds="http://schemas.openxmlformats.org/officeDocument/2006/customXml" ds:itemID="{037E9C3E-3CC5-40C0-A774-47B8E48CCF08}">
  <ds:schemaRefs>
    <ds:schemaRef ds:uri="http://purl.org/dc/terms/"/>
    <ds:schemaRef ds:uri="http://schemas.microsoft.com/office/2006/metadata/properties"/>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30d47203-49ec-4c8c-a442-62231931aabb"/>
    <ds:schemaRef ds:uri="b5698c14-9734-4c2e-b0a6-c0f0e0420a38"/>
    <ds:schemaRef ds:uri="http://purl.org/dc/elements/1.1/"/>
  </ds:schemaRefs>
</ds:datastoreItem>
</file>

<file path=customXml/itemProps3.xml><?xml version="1.0" encoding="utf-8"?>
<ds:datastoreItem xmlns:ds="http://schemas.openxmlformats.org/officeDocument/2006/customXml" ds:itemID="{A4CE6F47-65A4-4F88-807D-6187E74D70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698c14-9734-4c2e-b0a6-c0f0e0420a38"/>
    <ds:schemaRef ds:uri="30d47203-49ec-4c8c-a442-62231931aa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B8ECF72-6842-41A0-8A5E-9ECA27A7D4AD}">
  <ds:schemaRefs>
    <ds:schemaRef ds:uri="http://www.w3.org/2001/XMLSchema"/>
    <ds:schemaRef ds:uri="http://www.zhaw.ch/AccessibilityAddIn"/>
  </ds:schemaRefs>
</ds:datastoreItem>
</file>

<file path=customXml/itemProps5.xml><?xml version="1.0" encoding="utf-8"?>
<ds:datastoreItem xmlns:ds="http://schemas.openxmlformats.org/officeDocument/2006/customXml" ds:itemID="{4D66DDBB-299B-4960-B8CC-B35CB1580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5</Pages>
  <Words>1580</Words>
  <Characters>9484</Characters>
  <DocSecurity>0</DocSecurity>
  <Lines>79</Lines>
  <Paragraphs>22</Paragraphs>
  <ScaleCrop>false</ScaleCrop>
  <HeadingPairs>
    <vt:vector size="2" baseType="variant">
      <vt:variant>
        <vt:lpstr>Tytuł</vt:lpstr>
      </vt:variant>
      <vt:variant>
        <vt:i4>1</vt:i4>
      </vt:variant>
    </vt:vector>
  </HeadingPairs>
  <TitlesOfParts>
    <vt:vector size="1" baseType="lpstr">
      <vt:lpstr>Culture Satellite Account in 2021</vt:lpstr>
    </vt:vector>
  </TitlesOfParts>
  <Company/>
  <LinksUpToDate>false</LinksUpToDate>
  <CharactersWithSpaces>11042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Culture Satellite Account in 2021</dc:title>
  <dc:subject/>
  <dc:creator>Statistics Poland</dc:creator>
  <cp:keywords/>
  <dc:description/>
  <cp:lastPrinted>2019-02-21T09:45:00Z</cp:lastPrinted>
  <dcterms:created xsi:type="dcterms:W3CDTF">2026-02-20T11:20:00Z</dcterms:created>
  <dcterms:modified xsi:type="dcterms:W3CDTF">2026-02-24T08:45:00Z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