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FFB6" w14:textId="026E9D38" w:rsidR="0098135C" w:rsidRPr="00785F40" w:rsidRDefault="000A490C" w:rsidP="00FC3927">
      <w:pPr>
        <w:pStyle w:val="tytuinformacji"/>
        <w:spacing w:after="600"/>
        <w:rPr>
          <w:shd w:val="clear" w:color="auto" w:fill="FFFFFF"/>
          <w:lang w:val="en-US"/>
        </w:rPr>
      </w:pPr>
      <w:r w:rsidRPr="00785F40">
        <w:rPr>
          <w:shd w:val="clear" w:color="auto" w:fill="FFFFFF"/>
          <w:lang w:val="en-US"/>
        </w:rPr>
        <w:t>Activ</w:t>
      </w:r>
      <w:r w:rsidR="00E0090C">
        <w:rPr>
          <w:shd w:val="clear" w:color="auto" w:fill="FFFFFF"/>
          <w:lang w:val="en-US"/>
        </w:rPr>
        <w:t>ity of leasing companies in 202</w:t>
      </w:r>
      <w:r w:rsidR="00C57A0F">
        <w:rPr>
          <w:shd w:val="clear" w:color="auto" w:fill="FFFFFF"/>
          <w:lang w:val="en-US"/>
        </w:rPr>
        <w:t>4</w:t>
      </w:r>
    </w:p>
    <w:p w14:paraId="13EBB2C6" w14:textId="338A10AC" w:rsidR="00E0090C" w:rsidRPr="002D55D1" w:rsidRDefault="002D55D1" w:rsidP="00FC3927">
      <w:pPr>
        <w:spacing w:before="360"/>
        <w:rPr>
          <w:rFonts w:eastAsia="Times New Roman" w:cs="Times New Roman"/>
          <w:b/>
          <w:bCs/>
          <w:color w:val="001D77"/>
          <w:szCs w:val="19"/>
          <w:lang w:val="en-US" w:eastAsia="pl-PL"/>
        </w:rPr>
      </w:pPr>
      <w:r w:rsidRPr="002D55D1">
        <w:rPr>
          <w:rFonts w:asciiTheme="minorHAnsi" w:hAnsiTheme="minorHAnsi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75B3ED8" wp14:editId="5E95FF4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3140" cy="1249680"/>
                <wp:effectExtent l="0" t="0" r="3810" b="7620"/>
                <wp:wrapSquare wrapText="bothSides"/>
                <wp:docPr id="40" name="Pole tekstowe 2" descr="PLN 84.2 billion&#10;Value of lease grant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2496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0D59" w14:textId="583BD60B" w:rsidR="00334E3A" w:rsidRPr="00334E3A" w:rsidRDefault="00334E3A" w:rsidP="00813BF9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3"/>
                                <w:szCs w:val="43"/>
                              </w:rPr>
                            </w:pPr>
                            <w:r w:rsidRPr="00334E3A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>PLN 8</w:t>
                            </w:r>
                            <w:r w:rsidR="00C57A0F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>9</w:t>
                            </w:r>
                            <w:r w:rsidRPr="00334E3A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>.</w:t>
                            </w:r>
                            <w:r w:rsidR="00C57A0F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>0</w:t>
                            </w:r>
                            <w:r w:rsidRPr="00334E3A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 xml:space="preserve"> </w:t>
                            </w:r>
                            <w:proofErr w:type="spellStart"/>
                            <w:r w:rsidRPr="00334E3A">
                              <w:rPr>
                                <w:rStyle w:val="WartowskanikaZnak"/>
                                <w:sz w:val="43"/>
                                <w:szCs w:val="43"/>
                              </w:rPr>
                              <w:t>billion</w:t>
                            </w:r>
                            <w:proofErr w:type="spellEnd"/>
                          </w:p>
                          <w:p w14:paraId="1140E370" w14:textId="77777777" w:rsidR="00334E3A" w:rsidRDefault="00334E3A" w:rsidP="002D55D1">
                            <w:pPr>
                              <w:pStyle w:val="Opiswskanika"/>
                              <w:rPr>
                                <w:color w:val="auto"/>
                              </w:rPr>
                            </w:pPr>
                          </w:p>
                          <w:p w14:paraId="3118DFE1" w14:textId="5394DF21" w:rsidR="002D55D1" w:rsidRPr="00334E3A" w:rsidRDefault="00334E3A" w:rsidP="002D55D1">
                            <w:pPr>
                              <w:pStyle w:val="Opiswskanika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34E3A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Value of </w:t>
                            </w:r>
                            <w:proofErr w:type="spellStart"/>
                            <w:r w:rsidRPr="00334E3A">
                              <w:rPr>
                                <w:color w:val="auto"/>
                                <w:sz w:val="28"/>
                                <w:szCs w:val="28"/>
                              </w:rPr>
                              <w:t>lease</w:t>
                            </w:r>
                            <w:proofErr w:type="spellEnd"/>
                            <w:r w:rsidRPr="00334E3A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4E3A">
                              <w:rPr>
                                <w:color w:val="auto"/>
                                <w:sz w:val="28"/>
                                <w:szCs w:val="28"/>
                              </w:rPr>
                              <w:t>granted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B3ED8" id="Pole tekstowe 2" o:spid="_x0000_s1026" alt="PLN 84.2 billion&#10;Value of lease granted&#10;" style="position:absolute;margin-left:0;margin-top:.8pt;width:178.2pt;height:98.4pt;z-index:251746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" fillcolor="#001d77" stroked="f">
                <v:stroke joinstyle="miter"/>
                <v:textbox>
                  <w:txbxContent>
                    <w:p w14:paraId="13120D59" w14:textId="583BD60B" w:rsidR="00334E3A" w:rsidRPr="00334E3A" w:rsidRDefault="00334E3A" w:rsidP="00813BF9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3"/>
                          <w:szCs w:val="43"/>
                        </w:rPr>
                      </w:pPr>
                      <w:r w:rsidRPr="00334E3A">
                        <w:rPr>
                          <w:rStyle w:val="WartowskanikaZnak"/>
                          <w:sz w:val="43"/>
                          <w:szCs w:val="43"/>
                        </w:rPr>
                        <w:t>PLN 8</w:t>
                      </w:r>
                      <w:r w:rsidR="00C57A0F">
                        <w:rPr>
                          <w:rStyle w:val="WartowskanikaZnak"/>
                          <w:sz w:val="43"/>
                          <w:szCs w:val="43"/>
                        </w:rPr>
                        <w:t>9</w:t>
                      </w:r>
                      <w:r w:rsidRPr="00334E3A">
                        <w:rPr>
                          <w:rStyle w:val="WartowskanikaZnak"/>
                          <w:sz w:val="43"/>
                          <w:szCs w:val="43"/>
                        </w:rPr>
                        <w:t>.</w:t>
                      </w:r>
                      <w:r w:rsidR="00C57A0F">
                        <w:rPr>
                          <w:rStyle w:val="WartowskanikaZnak"/>
                          <w:sz w:val="43"/>
                          <w:szCs w:val="43"/>
                        </w:rPr>
                        <w:t>0</w:t>
                      </w:r>
                      <w:r w:rsidRPr="00334E3A">
                        <w:rPr>
                          <w:rStyle w:val="WartowskanikaZnak"/>
                          <w:sz w:val="43"/>
                          <w:szCs w:val="43"/>
                        </w:rPr>
                        <w:t xml:space="preserve"> </w:t>
                      </w:r>
                      <w:proofErr w:type="spellStart"/>
                      <w:r w:rsidRPr="00334E3A">
                        <w:rPr>
                          <w:rStyle w:val="WartowskanikaZnak"/>
                          <w:sz w:val="43"/>
                          <w:szCs w:val="43"/>
                        </w:rPr>
                        <w:t>billion</w:t>
                      </w:r>
                      <w:proofErr w:type="spellEnd"/>
                    </w:p>
                    <w:p w14:paraId="1140E370" w14:textId="77777777" w:rsidR="00334E3A" w:rsidRDefault="00334E3A" w:rsidP="002D55D1">
                      <w:pPr>
                        <w:pStyle w:val="Opiswskanika"/>
                        <w:rPr>
                          <w:color w:val="auto"/>
                        </w:rPr>
                      </w:pPr>
                    </w:p>
                    <w:p w14:paraId="3118DFE1" w14:textId="5394DF21" w:rsidR="002D55D1" w:rsidRPr="00334E3A" w:rsidRDefault="00334E3A" w:rsidP="002D55D1">
                      <w:pPr>
                        <w:pStyle w:val="Opiswskanika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34E3A">
                        <w:rPr>
                          <w:color w:val="auto"/>
                          <w:sz w:val="28"/>
                          <w:szCs w:val="28"/>
                        </w:rPr>
                        <w:t xml:space="preserve">Value of </w:t>
                      </w:r>
                      <w:proofErr w:type="spellStart"/>
                      <w:r w:rsidRPr="00334E3A">
                        <w:rPr>
                          <w:color w:val="auto"/>
                          <w:sz w:val="28"/>
                          <w:szCs w:val="28"/>
                        </w:rPr>
                        <w:t>lease</w:t>
                      </w:r>
                      <w:proofErr w:type="spellEnd"/>
                      <w:r w:rsidRPr="00334E3A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4E3A">
                        <w:rPr>
                          <w:color w:val="auto"/>
                          <w:sz w:val="28"/>
                          <w:szCs w:val="28"/>
                        </w:rPr>
                        <w:t>granted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7511" w:rsidRPr="002D55D1">
        <w:rPr>
          <w:b/>
          <w:szCs w:val="19"/>
          <w:lang w:val="en-US"/>
        </w:rPr>
        <w:t xml:space="preserve">The survey covered </w:t>
      </w:r>
      <w:r w:rsidR="00E0090C" w:rsidRPr="002D55D1">
        <w:rPr>
          <w:b/>
          <w:szCs w:val="19"/>
          <w:lang w:val="en-US"/>
        </w:rPr>
        <w:t>8</w:t>
      </w:r>
      <w:r w:rsidR="00C57A0F">
        <w:rPr>
          <w:b/>
          <w:szCs w:val="19"/>
          <w:lang w:val="en-US"/>
        </w:rPr>
        <w:t>7</w:t>
      </w:r>
      <w:r w:rsidR="00A67511" w:rsidRPr="002D55D1">
        <w:rPr>
          <w:b/>
          <w:szCs w:val="19"/>
          <w:lang w:val="en-US"/>
        </w:rPr>
        <w:t xml:space="preserve"> enterpr</w:t>
      </w:r>
      <w:r w:rsidR="00D33CF4" w:rsidRPr="002D55D1">
        <w:rPr>
          <w:b/>
          <w:szCs w:val="19"/>
          <w:lang w:val="en-US"/>
        </w:rPr>
        <w:t>ises conducting leasing activity</w:t>
      </w:r>
      <w:r w:rsidR="00E0090C" w:rsidRPr="002D55D1">
        <w:rPr>
          <w:b/>
          <w:szCs w:val="19"/>
          <w:lang w:val="en-US"/>
        </w:rPr>
        <w:t xml:space="preserve"> in 202</w:t>
      </w:r>
      <w:r w:rsidR="00C57A0F">
        <w:rPr>
          <w:b/>
          <w:szCs w:val="19"/>
          <w:lang w:val="en-US"/>
        </w:rPr>
        <w:t>4</w:t>
      </w:r>
      <w:r w:rsidR="00A67511" w:rsidRPr="002D55D1">
        <w:rPr>
          <w:b/>
          <w:szCs w:val="19"/>
          <w:lang w:val="en-US"/>
        </w:rPr>
        <w:t xml:space="preserve">. </w:t>
      </w:r>
      <w:r w:rsidR="00E0090C" w:rsidRPr="002D55D1">
        <w:rPr>
          <w:b/>
          <w:bCs/>
          <w:szCs w:val="19"/>
          <w:lang w:val="en-US"/>
        </w:rPr>
        <w:t>Throughout 202</w:t>
      </w:r>
      <w:r w:rsidR="00C57A0F">
        <w:rPr>
          <w:b/>
          <w:bCs/>
          <w:szCs w:val="19"/>
          <w:lang w:val="en-US"/>
        </w:rPr>
        <w:t>4</w:t>
      </w:r>
      <w:r w:rsidR="00A67511" w:rsidRPr="002D55D1">
        <w:rPr>
          <w:b/>
          <w:bCs/>
          <w:szCs w:val="19"/>
          <w:lang w:val="en-US"/>
        </w:rPr>
        <w:t>, the surveyed</w:t>
      </w:r>
      <w:r w:rsidR="00E0090C" w:rsidRPr="002D55D1">
        <w:rPr>
          <w:b/>
          <w:bCs/>
          <w:szCs w:val="19"/>
          <w:lang w:val="en-US"/>
        </w:rPr>
        <w:t xml:space="preserve"> enterprises concluded </w:t>
      </w:r>
      <w:r w:rsidR="008A14B2">
        <w:rPr>
          <w:b/>
          <w:bCs/>
          <w:szCs w:val="19"/>
          <w:lang w:val="en-US"/>
        </w:rPr>
        <w:t>5</w:t>
      </w:r>
      <w:r w:rsidR="0027344D">
        <w:rPr>
          <w:b/>
          <w:bCs/>
          <w:szCs w:val="19"/>
          <w:lang w:val="en-US"/>
        </w:rPr>
        <w:t>9</w:t>
      </w:r>
      <w:r w:rsidR="00C57A0F">
        <w:rPr>
          <w:b/>
          <w:bCs/>
          <w:szCs w:val="19"/>
          <w:lang w:val="en-US"/>
        </w:rPr>
        <w:t>4</w:t>
      </w:r>
      <w:r w:rsidR="00E0090C" w:rsidRPr="002D55D1">
        <w:rPr>
          <w:b/>
          <w:bCs/>
          <w:szCs w:val="19"/>
          <w:lang w:val="en-US"/>
        </w:rPr>
        <w:t xml:space="preserve"> </w:t>
      </w:r>
      <w:r w:rsidR="00E73765" w:rsidRPr="002D55D1">
        <w:rPr>
          <w:b/>
          <w:bCs/>
          <w:color w:val="000000" w:themeColor="text1"/>
          <w:szCs w:val="19"/>
          <w:lang w:val="en-US"/>
        </w:rPr>
        <w:t>thousand</w:t>
      </w:r>
      <w:r w:rsidR="00A67511" w:rsidRPr="002D55D1">
        <w:rPr>
          <w:b/>
          <w:bCs/>
          <w:color w:val="000000" w:themeColor="text1"/>
          <w:szCs w:val="19"/>
          <w:lang w:val="en-US"/>
        </w:rPr>
        <w:t xml:space="preserve"> ne</w:t>
      </w:r>
      <w:r w:rsidR="00E0090C" w:rsidRPr="002D55D1">
        <w:rPr>
          <w:b/>
          <w:bCs/>
          <w:color w:val="000000" w:themeColor="text1"/>
          <w:szCs w:val="19"/>
          <w:lang w:val="en-US"/>
        </w:rPr>
        <w:t xml:space="preserve">w lease agreements for </w:t>
      </w:r>
      <w:r w:rsidR="0027344D">
        <w:rPr>
          <w:b/>
          <w:bCs/>
          <w:color w:val="000000" w:themeColor="text1"/>
          <w:szCs w:val="19"/>
          <w:lang w:val="en-US"/>
        </w:rPr>
        <w:t>7</w:t>
      </w:r>
      <w:r w:rsidR="00C57A0F">
        <w:rPr>
          <w:b/>
          <w:bCs/>
          <w:color w:val="000000" w:themeColor="text1"/>
          <w:szCs w:val="19"/>
          <w:lang w:val="en-US"/>
        </w:rPr>
        <w:t>9</w:t>
      </w:r>
      <w:r w:rsidR="0027344D">
        <w:rPr>
          <w:b/>
          <w:bCs/>
          <w:color w:val="000000" w:themeColor="text1"/>
          <w:szCs w:val="19"/>
          <w:lang w:val="en-US"/>
        </w:rPr>
        <w:t>6</w:t>
      </w:r>
      <w:r w:rsidR="00E73765" w:rsidRPr="002D55D1">
        <w:rPr>
          <w:b/>
          <w:bCs/>
          <w:color w:val="000000" w:themeColor="text1"/>
          <w:szCs w:val="19"/>
          <w:lang w:val="en-US"/>
        </w:rPr>
        <w:t xml:space="preserve"> thousand</w:t>
      </w:r>
      <w:r w:rsidR="00A67511" w:rsidRPr="002D55D1">
        <w:rPr>
          <w:b/>
          <w:bCs/>
          <w:color w:val="000000" w:themeColor="text1"/>
          <w:szCs w:val="19"/>
          <w:lang w:val="en-US"/>
        </w:rPr>
        <w:t xml:space="preserve"> </w:t>
      </w:r>
      <w:r w:rsidR="00805E6E" w:rsidRPr="00805E6E">
        <w:rPr>
          <w:b/>
          <w:bCs/>
          <w:color w:val="000000" w:themeColor="text1"/>
          <w:szCs w:val="19"/>
          <w:lang w:val="en-US"/>
        </w:rPr>
        <w:t>of items (assets) leased</w:t>
      </w:r>
      <w:r w:rsidR="00A67511" w:rsidRPr="002D55D1">
        <w:rPr>
          <w:b/>
          <w:bCs/>
          <w:color w:val="000000" w:themeColor="text1"/>
          <w:szCs w:val="19"/>
          <w:lang w:val="en-US"/>
        </w:rPr>
        <w:t>.</w:t>
      </w:r>
      <w:r w:rsidR="00E0090C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The value of concluded contracts in 20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2</w:t>
      </w:r>
      <w:r w:rsidR="00C57A0F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4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amounted to PLN </w:t>
      </w:r>
      <w:r w:rsidR="0027344D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8</w:t>
      </w:r>
      <w:r w:rsidR="00C57A0F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9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.</w:t>
      </w:r>
      <w:r w:rsidR="00C57A0F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0</w:t>
      </w:r>
      <w:r w:rsidR="00724B9C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billion.</w:t>
      </w:r>
    </w:p>
    <w:p w14:paraId="54361E9C" w14:textId="4D436A90" w:rsidR="00D33CF4" w:rsidRPr="00724B9C" w:rsidRDefault="00D33CF4" w:rsidP="00FC3927">
      <w:pPr>
        <w:pStyle w:val="Nagwek1"/>
        <w:spacing w:before="360" w:line="240" w:lineRule="exact"/>
        <w:rPr>
          <w:shd w:val="clear" w:color="auto" w:fill="FFFFFF"/>
          <w:lang w:val="en-US"/>
        </w:rPr>
      </w:pPr>
      <w:bookmarkStart w:id="0" w:name="_Hlk138681075"/>
    </w:p>
    <w:bookmarkEnd w:id="0"/>
    <w:p w14:paraId="3B4127DB" w14:textId="4AED2EC6" w:rsidR="00C22105" w:rsidRPr="00DE1C7A" w:rsidRDefault="00B73F22" w:rsidP="00FC3927">
      <w:pPr>
        <w:pStyle w:val="Nagwek1"/>
        <w:spacing w:before="360"/>
        <w:rPr>
          <w:lang w:val="en-US"/>
        </w:rPr>
      </w:pPr>
      <w:r w:rsidRPr="00DE1C7A">
        <w:rPr>
          <w:lang w:val="en-US"/>
        </w:rPr>
        <w:t>Basic data on leasing companies</w:t>
      </w:r>
    </w:p>
    <w:p w14:paraId="4DA2C696" w14:textId="16B49F4E" w:rsidR="00EE144A" w:rsidRPr="00DE1C7A" w:rsidRDefault="00187D5B" w:rsidP="008E2CF7">
      <w:pPr>
        <w:rPr>
          <w:shd w:val="clear" w:color="auto" w:fill="FFFFFF"/>
          <w:lang w:val="en"/>
        </w:rPr>
      </w:pPr>
      <w:r w:rsidRPr="00187D5B">
        <w:rPr>
          <w:shd w:val="clear" w:color="auto" w:fill="FFFFFF"/>
          <w:lang w:val="en"/>
        </w:rPr>
        <w:t xml:space="preserve">In the group of </w:t>
      </w:r>
      <w:r w:rsidR="00326DEE">
        <w:rPr>
          <w:shd w:val="clear" w:color="auto" w:fill="FFFFFF"/>
          <w:lang w:val="en"/>
        </w:rPr>
        <w:t>87</w:t>
      </w:r>
      <w:r w:rsidRPr="00187D5B">
        <w:rPr>
          <w:shd w:val="clear" w:color="auto" w:fill="FFFFFF"/>
          <w:lang w:val="en"/>
        </w:rPr>
        <w:t xml:space="preserve"> leasing enterprises surveyed, there were </w:t>
      </w:r>
      <w:r w:rsidR="00230395">
        <w:rPr>
          <w:shd w:val="clear" w:color="auto" w:fill="FFFFFF"/>
          <w:lang w:val="en"/>
        </w:rPr>
        <w:t>56</w:t>
      </w:r>
      <w:r w:rsidRPr="00187D5B">
        <w:rPr>
          <w:shd w:val="clear" w:color="auto" w:fill="FFFFFF"/>
          <w:lang w:val="en"/>
        </w:rPr>
        <w:t xml:space="preserve"> limited liability companies, </w:t>
      </w:r>
      <w:r w:rsidR="001A461B">
        <w:rPr>
          <w:shd w:val="clear" w:color="auto" w:fill="FFFFFF"/>
          <w:lang w:val="en"/>
        </w:rPr>
        <w:t>27</w:t>
      </w:r>
      <w:r w:rsidR="00E56D21">
        <w:rPr>
          <w:shd w:val="clear" w:color="auto" w:fill="FFFFFF"/>
          <w:lang w:val="en"/>
        </w:rPr>
        <w:t> </w:t>
      </w:r>
      <w:r w:rsidRPr="00187D5B">
        <w:rPr>
          <w:shd w:val="clear" w:color="auto" w:fill="FFFFFF"/>
          <w:lang w:val="en"/>
        </w:rPr>
        <w:t xml:space="preserve">joint-stock companies and </w:t>
      </w:r>
      <w:r w:rsidR="001A461B">
        <w:rPr>
          <w:shd w:val="clear" w:color="auto" w:fill="FFFFFF"/>
          <w:lang w:val="en"/>
        </w:rPr>
        <w:t>four</w:t>
      </w:r>
      <w:r w:rsidRPr="00187D5B">
        <w:rPr>
          <w:shd w:val="clear" w:color="auto" w:fill="FFFFFF"/>
          <w:lang w:val="en"/>
        </w:rPr>
        <w:t xml:space="preserve"> companies with a different legal form.</w:t>
      </w:r>
      <w:r>
        <w:rPr>
          <w:shd w:val="clear" w:color="auto" w:fill="FFFFFF"/>
          <w:lang w:val="en"/>
        </w:rPr>
        <w:t xml:space="preserve"> </w:t>
      </w:r>
      <w:r w:rsidR="00EE144A" w:rsidRPr="00DE1C7A">
        <w:rPr>
          <w:shd w:val="clear" w:color="auto" w:fill="FFFFFF"/>
          <w:lang w:val="en"/>
        </w:rPr>
        <w:t xml:space="preserve">For </w:t>
      </w:r>
      <w:r w:rsidR="00C4342B">
        <w:rPr>
          <w:shd w:val="clear" w:color="auto" w:fill="FFFFFF"/>
          <w:lang w:val="en"/>
        </w:rPr>
        <w:t>29</w:t>
      </w:r>
      <w:r w:rsidR="00EE144A" w:rsidRPr="00DE1C7A">
        <w:rPr>
          <w:shd w:val="clear" w:color="auto" w:fill="FFFFFF"/>
          <w:lang w:val="en"/>
        </w:rPr>
        <w:t xml:space="preserve"> of these enterprises leasing was the only type of their activity, for </w:t>
      </w:r>
      <w:r w:rsidR="00C4342B">
        <w:rPr>
          <w:shd w:val="clear" w:color="auto" w:fill="FFFFFF"/>
          <w:lang w:val="en"/>
        </w:rPr>
        <w:t>37</w:t>
      </w:r>
      <w:r w:rsidR="00EE144A" w:rsidRPr="00DE1C7A">
        <w:rPr>
          <w:shd w:val="clear" w:color="auto" w:fill="FFFFFF"/>
          <w:lang w:val="en"/>
        </w:rPr>
        <w:t xml:space="preserve"> </w:t>
      </w:r>
      <w:r w:rsidR="004A4833" w:rsidRPr="00DE1C7A">
        <w:rPr>
          <w:shd w:val="clear" w:color="auto" w:fill="FFFFFF"/>
          <w:lang w:val="en"/>
        </w:rPr>
        <w:t xml:space="preserve">- </w:t>
      </w:r>
      <w:r w:rsidR="00EE144A" w:rsidRPr="00DE1C7A">
        <w:rPr>
          <w:shd w:val="clear" w:color="auto" w:fill="FFFFFF"/>
          <w:lang w:val="en"/>
        </w:rPr>
        <w:t>the dominant type of the activity, and for 2</w:t>
      </w:r>
      <w:r w:rsidR="00C4342B">
        <w:rPr>
          <w:shd w:val="clear" w:color="auto" w:fill="FFFFFF"/>
          <w:lang w:val="en"/>
        </w:rPr>
        <w:t>1</w:t>
      </w:r>
      <w:r w:rsidR="00EE144A" w:rsidRPr="00DE1C7A">
        <w:rPr>
          <w:shd w:val="clear" w:color="auto" w:fill="FFFFFF"/>
          <w:lang w:val="en"/>
        </w:rPr>
        <w:t xml:space="preserve"> enterprises </w:t>
      </w:r>
      <w:r w:rsidR="004A4833" w:rsidRPr="00DE1C7A">
        <w:rPr>
          <w:shd w:val="clear" w:color="auto" w:fill="FFFFFF"/>
          <w:lang w:val="en"/>
        </w:rPr>
        <w:t xml:space="preserve">it was </w:t>
      </w:r>
      <w:r w:rsidR="00EE144A" w:rsidRPr="00DE1C7A">
        <w:rPr>
          <w:shd w:val="clear" w:color="auto" w:fill="FFFFFF"/>
          <w:lang w:val="en"/>
        </w:rPr>
        <w:t>the</w:t>
      </w:r>
      <w:r w:rsidR="003C4415" w:rsidRPr="00DE1C7A">
        <w:rPr>
          <w:shd w:val="clear" w:color="auto" w:fill="FFFFFF"/>
          <w:lang w:val="en"/>
        </w:rPr>
        <w:t>ir</w:t>
      </w:r>
      <w:r w:rsidR="00EE144A" w:rsidRPr="00DE1C7A">
        <w:rPr>
          <w:shd w:val="clear" w:color="auto" w:fill="FFFFFF"/>
          <w:lang w:val="en"/>
        </w:rPr>
        <w:t xml:space="preserve"> </w:t>
      </w:r>
      <w:r w:rsidR="0029463B">
        <w:rPr>
          <w:shd w:val="clear" w:color="auto" w:fill="FFFFFF"/>
          <w:lang w:val="en"/>
        </w:rPr>
        <w:t>secondary</w:t>
      </w:r>
      <w:r w:rsidR="00EE144A" w:rsidRPr="00DE1C7A">
        <w:rPr>
          <w:shd w:val="clear" w:color="auto" w:fill="FFFFFF"/>
          <w:lang w:val="en"/>
        </w:rPr>
        <w:t xml:space="preserve"> activity.</w:t>
      </w:r>
    </w:p>
    <w:p w14:paraId="78A95403" w14:textId="2A35A447" w:rsidR="00894DFD" w:rsidRPr="00DE1C7A" w:rsidRDefault="00894DFD" w:rsidP="008E2CF7">
      <w:pPr>
        <w:rPr>
          <w:shd w:val="clear" w:color="auto" w:fill="FFFFFF"/>
          <w:lang w:val="en"/>
        </w:rPr>
      </w:pPr>
      <w:r w:rsidRPr="00DE1C7A">
        <w:rPr>
          <w:shd w:val="clear" w:color="auto" w:fill="FFFFFF"/>
          <w:lang w:val="en"/>
        </w:rPr>
        <w:t xml:space="preserve">The capital groups included </w:t>
      </w:r>
      <w:r w:rsidR="009F1CFC" w:rsidRPr="00DE1C7A">
        <w:rPr>
          <w:shd w:val="clear" w:color="auto" w:fill="FFFFFF"/>
          <w:lang w:val="en"/>
        </w:rPr>
        <w:t>6</w:t>
      </w:r>
      <w:r w:rsidR="00937BAC">
        <w:rPr>
          <w:shd w:val="clear" w:color="auto" w:fill="FFFFFF"/>
          <w:lang w:val="en"/>
        </w:rPr>
        <w:t>7</w:t>
      </w:r>
      <w:r w:rsidRPr="00DE1C7A">
        <w:rPr>
          <w:shd w:val="clear" w:color="auto" w:fill="FFFFFF"/>
          <w:lang w:val="en"/>
        </w:rPr>
        <w:t xml:space="preserve"> ent</w:t>
      </w:r>
      <w:r w:rsidR="00064439" w:rsidRPr="00DE1C7A">
        <w:rPr>
          <w:shd w:val="clear" w:color="auto" w:fill="FFFFFF"/>
          <w:lang w:val="en"/>
        </w:rPr>
        <w:t>ities</w:t>
      </w:r>
      <w:r w:rsidRPr="00DE1C7A">
        <w:rPr>
          <w:shd w:val="clear" w:color="auto" w:fill="FFFFFF"/>
          <w:lang w:val="en"/>
        </w:rPr>
        <w:t xml:space="preserve"> from the </w:t>
      </w:r>
      <w:r w:rsidR="00064439" w:rsidRPr="00DE1C7A">
        <w:rPr>
          <w:shd w:val="clear" w:color="auto" w:fill="FFFFFF"/>
          <w:lang w:val="en"/>
        </w:rPr>
        <w:t>surveye</w:t>
      </w:r>
      <w:r w:rsidRPr="00DE1C7A">
        <w:rPr>
          <w:shd w:val="clear" w:color="auto" w:fill="FFFFFF"/>
          <w:lang w:val="en"/>
        </w:rPr>
        <w:t xml:space="preserve">d group of leasing enterprises, </w:t>
      </w:r>
      <w:r w:rsidR="003F5D02">
        <w:rPr>
          <w:shd w:val="clear" w:color="auto" w:fill="FFFFFF"/>
          <w:lang w:val="en"/>
        </w:rPr>
        <w:t>of which</w:t>
      </w:r>
      <w:r w:rsidR="003F5D02" w:rsidRPr="00DE1C7A">
        <w:rPr>
          <w:shd w:val="clear" w:color="auto" w:fill="FFFFFF"/>
          <w:lang w:val="en"/>
        </w:rPr>
        <w:t xml:space="preserve"> </w:t>
      </w:r>
      <w:r w:rsidR="00937BAC">
        <w:rPr>
          <w:shd w:val="clear" w:color="auto" w:fill="FFFFFF"/>
          <w:lang w:val="en"/>
        </w:rPr>
        <w:t>53</w:t>
      </w:r>
      <w:r w:rsidRPr="00DE1C7A">
        <w:rPr>
          <w:shd w:val="clear" w:color="auto" w:fill="FFFFFF"/>
          <w:lang w:val="en"/>
        </w:rPr>
        <w:t xml:space="preserve"> were subsidiaries, </w:t>
      </w:r>
      <w:r w:rsidR="00B4105F">
        <w:rPr>
          <w:shd w:val="clear" w:color="auto" w:fill="FFFFFF"/>
          <w:lang w:val="en"/>
        </w:rPr>
        <w:t>9</w:t>
      </w:r>
      <w:r w:rsidRPr="00DE1C7A">
        <w:rPr>
          <w:shd w:val="clear" w:color="auto" w:fill="FFFFFF"/>
          <w:lang w:val="en"/>
        </w:rPr>
        <w:t xml:space="preserve"> </w:t>
      </w:r>
      <w:r w:rsidR="00F9315E">
        <w:rPr>
          <w:shd w:val="clear" w:color="auto" w:fill="FFFFFF"/>
          <w:lang w:val="en"/>
        </w:rPr>
        <w:t>dominant</w:t>
      </w:r>
      <w:r w:rsidR="00F9315E" w:rsidRPr="00DE1C7A">
        <w:rPr>
          <w:shd w:val="clear" w:color="auto" w:fill="FFFFFF"/>
          <w:lang w:val="en"/>
        </w:rPr>
        <w:t xml:space="preserve"> </w:t>
      </w:r>
      <w:r w:rsidRPr="00DE1C7A">
        <w:rPr>
          <w:shd w:val="clear" w:color="auto" w:fill="FFFFFF"/>
          <w:lang w:val="en"/>
        </w:rPr>
        <w:t xml:space="preserve">entities, and </w:t>
      </w:r>
      <w:r w:rsidR="00937BAC">
        <w:rPr>
          <w:shd w:val="clear" w:color="auto" w:fill="FFFFFF"/>
          <w:lang w:val="en"/>
        </w:rPr>
        <w:t>5</w:t>
      </w:r>
      <w:r w:rsidRPr="00DE1C7A">
        <w:rPr>
          <w:shd w:val="clear" w:color="auto" w:fill="FFFFFF"/>
          <w:lang w:val="en"/>
        </w:rPr>
        <w:t xml:space="preserve"> </w:t>
      </w:r>
      <w:r w:rsidR="00F9315E">
        <w:rPr>
          <w:shd w:val="clear" w:color="auto" w:fill="FFFFFF"/>
          <w:lang w:val="en"/>
        </w:rPr>
        <w:t>dominant</w:t>
      </w:r>
      <w:r w:rsidR="00F9315E" w:rsidRPr="00DE1C7A">
        <w:rPr>
          <w:shd w:val="clear" w:color="auto" w:fill="FFFFFF"/>
          <w:lang w:val="en"/>
        </w:rPr>
        <w:t xml:space="preserve"> </w:t>
      </w:r>
      <w:r w:rsidRPr="00DE1C7A">
        <w:rPr>
          <w:shd w:val="clear" w:color="auto" w:fill="FFFFFF"/>
          <w:lang w:val="en"/>
        </w:rPr>
        <w:t xml:space="preserve">and subsidiary entities </w:t>
      </w:r>
      <w:r w:rsidR="00064439" w:rsidRPr="00DE1C7A">
        <w:rPr>
          <w:shd w:val="clear" w:color="auto" w:fill="FFFFFF"/>
          <w:lang w:val="en"/>
        </w:rPr>
        <w:t>at once</w:t>
      </w:r>
      <w:r w:rsidRPr="00DE1C7A">
        <w:rPr>
          <w:shd w:val="clear" w:color="auto" w:fill="FFFFFF"/>
          <w:lang w:val="en"/>
        </w:rPr>
        <w:t>.</w:t>
      </w:r>
    </w:p>
    <w:p w14:paraId="1308EA08" w14:textId="38EBD0C0" w:rsidR="002E3BE8" w:rsidRDefault="002E3BE8" w:rsidP="008E2CF7">
      <w:pPr>
        <w:rPr>
          <w:shd w:val="clear" w:color="auto" w:fill="FFFFFF"/>
          <w:lang w:val="en-US"/>
        </w:rPr>
      </w:pPr>
      <w:r w:rsidRPr="00DE1C7A">
        <w:rPr>
          <w:shd w:val="clear" w:color="auto" w:fill="FFFFFF"/>
          <w:lang w:val="en-US"/>
        </w:rPr>
        <w:t>As of the end of the previous year</w:t>
      </w:r>
      <w:r w:rsidR="00FA5405" w:rsidRPr="00DE1C7A">
        <w:rPr>
          <w:shd w:val="clear" w:color="auto" w:fill="FFFFFF"/>
          <w:lang w:val="en-US"/>
        </w:rPr>
        <w:t>,</w:t>
      </w:r>
      <w:r w:rsidR="00E0090C" w:rsidRPr="00DE1C7A">
        <w:rPr>
          <w:shd w:val="clear" w:color="auto" w:fill="FFFFFF"/>
          <w:lang w:val="en-US"/>
        </w:rPr>
        <w:t xml:space="preserve"> </w:t>
      </w:r>
      <w:r w:rsidR="004305F8">
        <w:rPr>
          <w:shd w:val="clear" w:color="auto" w:fill="FFFFFF"/>
          <w:lang w:val="en-US"/>
        </w:rPr>
        <w:t>10</w:t>
      </w:r>
      <w:r w:rsidRPr="00DE1C7A">
        <w:rPr>
          <w:shd w:val="clear" w:color="auto" w:fill="FFFFFF"/>
          <w:lang w:val="en-US"/>
        </w:rPr>
        <w:t>.</w:t>
      </w:r>
      <w:r w:rsidR="004305F8">
        <w:rPr>
          <w:shd w:val="clear" w:color="auto" w:fill="FFFFFF"/>
          <w:lang w:val="en-US"/>
        </w:rPr>
        <w:t>3</w:t>
      </w:r>
      <w:r w:rsidRPr="00DE1C7A">
        <w:rPr>
          <w:shd w:val="clear" w:color="auto" w:fill="FFFFFF"/>
          <w:lang w:val="en-US"/>
        </w:rPr>
        <w:t xml:space="preserve"> thousand employees performed work connected with leasing in </w:t>
      </w:r>
      <w:r w:rsidR="000E0D90" w:rsidRPr="00DE1C7A">
        <w:rPr>
          <w:shd w:val="clear" w:color="auto" w:fill="FFFFFF"/>
          <w:lang w:val="en-US"/>
        </w:rPr>
        <w:t xml:space="preserve">the surveyed entities, of this </w:t>
      </w:r>
      <w:r w:rsidR="008B72F4">
        <w:rPr>
          <w:shd w:val="clear" w:color="auto" w:fill="FFFFFF"/>
          <w:lang w:val="en-US"/>
        </w:rPr>
        <w:t>8</w:t>
      </w:r>
      <w:r w:rsidRPr="00DE1C7A">
        <w:rPr>
          <w:shd w:val="clear" w:color="auto" w:fill="FFFFFF"/>
          <w:lang w:val="en-US"/>
        </w:rPr>
        <w:t>.</w:t>
      </w:r>
      <w:r w:rsidR="004305F8">
        <w:rPr>
          <w:shd w:val="clear" w:color="auto" w:fill="FFFFFF"/>
          <w:lang w:val="en-US"/>
        </w:rPr>
        <w:t>7</w:t>
      </w:r>
      <w:r w:rsidRPr="00DE1C7A">
        <w:rPr>
          <w:shd w:val="clear" w:color="auto" w:fill="FFFFFF"/>
          <w:lang w:val="en-US"/>
        </w:rPr>
        <w:t xml:space="preserve"> thousand persons on the ba</w:t>
      </w:r>
      <w:r w:rsidR="000E0D90" w:rsidRPr="00DE1C7A">
        <w:rPr>
          <w:shd w:val="clear" w:color="auto" w:fill="FFFFFF"/>
          <w:lang w:val="en-US"/>
        </w:rPr>
        <w:t>si</w:t>
      </w:r>
      <w:r w:rsidR="00E0090C" w:rsidRPr="00DE1C7A">
        <w:rPr>
          <w:shd w:val="clear" w:color="auto" w:fill="FFFFFF"/>
          <w:lang w:val="en-US"/>
        </w:rPr>
        <w:t xml:space="preserve">s of an employment contract, </w:t>
      </w:r>
      <w:r w:rsidR="00CF4A4D">
        <w:rPr>
          <w:shd w:val="clear" w:color="auto" w:fill="FFFFFF"/>
          <w:lang w:val="en-US"/>
        </w:rPr>
        <w:t>0.</w:t>
      </w:r>
      <w:r w:rsidR="008B72F4">
        <w:rPr>
          <w:shd w:val="clear" w:color="auto" w:fill="FFFFFF"/>
          <w:lang w:val="en-US"/>
        </w:rPr>
        <w:t>5</w:t>
      </w:r>
      <w:r w:rsidR="00CF4A4D">
        <w:rPr>
          <w:shd w:val="clear" w:color="auto" w:fill="FFFFFF"/>
          <w:lang w:val="en-US"/>
        </w:rPr>
        <w:t xml:space="preserve"> thousand</w:t>
      </w:r>
      <w:r w:rsidRPr="00DE1C7A">
        <w:rPr>
          <w:shd w:val="clear" w:color="auto" w:fill="FFFFFF"/>
          <w:lang w:val="en-US"/>
        </w:rPr>
        <w:t xml:space="preserve"> persons on the basis of a mandate contract, agency contract </w:t>
      </w:r>
      <w:r w:rsidR="00E0090C" w:rsidRPr="00DE1C7A">
        <w:rPr>
          <w:shd w:val="clear" w:color="auto" w:fill="FFFFFF"/>
          <w:lang w:val="en-US"/>
        </w:rPr>
        <w:t xml:space="preserve">or specific task contract and </w:t>
      </w:r>
      <w:r w:rsidR="004305F8">
        <w:rPr>
          <w:shd w:val="clear" w:color="auto" w:fill="FFFFFF"/>
          <w:lang w:val="en-US"/>
        </w:rPr>
        <w:t>1</w:t>
      </w:r>
      <w:r w:rsidR="00CF4A4D">
        <w:rPr>
          <w:shd w:val="clear" w:color="auto" w:fill="FFFFFF"/>
          <w:lang w:val="en-US"/>
        </w:rPr>
        <w:t>.</w:t>
      </w:r>
      <w:r w:rsidR="004305F8">
        <w:rPr>
          <w:shd w:val="clear" w:color="auto" w:fill="FFFFFF"/>
          <w:lang w:val="en-US"/>
        </w:rPr>
        <w:t>0</w:t>
      </w:r>
      <w:r w:rsidR="00CF4A4D">
        <w:rPr>
          <w:shd w:val="clear" w:color="auto" w:fill="FFFFFF"/>
          <w:lang w:val="en-US"/>
        </w:rPr>
        <w:t xml:space="preserve"> thousand</w:t>
      </w:r>
      <w:r w:rsidRPr="00DE1C7A">
        <w:rPr>
          <w:shd w:val="clear" w:color="auto" w:fill="FFFFFF"/>
          <w:lang w:val="en-US"/>
        </w:rPr>
        <w:t xml:space="preserve"> self-</w:t>
      </w:r>
      <w:r w:rsidR="00E65B6E">
        <w:rPr>
          <w:shd w:val="clear" w:color="auto" w:fill="FFFFFF"/>
          <w:lang w:val="en-US"/>
        </w:rPr>
        <w:t>employed persons.</w:t>
      </w:r>
    </w:p>
    <w:p w14:paraId="0F13740D" w14:textId="77777777" w:rsidR="00FF4DA4" w:rsidRDefault="00E97A00" w:rsidP="008E2CF7">
      <w:pPr>
        <w:pStyle w:val="HTML-wstpniesformatowany"/>
        <w:spacing w:before="120" w:after="120" w:line="240" w:lineRule="exact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The distribution network of leasing products comprised </w:t>
      </w:r>
      <w:r w:rsidR="008B72F4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.</w:t>
      </w:r>
      <w:r w:rsidR="008B72F4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branches and authorized representative offices.</w:t>
      </w:r>
    </w:p>
    <w:p w14:paraId="05061704" w14:textId="2E285CDB" w:rsidR="00187D5B" w:rsidRDefault="00D50206" w:rsidP="008E2CF7">
      <w:pPr>
        <w:pStyle w:val="HTML-wstpniesformatowany"/>
        <w:spacing w:before="120" w:after="120" w:line="240" w:lineRule="exact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D50206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Among the surveyed enterprises, only one indicated that the flood in September 2024 </w:t>
      </w:r>
      <w:r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had an impact on </w:t>
      </w:r>
      <w:r w:rsidR="00BE5887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its</w:t>
      </w:r>
      <w:r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activity</w:t>
      </w:r>
      <w:r w:rsidRPr="00D50206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 while four entities reported that the assets leased by them were damaged or lost due to the flood.</w:t>
      </w:r>
      <w:r w:rsidR="00187D5B" w:rsidRPr="00DE1C7A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108BF2C" wp14:editId="6A23DB44">
                <wp:simplePos x="0" y="0"/>
                <wp:positionH relativeFrom="column">
                  <wp:posOffset>5293995</wp:posOffset>
                </wp:positionH>
                <wp:positionV relativeFrom="paragraph">
                  <wp:posOffset>5080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6" name="Pole tekstowe 6" descr="As of the end of 2024 1,068 thousand lessees used leasing services; they leased 2,502 thousand items (assets) worth PLN 156.0 b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9D80" w14:textId="24C7401B" w:rsidR="00711EEC" w:rsidRDefault="00711EEC" w:rsidP="00FC3927">
                            <w:pPr>
                              <w:pStyle w:val="tekstzboku"/>
                              <w:spacing w:before="0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As of</w:t>
                            </w:r>
                            <w:r w:rsidR="00E0090C">
                              <w:rPr>
                                <w:lang w:val="en"/>
                              </w:rPr>
                              <w:t xml:space="preserve"> the end of 202</w:t>
                            </w:r>
                            <w:r w:rsidR="00D90864">
                              <w:rPr>
                                <w:lang w:val="en"/>
                              </w:rPr>
                              <w:t>4</w:t>
                            </w:r>
                            <w:r w:rsidR="008C6585">
                              <w:rPr>
                                <w:lang w:val="en"/>
                              </w:rPr>
                              <w:t xml:space="preserve"> 1,</w:t>
                            </w:r>
                            <w:r w:rsidR="005F092C">
                              <w:rPr>
                                <w:lang w:val="en"/>
                              </w:rPr>
                              <w:t>068</w:t>
                            </w:r>
                            <w:r w:rsidR="0008514C">
                              <w:rPr>
                                <w:lang w:val="en"/>
                              </w:rPr>
                              <w:t> </w:t>
                            </w:r>
                            <w:r w:rsidR="00BB72CB">
                              <w:rPr>
                                <w:lang w:val="en"/>
                              </w:rPr>
                              <w:t xml:space="preserve">thousand </w:t>
                            </w:r>
                            <w:r w:rsidRPr="00711EEC">
                              <w:rPr>
                                <w:lang w:val="en"/>
                              </w:rPr>
                              <w:t xml:space="preserve">lessees </w:t>
                            </w:r>
                            <w:r>
                              <w:rPr>
                                <w:lang w:val="en"/>
                              </w:rPr>
                              <w:t xml:space="preserve">used leasing services; they leased </w:t>
                            </w:r>
                            <w:r w:rsidR="008C6585">
                              <w:rPr>
                                <w:lang w:val="en"/>
                              </w:rPr>
                              <w:t>2</w:t>
                            </w:r>
                            <w:r w:rsidR="001B50C1">
                              <w:rPr>
                                <w:lang w:val="en"/>
                              </w:rPr>
                              <w:t>,</w:t>
                            </w:r>
                            <w:r w:rsidR="005F092C">
                              <w:rPr>
                                <w:lang w:val="en"/>
                              </w:rPr>
                              <w:t>502</w:t>
                            </w:r>
                            <w:r>
                              <w:rPr>
                                <w:lang w:val="en"/>
                              </w:rPr>
                              <w:t xml:space="preserve"> thousand item</w:t>
                            </w:r>
                            <w:r w:rsidRPr="00711EEC">
                              <w:rPr>
                                <w:lang w:val="en"/>
                              </w:rPr>
                              <w:t xml:space="preserve">s </w:t>
                            </w:r>
                            <w:r w:rsidR="00731A49">
                              <w:rPr>
                                <w:lang w:val="en"/>
                              </w:rPr>
                              <w:t xml:space="preserve">(assets) </w:t>
                            </w:r>
                            <w:r w:rsidRPr="00711EEC">
                              <w:rPr>
                                <w:lang w:val="en"/>
                              </w:rPr>
                              <w:t>worth PLN</w:t>
                            </w:r>
                            <w:r w:rsidR="003E1415">
                              <w:rPr>
                                <w:lang w:val="en"/>
                              </w:rPr>
                              <w:t> </w:t>
                            </w:r>
                            <w:r w:rsidR="005F092C">
                              <w:rPr>
                                <w:lang w:val="en"/>
                              </w:rPr>
                              <w:t>156</w:t>
                            </w:r>
                            <w:r w:rsidR="00530BAD">
                              <w:rPr>
                                <w:lang w:val="en"/>
                              </w:rPr>
                              <w:t>.</w:t>
                            </w:r>
                            <w:r w:rsidR="005F092C">
                              <w:rPr>
                                <w:lang w:val="en"/>
                              </w:rPr>
                              <w:t>0</w:t>
                            </w:r>
                            <w:r w:rsidR="003E1415">
                              <w:rPr>
                                <w:lang w:val="en"/>
                              </w:rPr>
                              <w:t> </w:t>
                            </w:r>
                            <w:r w:rsidRPr="00711EEC">
                              <w:rPr>
                                <w:lang w:val="en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8BF2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As of the end of 2024 1,068 thousand lessees used leasing services; they leased 2,502 thousand items (assets) worth PLN 156.0 billion" style="position:absolute;margin-left:416.85pt;margin-top:.4pt;width:135.85pt;height:83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" filled="f" stroked="f">
                <v:textbox>
                  <w:txbxContent>
                    <w:p w14:paraId="4C289D80" w14:textId="24C7401B" w:rsidR="00711EEC" w:rsidRDefault="00711EEC" w:rsidP="00FC3927">
                      <w:pPr>
                        <w:pStyle w:val="tekstzboku"/>
                        <w:spacing w:before="0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As of</w:t>
                      </w:r>
                      <w:r w:rsidR="00E0090C">
                        <w:rPr>
                          <w:lang w:val="en"/>
                        </w:rPr>
                        <w:t xml:space="preserve"> the end of 202</w:t>
                      </w:r>
                      <w:r w:rsidR="00D90864">
                        <w:rPr>
                          <w:lang w:val="en"/>
                        </w:rPr>
                        <w:t>4</w:t>
                      </w:r>
                      <w:r w:rsidR="008C6585">
                        <w:rPr>
                          <w:lang w:val="en"/>
                        </w:rPr>
                        <w:t xml:space="preserve"> 1,</w:t>
                      </w:r>
                      <w:r w:rsidR="005F092C">
                        <w:rPr>
                          <w:lang w:val="en"/>
                        </w:rPr>
                        <w:t>068</w:t>
                      </w:r>
                      <w:r w:rsidR="0008514C">
                        <w:rPr>
                          <w:lang w:val="en"/>
                        </w:rPr>
                        <w:t> </w:t>
                      </w:r>
                      <w:r w:rsidR="00BB72CB">
                        <w:rPr>
                          <w:lang w:val="en"/>
                        </w:rPr>
                        <w:t xml:space="preserve">thousand </w:t>
                      </w:r>
                      <w:r w:rsidRPr="00711EEC">
                        <w:rPr>
                          <w:lang w:val="en"/>
                        </w:rPr>
                        <w:t xml:space="preserve">lessees </w:t>
                      </w:r>
                      <w:r>
                        <w:rPr>
                          <w:lang w:val="en"/>
                        </w:rPr>
                        <w:t xml:space="preserve">used leasing services; they leased </w:t>
                      </w:r>
                      <w:r w:rsidR="008C6585">
                        <w:rPr>
                          <w:lang w:val="en"/>
                        </w:rPr>
                        <w:t>2</w:t>
                      </w:r>
                      <w:r w:rsidR="001B50C1">
                        <w:rPr>
                          <w:lang w:val="en"/>
                        </w:rPr>
                        <w:t>,</w:t>
                      </w:r>
                      <w:r w:rsidR="005F092C">
                        <w:rPr>
                          <w:lang w:val="en"/>
                        </w:rPr>
                        <w:t>502</w:t>
                      </w:r>
                      <w:r>
                        <w:rPr>
                          <w:lang w:val="en"/>
                        </w:rPr>
                        <w:t xml:space="preserve"> thousand item</w:t>
                      </w:r>
                      <w:r w:rsidRPr="00711EEC">
                        <w:rPr>
                          <w:lang w:val="en"/>
                        </w:rPr>
                        <w:t xml:space="preserve">s </w:t>
                      </w:r>
                      <w:r w:rsidR="00731A49">
                        <w:rPr>
                          <w:lang w:val="en"/>
                        </w:rPr>
                        <w:t xml:space="preserve">(assets) </w:t>
                      </w:r>
                      <w:r w:rsidRPr="00711EEC">
                        <w:rPr>
                          <w:lang w:val="en"/>
                        </w:rPr>
                        <w:t>worth PLN</w:t>
                      </w:r>
                      <w:r w:rsidR="003E1415">
                        <w:rPr>
                          <w:lang w:val="en"/>
                        </w:rPr>
                        <w:t> </w:t>
                      </w:r>
                      <w:r w:rsidR="005F092C">
                        <w:rPr>
                          <w:lang w:val="en"/>
                        </w:rPr>
                        <w:t>156</w:t>
                      </w:r>
                      <w:r w:rsidR="00530BAD">
                        <w:rPr>
                          <w:lang w:val="en"/>
                        </w:rPr>
                        <w:t>.</w:t>
                      </w:r>
                      <w:r w:rsidR="005F092C">
                        <w:rPr>
                          <w:lang w:val="en"/>
                        </w:rPr>
                        <w:t>0</w:t>
                      </w:r>
                      <w:r w:rsidR="003E1415">
                        <w:rPr>
                          <w:lang w:val="en"/>
                        </w:rPr>
                        <w:t> </w:t>
                      </w:r>
                      <w:r w:rsidRPr="00711EEC">
                        <w:rPr>
                          <w:lang w:val="en"/>
                        </w:rPr>
                        <w:t>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BC9EDB" w14:textId="1CC36261" w:rsidR="00DC02DB" w:rsidRPr="00DE1C7A" w:rsidRDefault="00DC02DB" w:rsidP="003A7A7A">
      <w:pPr>
        <w:pStyle w:val="Nagwek1"/>
        <w:spacing w:before="360"/>
        <w:rPr>
          <w:b/>
          <w:noProof/>
          <w:color w:val="212492"/>
          <w:spacing w:val="-2"/>
          <w:lang w:val="en-US"/>
        </w:rPr>
      </w:pPr>
      <w:r w:rsidRPr="00DE1C7A">
        <w:rPr>
          <w:lang w:val="en-US"/>
        </w:rPr>
        <w:t>Characteristics of leasing services</w:t>
      </w:r>
    </w:p>
    <w:p w14:paraId="222707F5" w14:textId="341C31FA" w:rsidR="00140CEE" w:rsidRDefault="00E0090C" w:rsidP="008E2CF7">
      <w:pPr>
        <w:pStyle w:val="HTML-wstpniesformatowany"/>
        <w:spacing w:before="120" w:line="240" w:lineRule="exact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During 202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 the survey</w:t>
      </w: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ed leasing companies concluded </w:t>
      </w:r>
      <w:r w:rsidR="008B72F4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5</w:t>
      </w:r>
      <w:r w:rsidR="00220E66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new contracts with </w:t>
      </w:r>
      <w:r w:rsidR="008E4ECB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7</w:t>
      </w:r>
      <w:r w:rsidR="008E4ECB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</w:t>
      </w:r>
      <w:r w:rsidR="00E973A9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</w:t>
      </w: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lessees, leasing 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796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</w:t>
      </w:r>
      <w:r w:rsidR="00E973A9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items</w:t>
      </w:r>
      <w:r w:rsidR="00805E6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(assets)</w:t>
      </w:r>
      <w:r w:rsidR="00E973A9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for an amount of PLN </w:t>
      </w:r>
      <w:r w:rsidR="008E4ECB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</w:t>
      </w: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964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million. The subject of these leasing agreements were both new </w:t>
      </w:r>
      <w:r w:rsidR="00805E6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items (assets) 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(worth PLN </w:t>
      </w:r>
      <w:r w:rsidR="008E4ECB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</w:t>
      </w: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672</w:t>
      </w:r>
      <w:r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million) and </w:t>
      </w:r>
      <w:r w:rsidR="00805F1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the 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used </w:t>
      </w:r>
      <w:r w:rsidR="00EB4C27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ones</w:t>
      </w:r>
      <w:r w:rsidR="00E73765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(PLN 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20</w:t>
      </w:r>
      <w:r w:rsidR="003D4A87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8E4ECB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2</w:t>
      </w:r>
      <w:r w:rsidR="00516C4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92</w:t>
      </w:r>
      <w:r w:rsidR="00140CEE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million)</w:t>
      </w:r>
      <w:r w:rsidR="00805F1C" w:rsidRPr="00516C4C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.</w:t>
      </w:r>
    </w:p>
    <w:p w14:paraId="4E691805" w14:textId="16884285" w:rsidR="00765B99" w:rsidRPr="00FC3927" w:rsidRDefault="00703D68" w:rsidP="00F70FDF">
      <w:pPr>
        <w:pStyle w:val="tytuwykresu"/>
        <w:spacing w:before="360" w:line="240" w:lineRule="auto"/>
        <w:ind w:left="709" w:hanging="709"/>
        <w:rPr>
          <w:sz w:val="19"/>
          <w:szCs w:val="19"/>
          <w:shd w:val="clear" w:color="auto" w:fill="FFFFFF"/>
          <w:lang w:val="en"/>
        </w:rPr>
      </w:pPr>
      <w:r w:rsidRPr="00637D9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7991D55B" wp14:editId="0E4DE807">
                <wp:simplePos x="0" y="0"/>
                <wp:positionH relativeFrom="page">
                  <wp:posOffset>5692140</wp:posOffset>
                </wp:positionH>
                <wp:positionV relativeFrom="paragraph">
                  <wp:posOffset>906780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4" name="Pole tekstowe 4" descr="Financial leasing agreements by value accounted for 78.6% of the value of all agreements concluded in 2024, and operational leasing – 21.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0216B" w14:textId="0547BF27" w:rsidR="00703D68" w:rsidRPr="00D63F2B" w:rsidRDefault="002F6B3B" w:rsidP="00703D6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 w:rsidRPr="00D63F2B">
                              <w:rPr>
                                <w:lang w:val="en"/>
                              </w:rPr>
                              <w:t xml:space="preserve">Financial leasing agreements by value accounted for </w:t>
                            </w:r>
                            <w:r w:rsidR="00983CD2">
                              <w:rPr>
                                <w:lang w:val="en"/>
                              </w:rPr>
                              <w:t>7</w:t>
                            </w:r>
                            <w:r w:rsidRPr="00D63F2B">
                              <w:rPr>
                                <w:lang w:val="en"/>
                              </w:rPr>
                              <w:t>8</w:t>
                            </w:r>
                            <w:r w:rsidR="00983CD2">
                              <w:rPr>
                                <w:lang w:val="en"/>
                              </w:rPr>
                              <w:t>.6</w:t>
                            </w:r>
                            <w:r w:rsidRPr="00D63F2B">
                              <w:rPr>
                                <w:lang w:val="en"/>
                              </w:rPr>
                              <w:t>% of the value of all agreements concluded in 202</w:t>
                            </w:r>
                            <w:r w:rsidR="00983CD2">
                              <w:rPr>
                                <w:lang w:val="en"/>
                              </w:rPr>
                              <w:t>4</w:t>
                            </w:r>
                            <w:r w:rsidRPr="00D63F2B">
                              <w:rPr>
                                <w:lang w:val="en"/>
                              </w:rPr>
                              <w:t xml:space="preserve">, and operational leasing – </w:t>
                            </w:r>
                            <w:r w:rsidR="00983CD2">
                              <w:rPr>
                                <w:lang w:val="en"/>
                              </w:rPr>
                              <w:t>21</w:t>
                            </w:r>
                            <w:r w:rsidRPr="00D63F2B">
                              <w:rPr>
                                <w:lang w:val="en"/>
                              </w:rPr>
                              <w:t>.</w:t>
                            </w:r>
                            <w:r w:rsidR="00983CD2">
                              <w:rPr>
                                <w:lang w:val="en"/>
                              </w:rPr>
                              <w:t>4</w:t>
                            </w:r>
                            <w:r w:rsidRPr="00D63F2B">
                              <w:rPr>
                                <w:lang w:val="en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D55B" id="Pole tekstowe 4" o:spid="_x0000_s1028" type="#_x0000_t202" alt="Financial leasing agreements by value accounted for 78.6% of the value of all agreements concluded in 2024, and operational leasing – 21.4%" style="position:absolute;left:0;text-align:left;margin-left:448.2pt;margin-top:71.4pt;width:135.85pt;height:123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" filled="f" stroked="f">
                <v:textbox>
                  <w:txbxContent>
                    <w:p w14:paraId="5FF0216B" w14:textId="0547BF27" w:rsidR="00703D68" w:rsidRPr="00D63F2B" w:rsidRDefault="002F6B3B" w:rsidP="00703D68">
                      <w:pPr>
                        <w:pStyle w:val="tekstzboku"/>
                        <w:rPr>
                          <w:lang w:val="en"/>
                        </w:rPr>
                      </w:pPr>
                      <w:r w:rsidRPr="00D63F2B">
                        <w:rPr>
                          <w:lang w:val="en"/>
                        </w:rPr>
                        <w:t xml:space="preserve">Financial leasing agreements by value accounted for </w:t>
                      </w:r>
                      <w:r w:rsidR="00983CD2">
                        <w:rPr>
                          <w:lang w:val="en"/>
                        </w:rPr>
                        <w:t>7</w:t>
                      </w:r>
                      <w:r w:rsidRPr="00D63F2B">
                        <w:rPr>
                          <w:lang w:val="en"/>
                        </w:rPr>
                        <w:t>8</w:t>
                      </w:r>
                      <w:r w:rsidR="00983CD2">
                        <w:rPr>
                          <w:lang w:val="en"/>
                        </w:rPr>
                        <w:t>.6</w:t>
                      </w:r>
                      <w:r w:rsidRPr="00D63F2B">
                        <w:rPr>
                          <w:lang w:val="en"/>
                        </w:rPr>
                        <w:t>% of the value of all agreements concluded in 202</w:t>
                      </w:r>
                      <w:r w:rsidR="00983CD2">
                        <w:rPr>
                          <w:lang w:val="en"/>
                        </w:rPr>
                        <w:t>4</w:t>
                      </w:r>
                      <w:r w:rsidRPr="00D63F2B">
                        <w:rPr>
                          <w:lang w:val="en"/>
                        </w:rPr>
                        <w:t xml:space="preserve">, and operational leasing – </w:t>
                      </w:r>
                      <w:r w:rsidR="00983CD2">
                        <w:rPr>
                          <w:lang w:val="en"/>
                        </w:rPr>
                        <w:t>21</w:t>
                      </w:r>
                      <w:r w:rsidRPr="00D63F2B">
                        <w:rPr>
                          <w:lang w:val="en"/>
                        </w:rPr>
                        <w:t>.</w:t>
                      </w:r>
                      <w:r w:rsidR="00983CD2">
                        <w:rPr>
                          <w:lang w:val="en"/>
                        </w:rPr>
                        <w:t>4</w:t>
                      </w:r>
                      <w:r w:rsidRPr="00D63F2B">
                        <w:rPr>
                          <w:lang w:val="en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C49" w:rsidRPr="00FC3927">
        <w:rPr>
          <w:sz w:val="19"/>
          <w:szCs w:val="19"/>
          <w:lang w:val="en-US"/>
        </w:rPr>
        <w:t>Table</w:t>
      </w:r>
      <w:r w:rsidR="00FB5906" w:rsidRPr="00FC3927">
        <w:rPr>
          <w:sz w:val="19"/>
          <w:szCs w:val="19"/>
          <w:lang w:val="en-US"/>
        </w:rPr>
        <w:t xml:space="preserve"> </w:t>
      </w:r>
      <w:r w:rsidR="00074DD8" w:rsidRPr="00FC3927">
        <w:rPr>
          <w:sz w:val="19"/>
          <w:szCs w:val="19"/>
          <w:lang w:val="en-US"/>
        </w:rPr>
        <w:t>1</w:t>
      </w:r>
      <w:r w:rsidR="008F4441" w:rsidRPr="00FC3927">
        <w:rPr>
          <w:sz w:val="19"/>
          <w:szCs w:val="19"/>
          <w:lang w:val="en-US"/>
        </w:rPr>
        <w:t>.</w:t>
      </w:r>
      <w:r w:rsidR="00074DD8" w:rsidRPr="00FC3927">
        <w:rPr>
          <w:sz w:val="19"/>
          <w:szCs w:val="19"/>
          <w:shd w:val="clear" w:color="auto" w:fill="FFFFFF"/>
          <w:lang w:val="en-US"/>
        </w:rPr>
        <w:t xml:space="preserve"> </w:t>
      </w:r>
      <w:r w:rsidR="00765B99" w:rsidRPr="00FC3927">
        <w:rPr>
          <w:sz w:val="19"/>
          <w:szCs w:val="19"/>
          <w:shd w:val="clear" w:color="auto" w:fill="FFFFFF"/>
          <w:lang w:val="en"/>
        </w:rPr>
        <w:t>General information about enterprises and their leasing activities in the period</w:t>
      </w:r>
      <w:r w:rsidR="00FC3927">
        <w:rPr>
          <w:sz w:val="19"/>
          <w:szCs w:val="19"/>
          <w:shd w:val="clear" w:color="auto" w:fill="FFFFFF"/>
          <w:lang w:val="en"/>
        </w:rPr>
        <w:t xml:space="preserve"> </w:t>
      </w:r>
      <w:r w:rsidR="00765B99" w:rsidRPr="00FC3927">
        <w:rPr>
          <w:sz w:val="19"/>
          <w:szCs w:val="19"/>
          <w:shd w:val="clear" w:color="auto" w:fill="FFFFFF"/>
          <w:lang w:val="en"/>
        </w:rPr>
        <w:t>from</w:t>
      </w:r>
      <w:r w:rsidR="00FC3927">
        <w:rPr>
          <w:sz w:val="19"/>
          <w:szCs w:val="19"/>
          <w:shd w:val="clear" w:color="auto" w:fill="FFFFFF"/>
          <w:lang w:val="en"/>
        </w:rPr>
        <w:t> </w:t>
      </w:r>
      <w:r w:rsidR="00417939">
        <w:rPr>
          <w:sz w:val="19"/>
          <w:szCs w:val="19"/>
          <w:shd w:val="clear" w:color="auto" w:fill="FFFFFF"/>
          <w:lang w:val="en"/>
        </w:rPr>
        <w:t>1 January to 31 December</w:t>
      </w:r>
    </w:p>
    <w:tbl>
      <w:tblPr>
        <w:tblStyle w:val="Siatkatabelijasna10"/>
        <w:tblpPr w:leftFromText="141" w:rightFromText="141" w:vertAnchor="text" w:horzAnchor="margin" w:tblpY="137"/>
        <w:tblW w:w="5000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General information about enterprises and their leasing activities in the period from 1 January to 31 December"/>
      </w:tblPr>
      <w:tblGrid>
        <w:gridCol w:w="4661"/>
        <w:gridCol w:w="1796"/>
        <w:gridCol w:w="1610"/>
      </w:tblGrid>
      <w:tr w:rsidR="001A0E8A" w:rsidRPr="001A0E8A" w14:paraId="434D0A39" w14:textId="77777777" w:rsidTr="00F27772">
        <w:trPr>
          <w:trHeight w:val="57"/>
        </w:trPr>
        <w:tc>
          <w:tcPr>
            <w:tcW w:w="2889" w:type="pct"/>
            <w:vAlign w:val="center"/>
          </w:tcPr>
          <w:p w14:paraId="30CB65BD" w14:textId="77777777" w:rsidR="00516C4C" w:rsidRPr="001A0E8A" w:rsidRDefault="00516C4C" w:rsidP="00516C4C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szCs w:val="19"/>
                <w:lang w:eastAsia="pl-PL"/>
              </w:rPr>
            </w:pPr>
            <w:r w:rsidRPr="001A0E8A">
              <w:rPr>
                <w:rFonts w:eastAsia="Times New Roman" w:cs="Arial"/>
                <w:bCs/>
                <w:szCs w:val="19"/>
                <w:lang w:eastAsia="pl-PL"/>
              </w:rPr>
              <w:t>SPECIFICATION</w:t>
            </w:r>
          </w:p>
        </w:tc>
        <w:tc>
          <w:tcPr>
            <w:tcW w:w="1113" w:type="pct"/>
          </w:tcPr>
          <w:p w14:paraId="060AC90C" w14:textId="170D1936" w:rsidR="00516C4C" w:rsidRPr="001A0E8A" w:rsidRDefault="00516C4C" w:rsidP="00516C4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szCs w:val="19"/>
              </w:rPr>
            </w:pPr>
            <w:r w:rsidRPr="001A0E8A">
              <w:t>2023</w:t>
            </w:r>
          </w:p>
        </w:tc>
        <w:tc>
          <w:tcPr>
            <w:tcW w:w="998" w:type="pct"/>
          </w:tcPr>
          <w:p w14:paraId="66CF8C7A" w14:textId="7580533D" w:rsidR="00516C4C" w:rsidRPr="001A0E8A" w:rsidRDefault="00516C4C" w:rsidP="00516C4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szCs w:val="19"/>
              </w:rPr>
            </w:pPr>
            <w:r w:rsidRPr="001A0E8A">
              <w:t>2024</w:t>
            </w:r>
          </w:p>
        </w:tc>
      </w:tr>
      <w:tr w:rsidR="001A0E8A" w:rsidRPr="001A0E8A" w14:paraId="693F7F51" w14:textId="77777777" w:rsidTr="00F27772">
        <w:trPr>
          <w:trHeight w:val="381"/>
        </w:trPr>
        <w:tc>
          <w:tcPr>
            <w:tcW w:w="2889" w:type="pct"/>
            <w:vAlign w:val="center"/>
          </w:tcPr>
          <w:p w14:paraId="7D8E07BE" w14:textId="77777777" w:rsidR="00516C4C" w:rsidRPr="001A0E8A" w:rsidRDefault="00516C4C" w:rsidP="00516C4C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asciiTheme="majorHAnsi" w:eastAsiaTheme="majorEastAsia" w:hAnsiTheme="majorHAnsi" w:cstheme="majorBidi"/>
                <w:szCs w:val="19"/>
                <w:lang w:val="en-US"/>
              </w:rPr>
            </w:pPr>
            <w:r w:rsidRPr="001A0E8A">
              <w:rPr>
                <w:rFonts w:eastAsiaTheme="majorEastAsia" w:cstheme="majorBidi"/>
                <w:szCs w:val="19"/>
                <w:lang w:val="en-US"/>
              </w:rPr>
              <w:t>The number of surveyed entities</w:t>
            </w:r>
          </w:p>
        </w:tc>
        <w:tc>
          <w:tcPr>
            <w:tcW w:w="1113" w:type="pct"/>
          </w:tcPr>
          <w:p w14:paraId="4CCBF876" w14:textId="26275050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84</w:t>
            </w:r>
          </w:p>
        </w:tc>
        <w:tc>
          <w:tcPr>
            <w:tcW w:w="998" w:type="pct"/>
          </w:tcPr>
          <w:p w14:paraId="4807AB32" w14:textId="49BC8D92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87</w:t>
            </w:r>
          </w:p>
        </w:tc>
      </w:tr>
      <w:tr w:rsidR="001A0E8A" w:rsidRPr="001A0E8A" w14:paraId="6E633F8C" w14:textId="77777777" w:rsidTr="00F27772">
        <w:trPr>
          <w:trHeight w:val="57"/>
        </w:trPr>
        <w:tc>
          <w:tcPr>
            <w:tcW w:w="2889" w:type="pct"/>
            <w:vAlign w:val="center"/>
          </w:tcPr>
          <w:p w14:paraId="440444AE" w14:textId="17E94D28" w:rsidR="00516C4C" w:rsidRPr="001A0E8A" w:rsidRDefault="00516C4C" w:rsidP="00516C4C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szCs w:val="19"/>
                <w:lang w:val="en-US"/>
              </w:rPr>
            </w:pPr>
            <w:r w:rsidRPr="001A0E8A">
              <w:rPr>
                <w:rFonts w:eastAsiaTheme="majorEastAsia" w:cstheme="majorBidi"/>
                <w:szCs w:val="19"/>
                <w:lang w:val="en"/>
              </w:rPr>
              <w:t xml:space="preserve">Number of new </w:t>
            </w:r>
            <w:r w:rsidR="00E21891" w:rsidRPr="001A0E8A">
              <w:rPr>
                <w:rFonts w:eastAsiaTheme="majorEastAsia" w:cstheme="majorBidi"/>
                <w:szCs w:val="19"/>
                <w:lang w:val="en"/>
              </w:rPr>
              <w:t>contrac</w:t>
            </w:r>
            <w:r w:rsidR="003F404E" w:rsidRPr="001A0E8A">
              <w:rPr>
                <w:rFonts w:eastAsiaTheme="majorEastAsia" w:cstheme="majorBidi"/>
                <w:szCs w:val="19"/>
                <w:lang w:val="en"/>
              </w:rPr>
              <w:t>ts</w:t>
            </w:r>
            <w:r w:rsidRPr="001A0E8A">
              <w:rPr>
                <w:rFonts w:eastAsiaTheme="majorEastAsia" w:cstheme="majorBidi"/>
                <w:szCs w:val="19"/>
                <w:lang w:val="en"/>
              </w:rPr>
              <w:t xml:space="preserve"> concluded</w:t>
            </w:r>
          </w:p>
        </w:tc>
        <w:tc>
          <w:tcPr>
            <w:tcW w:w="1113" w:type="pct"/>
          </w:tcPr>
          <w:p w14:paraId="72CBA385" w14:textId="69A2FAE2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599 199</w:t>
            </w:r>
          </w:p>
        </w:tc>
        <w:tc>
          <w:tcPr>
            <w:tcW w:w="998" w:type="pct"/>
          </w:tcPr>
          <w:p w14:paraId="094D1D21" w14:textId="37D26692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594 220</w:t>
            </w:r>
          </w:p>
        </w:tc>
      </w:tr>
      <w:tr w:rsidR="001A0E8A" w:rsidRPr="001A0E8A" w14:paraId="1D2EA2B6" w14:textId="77777777" w:rsidTr="00F27772">
        <w:trPr>
          <w:trHeight w:val="57"/>
        </w:trPr>
        <w:tc>
          <w:tcPr>
            <w:tcW w:w="2889" w:type="pct"/>
            <w:vAlign w:val="center"/>
          </w:tcPr>
          <w:p w14:paraId="7089BF6A" w14:textId="5289C3A2" w:rsidR="00516C4C" w:rsidRPr="001A0E8A" w:rsidRDefault="00516C4C" w:rsidP="00516C4C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szCs w:val="19"/>
                <w:lang w:val="en-US"/>
              </w:rPr>
            </w:pPr>
            <w:r w:rsidRPr="001A0E8A">
              <w:rPr>
                <w:rFonts w:eastAsiaTheme="majorEastAsia" w:cstheme="majorBidi"/>
                <w:szCs w:val="19"/>
                <w:lang w:val="en-US"/>
              </w:rPr>
              <w:t>Number of items (assets) leased</w:t>
            </w:r>
            <w:r w:rsidR="003F404E" w:rsidRPr="001A0E8A">
              <w:rPr>
                <w:rFonts w:eastAsiaTheme="majorEastAsia" w:cstheme="majorBidi"/>
                <w:szCs w:val="19"/>
                <w:lang w:val="en-US"/>
              </w:rPr>
              <w:t xml:space="preserve"> according to the new </w:t>
            </w:r>
            <w:r w:rsidR="00E21891" w:rsidRPr="001A0E8A">
              <w:rPr>
                <w:rFonts w:eastAsiaTheme="majorEastAsia" w:cstheme="majorBidi"/>
                <w:szCs w:val="19"/>
                <w:lang w:val="en-US"/>
              </w:rPr>
              <w:t>contrac</w:t>
            </w:r>
            <w:r w:rsidR="003F404E" w:rsidRPr="001A0E8A">
              <w:rPr>
                <w:rFonts w:eastAsiaTheme="majorEastAsia" w:cstheme="majorBidi"/>
                <w:szCs w:val="19"/>
                <w:lang w:val="en-US"/>
              </w:rPr>
              <w:t>ts</w:t>
            </w:r>
          </w:p>
        </w:tc>
        <w:tc>
          <w:tcPr>
            <w:tcW w:w="1113" w:type="pct"/>
          </w:tcPr>
          <w:p w14:paraId="6F813287" w14:textId="624CCCE2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726 299</w:t>
            </w:r>
          </w:p>
        </w:tc>
        <w:tc>
          <w:tcPr>
            <w:tcW w:w="998" w:type="pct"/>
          </w:tcPr>
          <w:p w14:paraId="4A7C49F9" w14:textId="008BE718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796 223</w:t>
            </w:r>
          </w:p>
        </w:tc>
      </w:tr>
      <w:tr w:rsidR="001A0E8A" w:rsidRPr="001A0E8A" w14:paraId="11EBA9C2" w14:textId="77777777" w:rsidTr="00C47263">
        <w:trPr>
          <w:trHeight w:val="57"/>
        </w:trPr>
        <w:tc>
          <w:tcPr>
            <w:tcW w:w="2889" w:type="pct"/>
            <w:vAlign w:val="center"/>
          </w:tcPr>
          <w:p w14:paraId="2124DE03" w14:textId="15D3D323" w:rsidR="00516C4C" w:rsidRPr="001A0E8A" w:rsidRDefault="00516C4C" w:rsidP="00516C4C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szCs w:val="19"/>
                <w:lang w:val="en-US"/>
              </w:rPr>
            </w:pPr>
            <w:r w:rsidRPr="001A0E8A">
              <w:rPr>
                <w:rFonts w:eastAsiaTheme="majorEastAsia" w:cstheme="majorBidi"/>
                <w:szCs w:val="19"/>
                <w:lang w:val="en-US"/>
              </w:rPr>
              <w:t>Value of items (assets) leased in PLN million</w:t>
            </w:r>
            <w:r w:rsidR="003F404E" w:rsidRPr="001A0E8A">
              <w:t xml:space="preserve"> </w:t>
            </w:r>
            <w:r w:rsidR="003F404E" w:rsidRPr="001A0E8A">
              <w:rPr>
                <w:rFonts w:eastAsiaTheme="majorEastAsia" w:cstheme="majorBidi"/>
                <w:szCs w:val="19"/>
                <w:lang w:val="en-US"/>
              </w:rPr>
              <w:t xml:space="preserve">according to the new </w:t>
            </w:r>
            <w:r w:rsidR="00E21891" w:rsidRPr="001A0E8A">
              <w:rPr>
                <w:rFonts w:eastAsiaTheme="majorEastAsia" w:cstheme="majorBidi"/>
                <w:szCs w:val="19"/>
                <w:lang w:val="en-US"/>
              </w:rPr>
              <w:t>contract</w:t>
            </w:r>
            <w:r w:rsidR="003F404E" w:rsidRPr="001A0E8A">
              <w:rPr>
                <w:rFonts w:eastAsiaTheme="majorEastAsia" w:cstheme="majorBidi"/>
                <w:szCs w:val="19"/>
                <w:lang w:val="en-US"/>
              </w:rPr>
              <w:t>s</w:t>
            </w:r>
          </w:p>
        </w:tc>
        <w:tc>
          <w:tcPr>
            <w:tcW w:w="1113" w:type="pct"/>
          </w:tcPr>
          <w:p w14:paraId="1E65CDEB" w14:textId="6E154F08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84 218</w:t>
            </w:r>
          </w:p>
        </w:tc>
        <w:tc>
          <w:tcPr>
            <w:tcW w:w="998" w:type="pct"/>
          </w:tcPr>
          <w:p w14:paraId="42996605" w14:textId="2134F75C" w:rsidR="00516C4C" w:rsidRPr="001A0E8A" w:rsidRDefault="00516C4C" w:rsidP="00516C4C">
            <w:pPr>
              <w:jc w:val="right"/>
              <w:rPr>
                <w:rFonts w:cs="Arial"/>
                <w:szCs w:val="19"/>
              </w:rPr>
            </w:pPr>
            <w:r w:rsidRPr="001A0E8A">
              <w:t>88 964</w:t>
            </w:r>
          </w:p>
        </w:tc>
      </w:tr>
    </w:tbl>
    <w:p w14:paraId="6DFA33BC" w14:textId="06606014" w:rsidR="00DF3BB0" w:rsidRDefault="00DF3BB0" w:rsidP="008E2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lastRenderedPageBreak/>
        <w:t>T</w:t>
      </w:r>
      <w:r w:rsidRPr="00684073">
        <w:rPr>
          <w:shd w:val="clear" w:color="auto" w:fill="FFFFFF"/>
          <w:lang w:val="en-US"/>
        </w:rPr>
        <w:t xml:space="preserve">he leasing of means of </w:t>
      </w:r>
      <w:r w:rsidR="00641461">
        <w:rPr>
          <w:shd w:val="clear" w:color="auto" w:fill="FFFFFF"/>
          <w:lang w:val="en-US"/>
        </w:rPr>
        <w:t xml:space="preserve">road </w:t>
      </w:r>
      <w:r w:rsidRPr="00684073">
        <w:rPr>
          <w:shd w:val="clear" w:color="auto" w:fill="FFFFFF"/>
          <w:lang w:val="en-US"/>
        </w:rPr>
        <w:t xml:space="preserve">transport </w:t>
      </w:r>
      <w:r>
        <w:rPr>
          <w:shd w:val="clear" w:color="auto" w:fill="FFFFFF"/>
          <w:lang w:val="en-US"/>
        </w:rPr>
        <w:t>had t</w:t>
      </w:r>
      <w:r w:rsidR="00684073" w:rsidRPr="00684073">
        <w:rPr>
          <w:shd w:val="clear" w:color="auto" w:fill="FFFFFF"/>
          <w:lang w:val="en-US"/>
        </w:rPr>
        <w:t>he largest share in the value of new contracts concluded in 2023 – 7</w:t>
      </w:r>
      <w:r w:rsidR="00641461">
        <w:rPr>
          <w:shd w:val="clear" w:color="auto" w:fill="FFFFFF"/>
          <w:lang w:val="en-US"/>
        </w:rPr>
        <w:t>6</w:t>
      </w:r>
      <w:r w:rsidR="00684073" w:rsidRPr="00684073">
        <w:rPr>
          <w:shd w:val="clear" w:color="auto" w:fill="FFFFFF"/>
          <w:lang w:val="en-US"/>
        </w:rPr>
        <w:t>.</w:t>
      </w:r>
      <w:r w:rsidR="00641461">
        <w:rPr>
          <w:shd w:val="clear" w:color="auto" w:fill="FFFFFF"/>
          <w:lang w:val="en-US"/>
        </w:rPr>
        <w:t>5</w:t>
      </w:r>
      <w:r w:rsidR="00684073" w:rsidRPr="00684073">
        <w:rPr>
          <w:shd w:val="clear" w:color="auto" w:fill="FFFFFF"/>
          <w:lang w:val="en-US"/>
        </w:rPr>
        <w:t>% of the total lease value</w:t>
      </w:r>
      <w:r w:rsidR="005D66CB" w:rsidRPr="00A449D3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8526B92" wp14:editId="6C358A49">
                <wp:simplePos x="0" y="0"/>
                <wp:positionH relativeFrom="rightMargin">
                  <wp:posOffset>137160</wp:posOffset>
                </wp:positionH>
                <wp:positionV relativeFrom="paragraph">
                  <wp:posOffset>0</wp:posOffset>
                </wp:positionV>
                <wp:extent cx="1725295" cy="853440"/>
                <wp:effectExtent l="0" t="0" r="0" b="3810"/>
                <wp:wrapTight wrapText="bothSides">
                  <wp:wrapPolygon edited="0">
                    <wp:start x="715" y="0"/>
                    <wp:lineTo x="715" y="21214"/>
                    <wp:lineTo x="20749" y="21214"/>
                    <wp:lineTo x="20749" y="0"/>
                    <wp:lineTo x="715" y="0"/>
                  </wp:wrapPolygon>
                </wp:wrapTight>
                <wp:docPr id="2" name="Pole tekstowe 2" descr="The share of passenger cars in the total value of lease granted amounted to 54.2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7D2E9" w14:textId="1A85B52B" w:rsidR="005D66CB" w:rsidRPr="00580D13" w:rsidRDefault="005D66CB" w:rsidP="005D66CB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 w:rsidRPr="005D66CB">
                              <w:rPr>
                                <w:color w:val="002060"/>
                              </w:rPr>
                              <w:t xml:space="preserve">The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share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of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passenger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cars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in the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total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value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of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lease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granted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D66CB">
                              <w:rPr>
                                <w:color w:val="002060"/>
                              </w:rPr>
                              <w:t>amounted</w:t>
                            </w:r>
                            <w:proofErr w:type="spellEnd"/>
                            <w:r w:rsidRPr="005D66CB">
                              <w:rPr>
                                <w:color w:val="002060"/>
                              </w:rPr>
                              <w:t xml:space="preserve"> to </w:t>
                            </w:r>
                            <w:r w:rsidR="00362B97">
                              <w:rPr>
                                <w:color w:val="002060"/>
                              </w:rPr>
                              <w:t>54</w:t>
                            </w:r>
                            <w:r w:rsidRPr="005D66CB">
                              <w:rPr>
                                <w:color w:val="002060"/>
                              </w:rPr>
                              <w:t>.</w:t>
                            </w:r>
                            <w:r w:rsidR="00362B97">
                              <w:rPr>
                                <w:color w:val="002060"/>
                              </w:rPr>
                              <w:t>2</w:t>
                            </w:r>
                            <w:r w:rsidRPr="005D66CB">
                              <w:rPr>
                                <w:color w:val="00206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6B92" id="_x0000_s1029" type="#_x0000_t202" alt="The share of passenger cars in the total value of lease granted amounted to 54.2%&#10;&#10;" style="position:absolute;margin-left:10.8pt;margin-top:0;width:135.85pt;height:67.2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" filled="f" stroked="f">
                <v:textbox>
                  <w:txbxContent>
                    <w:p w14:paraId="1187D2E9" w14:textId="1A85B52B" w:rsidR="005D66CB" w:rsidRPr="00580D13" w:rsidRDefault="005D66CB" w:rsidP="005D66CB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 w:rsidRPr="005D66CB">
                        <w:rPr>
                          <w:color w:val="002060"/>
                        </w:rPr>
                        <w:t xml:space="preserve">The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share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of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passenger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cars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in the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total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value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of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lease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granted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5D66CB">
                        <w:rPr>
                          <w:color w:val="002060"/>
                        </w:rPr>
                        <w:t>amounted</w:t>
                      </w:r>
                      <w:proofErr w:type="spellEnd"/>
                      <w:r w:rsidRPr="005D66CB">
                        <w:rPr>
                          <w:color w:val="002060"/>
                        </w:rPr>
                        <w:t xml:space="preserve"> to </w:t>
                      </w:r>
                      <w:r w:rsidR="00362B97">
                        <w:rPr>
                          <w:color w:val="002060"/>
                        </w:rPr>
                        <w:t>54</w:t>
                      </w:r>
                      <w:r w:rsidRPr="005D66CB">
                        <w:rPr>
                          <w:color w:val="002060"/>
                        </w:rPr>
                        <w:t>.</w:t>
                      </w:r>
                      <w:r w:rsidR="00362B97">
                        <w:rPr>
                          <w:color w:val="002060"/>
                        </w:rPr>
                        <w:t>2</w:t>
                      </w:r>
                      <w:r w:rsidRPr="005D66CB">
                        <w:rPr>
                          <w:color w:val="002060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84073" w:rsidRPr="00684073">
        <w:rPr>
          <w:shd w:val="clear" w:color="auto" w:fill="FFFFFF"/>
          <w:lang w:val="en-US"/>
        </w:rPr>
        <w:t xml:space="preserve">. The second important segment of leasing were industrial machinery and equipment, responsible for </w:t>
      </w:r>
      <w:r w:rsidR="00362B97">
        <w:rPr>
          <w:shd w:val="clear" w:color="auto" w:fill="FFFFFF"/>
          <w:lang w:val="en-US"/>
        </w:rPr>
        <w:t>19</w:t>
      </w:r>
      <w:r w:rsidR="00684073" w:rsidRPr="00684073">
        <w:rPr>
          <w:shd w:val="clear" w:color="auto" w:fill="FFFFFF"/>
          <w:lang w:val="en-US"/>
        </w:rPr>
        <w:t>.</w:t>
      </w:r>
      <w:r w:rsidR="00362B97">
        <w:rPr>
          <w:shd w:val="clear" w:color="auto" w:fill="FFFFFF"/>
          <w:lang w:val="en-US"/>
        </w:rPr>
        <w:t>8</w:t>
      </w:r>
      <w:r w:rsidR="00684073" w:rsidRPr="00684073">
        <w:rPr>
          <w:shd w:val="clear" w:color="auto" w:fill="FFFFFF"/>
          <w:lang w:val="en-US"/>
        </w:rPr>
        <w:t xml:space="preserve">% of the total value of newly concluded lease agreements. </w:t>
      </w:r>
      <w:r w:rsidRPr="00DF3BB0">
        <w:rPr>
          <w:shd w:val="clear" w:color="auto" w:fill="FFFFFF"/>
          <w:lang w:val="en-US"/>
        </w:rPr>
        <w:t xml:space="preserve">The share of computers and office equipment and real estate leased amounted to </w:t>
      </w:r>
      <w:r>
        <w:rPr>
          <w:shd w:val="clear" w:color="auto" w:fill="FFFFFF"/>
          <w:lang w:val="en-US"/>
        </w:rPr>
        <w:t xml:space="preserve">respectively </w:t>
      </w:r>
      <w:r w:rsidR="00362B97">
        <w:rPr>
          <w:shd w:val="clear" w:color="auto" w:fill="FFFFFF"/>
          <w:lang w:val="en-US"/>
        </w:rPr>
        <w:t>0.9</w:t>
      </w:r>
      <w:r w:rsidRPr="00DF3BB0">
        <w:rPr>
          <w:shd w:val="clear" w:color="auto" w:fill="FFFFFF"/>
          <w:lang w:val="en-US"/>
        </w:rPr>
        <w:t>% and 0.</w:t>
      </w:r>
      <w:r w:rsidR="00362B97">
        <w:rPr>
          <w:shd w:val="clear" w:color="auto" w:fill="FFFFFF"/>
          <w:lang w:val="en-US"/>
        </w:rPr>
        <w:t>6</w:t>
      </w:r>
      <w:r w:rsidRPr="00DF3BB0">
        <w:rPr>
          <w:shd w:val="clear" w:color="auto" w:fill="FFFFFF"/>
          <w:lang w:val="en-US"/>
        </w:rPr>
        <w:t>% of the total value of new lease agreements while 0.5% was accounted for by other funds.</w:t>
      </w:r>
    </w:p>
    <w:p w14:paraId="3693878F" w14:textId="04236052" w:rsidR="00BB1508" w:rsidRPr="00DE1C7A" w:rsidRDefault="00362B2B" w:rsidP="000C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line="288" w:lineRule="auto"/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</w:pPr>
      <w:r w:rsidRPr="00DE1C7A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D644BF9" wp14:editId="467D0B1B">
                <wp:simplePos x="0" y="0"/>
                <wp:positionH relativeFrom="page">
                  <wp:posOffset>5669280</wp:posOffset>
                </wp:positionH>
                <wp:positionV relativeFrom="paragraph">
                  <wp:posOffset>314960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16" name="Pole tekstowe 16" descr="Clients from the mazowieckie voivodship constituted 36.8% of the number of lessees who concluded new contracts in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E403" w14:textId="4C6058B1" w:rsidR="00F802BE" w:rsidRPr="00D63F2B" w:rsidRDefault="005A74EC" w:rsidP="00FC392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Clients from the </w:t>
                            </w:r>
                            <w:proofErr w:type="spellStart"/>
                            <w:r w:rsidR="00BD4303"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</w:t>
                            </w:r>
                            <w:r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azowie</w:t>
                            </w:r>
                            <w:r w:rsidR="00530BAD"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ckie</w:t>
                            </w:r>
                            <w:proofErr w:type="spellEnd"/>
                            <w:r w:rsidR="00530BAD"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voivodship constituted </w:t>
                            </w:r>
                            <w:r w:rsidR="00D64B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36</w:t>
                            </w:r>
                            <w:r w:rsidR="00530BAD"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64B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the number of lessees who</w:t>
                            </w:r>
                            <w:r w:rsidR="00754F45" w:rsidRPr="00D63F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concluded new contracts in 202</w:t>
                            </w:r>
                            <w:r w:rsidR="00D64B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4BF9" id="Pole tekstowe 16" o:spid="_x0000_s1030" type="#_x0000_t202" alt="Clients from the mazowieckie voivodship constituted 36.8% of the number of lessees who concluded new contracts in 2024" style="position:absolute;margin-left:446.4pt;margin-top:24.8pt;width:135.85pt;height:80.4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" filled="f" stroked="f">
                <v:textbox>
                  <w:txbxContent>
                    <w:p w14:paraId="2217E403" w14:textId="4C6058B1" w:rsidR="00F802BE" w:rsidRPr="00D63F2B" w:rsidRDefault="005A74EC" w:rsidP="00FC392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Clients from the </w:t>
                      </w:r>
                      <w:proofErr w:type="spellStart"/>
                      <w:r w:rsidR="00BD4303"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</w:t>
                      </w:r>
                      <w:r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azowie</w:t>
                      </w:r>
                      <w:r w:rsidR="00530BAD"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ckie</w:t>
                      </w:r>
                      <w:proofErr w:type="spellEnd"/>
                      <w:r w:rsidR="00530BAD"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voivodship constituted </w:t>
                      </w:r>
                      <w:r w:rsidR="00D64B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36</w:t>
                      </w:r>
                      <w:r w:rsidR="00530BAD"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64B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the number of lessees who</w:t>
                      </w:r>
                      <w:r w:rsidR="00754F45" w:rsidRPr="00D63F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concluded new contracts in 202</w:t>
                      </w:r>
                      <w:r w:rsidR="00D64B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1508" w:rsidRPr="00DE1C7A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Characteristics of lessees (clients)</w:t>
      </w:r>
      <w:r w:rsidR="00BD6BA6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ab/>
      </w:r>
      <w:bookmarkStart w:id="1" w:name="_GoBack"/>
      <w:bookmarkEnd w:id="1"/>
    </w:p>
    <w:p w14:paraId="2E2371B4" w14:textId="3A7702F1" w:rsidR="00DB0754" w:rsidRDefault="00950BB3" w:rsidP="008E2CF7">
      <w:pPr>
        <w:rPr>
          <w:shd w:val="clear" w:color="auto" w:fill="FFFFFF"/>
          <w:lang w:val="en"/>
        </w:rPr>
      </w:pPr>
      <w:r w:rsidRPr="00ED42CA">
        <w:rPr>
          <w:shd w:val="clear" w:color="auto" w:fill="FFFFFF"/>
          <w:lang w:val="en"/>
        </w:rPr>
        <w:t>The entity structure of customers (lessees) was dominated by entities of the national economy, which leased items (</w:t>
      </w:r>
      <w:r w:rsidR="002165F2">
        <w:rPr>
          <w:shd w:val="clear" w:color="auto" w:fill="FFFFFF"/>
          <w:lang w:val="en"/>
        </w:rPr>
        <w:t>asset</w:t>
      </w:r>
      <w:r w:rsidRPr="00ED42CA">
        <w:rPr>
          <w:shd w:val="clear" w:color="auto" w:fill="FFFFFF"/>
          <w:lang w:val="en"/>
        </w:rPr>
        <w:t xml:space="preserve">s) in the amount of PLN </w:t>
      </w:r>
      <w:r w:rsidR="00001636">
        <w:rPr>
          <w:shd w:val="clear" w:color="auto" w:fill="FFFFFF"/>
          <w:lang w:val="en"/>
        </w:rPr>
        <w:t>84</w:t>
      </w:r>
      <w:r w:rsidRPr="00ED42CA">
        <w:rPr>
          <w:shd w:val="clear" w:color="auto" w:fill="FFFFFF"/>
          <w:lang w:val="en"/>
        </w:rPr>
        <w:t>,</w:t>
      </w:r>
      <w:r w:rsidR="00001636" w:rsidRPr="008432CE">
        <w:rPr>
          <w:shd w:val="clear" w:color="auto" w:fill="FFFFFF"/>
        </w:rPr>
        <w:t>639</w:t>
      </w:r>
      <w:r w:rsidRPr="00ED42CA">
        <w:rPr>
          <w:shd w:val="clear" w:color="auto" w:fill="FFFFFF"/>
          <w:lang w:val="en"/>
        </w:rPr>
        <w:t xml:space="preserve"> million.</w:t>
      </w:r>
    </w:p>
    <w:p w14:paraId="0B04DCEB" w14:textId="6E3D5E0E" w:rsidR="00ED6C96" w:rsidRDefault="00ED6C96" w:rsidP="008E2CF7">
      <w:pPr>
        <w:rPr>
          <w:b/>
          <w:lang w:val="en-US"/>
        </w:rPr>
      </w:pPr>
      <w:r w:rsidRPr="00DE1C7A">
        <w:rPr>
          <w:shd w:val="clear" w:color="auto" w:fill="FFFFFF"/>
          <w:lang w:val="en"/>
        </w:rPr>
        <w:t>The sectors that most frequent</w:t>
      </w:r>
      <w:r w:rsidR="009369C0" w:rsidRPr="00DE1C7A">
        <w:rPr>
          <w:shd w:val="clear" w:color="auto" w:fill="FFFFFF"/>
          <w:lang w:val="en"/>
        </w:rPr>
        <w:t>ly used leasing services in 202</w:t>
      </w:r>
      <w:r w:rsidR="00BD6890">
        <w:rPr>
          <w:shd w:val="clear" w:color="auto" w:fill="FFFFFF"/>
          <w:lang w:val="en"/>
        </w:rPr>
        <w:t>4</w:t>
      </w:r>
      <w:r w:rsidRPr="00DE1C7A">
        <w:rPr>
          <w:shd w:val="clear" w:color="auto" w:fill="FFFFFF"/>
          <w:lang w:val="en"/>
        </w:rPr>
        <w:t xml:space="preserve"> were NACE sections:</w:t>
      </w:r>
      <w:r w:rsidR="009369C0" w:rsidRPr="00DE1C7A">
        <w:rPr>
          <w:shd w:val="clear" w:color="auto" w:fill="FFFFFF"/>
          <w:lang w:val="en"/>
        </w:rPr>
        <w:t xml:space="preserve"> </w:t>
      </w:r>
      <w:r w:rsidR="00400599" w:rsidRPr="00DE1C7A">
        <w:rPr>
          <w:shd w:val="clear" w:color="auto" w:fill="FFFFFF"/>
          <w:lang w:val="en"/>
        </w:rPr>
        <w:t xml:space="preserve">wholesale and retail trade, </w:t>
      </w:r>
      <w:r w:rsidR="008134E4" w:rsidRPr="00DE1C7A">
        <w:rPr>
          <w:shd w:val="clear" w:color="auto" w:fill="FFFFFF"/>
          <w:lang w:val="en"/>
        </w:rPr>
        <w:t>transport</w:t>
      </w:r>
      <w:r w:rsidR="0096792E">
        <w:rPr>
          <w:shd w:val="clear" w:color="auto" w:fill="FFFFFF"/>
          <w:lang w:val="en"/>
        </w:rPr>
        <w:t>ation</w:t>
      </w:r>
      <w:r w:rsidR="008134E4" w:rsidRPr="00DE1C7A">
        <w:rPr>
          <w:shd w:val="clear" w:color="auto" w:fill="FFFFFF"/>
          <w:lang w:val="en"/>
        </w:rPr>
        <w:t xml:space="preserve"> and storage, </w:t>
      </w:r>
      <w:r w:rsidR="009369C0" w:rsidRPr="00DE1C7A">
        <w:rPr>
          <w:shd w:val="clear" w:color="auto" w:fill="FFFFFF"/>
          <w:lang w:val="en"/>
        </w:rPr>
        <w:t xml:space="preserve">manufacturing as well </w:t>
      </w:r>
      <w:r w:rsidR="000E42AF">
        <w:rPr>
          <w:shd w:val="clear" w:color="auto" w:fill="FFFFFF"/>
          <w:lang w:val="en"/>
        </w:rPr>
        <w:t xml:space="preserve">as </w:t>
      </w:r>
      <w:r w:rsidR="009369C0" w:rsidRPr="00DE1C7A">
        <w:rPr>
          <w:shd w:val="clear" w:color="auto" w:fill="FFFFFF"/>
          <w:lang w:val="en"/>
        </w:rPr>
        <w:t xml:space="preserve">construction. </w:t>
      </w:r>
      <w:r w:rsidRPr="00DE1C7A">
        <w:rPr>
          <w:shd w:val="clear" w:color="auto" w:fill="FFFFFF"/>
          <w:lang w:val="en"/>
        </w:rPr>
        <w:t xml:space="preserve">These industries have concluded new contracts for a value of PLN </w:t>
      </w:r>
      <w:r w:rsidR="00400599">
        <w:rPr>
          <w:shd w:val="clear" w:color="auto" w:fill="FFFFFF"/>
          <w:lang w:val="en"/>
        </w:rPr>
        <w:t>5</w:t>
      </w:r>
      <w:r w:rsidR="00414C01">
        <w:rPr>
          <w:shd w:val="clear" w:color="auto" w:fill="FFFFFF"/>
          <w:lang w:val="en"/>
        </w:rPr>
        <w:t>2</w:t>
      </w:r>
      <w:r w:rsidR="00530BAD">
        <w:rPr>
          <w:spacing w:val="-2"/>
          <w:szCs w:val="19"/>
          <w:lang w:val="en-US" w:eastAsia="pl-PL"/>
        </w:rPr>
        <w:t>,</w:t>
      </w:r>
      <w:r w:rsidR="00414C01">
        <w:rPr>
          <w:spacing w:val="-2"/>
          <w:szCs w:val="19"/>
          <w:lang w:val="en-US" w:eastAsia="pl-PL"/>
        </w:rPr>
        <w:t>598</w:t>
      </w:r>
      <w:r w:rsidR="00FF39A0" w:rsidRPr="00DE1C7A">
        <w:rPr>
          <w:spacing w:val="-2"/>
          <w:szCs w:val="19"/>
          <w:lang w:val="en-US" w:eastAsia="pl-PL"/>
        </w:rPr>
        <w:t xml:space="preserve"> </w:t>
      </w:r>
      <w:r w:rsidRPr="00DE1C7A">
        <w:rPr>
          <w:shd w:val="clear" w:color="auto" w:fill="FFFFFF"/>
          <w:lang w:val="en"/>
        </w:rPr>
        <w:t xml:space="preserve">million, which was </w:t>
      </w:r>
      <w:r w:rsidR="00400599">
        <w:rPr>
          <w:shd w:val="clear" w:color="auto" w:fill="FFFFFF"/>
          <w:lang w:val="en"/>
        </w:rPr>
        <w:t>5</w:t>
      </w:r>
      <w:r w:rsidR="00414C01">
        <w:rPr>
          <w:shd w:val="clear" w:color="auto" w:fill="FFFFFF"/>
          <w:lang w:val="en"/>
        </w:rPr>
        <w:t>9</w:t>
      </w:r>
      <w:r w:rsidR="009369C0" w:rsidRPr="00DE1C7A">
        <w:rPr>
          <w:shd w:val="clear" w:color="auto" w:fill="FFFFFF"/>
          <w:lang w:val="en"/>
        </w:rPr>
        <w:t>.</w:t>
      </w:r>
      <w:r w:rsidR="00400599">
        <w:rPr>
          <w:shd w:val="clear" w:color="auto" w:fill="FFFFFF"/>
          <w:lang w:val="en"/>
        </w:rPr>
        <w:t>1</w:t>
      </w:r>
      <w:r w:rsidRPr="00DE1C7A">
        <w:rPr>
          <w:shd w:val="clear" w:color="auto" w:fill="FFFFFF"/>
          <w:lang w:val="en"/>
        </w:rPr>
        <w:t>% of the total value of contracts.</w:t>
      </w:r>
      <w:r w:rsidRPr="00DE1C7A">
        <w:rPr>
          <w:b/>
          <w:lang w:val="en-US"/>
        </w:rPr>
        <w:t xml:space="preserve"> </w:t>
      </w:r>
    </w:p>
    <w:p w14:paraId="549BEBFA" w14:textId="34529628" w:rsidR="00ED6C96" w:rsidRDefault="00ED6C96" w:rsidP="00107AFD">
      <w:pPr>
        <w:spacing w:before="360" w:line="240" w:lineRule="auto"/>
        <w:rPr>
          <w:b/>
          <w:shd w:val="clear" w:color="auto" w:fill="FFFFFF"/>
          <w:lang w:val="en"/>
        </w:rPr>
      </w:pPr>
      <w:r w:rsidRPr="00DE1C7A">
        <w:rPr>
          <w:b/>
          <w:lang w:val="en-US"/>
        </w:rPr>
        <w:t xml:space="preserve">Chart </w:t>
      </w:r>
      <w:r w:rsidR="00FF39A0" w:rsidRPr="00DE1C7A">
        <w:rPr>
          <w:b/>
          <w:lang w:val="en-US"/>
        </w:rPr>
        <w:t>1</w:t>
      </w:r>
      <w:r w:rsidRPr="00DE1C7A">
        <w:rPr>
          <w:b/>
          <w:lang w:val="en-US"/>
        </w:rPr>
        <w:t>.</w:t>
      </w:r>
      <w:r w:rsidRPr="00DE1C7A">
        <w:rPr>
          <w:b/>
          <w:shd w:val="clear" w:color="auto" w:fill="FFFFFF"/>
          <w:lang w:val="en-US"/>
        </w:rPr>
        <w:t xml:space="preserve"> </w:t>
      </w:r>
      <w:r w:rsidRPr="00DE1C7A">
        <w:rPr>
          <w:b/>
          <w:shd w:val="clear" w:color="auto" w:fill="FFFFFF"/>
          <w:lang w:val="en"/>
        </w:rPr>
        <w:t>The value of new lease contracts by type of the lessee’s business (NACE section)</w:t>
      </w:r>
    </w:p>
    <w:p w14:paraId="5F573E18" w14:textId="5F384329" w:rsidR="00B82146" w:rsidRDefault="00AD4349" w:rsidP="00107AFD">
      <w:pPr>
        <w:spacing w:before="360" w:line="240" w:lineRule="auto"/>
        <w:rPr>
          <w:b/>
          <w:shd w:val="clear" w:color="auto" w:fill="FFFFFF"/>
          <w:lang w:val="en"/>
        </w:rPr>
      </w:pPr>
      <w:r>
        <w:rPr>
          <w:b/>
          <w:noProof/>
          <w:shd w:val="clear" w:color="auto" w:fill="FFFFFF"/>
          <w:lang w:val="en"/>
        </w:rPr>
        <w:drawing>
          <wp:inline distT="0" distB="0" distL="0" distR="0" wp14:anchorId="1FCD14AF" wp14:editId="1EB3717C">
            <wp:extent cx="5098700" cy="2560320"/>
            <wp:effectExtent l="0" t="0" r="698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69" cy="2576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8B008" w14:textId="616A0706" w:rsidR="00E73765" w:rsidRPr="00DE1C7A" w:rsidRDefault="00FE7252" w:rsidP="00107AFD">
      <w:pPr>
        <w:spacing w:before="360"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</w:pPr>
      <w:r w:rsidRPr="00DE1C7A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Financial situation of leasing companies</w:t>
      </w:r>
      <w:r w:rsidR="006417EE">
        <w:rPr>
          <w:rStyle w:val="Odwoanieprzypisudolnego"/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footnoteReference w:id="1"/>
      </w:r>
    </w:p>
    <w:p w14:paraId="5EBB50FE" w14:textId="2110D3F8" w:rsidR="00D77E2A" w:rsidRPr="00B36896" w:rsidRDefault="00ED0384" w:rsidP="008E2CF7">
      <w:pPr>
        <w:rPr>
          <w:iCs/>
          <w:lang w:val="en-US"/>
        </w:rPr>
      </w:pPr>
      <w:r>
        <w:rPr>
          <w:iCs/>
          <w:lang w:val="en-US"/>
        </w:rPr>
        <w:t>From the e</w:t>
      </w:r>
      <w:r w:rsidR="00D77E2A" w:rsidRPr="00D77E2A">
        <w:rPr>
          <w:iCs/>
          <w:lang w:val="en-US"/>
        </w:rPr>
        <w:t xml:space="preserve">ntities </w:t>
      </w:r>
      <w:r>
        <w:rPr>
          <w:iCs/>
          <w:lang w:val="en-US"/>
        </w:rPr>
        <w:t xml:space="preserve">included in the survey only these were taken into account to assess their financial situation </w:t>
      </w:r>
      <w:r w:rsidR="00D77E2A">
        <w:rPr>
          <w:iCs/>
          <w:lang w:val="en-US"/>
        </w:rPr>
        <w:t>for which leasing was the only</w:t>
      </w:r>
      <w:r w:rsidR="00D77E2A" w:rsidRPr="00D77E2A">
        <w:rPr>
          <w:iCs/>
          <w:lang w:val="en-US"/>
        </w:rPr>
        <w:t xml:space="preserve"> or dominant </w:t>
      </w:r>
      <w:r w:rsidR="00D77E2A" w:rsidRPr="00DE1C7A">
        <w:rPr>
          <w:shd w:val="clear" w:color="auto" w:fill="FFFFFF"/>
          <w:lang w:val="en"/>
        </w:rPr>
        <w:t>type of their activity</w:t>
      </w:r>
      <w:r w:rsidR="00D77E2A" w:rsidRPr="00D77E2A">
        <w:rPr>
          <w:iCs/>
          <w:lang w:val="en-US"/>
        </w:rPr>
        <w:t xml:space="preserve"> and at the same time declaring full accounting </w:t>
      </w:r>
      <w:r w:rsidRPr="00B36896">
        <w:rPr>
          <w:iCs/>
          <w:lang w:val="en-US"/>
        </w:rPr>
        <w:t>(</w:t>
      </w:r>
      <w:r w:rsidR="00E8318E">
        <w:rPr>
          <w:iCs/>
          <w:lang w:val="en-US"/>
        </w:rPr>
        <w:t>6</w:t>
      </w:r>
      <w:r w:rsidR="00225A4D">
        <w:rPr>
          <w:iCs/>
          <w:lang w:val="en-US"/>
        </w:rPr>
        <w:t>6</w:t>
      </w:r>
      <w:r w:rsidRPr="00B36896">
        <w:rPr>
          <w:iCs/>
          <w:lang w:val="en-US"/>
        </w:rPr>
        <w:t xml:space="preserve"> enterprises in total)</w:t>
      </w:r>
      <w:r w:rsidR="00D77E2A" w:rsidRPr="00D77E2A">
        <w:rPr>
          <w:iCs/>
          <w:lang w:val="en-US"/>
        </w:rPr>
        <w:t>.</w:t>
      </w:r>
    </w:p>
    <w:p w14:paraId="4A0DD71F" w14:textId="0D2B1E78" w:rsidR="006417EE" w:rsidRDefault="00F13817" w:rsidP="008E2CF7">
      <w:pPr>
        <w:rPr>
          <w:lang w:val="en-US"/>
        </w:rPr>
      </w:pPr>
      <w:r w:rsidRPr="00F13817">
        <w:rPr>
          <w:lang w:val="en-US"/>
        </w:rPr>
        <w:t>The value of assets of these 6</w:t>
      </w:r>
      <w:r w:rsidR="005E537C">
        <w:rPr>
          <w:lang w:val="en-US"/>
        </w:rPr>
        <w:t>6</w:t>
      </w:r>
      <w:r w:rsidRPr="00F13817">
        <w:rPr>
          <w:lang w:val="en-US"/>
        </w:rPr>
        <w:t xml:space="preserve"> companies increased by </w:t>
      </w:r>
      <w:r w:rsidR="00EE1DCA">
        <w:rPr>
          <w:lang w:val="en-US"/>
        </w:rPr>
        <w:t>7</w:t>
      </w:r>
      <w:r w:rsidRPr="00F13817">
        <w:rPr>
          <w:lang w:val="en-US"/>
        </w:rPr>
        <w:t>.</w:t>
      </w:r>
      <w:r w:rsidR="00EE1DCA">
        <w:rPr>
          <w:lang w:val="en-US"/>
        </w:rPr>
        <w:t>7</w:t>
      </w:r>
      <w:r w:rsidRPr="00F13817">
        <w:rPr>
          <w:lang w:val="en-US"/>
        </w:rPr>
        <w:t>% during 202</w:t>
      </w:r>
      <w:r w:rsidR="00EE1DCA">
        <w:rPr>
          <w:lang w:val="en-US"/>
        </w:rPr>
        <w:t>4</w:t>
      </w:r>
      <w:r w:rsidRPr="00F13817">
        <w:rPr>
          <w:lang w:val="en-US"/>
        </w:rPr>
        <w:t xml:space="preserve"> (from PLN </w:t>
      </w:r>
      <w:r w:rsidR="00EE1DCA">
        <w:rPr>
          <w:lang w:val="en-US"/>
        </w:rPr>
        <w:t>206</w:t>
      </w:r>
      <w:r w:rsidRPr="00F13817">
        <w:rPr>
          <w:lang w:val="en-US"/>
        </w:rPr>
        <w:t>,</w:t>
      </w:r>
      <w:r w:rsidR="00EE1DCA">
        <w:rPr>
          <w:lang w:val="en-US"/>
        </w:rPr>
        <w:t>442</w:t>
      </w:r>
      <w:r w:rsidRPr="00F13817">
        <w:rPr>
          <w:lang w:val="en-US"/>
        </w:rPr>
        <w:t xml:space="preserve"> million to PLN 2</w:t>
      </w:r>
      <w:r w:rsidR="00EE1DCA">
        <w:rPr>
          <w:lang w:val="en-US"/>
        </w:rPr>
        <w:t>2</w:t>
      </w:r>
      <w:r w:rsidRPr="00F13817">
        <w:rPr>
          <w:lang w:val="en-US"/>
        </w:rPr>
        <w:t>2,4</w:t>
      </w:r>
      <w:r w:rsidR="00EE1DCA">
        <w:rPr>
          <w:lang w:val="en-US"/>
        </w:rPr>
        <w:t>19</w:t>
      </w:r>
      <w:r w:rsidRPr="00F13817">
        <w:rPr>
          <w:lang w:val="en-US"/>
        </w:rPr>
        <w:t xml:space="preserve"> million).</w:t>
      </w:r>
      <w:r w:rsidR="00EE1DCA">
        <w:rPr>
          <w:lang w:val="en-US"/>
        </w:rPr>
        <w:t xml:space="preserve"> </w:t>
      </w:r>
      <w:r w:rsidR="004E195B" w:rsidRPr="004E195B">
        <w:rPr>
          <w:lang w:val="en-US"/>
        </w:rPr>
        <w:t xml:space="preserve">The dominant </w:t>
      </w:r>
      <w:r w:rsidR="00010812">
        <w:rPr>
          <w:lang w:val="en-US"/>
        </w:rPr>
        <w:t xml:space="preserve">item of total </w:t>
      </w:r>
      <w:r w:rsidR="004E195B" w:rsidRPr="004E195B">
        <w:rPr>
          <w:lang w:val="en-US"/>
        </w:rPr>
        <w:t>asset</w:t>
      </w:r>
      <w:r w:rsidR="00010812">
        <w:rPr>
          <w:lang w:val="en-US"/>
        </w:rPr>
        <w:t>s</w:t>
      </w:r>
      <w:r w:rsidR="004E195B" w:rsidRPr="004E195B">
        <w:rPr>
          <w:lang w:val="en-US"/>
        </w:rPr>
        <w:t xml:space="preserve"> (6</w:t>
      </w:r>
      <w:r w:rsidR="00FB4D78">
        <w:rPr>
          <w:lang w:val="en-US"/>
        </w:rPr>
        <w:t>6</w:t>
      </w:r>
      <w:r w:rsidR="004E195B" w:rsidRPr="004E195B">
        <w:rPr>
          <w:lang w:val="en-US"/>
        </w:rPr>
        <w:t>.</w:t>
      </w:r>
      <w:r w:rsidR="00FB4D78">
        <w:rPr>
          <w:lang w:val="en-US"/>
        </w:rPr>
        <w:t>2</w:t>
      </w:r>
      <w:r w:rsidR="004E195B" w:rsidRPr="004E195B">
        <w:rPr>
          <w:lang w:val="en-US"/>
        </w:rPr>
        <w:t>%) w</w:t>
      </w:r>
      <w:r w:rsidR="00010812">
        <w:rPr>
          <w:lang w:val="en-US"/>
        </w:rPr>
        <w:t>ere</w:t>
      </w:r>
      <w:r w:rsidR="004E195B" w:rsidRPr="004E195B">
        <w:rPr>
          <w:lang w:val="en-US"/>
        </w:rPr>
        <w:t xml:space="preserve"> </w:t>
      </w:r>
      <w:r w:rsidR="00010812">
        <w:rPr>
          <w:lang w:val="en-US"/>
        </w:rPr>
        <w:t>fixed</w:t>
      </w:r>
      <w:r w:rsidR="004E195B" w:rsidRPr="004E195B">
        <w:rPr>
          <w:lang w:val="en-US"/>
        </w:rPr>
        <w:t xml:space="preserve"> assets with a value of PLN 1</w:t>
      </w:r>
      <w:r w:rsidR="00FB4D78">
        <w:rPr>
          <w:lang w:val="en-US"/>
        </w:rPr>
        <w:t>47</w:t>
      </w:r>
      <w:r w:rsidR="004E195B" w:rsidRPr="004E195B">
        <w:rPr>
          <w:lang w:val="en-US"/>
        </w:rPr>
        <w:t>,</w:t>
      </w:r>
      <w:r w:rsidR="00FB4D78">
        <w:rPr>
          <w:lang w:val="en-US"/>
        </w:rPr>
        <w:t>172</w:t>
      </w:r>
      <w:r w:rsidR="004E195B" w:rsidRPr="004E195B">
        <w:rPr>
          <w:lang w:val="en-US"/>
        </w:rPr>
        <w:t xml:space="preserve"> million. The share of </w:t>
      </w:r>
      <w:proofErr w:type="spellStart"/>
      <w:r w:rsidR="008F1813">
        <w:t>long</w:t>
      </w:r>
      <w:proofErr w:type="spellEnd"/>
      <w:r w:rsidR="008F1813">
        <w:t xml:space="preserve">-term </w:t>
      </w:r>
      <w:r w:rsidR="004E195B" w:rsidRPr="004E195B">
        <w:rPr>
          <w:lang w:val="en-US"/>
        </w:rPr>
        <w:t xml:space="preserve">receivables in </w:t>
      </w:r>
      <w:r w:rsidR="008F1813">
        <w:rPr>
          <w:lang w:val="en-US"/>
        </w:rPr>
        <w:t>fixed</w:t>
      </w:r>
      <w:r w:rsidR="004E195B" w:rsidRPr="004E195B">
        <w:rPr>
          <w:lang w:val="en-US"/>
        </w:rPr>
        <w:t xml:space="preserve"> assets </w:t>
      </w:r>
      <w:r w:rsidR="008F1813">
        <w:rPr>
          <w:lang w:val="en-US"/>
        </w:rPr>
        <w:t>reached</w:t>
      </w:r>
      <w:r w:rsidR="004E195B" w:rsidRPr="004E195B">
        <w:rPr>
          <w:lang w:val="en-US"/>
        </w:rPr>
        <w:t xml:space="preserve"> 4</w:t>
      </w:r>
      <w:r w:rsidR="00FB4D78">
        <w:rPr>
          <w:lang w:val="en-US"/>
        </w:rPr>
        <w:t>2</w:t>
      </w:r>
      <w:r w:rsidR="004E195B" w:rsidRPr="004E195B">
        <w:rPr>
          <w:lang w:val="en-US"/>
        </w:rPr>
        <w:t>.</w:t>
      </w:r>
      <w:r w:rsidR="00FB4D78">
        <w:rPr>
          <w:lang w:val="en-US"/>
        </w:rPr>
        <w:t>6</w:t>
      </w:r>
      <w:r w:rsidR="004E195B" w:rsidRPr="004E195B">
        <w:rPr>
          <w:lang w:val="en-US"/>
        </w:rPr>
        <w:t>% and amounted to PLN 62,</w:t>
      </w:r>
      <w:r w:rsidR="00FB4D78">
        <w:rPr>
          <w:lang w:val="en-US"/>
        </w:rPr>
        <w:t>715</w:t>
      </w:r>
      <w:r w:rsidR="004E195B" w:rsidRPr="004E195B">
        <w:rPr>
          <w:lang w:val="en-US"/>
        </w:rPr>
        <w:t xml:space="preserve"> million. The second largest item of </w:t>
      </w:r>
      <w:r w:rsidR="004E3D3D">
        <w:rPr>
          <w:lang w:val="en-US"/>
        </w:rPr>
        <w:t>fixed</w:t>
      </w:r>
      <w:r w:rsidR="004E195B" w:rsidRPr="004E195B">
        <w:rPr>
          <w:lang w:val="en-US"/>
        </w:rPr>
        <w:t xml:space="preserve"> assets were long-term investments – PLN 43,</w:t>
      </w:r>
      <w:r w:rsidR="00FB4D78">
        <w:rPr>
          <w:lang w:val="en-US"/>
        </w:rPr>
        <w:t>426</w:t>
      </w:r>
      <w:r w:rsidR="004E195B" w:rsidRPr="004E195B">
        <w:rPr>
          <w:lang w:val="en-US"/>
        </w:rPr>
        <w:t xml:space="preserve"> million (</w:t>
      </w:r>
      <w:r w:rsidR="00FB4D78">
        <w:rPr>
          <w:lang w:val="en-US"/>
        </w:rPr>
        <w:t>29</w:t>
      </w:r>
      <w:r w:rsidR="004E195B" w:rsidRPr="004E195B">
        <w:rPr>
          <w:lang w:val="en-US"/>
        </w:rPr>
        <w:t>.</w:t>
      </w:r>
      <w:r w:rsidR="00FB4D78">
        <w:rPr>
          <w:lang w:val="en-US"/>
        </w:rPr>
        <w:t>5</w:t>
      </w:r>
      <w:r w:rsidR="008E2CF7">
        <w:rPr>
          <w:lang w:val="en-US"/>
        </w:rPr>
        <w:t>%)</w:t>
      </w:r>
      <w:r w:rsidR="004E195B" w:rsidRPr="004E195B">
        <w:rPr>
          <w:lang w:val="en-US"/>
        </w:rPr>
        <w:t>.</w:t>
      </w:r>
      <w:r w:rsidR="004E3D3D">
        <w:rPr>
          <w:lang w:val="en-US"/>
        </w:rPr>
        <w:t xml:space="preserve"> </w:t>
      </w:r>
      <w:r w:rsidR="004E3D3D" w:rsidRPr="004E3D3D">
        <w:rPr>
          <w:lang w:val="en-US"/>
        </w:rPr>
        <w:t xml:space="preserve">Current assets amounted to PLN </w:t>
      </w:r>
      <w:r w:rsidR="00FB4D78">
        <w:rPr>
          <w:lang w:val="en-US"/>
        </w:rPr>
        <w:t>75</w:t>
      </w:r>
      <w:r w:rsidR="004E3D3D" w:rsidRPr="004E3D3D">
        <w:rPr>
          <w:lang w:val="en-US"/>
        </w:rPr>
        <w:t>,</w:t>
      </w:r>
      <w:r w:rsidR="00FB4D78">
        <w:rPr>
          <w:lang w:val="en-US"/>
        </w:rPr>
        <w:t>247</w:t>
      </w:r>
      <w:r w:rsidR="004E3D3D" w:rsidRPr="004E3D3D">
        <w:rPr>
          <w:lang w:val="en-US"/>
        </w:rPr>
        <w:t xml:space="preserve"> million, which accounted for 33.</w:t>
      </w:r>
      <w:r w:rsidR="00FB4D78">
        <w:rPr>
          <w:lang w:val="en-US"/>
        </w:rPr>
        <w:t>8</w:t>
      </w:r>
      <w:r w:rsidR="004E3D3D" w:rsidRPr="004E3D3D">
        <w:rPr>
          <w:lang w:val="en-US"/>
        </w:rPr>
        <w:t>% of total assets.</w:t>
      </w:r>
    </w:p>
    <w:p w14:paraId="4BE53EF4" w14:textId="7102CACA" w:rsidR="004E3D3D" w:rsidRDefault="004E3D3D" w:rsidP="008E2CF7">
      <w:pPr>
        <w:rPr>
          <w:lang w:val="en-US"/>
        </w:rPr>
      </w:pPr>
      <w:r w:rsidRPr="004E3D3D">
        <w:rPr>
          <w:lang w:val="en-US"/>
        </w:rPr>
        <w:t xml:space="preserve">The </w:t>
      </w:r>
      <w:r w:rsidR="00404876">
        <w:rPr>
          <w:lang w:val="en-US"/>
        </w:rPr>
        <w:t xml:space="preserve">total </w:t>
      </w:r>
      <w:r w:rsidRPr="004E3D3D">
        <w:rPr>
          <w:lang w:val="en-US"/>
        </w:rPr>
        <w:t xml:space="preserve">liabilities of the </w:t>
      </w:r>
      <w:r w:rsidR="00104EF2">
        <w:rPr>
          <w:lang w:val="en-US"/>
        </w:rPr>
        <w:t>66</w:t>
      </w:r>
      <w:r w:rsidRPr="004E3D3D">
        <w:rPr>
          <w:lang w:val="en-US"/>
        </w:rPr>
        <w:t xml:space="preserve"> enterprises described above were dominated by liabilities and provisions for liabilities, the value of which amounted to PLN </w:t>
      </w:r>
      <w:r w:rsidR="00104EF2">
        <w:rPr>
          <w:lang w:val="en-US"/>
        </w:rPr>
        <w:t>20</w:t>
      </w:r>
      <w:r w:rsidRPr="004E3D3D">
        <w:rPr>
          <w:lang w:val="en-US"/>
        </w:rPr>
        <w:t>9,</w:t>
      </w:r>
      <w:r w:rsidR="00104EF2">
        <w:rPr>
          <w:lang w:val="en-US"/>
        </w:rPr>
        <w:t>711</w:t>
      </w:r>
      <w:r w:rsidRPr="004E3D3D">
        <w:rPr>
          <w:lang w:val="en-US"/>
        </w:rPr>
        <w:t xml:space="preserve"> million (</w:t>
      </w:r>
      <w:r w:rsidR="00104EF2">
        <w:rPr>
          <w:lang w:val="en-US"/>
        </w:rPr>
        <w:t>94</w:t>
      </w:r>
      <w:r w:rsidRPr="004E3D3D">
        <w:rPr>
          <w:lang w:val="en-US"/>
        </w:rPr>
        <w:t>.</w:t>
      </w:r>
      <w:r w:rsidR="00104EF2">
        <w:rPr>
          <w:lang w:val="en-US"/>
        </w:rPr>
        <w:t>3</w:t>
      </w:r>
      <w:r w:rsidRPr="004E3D3D">
        <w:rPr>
          <w:lang w:val="en-US"/>
        </w:rPr>
        <w:t xml:space="preserve">% of the total value of </w:t>
      </w:r>
      <w:r w:rsidR="00404876">
        <w:rPr>
          <w:lang w:val="en-US"/>
        </w:rPr>
        <w:t xml:space="preserve">total </w:t>
      </w:r>
      <w:r w:rsidRPr="004E3D3D">
        <w:rPr>
          <w:lang w:val="en-US"/>
        </w:rPr>
        <w:t>liabilities).</w:t>
      </w:r>
    </w:p>
    <w:p w14:paraId="492F632F" w14:textId="270A14B7" w:rsidR="004E3D3D" w:rsidRDefault="00A85FA7" w:rsidP="008E2CF7">
      <w:pPr>
        <w:rPr>
          <w:lang w:val="en-US"/>
        </w:rPr>
      </w:pPr>
      <w:r w:rsidRPr="00A85FA7">
        <w:rPr>
          <w:lang w:val="en-US"/>
        </w:rPr>
        <w:lastRenderedPageBreak/>
        <w:t xml:space="preserve">Revenues from total </w:t>
      </w:r>
      <w:r>
        <w:rPr>
          <w:lang w:val="en-US"/>
        </w:rPr>
        <w:t>activity</w:t>
      </w:r>
      <w:r w:rsidRPr="00A85FA7">
        <w:rPr>
          <w:lang w:val="en-US"/>
        </w:rPr>
        <w:t xml:space="preserve"> of these </w:t>
      </w:r>
      <w:r w:rsidR="00337DE8">
        <w:rPr>
          <w:lang w:val="en-US"/>
        </w:rPr>
        <w:t>66</w:t>
      </w:r>
      <w:r w:rsidRPr="00A85FA7">
        <w:rPr>
          <w:lang w:val="en-US"/>
        </w:rPr>
        <w:t xml:space="preserve"> companies in 202</w:t>
      </w:r>
      <w:r w:rsidR="00337DE8">
        <w:rPr>
          <w:lang w:val="en-US"/>
        </w:rPr>
        <w:t>4</w:t>
      </w:r>
      <w:r w:rsidRPr="00A85FA7">
        <w:rPr>
          <w:lang w:val="en-US"/>
        </w:rPr>
        <w:t xml:space="preserve"> amounted to PLN </w:t>
      </w:r>
      <w:r w:rsidR="00337DE8">
        <w:rPr>
          <w:lang w:val="en-US"/>
        </w:rPr>
        <w:t>30</w:t>
      </w:r>
      <w:r w:rsidRPr="00A85FA7">
        <w:rPr>
          <w:lang w:val="en-US"/>
        </w:rPr>
        <w:t>,</w:t>
      </w:r>
      <w:r w:rsidR="00337DE8">
        <w:rPr>
          <w:lang w:val="en-US"/>
        </w:rPr>
        <w:t>327</w:t>
      </w:r>
      <w:r w:rsidRPr="00A85FA7">
        <w:rPr>
          <w:lang w:val="en-US"/>
        </w:rPr>
        <w:t xml:space="preserve"> million and increased by </w:t>
      </w:r>
      <w:r w:rsidR="00337DE8">
        <w:rPr>
          <w:lang w:val="en-US"/>
        </w:rPr>
        <w:t>7</w:t>
      </w:r>
      <w:r w:rsidRPr="00A85FA7">
        <w:rPr>
          <w:lang w:val="en-US"/>
        </w:rPr>
        <w:t>.</w:t>
      </w:r>
      <w:r w:rsidR="00337DE8">
        <w:rPr>
          <w:lang w:val="en-US"/>
        </w:rPr>
        <w:t>3</w:t>
      </w:r>
      <w:r w:rsidRPr="00A85FA7">
        <w:rPr>
          <w:lang w:val="en-US"/>
        </w:rPr>
        <w:t xml:space="preserve">% compared to the previous year, </w:t>
      </w:r>
      <w:r>
        <w:rPr>
          <w:lang w:val="en-US"/>
        </w:rPr>
        <w:t xml:space="preserve">of which </w:t>
      </w:r>
      <w:r w:rsidRPr="00A85FA7">
        <w:rPr>
          <w:lang w:val="en-US"/>
        </w:rPr>
        <w:t xml:space="preserve">sales revenues accounted for </w:t>
      </w:r>
      <w:r w:rsidR="00337DE8">
        <w:rPr>
          <w:lang w:val="en-US"/>
        </w:rPr>
        <w:t>83</w:t>
      </w:r>
      <w:r w:rsidRPr="00A85FA7">
        <w:rPr>
          <w:lang w:val="en-US"/>
        </w:rPr>
        <w:t xml:space="preserve">.2%. Costs from total operations increased by </w:t>
      </w:r>
      <w:r w:rsidR="00B91F70">
        <w:rPr>
          <w:lang w:val="en-US"/>
        </w:rPr>
        <w:t>6</w:t>
      </w:r>
      <w:r w:rsidRPr="00A85FA7">
        <w:rPr>
          <w:lang w:val="en-US"/>
        </w:rPr>
        <w:t>.</w:t>
      </w:r>
      <w:r w:rsidR="00B91F70">
        <w:rPr>
          <w:lang w:val="en-US"/>
        </w:rPr>
        <w:t>0</w:t>
      </w:r>
      <w:r w:rsidRPr="00A85FA7">
        <w:rPr>
          <w:lang w:val="en-US"/>
        </w:rPr>
        <w:t xml:space="preserve">% and amounted to PLN </w:t>
      </w:r>
      <w:r w:rsidR="00B91F70">
        <w:rPr>
          <w:lang w:val="en-US"/>
        </w:rPr>
        <w:t>28</w:t>
      </w:r>
      <w:r w:rsidRPr="00A85FA7">
        <w:rPr>
          <w:lang w:val="en-US"/>
        </w:rPr>
        <w:t>,</w:t>
      </w:r>
      <w:r w:rsidR="00B91F70">
        <w:rPr>
          <w:lang w:val="en-US"/>
        </w:rPr>
        <w:t>072</w:t>
      </w:r>
      <w:r w:rsidRPr="00A85FA7">
        <w:rPr>
          <w:lang w:val="en-US"/>
        </w:rPr>
        <w:t xml:space="preserve"> million.</w:t>
      </w:r>
    </w:p>
    <w:p w14:paraId="4D29BCC6" w14:textId="428D81D8" w:rsidR="006417EE" w:rsidRDefault="004B1527" w:rsidP="008E2CF7">
      <w:pPr>
        <w:rPr>
          <w:lang w:val="en-US"/>
        </w:rPr>
      </w:pPr>
      <w:r w:rsidRPr="004B1527">
        <w:rPr>
          <w:lang w:val="en-US"/>
        </w:rPr>
        <w:t>The net financial result of 6</w:t>
      </w:r>
      <w:r w:rsidR="00BB738D">
        <w:rPr>
          <w:lang w:val="en-US"/>
        </w:rPr>
        <w:t>6</w:t>
      </w:r>
      <w:r w:rsidRPr="004B1527">
        <w:rPr>
          <w:lang w:val="en-US"/>
        </w:rPr>
        <w:t xml:space="preserve"> </w:t>
      </w:r>
      <w:r>
        <w:rPr>
          <w:lang w:val="en-US"/>
        </w:rPr>
        <w:t>enterpris</w:t>
      </w:r>
      <w:r w:rsidRPr="004B1527">
        <w:rPr>
          <w:lang w:val="en-US"/>
        </w:rPr>
        <w:t xml:space="preserve">es with full accounting for which leasing activity was the only or dominant type of activity amounted to PLN </w:t>
      </w:r>
      <w:r w:rsidR="00BB738D">
        <w:rPr>
          <w:lang w:val="en-US"/>
        </w:rPr>
        <w:t>1,4</w:t>
      </w:r>
      <w:r w:rsidR="00D2627A">
        <w:rPr>
          <w:lang w:val="en-US"/>
        </w:rPr>
        <w:t>50</w:t>
      </w:r>
      <w:r w:rsidRPr="004B1527">
        <w:rPr>
          <w:lang w:val="en-US"/>
        </w:rPr>
        <w:t xml:space="preserve"> million. Of this group of companies, </w:t>
      </w:r>
      <w:r w:rsidR="00BB738D">
        <w:rPr>
          <w:lang w:val="en-US"/>
        </w:rPr>
        <w:t>50</w:t>
      </w:r>
      <w:r w:rsidRPr="004B1527">
        <w:rPr>
          <w:lang w:val="en-US"/>
        </w:rPr>
        <w:t xml:space="preserve"> companies generated a positive net financial result in 202</w:t>
      </w:r>
      <w:r w:rsidR="00BB738D">
        <w:rPr>
          <w:lang w:val="en-US"/>
        </w:rPr>
        <w:t>4</w:t>
      </w:r>
      <w:r w:rsidR="00416761">
        <w:rPr>
          <w:lang w:val="en-US"/>
        </w:rPr>
        <w:t xml:space="preserve"> </w:t>
      </w:r>
      <w:r w:rsidR="00F94CCA">
        <w:rPr>
          <w:lang w:val="en-US"/>
        </w:rPr>
        <w:t>for the total amount of PLN 2,172 million</w:t>
      </w:r>
      <w:r w:rsidRPr="004B1527">
        <w:rPr>
          <w:lang w:val="en-US"/>
        </w:rPr>
        <w:t>, while the remaining 1</w:t>
      </w:r>
      <w:r w:rsidR="00BB738D">
        <w:rPr>
          <w:lang w:val="en-US"/>
        </w:rPr>
        <w:t>6</w:t>
      </w:r>
      <w:r w:rsidRPr="004B1527">
        <w:rPr>
          <w:lang w:val="en-US"/>
        </w:rPr>
        <w:t xml:space="preserve"> </w:t>
      </w:r>
      <w:r w:rsidR="00F94CCA">
        <w:rPr>
          <w:lang w:val="en-US"/>
        </w:rPr>
        <w:t>record</w:t>
      </w:r>
      <w:r w:rsidRPr="004B1527">
        <w:rPr>
          <w:lang w:val="en-US"/>
        </w:rPr>
        <w:t xml:space="preserve">ed </w:t>
      </w:r>
      <w:r w:rsidR="00F94CCA">
        <w:rPr>
          <w:lang w:val="en-US"/>
        </w:rPr>
        <w:t xml:space="preserve">a </w:t>
      </w:r>
      <w:r w:rsidRPr="004B1527">
        <w:rPr>
          <w:lang w:val="en-US"/>
        </w:rPr>
        <w:t>loss</w:t>
      </w:r>
      <w:r w:rsidR="00F94CCA">
        <w:rPr>
          <w:lang w:val="en-US"/>
        </w:rPr>
        <w:t xml:space="preserve"> of PLN</w:t>
      </w:r>
      <w:r w:rsidR="00E440CC">
        <w:rPr>
          <w:lang w:val="en-US"/>
        </w:rPr>
        <w:t> </w:t>
      </w:r>
      <w:r w:rsidR="00F94CCA">
        <w:rPr>
          <w:lang w:val="en-US"/>
        </w:rPr>
        <w:t>722</w:t>
      </w:r>
      <w:r w:rsidR="00E440CC">
        <w:rPr>
          <w:lang w:val="en-US"/>
        </w:rPr>
        <w:t> </w:t>
      </w:r>
      <w:r w:rsidR="00F94CCA">
        <w:rPr>
          <w:lang w:val="en-US"/>
        </w:rPr>
        <w:t>million</w:t>
      </w:r>
      <w:r w:rsidRPr="004B1527">
        <w:rPr>
          <w:lang w:val="en-US"/>
        </w:rPr>
        <w:t>.</w:t>
      </w:r>
    </w:p>
    <w:p w14:paraId="74BCEF49" w14:textId="0F34B3D7" w:rsidR="006417EE" w:rsidRDefault="006417EE" w:rsidP="00E23177">
      <w:pPr>
        <w:rPr>
          <w:lang w:val="en-US"/>
        </w:rPr>
      </w:pPr>
    </w:p>
    <w:p w14:paraId="73E3FD5E" w14:textId="0C7BFD2E" w:rsidR="006417EE" w:rsidRDefault="006417EE" w:rsidP="00E23177">
      <w:pPr>
        <w:rPr>
          <w:lang w:val="en-US"/>
        </w:rPr>
      </w:pPr>
    </w:p>
    <w:p w14:paraId="0BAC9545" w14:textId="76E73D72" w:rsidR="006417EE" w:rsidRDefault="006417EE" w:rsidP="00E23177">
      <w:pPr>
        <w:rPr>
          <w:lang w:val="en-US"/>
        </w:rPr>
      </w:pPr>
    </w:p>
    <w:p w14:paraId="33981F88" w14:textId="357B0377" w:rsidR="006417EE" w:rsidRDefault="006417EE" w:rsidP="00E23177">
      <w:pPr>
        <w:rPr>
          <w:lang w:val="en-US"/>
        </w:rPr>
      </w:pPr>
    </w:p>
    <w:p w14:paraId="4B40B24A" w14:textId="0C04945B" w:rsidR="00656D6D" w:rsidRDefault="00656D6D" w:rsidP="00E23177">
      <w:pPr>
        <w:rPr>
          <w:lang w:val="en-US"/>
        </w:rPr>
      </w:pPr>
    </w:p>
    <w:p w14:paraId="26BC27E0" w14:textId="1B52746D" w:rsidR="00656D6D" w:rsidRDefault="00656D6D" w:rsidP="00E23177">
      <w:pPr>
        <w:rPr>
          <w:lang w:val="en-US"/>
        </w:rPr>
      </w:pPr>
    </w:p>
    <w:p w14:paraId="454927FA" w14:textId="228F8C5F" w:rsidR="00656D6D" w:rsidRDefault="00656D6D" w:rsidP="00E23177">
      <w:pPr>
        <w:rPr>
          <w:lang w:val="en-US"/>
        </w:rPr>
      </w:pPr>
    </w:p>
    <w:p w14:paraId="7808D739" w14:textId="0635A730" w:rsidR="00656D6D" w:rsidRDefault="00656D6D" w:rsidP="00E23177">
      <w:pPr>
        <w:rPr>
          <w:lang w:val="en-US"/>
        </w:rPr>
      </w:pPr>
    </w:p>
    <w:p w14:paraId="535B8B1E" w14:textId="79F4DDF4" w:rsidR="00656D6D" w:rsidRDefault="00656D6D" w:rsidP="00E23177">
      <w:pPr>
        <w:rPr>
          <w:lang w:val="en-US"/>
        </w:rPr>
      </w:pPr>
    </w:p>
    <w:p w14:paraId="41F3D499" w14:textId="422FCE45" w:rsidR="00656D6D" w:rsidRDefault="00656D6D" w:rsidP="00E23177">
      <w:pPr>
        <w:rPr>
          <w:lang w:val="en-US"/>
        </w:rPr>
      </w:pPr>
    </w:p>
    <w:p w14:paraId="3F08FAFE" w14:textId="5691B884" w:rsidR="00656D6D" w:rsidRDefault="00656D6D" w:rsidP="00E23177">
      <w:pPr>
        <w:rPr>
          <w:lang w:val="en-US"/>
        </w:rPr>
      </w:pPr>
    </w:p>
    <w:p w14:paraId="2F607C6A" w14:textId="2391CDE5" w:rsidR="00656D6D" w:rsidRDefault="00656D6D" w:rsidP="00E23177">
      <w:pPr>
        <w:rPr>
          <w:lang w:val="en-US"/>
        </w:rPr>
      </w:pPr>
    </w:p>
    <w:p w14:paraId="2B94866F" w14:textId="7BF62BA9" w:rsidR="00656D6D" w:rsidRDefault="00656D6D" w:rsidP="00E23177">
      <w:pPr>
        <w:rPr>
          <w:lang w:val="en-US"/>
        </w:rPr>
      </w:pPr>
    </w:p>
    <w:p w14:paraId="2DF5DC58" w14:textId="4C12EFD0" w:rsidR="00656D6D" w:rsidRDefault="00656D6D" w:rsidP="00E23177">
      <w:pPr>
        <w:rPr>
          <w:lang w:val="en-US"/>
        </w:rPr>
      </w:pPr>
    </w:p>
    <w:p w14:paraId="0D86E238" w14:textId="77777777" w:rsidR="00656D6D" w:rsidRDefault="00656D6D" w:rsidP="00E23177">
      <w:pPr>
        <w:rPr>
          <w:lang w:val="en-US"/>
        </w:rPr>
      </w:pPr>
    </w:p>
    <w:p w14:paraId="1BB7D6E7" w14:textId="76BC1E87" w:rsidR="004B1527" w:rsidRDefault="004B1527" w:rsidP="00E23177">
      <w:pPr>
        <w:rPr>
          <w:lang w:val="en-US"/>
        </w:rPr>
      </w:pPr>
    </w:p>
    <w:p w14:paraId="29EC0D3E" w14:textId="5FC4C216" w:rsidR="004B1527" w:rsidRDefault="004B1527" w:rsidP="00E23177">
      <w:pPr>
        <w:rPr>
          <w:lang w:val="en-US"/>
        </w:rPr>
      </w:pPr>
    </w:p>
    <w:p w14:paraId="1A56B989" w14:textId="77777777" w:rsidR="004B1527" w:rsidRDefault="004B1527" w:rsidP="00E23177">
      <w:pPr>
        <w:rPr>
          <w:lang w:val="en-US"/>
        </w:rPr>
      </w:pPr>
    </w:p>
    <w:p w14:paraId="55DF5856" w14:textId="744CB8AD" w:rsidR="006417EE" w:rsidRDefault="006417EE" w:rsidP="00E23177">
      <w:pPr>
        <w:rPr>
          <w:lang w:val="en-US"/>
        </w:rPr>
      </w:pPr>
    </w:p>
    <w:p w14:paraId="3E55B218" w14:textId="789E1643" w:rsidR="006417EE" w:rsidRDefault="006417EE" w:rsidP="00E23177">
      <w:pPr>
        <w:rPr>
          <w:lang w:val="en-US"/>
        </w:rPr>
      </w:pPr>
    </w:p>
    <w:p w14:paraId="63C8F67C" w14:textId="2FA4CD7D" w:rsidR="006417EE" w:rsidRDefault="006417EE" w:rsidP="00E23177">
      <w:pPr>
        <w:rPr>
          <w:lang w:val="en-US"/>
        </w:rPr>
      </w:pPr>
    </w:p>
    <w:p w14:paraId="606BF11A" w14:textId="280D513B" w:rsidR="006417EE" w:rsidRDefault="006417EE" w:rsidP="00E23177">
      <w:pPr>
        <w:rPr>
          <w:lang w:val="en-US"/>
        </w:rPr>
      </w:pPr>
    </w:p>
    <w:p w14:paraId="21F215A8" w14:textId="5F35A3F9" w:rsidR="006417EE" w:rsidRDefault="006417EE" w:rsidP="00E23177">
      <w:pPr>
        <w:rPr>
          <w:lang w:val="en-US"/>
        </w:rPr>
      </w:pPr>
    </w:p>
    <w:p w14:paraId="27E06E69" w14:textId="67F87BA6" w:rsidR="006417EE" w:rsidRDefault="006417EE" w:rsidP="00E23177">
      <w:pPr>
        <w:rPr>
          <w:lang w:val="en-US"/>
        </w:rPr>
      </w:pPr>
    </w:p>
    <w:p w14:paraId="42AC7069" w14:textId="6C615591" w:rsidR="006417EE" w:rsidRDefault="006417EE" w:rsidP="00E23177">
      <w:pPr>
        <w:rPr>
          <w:lang w:val="en-US"/>
        </w:rPr>
      </w:pPr>
    </w:p>
    <w:p w14:paraId="6D1C8B51" w14:textId="7B199523" w:rsidR="006417EE" w:rsidRDefault="006417EE" w:rsidP="00E23177">
      <w:pPr>
        <w:rPr>
          <w:lang w:val="en-US"/>
        </w:rPr>
      </w:pPr>
    </w:p>
    <w:p w14:paraId="1F7B6384" w14:textId="5BA585E9" w:rsidR="006417EE" w:rsidRDefault="006417EE" w:rsidP="00E23177">
      <w:pPr>
        <w:rPr>
          <w:lang w:val="en-US"/>
        </w:rPr>
      </w:pPr>
    </w:p>
    <w:p w14:paraId="780F1601" w14:textId="75CC26CF" w:rsidR="006417EE" w:rsidRDefault="006417EE" w:rsidP="00E23177">
      <w:pPr>
        <w:rPr>
          <w:lang w:val="en-US"/>
        </w:rPr>
      </w:pPr>
    </w:p>
    <w:p w14:paraId="33F9DC8B" w14:textId="138E9864" w:rsidR="006417EE" w:rsidRDefault="006417EE" w:rsidP="00E23177">
      <w:pPr>
        <w:rPr>
          <w:lang w:val="en-US"/>
        </w:rPr>
      </w:pPr>
    </w:p>
    <w:p w14:paraId="6078EA46" w14:textId="19C0773E" w:rsidR="006417EE" w:rsidRDefault="006417EE" w:rsidP="00E23177">
      <w:pPr>
        <w:rPr>
          <w:lang w:val="en-US"/>
        </w:rPr>
      </w:pPr>
    </w:p>
    <w:p w14:paraId="07AB4A03" w14:textId="51430950" w:rsidR="006417EE" w:rsidRDefault="006417EE" w:rsidP="00E23177">
      <w:pPr>
        <w:rPr>
          <w:lang w:val="en-US"/>
        </w:rPr>
      </w:pPr>
    </w:p>
    <w:p w14:paraId="13C9330F" w14:textId="28B876A1" w:rsidR="006417EE" w:rsidRDefault="006417EE" w:rsidP="00E23177">
      <w:pPr>
        <w:rPr>
          <w:lang w:val="en-US"/>
        </w:rPr>
      </w:pPr>
    </w:p>
    <w:p w14:paraId="47ABD076" w14:textId="25690DC5" w:rsidR="006417EE" w:rsidRDefault="006417EE" w:rsidP="00E23177">
      <w:pPr>
        <w:rPr>
          <w:lang w:val="en-US"/>
        </w:rPr>
      </w:pPr>
    </w:p>
    <w:p w14:paraId="4A41FC4F" w14:textId="77777777" w:rsidR="006417EE" w:rsidRDefault="006417EE" w:rsidP="00E23177">
      <w:pPr>
        <w:rPr>
          <w:lang w:val="en-US"/>
        </w:rPr>
      </w:pPr>
    </w:p>
    <w:p w14:paraId="30804F33" w14:textId="77777777" w:rsidR="00E23177" w:rsidRDefault="00E23177" w:rsidP="004A0BAD">
      <w:pPr>
        <w:spacing w:after="0" w:line="240" w:lineRule="auto"/>
        <w:rPr>
          <w:rFonts w:cs="Arial"/>
          <w:lang w:val="en-US"/>
        </w:rPr>
      </w:pPr>
      <w:r w:rsidRPr="00DE1C7A">
        <w:rPr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</w:t>
      </w:r>
    </w:p>
    <w:p w14:paraId="456B17E4" w14:textId="77777777" w:rsidR="00E23177" w:rsidRPr="00785F40" w:rsidRDefault="00E23177" w:rsidP="00E76D26">
      <w:pPr>
        <w:rPr>
          <w:sz w:val="18"/>
          <w:lang w:val="en-US"/>
        </w:rPr>
        <w:sectPr w:rsidR="00E23177" w:rsidRPr="00785F40" w:rsidSect="00B72F9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529F1" w14:paraId="2C63ADF0" w14:textId="77777777" w:rsidTr="00E10F04">
        <w:trPr>
          <w:trHeight w:val="1626"/>
        </w:trPr>
        <w:tc>
          <w:tcPr>
            <w:tcW w:w="4926" w:type="dxa"/>
          </w:tcPr>
          <w:p w14:paraId="388060CB" w14:textId="77777777" w:rsidR="00D529F1" w:rsidRPr="005100C9" w:rsidRDefault="00D529F1" w:rsidP="00923E82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63032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5659954E" w14:textId="0523DE70" w:rsidR="004240A6" w:rsidRDefault="00D529F1" w:rsidP="004240A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63032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Macroeconomic Studies and Finance </w:t>
            </w:r>
          </w:p>
          <w:p w14:paraId="300E12DB" w14:textId="7186AAF6" w:rsidR="00D529F1" w:rsidRPr="00763032" w:rsidRDefault="00D529F1" w:rsidP="00923E8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63032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26F61D7F" w14:textId="77777777" w:rsidR="00D529F1" w:rsidRPr="00763032" w:rsidRDefault="00D529F1" w:rsidP="00923E82">
            <w:pPr>
              <w:spacing w:after="0" w:line="276" w:lineRule="auto"/>
              <w:rPr>
                <w:b/>
                <w:lang w:val="fi-FI"/>
              </w:rPr>
            </w:pPr>
            <w:r w:rsidRPr="00763032">
              <w:rPr>
                <w:b/>
                <w:lang w:val="fi-FI"/>
              </w:rPr>
              <w:t>Director Mirosław Błażej</w:t>
            </w:r>
          </w:p>
          <w:p w14:paraId="4AD664FB" w14:textId="77777777" w:rsidR="00D529F1" w:rsidRPr="00AB24E4" w:rsidRDefault="00D529F1" w:rsidP="00D529F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5100C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14:paraId="6E12D143" w14:textId="77777777" w:rsidR="00D529F1" w:rsidRPr="005653EE" w:rsidRDefault="00D529F1" w:rsidP="00D529F1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62F2E329" w14:textId="77777777" w:rsidR="00D529F1" w:rsidRPr="0027575B" w:rsidRDefault="00D529F1" w:rsidP="00D529F1">
            <w:pPr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>Mobile: (+48) 695 255 032</w:t>
            </w:r>
          </w:p>
          <w:p w14:paraId="1B01846C" w14:textId="77777777" w:rsidR="00D529F1" w:rsidRPr="0027575B" w:rsidRDefault="00D529F1" w:rsidP="00D529F1">
            <w:pPr>
              <w:spacing w:after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Phone: (+48 22) 608 38 04, (+48 22) 449 41 45, </w:t>
            </w:r>
          </w:p>
          <w:p w14:paraId="2441E59F" w14:textId="77777777" w:rsidR="00D529F1" w:rsidRPr="0027575B" w:rsidRDefault="00D529F1" w:rsidP="00D529F1">
            <w:pPr>
              <w:spacing w:before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             (+48 22) 608 30 09</w:t>
            </w:r>
          </w:p>
          <w:p w14:paraId="0F12DC0E" w14:textId="77777777" w:rsidR="00D529F1" w:rsidRPr="00AE54DC" w:rsidRDefault="00D529F1" w:rsidP="00D529F1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868ED48" w14:textId="77777777" w:rsidR="00D529F1" w:rsidRDefault="00D529F1" w:rsidP="00D529F1">
            <w:pPr>
              <w:rPr>
                <w:sz w:val="18"/>
              </w:rPr>
            </w:pPr>
          </w:p>
        </w:tc>
      </w:tr>
      <w:tr w:rsidR="00D529F1" w:rsidRPr="005100C9" w14:paraId="1084A8E3" w14:textId="77777777" w:rsidTr="00E10F04">
        <w:trPr>
          <w:trHeight w:val="418"/>
        </w:trPr>
        <w:tc>
          <w:tcPr>
            <w:tcW w:w="4926" w:type="dxa"/>
            <w:vMerge w:val="restart"/>
          </w:tcPr>
          <w:p w14:paraId="43092BD3" w14:textId="2CF7A855" w:rsidR="00D529F1" w:rsidRPr="00F05FC7" w:rsidRDefault="00D529F1" w:rsidP="00D529F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1E31AB6" w14:textId="0B88F582" w:rsidR="00D529F1" w:rsidRPr="005100C9" w:rsidRDefault="00D529F1" w:rsidP="00D529F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203F3DB7" wp14:editId="352F65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D529F1" w14:paraId="74F25B6E" w14:textId="77777777" w:rsidTr="00E10F04">
        <w:trPr>
          <w:trHeight w:val="418"/>
        </w:trPr>
        <w:tc>
          <w:tcPr>
            <w:tcW w:w="4926" w:type="dxa"/>
            <w:vMerge/>
          </w:tcPr>
          <w:p w14:paraId="4C4FCE1A" w14:textId="77777777" w:rsidR="00D529F1" w:rsidRPr="005100C9" w:rsidRDefault="00D529F1" w:rsidP="00D529F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CA299C8" w14:textId="7EC86008" w:rsidR="00D529F1" w:rsidRDefault="00D529F1" w:rsidP="00D529F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818FEBA" wp14:editId="21F10E1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529F1" w14:paraId="2E75E84F" w14:textId="77777777" w:rsidTr="00E10F04">
        <w:trPr>
          <w:trHeight w:val="480"/>
        </w:trPr>
        <w:tc>
          <w:tcPr>
            <w:tcW w:w="4926" w:type="dxa"/>
            <w:vMerge/>
          </w:tcPr>
          <w:p w14:paraId="10AA79A2" w14:textId="77777777" w:rsidR="00D529F1" w:rsidRPr="00C91687" w:rsidRDefault="00D529F1" w:rsidP="00D529F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708FA44" w14:textId="72DDADE2" w:rsidR="00D529F1" w:rsidRDefault="00D529F1" w:rsidP="00D529F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D64A865" wp14:editId="599CF6B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529F1" w:rsidRPr="003D5F42" w14:paraId="2325524D" w14:textId="77777777" w:rsidTr="00E10F04">
        <w:trPr>
          <w:trHeight w:val="480"/>
        </w:trPr>
        <w:tc>
          <w:tcPr>
            <w:tcW w:w="4926" w:type="dxa"/>
          </w:tcPr>
          <w:p w14:paraId="7C5DDDDC" w14:textId="77777777" w:rsidR="00D529F1" w:rsidRPr="00C91687" w:rsidRDefault="00D529F1" w:rsidP="00D529F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1545D8" w14:textId="655167C5" w:rsidR="00D529F1" w:rsidRPr="003D5F42" w:rsidRDefault="00D529F1" w:rsidP="00D529F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F06ED05" wp14:editId="47BFCDB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2" name="Obraz 12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529F1" w:rsidRPr="003D5F42" w14:paraId="530FFA79" w14:textId="77777777" w:rsidTr="00E10F04">
        <w:trPr>
          <w:trHeight w:val="480"/>
        </w:trPr>
        <w:tc>
          <w:tcPr>
            <w:tcW w:w="4926" w:type="dxa"/>
          </w:tcPr>
          <w:p w14:paraId="69D31DDA" w14:textId="77777777" w:rsidR="00D529F1" w:rsidRPr="00C91687" w:rsidRDefault="00D529F1" w:rsidP="00D529F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32D11C7" w14:textId="46E12D4F" w:rsidR="00D529F1" w:rsidRPr="003D5F42" w:rsidRDefault="00D529F1" w:rsidP="00D529F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47941214" wp14:editId="168676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529F1" w:rsidRPr="003D5F42" w14:paraId="21CC737F" w14:textId="77777777" w:rsidTr="00E10F04">
        <w:trPr>
          <w:trHeight w:val="953"/>
        </w:trPr>
        <w:tc>
          <w:tcPr>
            <w:tcW w:w="4926" w:type="dxa"/>
          </w:tcPr>
          <w:p w14:paraId="2708E57A" w14:textId="77777777" w:rsidR="00D529F1" w:rsidRPr="00C91687" w:rsidRDefault="00D529F1" w:rsidP="00D529F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B5833EB" w14:textId="303EF26A" w:rsidR="00D529F1" w:rsidRPr="003D5F42" w:rsidRDefault="00D529F1" w:rsidP="00D529F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79E6866D" wp14:editId="1BBFED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77A0A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A7D365" wp14:editId="3B65ADC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867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7622EEA" w14:textId="77777777" w:rsidR="00AB6D25" w:rsidRPr="00785F4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7CAE9CDF" w14:textId="01BAF174" w:rsidR="00AB6D25" w:rsidRPr="00BD73E4" w:rsidRDefault="004A527D" w:rsidP="00AB6D25">
                            <w:pP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2" w:tooltip="Link to the publication &quot;Specialized financial market segments in 2023&quot; " w:history="1">
                              <w:r w:rsidR="005C533C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Specialized</w:t>
                              </w:r>
                              <w:r w:rsidR="0051110E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r w:rsidR="005C533C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financial market </w:t>
                              </w:r>
                              <w:r w:rsidR="0051110E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segments in </w:t>
                              </w:r>
                              <w:r w:rsidR="005C533C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202</w:t>
                              </w:r>
                              <w:r w:rsidR="0051110E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3</w:t>
                              </w:r>
                            </w:hyperlink>
                          </w:p>
                          <w:p w14:paraId="3673DBA9" w14:textId="668CA60B" w:rsidR="009E759A" w:rsidRPr="00BD73E4" w:rsidRDefault="004A527D" w:rsidP="009E759A">
                            <w:pP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tooltip="Link to the publication &quot;Macroeconomic situation in Poland in the context of the world economic processes in 2023&quot; " w:history="1">
                              <w:r w:rsidR="00060C60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Macroeconomic situation in Poland in the context of the world economic processes in 202</w:t>
                              </w:r>
                              <w:r w:rsidR="0051110E" w:rsidRPr="00BD73E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3</w:t>
                              </w:r>
                            </w:hyperlink>
                          </w:p>
                          <w:p w14:paraId="51C51D5B" w14:textId="26880620" w:rsidR="00673C26" w:rsidRPr="00785F40" w:rsidRDefault="00673C26" w:rsidP="009E759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12042020" w14:textId="77777777" w:rsidR="00AB6D25" w:rsidRPr="00785F40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43512CF6" w14:textId="314E62C5" w:rsidR="00F85591" w:rsidRPr="00A458FB" w:rsidRDefault="004A527D" w:rsidP="00F85591">
                            <w:pPr>
                              <w:rPr>
                                <w:rStyle w:val="Hipercze"/>
                                <w:rFonts w:cs="Arial"/>
                                <w:color w:val="3333FF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4" w:tooltip="&quot;Leasing&quot; - Link to the subpage &lt;Terms used in official statistics&gt;" w:history="1">
                              <w:r w:rsidR="00F85591" w:rsidRPr="00A458FB">
                                <w:rPr>
                                  <w:rStyle w:val="Hipercze"/>
                                  <w:rFonts w:cs="Arial"/>
                                  <w:color w:val="3333FF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Leasing</w:t>
                              </w:r>
                            </w:hyperlink>
                          </w:p>
                          <w:p w14:paraId="1C36C232" w14:textId="7149AD70" w:rsidR="00DB4CC6" w:rsidRPr="0051110E" w:rsidRDefault="0051110E" w:rsidP="00DB4CC6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"https://stat.gov.pl/en/metainformation/glossary/terms-used-in-official-statistics/1626,term.html" \o "\"Leaseholder, lessee\" - Link to the subpage &lt;Terms used in official statistics&gt;" </w:instrText>
                            </w: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DB4CC6" w:rsidRPr="0051110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t>Leaseholder, lessee</w:t>
                            </w:r>
                          </w:p>
                          <w:p w14:paraId="7BC4B00F" w14:textId="2B6A1166" w:rsidR="00DB4CC6" w:rsidRPr="0051110E" w:rsidRDefault="0051110E" w:rsidP="00DB4CC6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"https://stat.gov.pl/en/metainformation/glossary/terms-used-in-official-statistics/1625,term.html" \o "\"Leaser, lessor\" - Link to the subpage &lt;Terms used in official statistics&gt;" </w:instrText>
                            </w: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DB4CC6" w:rsidRPr="0051110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t>Leaser, lessor</w:t>
                            </w:r>
                          </w:p>
                          <w:p w14:paraId="43A31C9F" w14:textId="7A93D896" w:rsidR="00AB6D25" w:rsidRPr="00DE1C7A" w:rsidRDefault="0051110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D365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17FB867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27622EEA" w14:textId="77777777" w:rsidR="00AB6D25" w:rsidRPr="00785F4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785F40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7CAE9CDF" w14:textId="01BAF174" w:rsidR="00AB6D25" w:rsidRPr="00BD73E4" w:rsidRDefault="00A66005" w:rsidP="00AB6D25">
                      <w:pP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5" w:tooltip="Link to the publication &quot;Specialized financial market segments in 2023&quot; " w:history="1">
                        <w:r w:rsidR="005C533C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Specialized</w:t>
                        </w:r>
                        <w:r w:rsidR="0051110E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r w:rsidR="005C533C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financial market </w:t>
                        </w:r>
                        <w:r w:rsidR="0051110E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segments in </w:t>
                        </w:r>
                        <w:r w:rsidR="005C533C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202</w:t>
                        </w:r>
                        <w:r w:rsidR="0051110E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3</w:t>
                        </w:r>
                      </w:hyperlink>
                    </w:p>
                    <w:p w14:paraId="3673DBA9" w14:textId="668CA60B" w:rsidR="009E759A" w:rsidRPr="00BD73E4" w:rsidRDefault="00A66005" w:rsidP="009E759A">
                      <w:pP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6" w:tooltip="Link to the publication &quot;Macroeconomic situation in Poland in the context of the world economic processes in 2023&quot; " w:history="1">
                        <w:r w:rsidR="00060C60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Macroeconomic situation in Poland in the context of the world economic processes in 202</w:t>
                        </w:r>
                        <w:r w:rsidR="0051110E" w:rsidRPr="00BD73E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3</w:t>
                        </w:r>
                      </w:hyperlink>
                    </w:p>
                    <w:p w14:paraId="51C51D5B" w14:textId="26880620" w:rsidR="00673C26" w:rsidRPr="00785F40" w:rsidRDefault="00673C26" w:rsidP="009E759A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12042020" w14:textId="77777777" w:rsidR="00AB6D25" w:rsidRPr="00785F40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43512CF6" w14:textId="314E62C5" w:rsidR="00F85591" w:rsidRPr="00A458FB" w:rsidRDefault="00A66005" w:rsidP="00F85591">
                      <w:pPr>
                        <w:rPr>
                          <w:rStyle w:val="Hipercze"/>
                          <w:rFonts w:cs="Arial"/>
                          <w:color w:val="3333FF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7" w:tooltip="&quot;Leasing&quot; - Link to the subpage &lt;Terms used in official statistics&gt;" w:history="1">
                        <w:r w:rsidR="00F85591" w:rsidRPr="00A458FB">
                          <w:rPr>
                            <w:rStyle w:val="Hipercze"/>
                            <w:rFonts w:cs="Arial"/>
                            <w:color w:val="3333FF"/>
                            <w:szCs w:val="19"/>
                            <w:shd w:val="clear" w:color="auto" w:fill="F0F0F0"/>
                            <w:lang w:val="en-US"/>
                          </w:rPr>
                          <w:t>Leasing</w:t>
                        </w:r>
                      </w:hyperlink>
                    </w:p>
                    <w:p w14:paraId="1C36C232" w14:textId="7149AD70" w:rsidR="00DB4CC6" w:rsidRPr="0051110E" w:rsidRDefault="0051110E" w:rsidP="00DB4CC6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instrText xml:space="preserve"> HYPERLINK "https://stat.gov.pl/en/metainformation/glossary/terms-used-in-official-statistics/1626,term.html" \o "\"Leaseholder, lessee\" - Link to the subpage &lt;Terms used in official statistics&gt;" </w:instrText>
                      </w: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DB4CC6" w:rsidRPr="0051110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t>Leaseholder, lessee</w:t>
                      </w:r>
                    </w:p>
                    <w:p w14:paraId="7BC4B00F" w14:textId="2B6A1166" w:rsidR="00DB4CC6" w:rsidRPr="0051110E" w:rsidRDefault="0051110E" w:rsidP="00DB4CC6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end"/>
                      </w: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instrText xml:space="preserve"> HYPERLINK "https://stat.gov.pl/en/metainformation/glossary/terms-used-in-official-statistics/1625,term.html" \o "\"Leaser, lessor\" - Link to the subpage &lt;Terms used in official statistics&gt;" </w:instrText>
                      </w: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DB4CC6" w:rsidRPr="0051110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t>Leaser, lessor</w:t>
                      </w:r>
                    </w:p>
                    <w:p w14:paraId="43A31C9F" w14:textId="7A93D896" w:rsidR="00AB6D25" w:rsidRPr="00DE1C7A" w:rsidRDefault="0051110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A0CEF" w14:textId="77777777" w:rsidR="004A527D" w:rsidRDefault="004A527D" w:rsidP="000662E2">
      <w:pPr>
        <w:spacing w:after="0" w:line="240" w:lineRule="auto"/>
      </w:pPr>
      <w:r>
        <w:separator/>
      </w:r>
    </w:p>
  </w:endnote>
  <w:endnote w:type="continuationSeparator" w:id="0">
    <w:p w14:paraId="40699454" w14:textId="77777777" w:rsidR="004A527D" w:rsidRDefault="004A527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076485"/>
      <w:docPartObj>
        <w:docPartGallery w:val="Page Numbers (Bottom of Page)"/>
        <w:docPartUnique/>
      </w:docPartObj>
    </w:sdtPr>
    <w:sdtEndPr/>
    <w:sdtContent>
      <w:p w14:paraId="24BF351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A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746B" w14:textId="77777777" w:rsidR="00EB556D" w:rsidRDefault="00EB556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89000A3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A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1238" w14:textId="77777777" w:rsidR="004A527D" w:rsidRDefault="004A527D" w:rsidP="000662E2">
      <w:pPr>
        <w:spacing w:after="0" w:line="240" w:lineRule="auto"/>
      </w:pPr>
      <w:r>
        <w:separator/>
      </w:r>
    </w:p>
  </w:footnote>
  <w:footnote w:type="continuationSeparator" w:id="0">
    <w:p w14:paraId="36F54374" w14:textId="77777777" w:rsidR="004A527D" w:rsidRDefault="004A527D" w:rsidP="000662E2">
      <w:pPr>
        <w:spacing w:after="0" w:line="240" w:lineRule="auto"/>
      </w:pPr>
      <w:r>
        <w:continuationSeparator/>
      </w:r>
    </w:p>
  </w:footnote>
  <w:footnote w:id="1">
    <w:p w14:paraId="3B9C5C67" w14:textId="470B0937" w:rsidR="006417EE" w:rsidRPr="001A7178" w:rsidRDefault="006417EE" w:rsidP="006417E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A4234">
        <w:rPr>
          <w:lang w:val="en-US"/>
        </w:rPr>
        <w:t xml:space="preserve"> </w:t>
      </w:r>
      <w:r w:rsidRPr="00D42388">
        <w:rPr>
          <w:sz w:val="19"/>
          <w:szCs w:val="19"/>
          <w:lang w:val="en-US"/>
        </w:rPr>
        <w:t xml:space="preserve">It is possible to link the financial situation with the company's operations only for entities for which </w:t>
      </w:r>
      <w:r w:rsidR="00EA7676">
        <w:rPr>
          <w:sz w:val="19"/>
          <w:szCs w:val="19"/>
          <w:lang w:val="en-US"/>
        </w:rPr>
        <w:t xml:space="preserve">leasing </w:t>
      </w:r>
      <w:r w:rsidRPr="00D42388">
        <w:rPr>
          <w:sz w:val="19"/>
          <w:szCs w:val="19"/>
          <w:lang w:val="en-US"/>
        </w:rPr>
        <w:t xml:space="preserve">activity </w:t>
      </w:r>
      <w:r w:rsidR="00EA7676">
        <w:rPr>
          <w:sz w:val="19"/>
          <w:szCs w:val="19"/>
          <w:lang w:val="en-US"/>
        </w:rPr>
        <w:t>is the only</w:t>
      </w:r>
      <w:r w:rsidRPr="00D42388">
        <w:rPr>
          <w:sz w:val="19"/>
          <w:szCs w:val="19"/>
          <w:lang w:val="en-US"/>
        </w:rPr>
        <w:t xml:space="preserve"> or dominant</w:t>
      </w:r>
      <w:r w:rsidR="000C6E21">
        <w:rPr>
          <w:sz w:val="19"/>
          <w:szCs w:val="19"/>
          <w:lang w:val="en-US"/>
        </w:rPr>
        <w:t xml:space="preserve"> and at the same time</w:t>
      </w:r>
      <w:r w:rsidRPr="00D42388">
        <w:rPr>
          <w:sz w:val="19"/>
          <w:szCs w:val="19"/>
          <w:lang w:val="en-US"/>
        </w:rPr>
        <w:t xml:space="preserve"> </w:t>
      </w:r>
      <w:r w:rsidR="000C6E21">
        <w:rPr>
          <w:sz w:val="19"/>
          <w:szCs w:val="19"/>
          <w:lang w:val="en-US"/>
        </w:rPr>
        <w:t>maintaining</w:t>
      </w:r>
      <w:r w:rsidRPr="00D42388">
        <w:rPr>
          <w:sz w:val="19"/>
          <w:szCs w:val="19"/>
          <w:lang w:val="en-US"/>
        </w:rPr>
        <w:t xml:space="preserve"> full accounting. The requirement for the surveyed enterprises to conduct full accounting results from the necessity to use uniform and comparable accounting categories for the purposes of the conducted analyzes.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BCBFB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C87E77" wp14:editId="78A8953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4E8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8D54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B39C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712DBA" wp14:editId="6EF435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9" name="Obraz 19" descr="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A8DBE3" wp14:editId="4E08538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CB783F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8DBE3" id="Schemat blokowy: opóźnienie 6" o:spid="_x0000_s1032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8CB783F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079477F" wp14:editId="37B8AAB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E2F8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35A653F2" w14:textId="77777777" w:rsidR="001C7430" w:rsidRDefault="001C7430">
    <w:pPr>
      <w:pStyle w:val="Nagwek"/>
      <w:rPr>
        <w:noProof/>
        <w:lang w:eastAsia="pl-PL"/>
      </w:rPr>
    </w:pPr>
  </w:p>
  <w:p w14:paraId="48EF3073" w14:textId="77777777" w:rsidR="001C7430" w:rsidRDefault="001C7430">
    <w:pPr>
      <w:pStyle w:val="Nagwek"/>
      <w:rPr>
        <w:noProof/>
        <w:lang w:eastAsia="pl-PL"/>
      </w:rPr>
    </w:pPr>
  </w:p>
  <w:p w14:paraId="1B2274D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27A885F" wp14:editId="4FC17FB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30.06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A2BBE" w14:textId="4503D71B" w:rsidR="00F37172" w:rsidRPr="00054E9E" w:rsidRDefault="00861BB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30</w:t>
                          </w:r>
                          <w:r w:rsidR="00A810F9"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F6D6B"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7688B"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A810F9"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24B9C"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Pr="00054E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A885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30.06.2025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" filled="f" stroked="f">
              <v:textbox>
                <w:txbxContent>
                  <w:p w14:paraId="4E1A2BBE" w14:textId="4503D71B" w:rsidR="00F37172" w:rsidRPr="00054E9E" w:rsidRDefault="00861BB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30</w:t>
                    </w:r>
                    <w:r w:rsidR="00A810F9"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F6D6B"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7688B"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A810F9"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24B9C"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Pr="00054E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98409" w14:textId="77777777" w:rsidR="00607CC5" w:rsidRDefault="00607CC5">
    <w:pPr>
      <w:pStyle w:val="Nagwek"/>
    </w:pPr>
  </w:p>
  <w:p w14:paraId="6C5B254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35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636"/>
    <w:rsid w:val="00001853"/>
    <w:rsid w:val="00001C5B"/>
    <w:rsid w:val="00003437"/>
    <w:rsid w:val="00004288"/>
    <w:rsid w:val="0000709F"/>
    <w:rsid w:val="00010812"/>
    <w:rsid w:val="000108B8"/>
    <w:rsid w:val="000152F5"/>
    <w:rsid w:val="000207A4"/>
    <w:rsid w:val="0004582E"/>
    <w:rsid w:val="000470AA"/>
    <w:rsid w:val="00054E9E"/>
    <w:rsid w:val="00054F19"/>
    <w:rsid w:val="00057CA1"/>
    <w:rsid w:val="00060C60"/>
    <w:rsid w:val="000636F4"/>
    <w:rsid w:val="00064439"/>
    <w:rsid w:val="000657E3"/>
    <w:rsid w:val="000662E2"/>
    <w:rsid w:val="00066883"/>
    <w:rsid w:val="000670DE"/>
    <w:rsid w:val="00074DD8"/>
    <w:rsid w:val="000806F7"/>
    <w:rsid w:val="00080863"/>
    <w:rsid w:val="0008514C"/>
    <w:rsid w:val="0009036F"/>
    <w:rsid w:val="00093C74"/>
    <w:rsid w:val="000A490C"/>
    <w:rsid w:val="000B0727"/>
    <w:rsid w:val="000C0DD6"/>
    <w:rsid w:val="000C135D"/>
    <w:rsid w:val="000C3F2E"/>
    <w:rsid w:val="000C4EE5"/>
    <w:rsid w:val="000C6E21"/>
    <w:rsid w:val="000D1D43"/>
    <w:rsid w:val="000D1EAB"/>
    <w:rsid w:val="000D225C"/>
    <w:rsid w:val="000D2A5C"/>
    <w:rsid w:val="000D4173"/>
    <w:rsid w:val="000E0918"/>
    <w:rsid w:val="000E0D90"/>
    <w:rsid w:val="000E42AF"/>
    <w:rsid w:val="000E59C6"/>
    <w:rsid w:val="000E7435"/>
    <w:rsid w:val="001011C3"/>
    <w:rsid w:val="00101666"/>
    <w:rsid w:val="00102137"/>
    <w:rsid w:val="00104EF2"/>
    <w:rsid w:val="00107AFD"/>
    <w:rsid w:val="00110D87"/>
    <w:rsid w:val="00111E05"/>
    <w:rsid w:val="001134C4"/>
    <w:rsid w:val="00114DB9"/>
    <w:rsid w:val="00116087"/>
    <w:rsid w:val="00121955"/>
    <w:rsid w:val="00130296"/>
    <w:rsid w:val="00135B14"/>
    <w:rsid w:val="00140CEE"/>
    <w:rsid w:val="001423B6"/>
    <w:rsid w:val="0014351A"/>
    <w:rsid w:val="001448A7"/>
    <w:rsid w:val="00146621"/>
    <w:rsid w:val="00155928"/>
    <w:rsid w:val="0016166A"/>
    <w:rsid w:val="00162325"/>
    <w:rsid w:val="00162E0C"/>
    <w:rsid w:val="00164C18"/>
    <w:rsid w:val="00171936"/>
    <w:rsid w:val="001852BB"/>
    <w:rsid w:val="00187D5B"/>
    <w:rsid w:val="00190BB4"/>
    <w:rsid w:val="00194CE6"/>
    <w:rsid w:val="001951DA"/>
    <w:rsid w:val="001A0E8A"/>
    <w:rsid w:val="001A16E7"/>
    <w:rsid w:val="001A2887"/>
    <w:rsid w:val="001A461B"/>
    <w:rsid w:val="001B28F3"/>
    <w:rsid w:val="001B50C1"/>
    <w:rsid w:val="001C3269"/>
    <w:rsid w:val="001C7430"/>
    <w:rsid w:val="001D1DB4"/>
    <w:rsid w:val="001D2736"/>
    <w:rsid w:val="001D30D5"/>
    <w:rsid w:val="001E673C"/>
    <w:rsid w:val="001F33C7"/>
    <w:rsid w:val="00202253"/>
    <w:rsid w:val="00206F64"/>
    <w:rsid w:val="00212618"/>
    <w:rsid w:val="002165F2"/>
    <w:rsid w:val="00217888"/>
    <w:rsid w:val="00220E66"/>
    <w:rsid w:val="0022163F"/>
    <w:rsid w:val="00223CE0"/>
    <w:rsid w:val="00225A4D"/>
    <w:rsid w:val="00230395"/>
    <w:rsid w:val="00232648"/>
    <w:rsid w:val="0025563A"/>
    <w:rsid w:val="002574F9"/>
    <w:rsid w:val="00260B69"/>
    <w:rsid w:val="002615FB"/>
    <w:rsid w:val="00262B61"/>
    <w:rsid w:val="00267794"/>
    <w:rsid w:val="00267C04"/>
    <w:rsid w:val="00267C47"/>
    <w:rsid w:val="0027344D"/>
    <w:rsid w:val="00276811"/>
    <w:rsid w:val="002774EF"/>
    <w:rsid w:val="002800E4"/>
    <w:rsid w:val="00282699"/>
    <w:rsid w:val="002926DF"/>
    <w:rsid w:val="0029463B"/>
    <w:rsid w:val="00296697"/>
    <w:rsid w:val="002A6113"/>
    <w:rsid w:val="002A71A5"/>
    <w:rsid w:val="002B0472"/>
    <w:rsid w:val="002B6B12"/>
    <w:rsid w:val="002C58F1"/>
    <w:rsid w:val="002D55D1"/>
    <w:rsid w:val="002D5D08"/>
    <w:rsid w:val="002E3BE8"/>
    <w:rsid w:val="002E4FA1"/>
    <w:rsid w:val="002E6140"/>
    <w:rsid w:val="002E6985"/>
    <w:rsid w:val="002E71B6"/>
    <w:rsid w:val="002F03F8"/>
    <w:rsid w:val="002F6B3B"/>
    <w:rsid w:val="002F77C8"/>
    <w:rsid w:val="00304F22"/>
    <w:rsid w:val="00306C7C"/>
    <w:rsid w:val="00311654"/>
    <w:rsid w:val="00322EDD"/>
    <w:rsid w:val="00325FAD"/>
    <w:rsid w:val="00326DEE"/>
    <w:rsid w:val="003311FE"/>
    <w:rsid w:val="00331527"/>
    <w:rsid w:val="00332320"/>
    <w:rsid w:val="00334E3A"/>
    <w:rsid w:val="00335C89"/>
    <w:rsid w:val="00337DE8"/>
    <w:rsid w:val="00340352"/>
    <w:rsid w:val="00345A97"/>
    <w:rsid w:val="00347D72"/>
    <w:rsid w:val="00350ECC"/>
    <w:rsid w:val="00354FCD"/>
    <w:rsid w:val="00357611"/>
    <w:rsid w:val="00362B2B"/>
    <w:rsid w:val="00362B97"/>
    <w:rsid w:val="00367237"/>
    <w:rsid w:val="00367C80"/>
    <w:rsid w:val="0037077F"/>
    <w:rsid w:val="00372411"/>
    <w:rsid w:val="00373882"/>
    <w:rsid w:val="00382849"/>
    <w:rsid w:val="003843DB"/>
    <w:rsid w:val="00391300"/>
    <w:rsid w:val="00393761"/>
    <w:rsid w:val="00397D18"/>
    <w:rsid w:val="003A1B36"/>
    <w:rsid w:val="003A2056"/>
    <w:rsid w:val="003A7A7A"/>
    <w:rsid w:val="003B1454"/>
    <w:rsid w:val="003B18B6"/>
    <w:rsid w:val="003C4415"/>
    <w:rsid w:val="003C59E0"/>
    <w:rsid w:val="003C6C8D"/>
    <w:rsid w:val="003D0D16"/>
    <w:rsid w:val="003D1714"/>
    <w:rsid w:val="003D4A87"/>
    <w:rsid w:val="003D4F95"/>
    <w:rsid w:val="003D5C6E"/>
    <w:rsid w:val="003D5F42"/>
    <w:rsid w:val="003D60A9"/>
    <w:rsid w:val="003D726C"/>
    <w:rsid w:val="003E1415"/>
    <w:rsid w:val="003E16C3"/>
    <w:rsid w:val="003F404E"/>
    <w:rsid w:val="003F470A"/>
    <w:rsid w:val="003F4C97"/>
    <w:rsid w:val="003F5BD9"/>
    <w:rsid w:val="003F5D02"/>
    <w:rsid w:val="003F7A34"/>
    <w:rsid w:val="003F7E94"/>
    <w:rsid w:val="003F7FE6"/>
    <w:rsid w:val="00400193"/>
    <w:rsid w:val="00400599"/>
    <w:rsid w:val="00404876"/>
    <w:rsid w:val="00413C70"/>
    <w:rsid w:val="00413C93"/>
    <w:rsid w:val="00414C01"/>
    <w:rsid w:val="00416172"/>
    <w:rsid w:val="00416761"/>
    <w:rsid w:val="00417939"/>
    <w:rsid w:val="004212E7"/>
    <w:rsid w:val="004240A6"/>
    <w:rsid w:val="0042446D"/>
    <w:rsid w:val="00427BF8"/>
    <w:rsid w:val="0043055A"/>
    <w:rsid w:val="004305F8"/>
    <w:rsid w:val="00431C02"/>
    <w:rsid w:val="00437395"/>
    <w:rsid w:val="00445047"/>
    <w:rsid w:val="004474A1"/>
    <w:rsid w:val="00451A79"/>
    <w:rsid w:val="00452ECD"/>
    <w:rsid w:val="004536DD"/>
    <w:rsid w:val="00461BAF"/>
    <w:rsid w:val="00463E39"/>
    <w:rsid w:val="004654AC"/>
    <w:rsid w:val="004657FC"/>
    <w:rsid w:val="00466D03"/>
    <w:rsid w:val="004733F6"/>
    <w:rsid w:val="00474E69"/>
    <w:rsid w:val="0048389F"/>
    <w:rsid w:val="0049621B"/>
    <w:rsid w:val="004A0BAD"/>
    <w:rsid w:val="004A4833"/>
    <w:rsid w:val="004A527D"/>
    <w:rsid w:val="004B0321"/>
    <w:rsid w:val="004B1527"/>
    <w:rsid w:val="004B381A"/>
    <w:rsid w:val="004C1895"/>
    <w:rsid w:val="004C6D40"/>
    <w:rsid w:val="004D0C49"/>
    <w:rsid w:val="004E195B"/>
    <w:rsid w:val="004E3D3D"/>
    <w:rsid w:val="004E4FE8"/>
    <w:rsid w:val="004F0C3C"/>
    <w:rsid w:val="004F2E7C"/>
    <w:rsid w:val="004F63FC"/>
    <w:rsid w:val="004F760D"/>
    <w:rsid w:val="00505A92"/>
    <w:rsid w:val="0051110E"/>
    <w:rsid w:val="005134BB"/>
    <w:rsid w:val="0051613D"/>
    <w:rsid w:val="00516C4C"/>
    <w:rsid w:val="005203F1"/>
    <w:rsid w:val="00521BC3"/>
    <w:rsid w:val="00524721"/>
    <w:rsid w:val="00530BAD"/>
    <w:rsid w:val="00531743"/>
    <w:rsid w:val="00533632"/>
    <w:rsid w:val="00537AB3"/>
    <w:rsid w:val="00541E6E"/>
    <w:rsid w:val="0054251F"/>
    <w:rsid w:val="005508B0"/>
    <w:rsid w:val="005520D8"/>
    <w:rsid w:val="00553861"/>
    <w:rsid w:val="00553E19"/>
    <w:rsid w:val="00556CF1"/>
    <w:rsid w:val="0055716A"/>
    <w:rsid w:val="00566E1F"/>
    <w:rsid w:val="0057270A"/>
    <w:rsid w:val="005762A7"/>
    <w:rsid w:val="005823E7"/>
    <w:rsid w:val="005916D7"/>
    <w:rsid w:val="005922C7"/>
    <w:rsid w:val="005A698C"/>
    <w:rsid w:val="005A74EC"/>
    <w:rsid w:val="005B0D19"/>
    <w:rsid w:val="005C1E18"/>
    <w:rsid w:val="005C533C"/>
    <w:rsid w:val="005C6631"/>
    <w:rsid w:val="005D1CF2"/>
    <w:rsid w:val="005D66CB"/>
    <w:rsid w:val="005E0799"/>
    <w:rsid w:val="005E14C2"/>
    <w:rsid w:val="005E1A13"/>
    <w:rsid w:val="005E537C"/>
    <w:rsid w:val="005F092C"/>
    <w:rsid w:val="005F0BEC"/>
    <w:rsid w:val="005F21D7"/>
    <w:rsid w:val="005F5A80"/>
    <w:rsid w:val="005F7252"/>
    <w:rsid w:val="006044FF"/>
    <w:rsid w:val="00607CC5"/>
    <w:rsid w:val="00617934"/>
    <w:rsid w:val="00617F6A"/>
    <w:rsid w:val="00626B73"/>
    <w:rsid w:val="00633014"/>
    <w:rsid w:val="0063437B"/>
    <w:rsid w:val="00636166"/>
    <w:rsid w:val="00641461"/>
    <w:rsid w:val="006417EE"/>
    <w:rsid w:val="00641C79"/>
    <w:rsid w:val="0065657F"/>
    <w:rsid w:val="00656D6D"/>
    <w:rsid w:val="006573B8"/>
    <w:rsid w:val="00660E51"/>
    <w:rsid w:val="0066331A"/>
    <w:rsid w:val="00663999"/>
    <w:rsid w:val="006673CA"/>
    <w:rsid w:val="00673C26"/>
    <w:rsid w:val="006812AF"/>
    <w:rsid w:val="0068327D"/>
    <w:rsid w:val="00684073"/>
    <w:rsid w:val="006932CF"/>
    <w:rsid w:val="00694AF0"/>
    <w:rsid w:val="006A0213"/>
    <w:rsid w:val="006A4686"/>
    <w:rsid w:val="006A737B"/>
    <w:rsid w:val="006B0E9E"/>
    <w:rsid w:val="006B0F42"/>
    <w:rsid w:val="006B1AD5"/>
    <w:rsid w:val="006B3BED"/>
    <w:rsid w:val="006B5AE4"/>
    <w:rsid w:val="006C08B1"/>
    <w:rsid w:val="006C1E94"/>
    <w:rsid w:val="006D1507"/>
    <w:rsid w:val="006D3ED3"/>
    <w:rsid w:val="006D4054"/>
    <w:rsid w:val="006E02EC"/>
    <w:rsid w:val="006F3422"/>
    <w:rsid w:val="006F6D6B"/>
    <w:rsid w:val="00703D68"/>
    <w:rsid w:val="00711EEC"/>
    <w:rsid w:val="007143D4"/>
    <w:rsid w:val="007211B1"/>
    <w:rsid w:val="00724B9C"/>
    <w:rsid w:val="007261F3"/>
    <w:rsid w:val="00731A49"/>
    <w:rsid w:val="0073223E"/>
    <w:rsid w:val="00733213"/>
    <w:rsid w:val="00741F80"/>
    <w:rsid w:val="00746187"/>
    <w:rsid w:val="00753967"/>
    <w:rsid w:val="007542CB"/>
    <w:rsid w:val="00754F45"/>
    <w:rsid w:val="0076254F"/>
    <w:rsid w:val="00765B99"/>
    <w:rsid w:val="00770EF8"/>
    <w:rsid w:val="007801F5"/>
    <w:rsid w:val="0078079B"/>
    <w:rsid w:val="00783CA4"/>
    <w:rsid w:val="00783D53"/>
    <w:rsid w:val="007842FB"/>
    <w:rsid w:val="00785F40"/>
    <w:rsid w:val="00786124"/>
    <w:rsid w:val="00790A98"/>
    <w:rsid w:val="0079514B"/>
    <w:rsid w:val="007A2DC1"/>
    <w:rsid w:val="007B4E15"/>
    <w:rsid w:val="007B5C17"/>
    <w:rsid w:val="007C330C"/>
    <w:rsid w:val="007D3319"/>
    <w:rsid w:val="007D335D"/>
    <w:rsid w:val="007D519E"/>
    <w:rsid w:val="007D63AA"/>
    <w:rsid w:val="007E3314"/>
    <w:rsid w:val="007E4B03"/>
    <w:rsid w:val="007F116C"/>
    <w:rsid w:val="007F25BE"/>
    <w:rsid w:val="007F324B"/>
    <w:rsid w:val="0080553C"/>
    <w:rsid w:val="00805B46"/>
    <w:rsid w:val="00805E6E"/>
    <w:rsid w:val="00805F1C"/>
    <w:rsid w:val="00811AAA"/>
    <w:rsid w:val="008134E4"/>
    <w:rsid w:val="00813BF9"/>
    <w:rsid w:val="00825DC2"/>
    <w:rsid w:val="0083461C"/>
    <w:rsid w:val="00834AD3"/>
    <w:rsid w:val="00834DF5"/>
    <w:rsid w:val="00843795"/>
    <w:rsid w:val="00844D14"/>
    <w:rsid w:val="00847F0F"/>
    <w:rsid w:val="00852448"/>
    <w:rsid w:val="008563A7"/>
    <w:rsid w:val="008565F7"/>
    <w:rsid w:val="00861BB2"/>
    <w:rsid w:val="0086760D"/>
    <w:rsid w:val="0088258A"/>
    <w:rsid w:val="00886332"/>
    <w:rsid w:val="00886A7D"/>
    <w:rsid w:val="008946F6"/>
    <w:rsid w:val="00894DFD"/>
    <w:rsid w:val="00895293"/>
    <w:rsid w:val="00895FF8"/>
    <w:rsid w:val="008A14B2"/>
    <w:rsid w:val="008A26D9"/>
    <w:rsid w:val="008A28F3"/>
    <w:rsid w:val="008A7B88"/>
    <w:rsid w:val="008B001E"/>
    <w:rsid w:val="008B3B02"/>
    <w:rsid w:val="008B72F4"/>
    <w:rsid w:val="008C0C29"/>
    <w:rsid w:val="008C6585"/>
    <w:rsid w:val="008D3EF0"/>
    <w:rsid w:val="008E2CF7"/>
    <w:rsid w:val="008E4ECB"/>
    <w:rsid w:val="008F1813"/>
    <w:rsid w:val="008F3638"/>
    <w:rsid w:val="008F4441"/>
    <w:rsid w:val="008F6F31"/>
    <w:rsid w:val="008F74DF"/>
    <w:rsid w:val="009127BA"/>
    <w:rsid w:val="00915AA6"/>
    <w:rsid w:val="00921967"/>
    <w:rsid w:val="009227A6"/>
    <w:rsid w:val="00922975"/>
    <w:rsid w:val="00923638"/>
    <w:rsid w:val="00923E82"/>
    <w:rsid w:val="009242B8"/>
    <w:rsid w:val="00924E2E"/>
    <w:rsid w:val="0093067A"/>
    <w:rsid w:val="00931D91"/>
    <w:rsid w:val="00933EC1"/>
    <w:rsid w:val="009369C0"/>
    <w:rsid w:val="00937BAC"/>
    <w:rsid w:val="00942BA2"/>
    <w:rsid w:val="00945B66"/>
    <w:rsid w:val="00950BB3"/>
    <w:rsid w:val="00950D8E"/>
    <w:rsid w:val="009530DB"/>
    <w:rsid w:val="00953676"/>
    <w:rsid w:val="0095414A"/>
    <w:rsid w:val="0095512A"/>
    <w:rsid w:val="0096792E"/>
    <w:rsid w:val="009705EE"/>
    <w:rsid w:val="009719D7"/>
    <w:rsid w:val="00974637"/>
    <w:rsid w:val="00977927"/>
    <w:rsid w:val="0098135C"/>
    <w:rsid w:val="0098156A"/>
    <w:rsid w:val="00981CF7"/>
    <w:rsid w:val="00983CD2"/>
    <w:rsid w:val="00984B07"/>
    <w:rsid w:val="00985CF5"/>
    <w:rsid w:val="009912AB"/>
    <w:rsid w:val="00991BAC"/>
    <w:rsid w:val="009A5961"/>
    <w:rsid w:val="009A6EA0"/>
    <w:rsid w:val="009C1335"/>
    <w:rsid w:val="009C1AB2"/>
    <w:rsid w:val="009C4F7C"/>
    <w:rsid w:val="009C7251"/>
    <w:rsid w:val="009D7B4D"/>
    <w:rsid w:val="009E0985"/>
    <w:rsid w:val="009E2E91"/>
    <w:rsid w:val="009E5A64"/>
    <w:rsid w:val="009E759A"/>
    <w:rsid w:val="009F1CFC"/>
    <w:rsid w:val="009F1FCE"/>
    <w:rsid w:val="00A10B6E"/>
    <w:rsid w:val="00A139F5"/>
    <w:rsid w:val="00A15F16"/>
    <w:rsid w:val="00A23CC9"/>
    <w:rsid w:val="00A24587"/>
    <w:rsid w:val="00A30006"/>
    <w:rsid w:val="00A365F4"/>
    <w:rsid w:val="00A36D58"/>
    <w:rsid w:val="00A37DBC"/>
    <w:rsid w:val="00A458FB"/>
    <w:rsid w:val="00A47D80"/>
    <w:rsid w:val="00A53132"/>
    <w:rsid w:val="00A563F2"/>
    <w:rsid w:val="00A566E8"/>
    <w:rsid w:val="00A61128"/>
    <w:rsid w:val="00A66005"/>
    <w:rsid w:val="00A67511"/>
    <w:rsid w:val="00A810F9"/>
    <w:rsid w:val="00A85FA7"/>
    <w:rsid w:val="00A86ECC"/>
    <w:rsid w:val="00A86FCC"/>
    <w:rsid w:val="00A94074"/>
    <w:rsid w:val="00AA710D"/>
    <w:rsid w:val="00AA7230"/>
    <w:rsid w:val="00AB14A0"/>
    <w:rsid w:val="00AB5DFF"/>
    <w:rsid w:val="00AB6D25"/>
    <w:rsid w:val="00AC3FCE"/>
    <w:rsid w:val="00AC46C6"/>
    <w:rsid w:val="00AD40D1"/>
    <w:rsid w:val="00AD4349"/>
    <w:rsid w:val="00AD54AF"/>
    <w:rsid w:val="00AD78FF"/>
    <w:rsid w:val="00AE1423"/>
    <w:rsid w:val="00AE2D4B"/>
    <w:rsid w:val="00AE4F99"/>
    <w:rsid w:val="00AE59BC"/>
    <w:rsid w:val="00B032F3"/>
    <w:rsid w:val="00B04B80"/>
    <w:rsid w:val="00B12859"/>
    <w:rsid w:val="00B1321E"/>
    <w:rsid w:val="00B147CB"/>
    <w:rsid w:val="00B14952"/>
    <w:rsid w:val="00B2764F"/>
    <w:rsid w:val="00B30ABB"/>
    <w:rsid w:val="00B31E5A"/>
    <w:rsid w:val="00B34EB8"/>
    <w:rsid w:val="00B4105F"/>
    <w:rsid w:val="00B42C72"/>
    <w:rsid w:val="00B521D5"/>
    <w:rsid w:val="00B653AB"/>
    <w:rsid w:val="00B65F9E"/>
    <w:rsid w:val="00B66B19"/>
    <w:rsid w:val="00B72F9E"/>
    <w:rsid w:val="00B73F22"/>
    <w:rsid w:val="00B82146"/>
    <w:rsid w:val="00B914E9"/>
    <w:rsid w:val="00B91519"/>
    <w:rsid w:val="00B91F70"/>
    <w:rsid w:val="00B956EE"/>
    <w:rsid w:val="00BA1B15"/>
    <w:rsid w:val="00BA2BA1"/>
    <w:rsid w:val="00BA6F4C"/>
    <w:rsid w:val="00BB1508"/>
    <w:rsid w:val="00BB2A7A"/>
    <w:rsid w:val="00BB4174"/>
    <w:rsid w:val="00BB4F09"/>
    <w:rsid w:val="00BB6A91"/>
    <w:rsid w:val="00BB72CB"/>
    <w:rsid w:val="00BB738D"/>
    <w:rsid w:val="00BC2765"/>
    <w:rsid w:val="00BC39B4"/>
    <w:rsid w:val="00BD2D71"/>
    <w:rsid w:val="00BD4303"/>
    <w:rsid w:val="00BD4E33"/>
    <w:rsid w:val="00BD60DA"/>
    <w:rsid w:val="00BD6890"/>
    <w:rsid w:val="00BD6BA6"/>
    <w:rsid w:val="00BD73E4"/>
    <w:rsid w:val="00BE13B8"/>
    <w:rsid w:val="00BE5887"/>
    <w:rsid w:val="00BF53A8"/>
    <w:rsid w:val="00BF5CDB"/>
    <w:rsid w:val="00C030DE"/>
    <w:rsid w:val="00C034BC"/>
    <w:rsid w:val="00C05E39"/>
    <w:rsid w:val="00C06732"/>
    <w:rsid w:val="00C13765"/>
    <w:rsid w:val="00C22105"/>
    <w:rsid w:val="00C244B6"/>
    <w:rsid w:val="00C3702F"/>
    <w:rsid w:val="00C42943"/>
    <w:rsid w:val="00C4342B"/>
    <w:rsid w:val="00C443E1"/>
    <w:rsid w:val="00C47003"/>
    <w:rsid w:val="00C502EA"/>
    <w:rsid w:val="00C57628"/>
    <w:rsid w:val="00C57A0F"/>
    <w:rsid w:val="00C64A37"/>
    <w:rsid w:val="00C71415"/>
    <w:rsid w:val="00C7158E"/>
    <w:rsid w:val="00C71E0A"/>
    <w:rsid w:val="00C7250B"/>
    <w:rsid w:val="00C7346B"/>
    <w:rsid w:val="00C76A59"/>
    <w:rsid w:val="00C77C0E"/>
    <w:rsid w:val="00C857EB"/>
    <w:rsid w:val="00C91687"/>
    <w:rsid w:val="00C9209D"/>
    <w:rsid w:val="00C924A8"/>
    <w:rsid w:val="00C945FE"/>
    <w:rsid w:val="00C96FAA"/>
    <w:rsid w:val="00C97A04"/>
    <w:rsid w:val="00CA107B"/>
    <w:rsid w:val="00CA2132"/>
    <w:rsid w:val="00CA484D"/>
    <w:rsid w:val="00CA4FB6"/>
    <w:rsid w:val="00CB41A7"/>
    <w:rsid w:val="00CB5B23"/>
    <w:rsid w:val="00CC1A44"/>
    <w:rsid w:val="00CC739E"/>
    <w:rsid w:val="00CD171E"/>
    <w:rsid w:val="00CD58B7"/>
    <w:rsid w:val="00CF4099"/>
    <w:rsid w:val="00CF4A4D"/>
    <w:rsid w:val="00D00796"/>
    <w:rsid w:val="00D0492E"/>
    <w:rsid w:val="00D07EEA"/>
    <w:rsid w:val="00D14414"/>
    <w:rsid w:val="00D1476D"/>
    <w:rsid w:val="00D261A2"/>
    <w:rsid w:val="00D2627A"/>
    <w:rsid w:val="00D276F9"/>
    <w:rsid w:val="00D30555"/>
    <w:rsid w:val="00D33CF4"/>
    <w:rsid w:val="00D4156C"/>
    <w:rsid w:val="00D425EA"/>
    <w:rsid w:val="00D50206"/>
    <w:rsid w:val="00D5107C"/>
    <w:rsid w:val="00D529F1"/>
    <w:rsid w:val="00D54261"/>
    <w:rsid w:val="00D55758"/>
    <w:rsid w:val="00D557C7"/>
    <w:rsid w:val="00D616D2"/>
    <w:rsid w:val="00D63B5F"/>
    <w:rsid w:val="00D63F2B"/>
    <w:rsid w:val="00D64203"/>
    <w:rsid w:val="00D64BB6"/>
    <w:rsid w:val="00D70EF7"/>
    <w:rsid w:val="00D76673"/>
    <w:rsid w:val="00D769F0"/>
    <w:rsid w:val="00D77E2A"/>
    <w:rsid w:val="00D806CE"/>
    <w:rsid w:val="00D8363D"/>
    <w:rsid w:val="00D8397C"/>
    <w:rsid w:val="00D85984"/>
    <w:rsid w:val="00D90864"/>
    <w:rsid w:val="00D931B8"/>
    <w:rsid w:val="00D94EED"/>
    <w:rsid w:val="00D96026"/>
    <w:rsid w:val="00DA4463"/>
    <w:rsid w:val="00DA7C1C"/>
    <w:rsid w:val="00DB0754"/>
    <w:rsid w:val="00DB147A"/>
    <w:rsid w:val="00DB1B7A"/>
    <w:rsid w:val="00DB2D41"/>
    <w:rsid w:val="00DB4CC6"/>
    <w:rsid w:val="00DC02DB"/>
    <w:rsid w:val="00DC6708"/>
    <w:rsid w:val="00DC7CA9"/>
    <w:rsid w:val="00DD4260"/>
    <w:rsid w:val="00DE1C7A"/>
    <w:rsid w:val="00DE2064"/>
    <w:rsid w:val="00DE4F00"/>
    <w:rsid w:val="00DF16A6"/>
    <w:rsid w:val="00DF3BB0"/>
    <w:rsid w:val="00E0090C"/>
    <w:rsid w:val="00E01436"/>
    <w:rsid w:val="00E030DD"/>
    <w:rsid w:val="00E045BD"/>
    <w:rsid w:val="00E107FB"/>
    <w:rsid w:val="00E17B77"/>
    <w:rsid w:val="00E21891"/>
    <w:rsid w:val="00E23177"/>
    <w:rsid w:val="00E23337"/>
    <w:rsid w:val="00E259EA"/>
    <w:rsid w:val="00E31ACC"/>
    <w:rsid w:val="00E32061"/>
    <w:rsid w:val="00E341FB"/>
    <w:rsid w:val="00E3783E"/>
    <w:rsid w:val="00E42923"/>
    <w:rsid w:val="00E42FF9"/>
    <w:rsid w:val="00E440CC"/>
    <w:rsid w:val="00E4714C"/>
    <w:rsid w:val="00E51AEB"/>
    <w:rsid w:val="00E522A7"/>
    <w:rsid w:val="00E54452"/>
    <w:rsid w:val="00E56D21"/>
    <w:rsid w:val="00E57D05"/>
    <w:rsid w:val="00E65B6E"/>
    <w:rsid w:val="00E664C5"/>
    <w:rsid w:val="00E671A2"/>
    <w:rsid w:val="00E73765"/>
    <w:rsid w:val="00E76D26"/>
    <w:rsid w:val="00E8318E"/>
    <w:rsid w:val="00E84408"/>
    <w:rsid w:val="00E973A9"/>
    <w:rsid w:val="00E97A00"/>
    <w:rsid w:val="00EA7676"/>
    <w:rsid w:val="00EB1390"/>
    <w:rsid w:val="00EB2C71"/>
    <w:rsid w:val="00EB4340"/>
    <w:rsid w:val="00EB4C27"/>
    <w:rsid w:val="00EB556D"/>
    <w:rsid w:val="00EB5A7D"/>
    <w:rsid w:val="00EB6F31"/>
    <w:rsid w:val="00ED0384"/>
    <w:rsid w:val="00ED42CA"/>
    <w:rsid w:val="00ED55C0"/>
    <w:rsid w:val="00ED682B"/>
    <w:rsid w:val="00ED6C96"/>
    <w:rsid w:val="00EE144A"/>
    <w:rsid w:val="00EE1DCA"/>
    <w:rsid w:val="00EE1F58"/>
    <w:rsid w:val="00EE41D5"/>
    <w:rsid w:val="00EE76E6"/>
    <w:rsid w:val="00EF57AB"/>
    <w:rsid w:val="00F037A4"/>
    <w:rsid w:val="00F05B0E"/>
    <w:rsid w:val="00F06B26"/>
    <w:rsid w:val="00F07C01"/>
    <w:rsid w:val="00F13817"/>
    <w:rsid w:val="00F21F8D"/>
    <w:rsid w:val="00F240E5"/>
    <w:rsid w:val="00F27C8F"/>
    <w:rsid w:val="00F32749"/>
    <w:rsid w:val="00F37172"/>
    <w:rsid w:val="00F416C8"/>
    <w:rsid w:val="00F418D1"/>
    <w:rsid w:val="00F4477E"/>
    <w:rsid w:val="00F47038"/>
    <w:rsid w:val="00F47563"/>
    <w:rsid w:val="00F670E8"/>
    <w:rsid w:val="00F67D8F"/>
    <w:rsid w:val="00F70FDF"/>
    <w:rsid w:val="00F7688B"/>
    <w:rsid w:val="00F802BE"/>
    <w:rsid w:val="00F8083A"/>
    <w:rsid w:val="00F84C10"/>
    <w:rsid w:val="00F85591"/>
    <w:rsid w:val="00F86024"/>
    <w:rsid w:val="00F8611A"/>
    <w:rsid w:val="00F862C2"/>
    <w:rsid w:val="00F9315E"/>
    <w:rsid w:val="00F94CCA"/>
    <w:rsid w:val="00FA4729"/>
    <w:rsid w:val="00FA5128"/>
    <w:rsid w:val="00FA5405"/>
    <w:rsid w:val="00FB021D"/>
    <w:rsid w:val="00FB2B68"/>
    <w:rsid w:val="00FB42D4"/>
    <w:rsid w:val="00FB4D78"/>
    <w:rsid w:val="00FB5906"/>
    <w:rsid w:val="00FB762F"/>
    <w:rsid w:val="00FC040D"/>
    <w:rsid w:val="00FC2AED"/>
    <w:rsid w:val="00FC3927"/>
    <w:rsid w:val="00FC553B"/>
    <w:rsid w:val="00FD4C0A"/>
    <w:rsid w:val="00FD5EA7"/>
    <w:rsid w:val="00FD670D"/>
    <w:rsid w:val="00FE7252"/>
    <w:rsid w:val="00FF39A0"/>
    <w:rsid w:val="00FF4670"/>
    <w:rsid w:val="00FF4DA4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BF896"/>
  <w15:docId w15:val="{A612F8E5-928E-4044-A28A-06EA27B4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0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w">
    <w:name w:val="hw"/>
    <w:basedOn w:val="Domylnaczcionkaakapitu"/>
    <w:rsid w:val="005823E7"/>
  </w:style>
  <w:style w:type="character" w:styleId="UyteHipercze">
    <w:name w:val="FollowedHyperlink"/>
    <w:basedOn w:val="Domylnaczcionkaakapitu"/>
    <w:uiPriority w:val="99"/>
    <w:semiHidden/>
    <w:unhideWhenUsed/>
    <w:rsid w:val="00DE1C7A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17193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17193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7193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17193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17193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171936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BA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63B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experimental-statistics/economy-entrepreneurship-public-finance/macroeconomic-situation-in-poland-in-the-context-of-the-world-economic-processes-in-2023,1,13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topics/economic-activities-finances/financial-results/specialized-financial-market-segments-in-2023,5,8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metainformation/glossary/terms-used-in-official-statistics/174,term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en/experimental-statistics/economy-entrepreneurship-public-finance/macroeconomic-situation-in-poland-in-the-context-of-the-world-economic-processes-in-2023,1,13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topics/economic-activities-finances/financial-results/specialized-financial-market-segments-in-2023,5,8.html" TargetMode="External"/><Relationship Id="rId27" Type="http://schemas.openxmlformats.org/officeDocument/2006/relationships/hyperlink" Target="https://stat.gov.pl/en/metainformation/glossary/terms-used-in-official-statistics/174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1E9983FF-DC4B-4F4E-A072-0441E2B88E6D" xsi:nil="true"/>
    <Osoba xmlns="1E9983FF-DC4B-4F4E-A072-0441E2B88E6D">STAT\SZLESINGERK1</Osoba>
    <NazwaPliku xmlns="1E9983FF-DC4B-4F4E-A072-0441E2B88E6D">Activity of leasing companies in 2023. News release in DOCX format.docx.docx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BAB6-5F41-42A6-ABC0-F18899749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885C9A6C-EFFD-41AB-B98F-F0F13FC8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F899C-AD13-4876-811D-6C804BB9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832</Words>
  <Characters>4995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Activity of leasing companies in 2024. News release in DOCX format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2025-06-26T09:43:00Z</cp:lastPrinted>
  <dcterms:created xsi:type="dcterms:W3CDTF">2025-04-30T10:01:00Z</dcterms:created>
  <dcterms:modified xsi:type="dcterms:W3CDTF">2025-06-26T10:53:00Z</dcterms:modified>
</cp:coreProperties>
</file>