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E5220" w14:textId="238E0990" w:rsidR="00E31B21" w:rsidRPr="00EF5837" w:rsidRDefault="00BE16FB" w:rsidP="001F2A4B">
      <w:pPr>
        <w:pStyle w:val="Tytuinfomacjisygnalnej"/>
        <w:spacing w:after="360"/>
        <w:rPr>
          <w:szCs w:val="40"/>
          <w:lang w:val="en-US"/>
        </w:rPr>
      </w:pPr>
      <w:r w:rsidRPr="00EF5837">
        <w:rPr>
          <w:szCs w:val="40"/>
          <w:lang w:val="en-US"/>
        </w:rPr>
        <w:t xml:space="preserve">Financial results of non-financial enterprises </w:t>
      </w:r>
      <w:r w:rsidR="00292307">
        <w:rPr>
          <w:szCs w:val="40"/>
          <w:lang w:val="en-US"/>
        </w:rPr>
        <w:br/>
      </w:r>
      <w:r w:rsidRPr="00EF5837">
        <w:rPr>
          <w:szCs w:val="40"/>
          <w:lang w:val="en-US"/>
        </w:rPr>
        <w:t>in</w:t>
      </w:r>
      <w:r w:rsidR="00305BF9">
        <w:rPr>
          <w:szCs w:val="40"/>
          <w:lang w:val="en-US"/>
        </w:rPr>
        <w:t xml:space="preserve"> </w:t>
      </w:r>
      <w:r w:rsidR="002A1BCC">
        <w:rPr>
          <w:szCs w:val="40"/>
          <w:lang w:val="en-US"/>
        </w:rPr>
        <w:t>202</w:t>
      </w:r>
      <w:r w:rsidR="003D3E45">
        <w:rPr>
          <w:szCs w:val="40"/>
          <w:lang w:val="en-US"/>
        </w:rPr>
        <w:t>5</w:t>
      </w:r>
    </w:p>
    <w:p w14:paraId="77C1A45C" w14:textId="0992BED7" w:rsidR="00E31B21" w:rsidRPr="008576F7" w:rsidRDefault="00731D27" w:rsidP="00395F56">
      <w:pPr>
        <w:pStyle w:val="Lead"/>
        <w:rPr>
          <w:lang w:val="en-US"/>
        </w:rPr>
      </w:pPr>
      <w:r w:rsidRPr="008576F7">
        <w:rPr>
          <w:color w:val="001D77"/>
        </w:rPr>
        <mc:AlternateContent>
          <mc:Choice Requires="wps">
            <w:drawing>
              <wp:anchor distT="45720" distB="45720" distL="114300" distR="114300" simplePos="0" relativeHeight="251738112" behindDoc="0" locked="0" layoutInCell="1" allowOverlap="1" wp14:anchorId="361A877B" wp14:editId="1B5C8E5E">
                <wp:simplePos x="0" y="0"/>
                <wp:positionH relativeFrom="margin">
                  <wp:align>left</wp:align>
                </wp:positionH>
                <wp:positionV relativeFrom="paragraph">
                  <wp:posOffset>7620</wp:posOffset>
                </wp:positionV>
                <wp:extent cx="2257425" cy="1009650"/>
                <wp:effectExtent l="0" t="0" r="9525" b="0"/>
                <wp:wrapSquare wrapText="bothSides"/>
                <wp:docPr id="6" name="Pole tekstowe 2" descr="2.9%&#10;Increase in total revenues y/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09816"/>
                        </a:xfrm>
                        <a:prstGeom prst="roundRect">
                          <a:avLst/>
                        </a:prstGeom>
                        <a:solidFill>
                          <a:srgbClr val="001D77"/>
                        </a:solidFill>
                        <a:ln w="9525">
                          <a:noFill/>
                          <a:miter lim="800000"/>
                          <a:headEnd/>
                          <a:tailEnd/>
                        </a:ln>
                      </wps:spPr>
                      <wps:txbx>
                        <w:txbxContent>
                          <w:p w14:paraId="536E5BD3" w14:textId="5C423DAF" w:rsidR="00D07B6E" w:rsidRPr="003D3E45" w:rsidRDefault="00D07B6E" w:rsidP="00CB6AD4">
                            <w:pPr>
                              <w:autoSpaceDE w:val="0"/>
                              <w:autoSpaceDN w:val="0"/>
                              <w:adjustRightInd w:val="0"/>
                              <w:spacing w:before="0" w:after="0" w:line="240" w:lineRule="auto"/>
                              <w:rPr>
                                <w:rFonts w:ascii="Fira Sans SemiBold" w:hAnsi="Fira Sans SemiBold"/>
                                <w:color w:val="FF0000"/>
                                <w:sz w:val="60"/>
                                <w:szCs w:val="60"/>
                                <w:lang w:val="en-US"/>
                              </w:rPr>
                            </w:pPr>
                            <w:r w:rsidRPr="004B4292">
                              <w:rPr>
                                <w:rStyle w:val="IkonawskanikaZnak"/>
                                <w:sz w:val="76"/>
                                <w:szCs w:val="76"/>
                              </w:rPr>
                              <w:sym w:font="Wingdings" w:char="F0F1"/>
                            </w:r>
                            <w:r w:rsidRPr="00A27E41">
                              <w:rPr>
                                <w:rStyle w:val="IkonawskanikaZnak"/>
                                <w:sz w:val="76"/>
                                <w:szCs w:val="76"/>
                                <w:lang w:val="en-GB"/>
                              </w:rPr>
                              <w:t xml:space="preserve"> </w:t>
                            </w:r>
                            <w:r w:rsidR="00402418">
                              <w:rPr>
                                <w:rStyle w:val="WartowskanikaZnak"/>
                                <w:sz w:val="72"/>
                                <w:szCs w:val="72"/>
                                <w:lang w:val="en-US"/>
                              </w:rPr>
                              <w:t>2</w:t>
                            </w:r>
                            <w:r w:rsidRPr="00F72F94">
                              <w:rPr>
                                <w:rStyle w:val="WartowskanikaZnak"/>
                                <w:sz w:val="72"/>
                                <w:szCs w:val="72"/>
                                <w:lang w:val="en-US"/>
                              </w:rPr>
                              <w:t>.</w:t>
                            </w:r>
                            <w:r w:rsidR="00E924C6">
                              <w:rPr>
                                <w:rStyle w:val="WartowskanikaZnak"/>
                                <w:sz w:val="72"/>
                                <w:szCs w:val="72"/>
                                <w:lang w:val="en-US"/>
                              </w:rPr>
                              <w:t>9</w:t>
                            </w:r>
                            <w:r w:rsidRPr="00F72F94">
                              <w:rPr>
                                <w:rStyle w:val="WartowskanikaZnak"/>
                                <w:sz w:val="72"/>
                                <w:szCs w:val="72"/>
                                <w:lang w:val="en-US"/>
                              </w:rPr>
                              <w:t>%</w:t>
                            </w:r>
                          </w:p>
                          <w:p w14:paraId="4BC59368" w14:textId="6B54A0D6" w:rsidR="00D07B6E" w:rsidRPr="00F72F94" w:rsidRDefault="00D07B6E" w:rsidP="00583DE8">
                            <w:pPr>
                              <w:pStyle w:val="Opiswskanika"/>
                              <w:spacing w:before="120"/>
                              <w:rPr>
                                <w:lang w:val="en-US"/>
                              </w:rPr>
                            </w:pPr>
                            <w:r>
                              <w:rPr>
                                <w:lang w:val="en-US"/>
                              </w:rPr>
                              <w:t>Increase</w:t>
                            </w:r>
                            <w:r w:rsidRPr="00F72F94">
                              <w:rPr>
                                <w:lang w:val="en-US"/>
                              </w:rPr>
                              <w:t xml:space="preserve"> in </w:t>
                            </w:r>
                            <w:r w:rsidR="00402418">
                              <w:rPr>
                                <w:lang w:val="en-US"/>
                              </w:rPr>
                              <w:t>total revenues</w:t>
                            </w:r>
                            <w:r w:rsidRPr="00F72F94">
                              <w:rPr>
                                <w:lang w:val="en-US"/>
                              </w:rPr>
                              <w:t xml:space="preserve"> 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1A877B" id="Pole tekstowe 2" o:spid="_x0000_s1026" alt="2.9%&#10;Increase in total revenues y/y&#10;" style="position:absolute;margin-left:0;margin-top:.6pt;width:177.75pt;height:79.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" fillcolor="#001d77" stroked="f">
                <v:stroke joinstyle="miter"/>
                <v:textbox>
                  <w:txbxContent>
                    <w:p w14:paraId="536E5BD3" w14:textId="5C423DAF" w:rsidR="00D07B6E" w:rsidRPr="003D3E45" w:rsidRDefault="00D07B6E" w:rsidP="00CB6AD4">
                      <w:pPr>
                        <w:autoSpaceDE w:val="0"/>
                        <w:autoSpaceDN w:val="0"/>
                        <w:adjustRightInd w:val="0"/>
                        <w:spacing w:before="0" w:after="0" w:line="240" w:lineRule="auto"/>
                        <w:rPr>
                          <w:rFonts w:ascii="Fira Sans SemiBold" w:hAnsi="Fira Sans SemiBold"/>
                          <w:color w:val="FF0000"/>
                          <w:sz w:val="60"/>
                          <w:szCs w:val="60"/>
                          <w:lang w:val="en-US"/>
                        </w:rPr>
                      </w:pPr>
                      <w:r w:rsidRPr="004B4292">
                        <w:rPr>
                          <w:rStyle w:val="IkonawskanikaZnak"/>
                          <w:sz w:val="76"/>
                          <w:szCs w:val="76"/>
                        </w:rPr>
                        <w:sym w:font="Wingdings" w:char="F0F1"/>
                      </w:r>
                      <w:r w:rsidRPr="00A27E41">
                        <w:rPr>
                          <w:rStyle w:val="IkonawskanikaZnak"/>
                          <w:sz w:val="76"/>
                          <w:szCs w:val="76"/>
                          <w:lang w:val="en-GB"/>
                        </w:rPr>
                        <w:t xml:space="preserve"> </w:t>
                      </w:r>
                      <w:r w:rsidR="00402418">
                        <w:rPr>
                          <w:rStyle w:val="WartowskanikaZnak"/>
                          <w:sz w:val="72"/>
                          <w:szCs w:val="72"/>
                          <w:lang w:val="en-US"/>
                        </w:rPr>
                        <w:t>2</w:t>
                      </w:r>
                      <w:r w:rsidRPr="00F72F94">
                        <w:rPr>
                          <w:rStyle w:val="WartowskanikaZnak"/>
                          <w:sz w:val="72"/>
                          <w:szCs w:val="72"/>
                          <w:lang w:val="en-US"/>
                        </w:rPr>
                        <w:t>.</w:t>
                      </w:r>
                      <w:r w:rsidR="00E924C6">
                        <w:rPr>
                          <w:rStyle w:val="WartowskanikaZnak"/>
                          <w:sz w:val="72"/>
                          <w:szCs w:val="72"/>
                          <w:lang w:val="en-US"/>
                        </w:rPr>
                        <w:t>9</w:t>
                      </w:r>
                      <w:r w:rsidRPr="00F72F94">
                        <w:rPr>
                          <w:rStyle w:val="WartowskanikaZnak"/>
                          <w:sz w:val="72"/>
                          <w:szCs w:val="72"/>
                          <w:lang w:val="en-US"/>
                        </w:rPr>
                        <w:t>%</w:t>
                      </w:r>
                    </w:p>
                    <w:p w14:paraId="4BC59368" w14:textId="6B54A0D6" w:rsidR="00D07B6E" w:rsidRPr="00F72F94" w:rsidRDefault="00D07B6E" w:rsidP="00583DE8">
                      <w:pPr>
                        <w:pStyle w:val="Opiswskanika"/>
                        <w:spacing w:before="120"/>
                        <w:rPr>
                          <w:lang w:val="en-US"/>
                        </w:rPr>
                      </w:pPr>
                      <w:r>
                        <w:rPr>
                          <w:lang w:val="en-US"/>
                        </w:rPr>
                        <w:t>Increase</w:t>
                      </w:r>
                      <w:r w:rsidRPr="00F72F94">
                        <w:rPr>
                          <w:lang w:val="en-US"/>
                        </w:rPr>
                        <w:t xml:space="preserve"> in </w:t>
                      </w:r>
                      <w:r w:rsidR="00402418">
                        <w:rPr>
                          <w:lang w:val="en-US"/>
                        </w:rPr>
                        <w:t>total revenues</w:t>
                      </w:r>
                      <w:r w:rsidRPr="00F72F94">
                        <w:rPr>
                          <w:lang w:val="en-US"/>
                        </w:rPr>
                        <w:t xml:space="preserve"> y/y</w:t>
                      </w:r>
                    </w:p>
                  </w:txbxContent>
                </v:textbox>
                <w10:wrap type="square" anchorx="margin"/>
              </v:roundrect>
            </w:pict>
          </mc:Fallback>
        </mc:AlternateContent>
      </w:r>
      <w:r w:rsidR="00BE16FB" w:rsidRPr="008576F7">
        <w:rPr>
          <w:lang w:val="en-US"/>
        </w:rPr>
        <w:t>In</w:t>
      </w:r>
      <w:r w:rsidR="003D3E45" w:rsidRPr="008576F7">
        <w:rPr>
          <w:lang w:val="en-US"/>
        </w:rPr>
        <w:t xml:space="preserve"> </w:t>
      </w:r>
      <w:r w:rsidR="00F154B5" w:rsidRPr="008576F7">
        <w:rPr>
          <w:lang w:val="en-US"/>
        </w:rPr>
        <w:t>202</w:t>
      </w:r>
      <w:r w:rsidR="003D3E45" w:rsidRPr="008576F7">
        <w:rPr>
          <w:lang w:val="en-US"/>
        </w:rPr>
        <w:t>5</w:t>
      </w:r>
      <w:r w:rsidR="00BE16FB" w:rsidRPr="008576F7">
        <w:rPr>
          <w:lang w:val="en-US"/>
        </w:rPr>
        <w:t xml:space="preserve"> </w:t>
      </w:r>
      <w:r w:rsidR="00E77709" w:rsidRPr="008576F7">
        <w:rPr>
          <w:lang w:val="en-US"/>
        </w:rPr>
        <w:t xml:space="preserve">gross </w:t>
      </w:r>
      <w:r w:rsidR="00BE16FB" w:rsidRPr="008576F7">
        <w:rPr>
          <w:lang w:val="en-US"/>
        </w:rPr>
        <w:t>financial result of the surveyed non-financial enterprises w</w:t>
      </w:r>
      <w:r w:rsidR="001A52B2" w:rsidRPr="008576F7">
        <w:rPr>
          <w:lang w:val="en-US"/>
        </w:rPr>
        <w:t>as</w:t>
      </w:r>
      <w:r w:rsidR="00BE16FB" w:rsidRPr="008576F7">
        <w:rPr>
          <w:lang w:val="en-US"/>
        </w:rPr>
        <w:t xml:space="preserve"> </w:t>
      </w:r>
      <w:r w:rsidR="003D3E45" w:rsidRPr="008576F7">
        <w:rPr>
          <w:lang w:val="en-US"/>
        </w:rPr>
        <w:t>higher</w:t>
      </w:r>
      <w:r w:rsidR="00B72F77" w:rsidRPr="008576F7">
        <w:rPr>
          <w:lang w:val="en-US"/>
        </w:rPr>
        <w:t xml:space="preserve"> </w:t>
      </w:r>
      <w:r w:rsidR="00E77709" w:rsidRPr="008576F7">
        <w:rPr>
          <w:lang w:val="en-US"/>
        </w:rPr>
        <w:t xml:space="preserve">by </w:t>
      </w:r>
      <w:r w:rsidR="00E924C6" w:rsidRPr="008576F7">
        <w:rPr>
          <w:lang w:val="en-US"/>
        </w:rPr>
        <w:t>12</w:t>
      </w:r>
      <w:r w:rsidR="00E77709" w:rsidRPr="008576F7">
        <w:rPr>
          <w:lang w:val="en-US"/>
        </w:rPr>
        <w:t>.</w:t>
      </w:r>
      <w:r w:rsidR="00E924C6" w:rsidRPr="008576F7">
        <w:rPr>
          <w:lang w:val="en-US"/>
        </w:rPr>
        <w:t>4</w:t>
      </w:r>
      <w:r w:rsidR="00E77709" w:rsidRPr="008576F7">
        <w:rPr>
          <w:lang w:val="en-US"/>
        </w:rPr>
        <w:t xml:space="preserve">% </w:t>
      </w:r>
      <w:r w:rsidR="00B72F77" w:rsidRPr="008576F7">
        <w:rPr>
          <w:lang w:val="en-US"/>
        </w:rPr>
        <w:t>comparing</w:t>
      </w:r>
      <w:r w:rsidR="001F35F9" w:rsidRPr="008576F7">
        <w:rPr>
          <w:lang w:val="en-US"/>
        </w:rPr>
        <w:t xml:space="preserve"> to</w:t>
      </w:r>
      <w:r w:rsidR="00BE16FB" w:rsidRPr="008576F7">
        <w:rPr>
          <w:lang w:val="en-US"/>
        </w:rPr>
        <w:t xml:space="preserve"> </w:t>
      </w:r>
      <w:r w:rsidR="009B7228" w:rsidRPr="008576F7">
        <w:rPr>
          <w:lang w:val="en-US"/>
        </w:rPr>
        <w:t>a year earlier. T</w:t>
      </w:r>
      <w:r w:rsidR="00BE16FB" w:rsidRPr="008576F7">
        <w:rPr>
          <w:lang w:val="en-US"/>
        </w:rPr>
        <w:t>he economi</w:t>
      </w:r>
      <w:r w:rsidR="001D7293" w:rsidRPr="008576F7">
        <w:rPr>
          <w:lang w:val="en-US"/>
        </w:rPr>
        <w:t>c and fi</w:t>
      </w:r>
      <w:r w:rsidR="00435994" w:rsidRPr="008576F7">
        <w:rPr>
          <w:lang w:val="en-US"/>
        </w:rPr>
        <w:t>nancial indicators</w:t>
      </w:r>
      <w:r w:rsidR="00D51B63" w:rsidRPr="008576F7">
        <w:rPr>
          <w:lang w:val="en-US"/>
        </w:rPr>
        <w:t xml:space="preserve"> </w:t>
      </w:r>
      <w:r w:rsidR="00201344" w:rsidRPr="008576F7">
        <w:rPr>
          <w:lang w:val="en-US"/>
        </w:rPr>
        <w:t>improved</w:t>
      </w:r>
      <w:r w:rsidR="00BE16FB" w:rsidRPr="008576F7">
        <w:rPr>
          <w:lang w:val="en-US"/>
        </w:rPr>
        <w:t xml:space="preserve">. </w:t>
      </w:r>
      <w:r w:rsidR="00F94E82" w:rsidRPr="008576F7">
        <w:rPr>
          <w:lang w:val="en-US"/>
        </w:rPr>
        <w:t>Investment outlays were higher by 3.2% than in the</w:t>
      </w:r>
      <w:r w:rsidR="00F94E82" w:rsidRPr="00F94E82">
        <w:rPr>
          <w:lang w:val="en-US"/>
        </w:rPr>
        <w:t xml:space="preserve"> previous </w:t>
      </w:r>
      <w:r w:rsidR="00F94E82" w:rsidRPr="008576F7">
        <w:rPr>
          <w:lang w:val="en-US"/>
        </w:rPr>
        <w:t>year (when there was a decrease by 7.8%)</w:t>
      </w:r>
      <w:r w:rsidR="004760C0" w:rsidRPr="008576F7">
        <w:rPr>
          <w:lang w:val="en-US"/>
        </w:rPr>
        <w:t>.</w:t>
      </w:r>
    </w:p>
    <w:p w14:paraId="41B0CA48" w14:textId="77777777" w:rsidR="00706F0E" w:rsidRDefault="00706F0E" w:rsidP="00D65C1D">
      <w:pPr>
        <w:spacing w:line="288" w:lineRule="auto"/>
        <w:rPr>
          <w:rFonts w:eastAsia="Times New Roman" w:cs="Times New Roman"/>
          <w:szCs w:val="19"/>
          <w:lang w:val="en-US" w:eastAsia="pl-PL"/>
        </w:rPr>
      </w:pPr>
    </w:p>
    <w:p w14:paraId="5ACB5EAC" w14:textId="71A1EAFF" w:rsidR="00D41384" w:rsidRDefault="000B221C" w:rsidP="00D65C1D">
      <w:pPr>
        <w:spacing w:line="288" w:lineRule="auto"/>
        <w:rPr>
          <w:rFonts w:eastAsia="Times New Roman" w:cs="Times New Roman"/>
          <w:szCs w:val="19"/>
          <w:lang w:val="en-US" w:eastAsia="pl-PL"/>
        </w:rPr>
      </w:pPr>
      <w:r w:rsidRPr="008576F7">
        <w:rPr>
          <w:rFonts w:eastAsia="Times New Roman" w:cs="Times New Roman"/>
          <w:szCs w:val="19"/>
          <w:lang w:val="en-US" w:eastAsia="pl-PL"/>
        </w:rPr>
        <w:t>T</w:t>
      </w:r>
      <w:r w:rsidR="00D41384" w:rsidRPr="008576F7">
        <w:rPr>
          <w:rFonts w:eastAsia="Times New Roman" w:cs="Times New Roman"/>
          <w:szCs w:val="19"/>
          <w:lang w:val="en-US" w:eastAsia="pl-PL"/>
        </w:rPr>
        <w:t>otal revenu</w:t>
      </w:r>
      <w:r w:rsidR="00F154B5" w:rsidRPr="008576F7">
        <w:rPr>
          <w:rFonts w:eastAsia="Times New Roman" w:cs="Times New Roman"/>
          <w:szCs w:val="19"/>
          <w:lang w:val="en-US" w:eastAsia="pl-PL"/>
        </w:rPr>
        <w:t xml:space="preserve">es were </w:t>
      </w:r>
      <w:r w:rsidR="00F219EA" w:rsidRPr="008576F7">
        <w:rPr>
          <w:rFonts w:eastAsia="Times New Roman" w:cs="Times New Roman"/>
          <w:szCs w:val="19"/>
          <w:lang w:val="en-US" w:eastAsia="pl-PL"/>
        </w:rPr>
        <w:t>hig</w:t>
      </w:r>
      <w:r w:rsidR="00A925A7" w:rsidRPr="008576F7">
        <w:rPr>
          <w:rFonts w:eastAsia="Times New Roman" w:cs="Times New Roman"/>
          <w:szCs w:val="19"/>
          <w:lang w:val="en-US" w:eastAsia="pl-PL"/>
        </w:rPr>
        <w:t>h</w:t>
      </w:r>
      <w:r w:rsidR="00F219EA" w:rsidRPr="008576F7">
        <w:rPr>
          <w:rFonts w:eastAsia="Times New Roman" w:cs="Times New Roman"/>
          <w:szCs w:val="19"/>
          <w:lang w:val="en-US" w:eastAsia="pl-PL"/>
        </w:rPr>
        <w:t>er</w:t>
      </w:r>
      <w:r w:rsidR="00716184" w:rsidRPr="008576F7">
        <w:rPr>
          <w:rFonts w:eastAsia="Times New Roman" w:cs="Times New Roman"/>
          <w:szCs w:val="19"/>
          <w:lang w:val="en-US" w:eastAsia="pl-PL"/>
        </w:rPr>
        <w:t xml:space="preserve"> </w:t>
      </w:r>
      <w:r w:rsidR="002E01C4" w:rsidRPr="008576F7">
        <w:rPr>
          <w:rFonts w:eastAsia="Times New Roman" w:cs="Times New Roman"/>
          <w:szCs w:val="19"/>
          <w:lang w:val="en-US" w:eastAsia="pl-PL"/>
        </w:rPr>
        <w:t>(by 2.</w:t>
      </w:r>
      <w:r w:rsidR="00E924C6" w:rsidRPr="008576F7">
        <w:rPr>
          <w:rFonts w:eastAsia="Times New Roman" w:cs="Times New Roman"/>
          <w:szCs w:val="19"/>
          <w:lang w:val="en-US" w:eastAsia="pl-PL"/>
        </w:rPr>
        <w:t>9</w:t>
      </w:r>
      <w:r w:rsidR="002E01C4" w:rsidRPr="008576F7">
        <w:rPr>
          <w:rFonts w:eastAsia="Times New Roman" w:cs="Times New Roman"/>
          <w:szCs w:val="19"/>
          <w:lang w:val="en-US" w:eastAsia="pl-PL"/>
        </w:rPr>
        <w:t xml:space="preserve">%) </w:t>
      </w:r>
      <w:r w:rsidR="00D41384" w:rsidRPr="008576F7">
        <w:rPr>
          <w:rFonts w:eastAsia="Times New Roman" w:cs="Times New Roman"/>
          <w:szCs w:val="19"/>
          <w:lang w:val="en-US" w:eastAsia="pl-PL"/>
        </w:rPr>
        <w:t xml:space="preserve">comparing to the previous year </w:t>
      </w:r>
      <w:r w:rsidR="006678B2" w:rsidRPr="008576F7">
        <w:rPr>
          <w:rFonts w:eastAsia="Times New Roman" w:cs="Times New Roman"/>
          <w:szCs w:val="19"/>
          <w:lang w:val="en-US" w:eastAsia="pl-PL"/>
        </w:rPr>
        <w:t>(</w:t>
      </w:r>
      <w:r w:rsidR="00E924C6" w:rsidRPr="008576F7">
        <w:rPr>
          <w:rFonts w:eastAsia="Times New Roman" w:cs="Times New Roman"/>
          <w:szCs w:val="19"/>
          <w:lang w:val="en-US" w:eastAsia="pl-PL"/>
        </w:rPr>
        <w:t>5</w:t>
      </w:r>
      <w:r w:rsidR="006678B2" w:rsidRPr="008576F7">
        <w:rPr>
          <w:rFonts w:eastAsia="Times New Roman" w:cs="Times New Roman"/>
          <w:szCs w:val="19"/>
          <w:lang w:val="en-US" w:eastAsia="pl-PL"/>
        </w:rPr>
        <w:t>,</w:t>
      </w:r>
      <w:r w:rsidR="00E924C6" w:rsidRPr="008576F7">
        <w:rPr>
          <w:rFonts w:eastAsia="Times New Roman" w:cs="Times New Roman"/>
          <w:szCs w:val="19"/>
          <w:lang w:val="en-US" w:eastAsia="pl-PL"/>
        </w:rPr>
        <w:t>279</w:t>
      </w:r>
      <w:r w:rsidR="007F0F41" w:rsidRPr="008576F7">
        <w:rPr>
          <w:rFonts w:eastAsia="Times New Roman" w:cs="Times New Roman"/>
          <w:szCs w:val="19"/>
          <w:lang w:val="en-US" w:eastAsia="pl-PL"/>
        </w:rPr>
        <w:t>.</w:t>
      </w:r>
      <w:r w:rsidR="00AE0EBA" w:rsidRPr="008576F7">
        <w:rPr>
          <w:rFonts w:eastAsia="Times New Roman" w:cs="Times New Roman"/>
          <w:szCs w:val="19"/>
          <w:lang w:val="en-US" w:eastAsia="pl-PL"/>
        </w:rPr>
        <w:t>8</w:t>
      </w:r>
      <w:r w:rsidR="007F0F41" w:rsidRPr="008576F7">
        <w:rPr>
          <w:rFonts w:eastAsia="Times New Roman" w:cs="Times New Roman"/>
          <w:szCs w:val="19"/>
          <w:lang w:val="en-US" w:eastAsia="pl-PL"/>
        </w:rPr>
        <w:t xml:space="preserve"> bn</w:t>
      </w:r>
      <w:r w:rsidR="006678B2" w:rsidRPr="008576F7">
        <w:rPr>
          <w:rFonts w:eastAsia="Times New Roman" w:cs="Times New Roman"/>
          <w:szCs w:val="19"/>
          <w:lang w:val="en-US" w:eastAsia="pl-PL"/>
        </w:rPr>
        <w:t xml:space="preserve"> PLN in 2025, </w:t>
      </w:r>
      <w:r w:rsidR="00E924C6" w:rsidRPr="008576F7">
        <w:rPr>
          <w:rFonts w:eastAsia="Times New Roman" w:cs="Times New Roman"/>
          <w:szCs w:val="19"/>
          <w:lang w:val="en-US" w:eastAsia="pl-PL"/>
        </w:rPr>
        <w:t>5</w:t>
      </w:r>
      <w:r w:rsidR="006678B2" w:rsidRPr="008576F7">
        <w:rPr>
          <w:rFonts w:eastAsia="Times New Roman" w:cs="Times New Roman"/>
          <w:szCs w:val="19"/>
          <w:lang w:val="en-US" w:eastAsia="pl-PL"/>
        </w:rPr>
        <w:t>,</w:t>
      </w:r>
      <w:r w:rsidR="00E924C6" w:rsidRPr="008576F7">
        <w:rPr>
          <w:rFonts w:eastAsia="Times New Roman" w:cs="Times New Roman"/>
          <w:szCs w:val="19"/>
          <w:lang w:val="en-US" w:eastAsia="pl-PL"/>
        </w:rPr>
        <w:t>133</w:t>
      </w:r>
      <w:r w:rsidR="007F0F41" w:rsidRPr="008576F7">
        <w:rPr>
          <w:rFonts w:eastAsia="Times New Roman" w:cs="Times New Roman"/>
          <w:szCs w:val="19"/>
          <w:lang w:val="en-US" w:eastAsia="pl-PL"/>
        </w:rPr>
        <w:t>.</w:t>
      </w:r>
      <w:r w:rsidR="00E924C6" w:rsidRPr="008576F7">
        <w:rPr>
          <w:rFonts w:eastAsia="Times New Roman" w:cs="Times New Roman"/>
          <w:szCs w:val="19"/>
          <w:lang w:val="en-US" w:eastAsia="pl-PL"/>
        </w:rPr>
        <w:t>0</w:t>
      </w:r>
      <w:r w:rsidR="007F0F41" w:rsidRPr="008576F7">
        <w:rPr>
          <w:rFonts w:eastAsia="Times New Roman" w:cs="Times New Roman"/>
          <w:szCs w:val="19"/>
          <w:lang w:val="en-US" w:eastAsia="pl-PL"/>
        </w:rPr>
        <w:t xml:space="preserve"> bn PLN</w:t>
      </w:r>
      <w:r w:rsidR="006678B2" w:rsidRPr="008576F7">
        <w:rPr>
          <w:rFonts w:eastAsia="Times New Roman" w:cs="Times New Roman"/>
          <w:szCs w:val="19"/>
          <w:lang w:val="en-US" w:eastAsia="pl-PL"/>
        </w:rPr>
        <w:t xml:space="preserve"> a year ago) </w:t>
      </w:r>
      <w:r w:rsidR="00D41384" w:rsidRPr="008576F7">
        <w:rPr>
          <w:rFonts w:eastAsia="Times New Roman" w:cs="Times New Roman"/>
          <w:szCs w:val="19"/>
          <w:lang w:val="en-US" w:eastAsia="pl-PL"/>
        </w:rPr>
        <w:t>and total costs of obtainin</w:t>
      </w:r>
      <w:r w:rsidR="00F154B5" w:rsidRPr="008576F7">
        <w:rPr>
          <w:rFonts w:eastAsia="Times New Roman" w:cs="Times New Roman"/>
          <w:szCs w:val="19"/>
          <w:lang w:val="en-US" w:eastAsia="pl-PL"/>
        </w:rPr>
        <w:t xml:space="preserve">g the revenues </w:t>
      </w:r>
      <w:r w:rsidR="00F219EA" w:rsidRPr="008576F7">
        <w:rPr>
          <w:rFonts w:eastAsia="Times New Roman" w:cs="Times New Roman"/>
          <w:szCs w:val="19"/>
          <w:lang w:val="en-US" w:eastAsia="pl-PL"/>
        </w:rPr>
        <w:t>in</w:t>
      </w:r>
      <w:r w:rsidR="00D95BB4" w:rsidRPr="008576F7">
        <w:rPr>
          <w:rFonts w:eastAsia="Times New Roman" w:cs="Times New Roman"/>
          <w:szCs w:val="19"/>
          <w:lang w:val="en-US" w:eastAsia="pl-PL"/>
        </w:rPr>
        <w:t xml:space="preserve">creased by </w:t>
      </w:r>
      <w:r w:rsidR="00F219EA" w:rsidRPr="008576F7">
        <w:rPr>
          <w:rFonts w:eastAsia="Times New Roman" w:cs="Times New Roman"/>
          <w:szCs w:val="19"/>
          <w:lang w:val="en-US" w:eastAsia="pl-PL"/>
        </w:rPr>
        <w:t>2</w:t>
      </w:r>
      <w:r w:rsidR="00C46F5C" w:rsidRPr="008576F7">
        <w:rPr>
          <w:rFonts w:eastAsia="Times New Roman" w:cs="Times New Roman"/>
          <w:szCs w:val="19"/>
          <w:lang w:val="en-US" w:eastAsia="pl-PL"/>
        </w:rPr>
        <w:t>.</w:t>
      </w:r>
      <w:r w:rsidR="00F219EA" w:rsidRPr="008576F7">
        <w:rPr>
          <w:rFonts w:eastAsia="Times New Roman" w:cs="Times New Roman"/>
          <w:szCs w:val="19"/>
          <w:lang w:val="en-US" w:eastAsia="pl-PL"/>
        </w:rPr>
        <w:t>4</w:t>
      </w:r>
      <w:r w:rsidR="00D41384" w:rsidRPr="008576F7">
        <w:rPr>
          <w:rFonts w:eastAsia="Times New Roman" w:cs="Times New Roman"/>
          <w:szCs w:val="19"/>
          <w:lang w:val="en-US" w:eastAsia="pl-PL"/>
        </w:rPr>
        <w:t>%</w:t>
      </w:r>
      <w:r w:rsidR="0075381D" w:rsidRPr="008576F7">
        <w:rPr>
          <w:rFonts w:eastAsia="Times New Roman" w:cs="Times New Roman"/>
          <w:szCs w:val="19"/>
          <w:lang w:val="en-US" w:eastAsia="pl-PL"/>
        </w:rPr>
        <w:t xml:space="preserve"> (</w:t>
      </w:r>
      <w:r w:rsidR="008A0B8C">
        <w:rPr>
          <w:rFonts w:eastAsia="Times New Roman" w:cs="Times New Roman"/>
          <w:szCs w:val="19"/>
          <w:lang w:val="en-US" w:eastAsia="pl-PL"/>
        </w:rPr>
        <w:t xml:space="preserve">from 4,914.7 bn PLN </w:t>
      </w:r>
      <w:bookmarkStart w:id="0" w:name="_GoBack"/>
      <w:bookmarkEnd w:id="0"/>
      <w:r w:rsidR="003D1555" w:rsidRPr="008576F7">
        <w:rPr>
          <w:rFonts w:eastAsia="Times New Roman" w:cs="Times New Roman"/>
          <w:szCs w:val="19"/>
          <w:lang w:val="en-US" w:eastAsia="pl-PL"/>
        </w:rPr>
        <w:t xml:space="preserve">to </w:t>
      </w:r>
      <w:r w:rsidR="00240BDE" w:rsidRPr="008576F7">
        <w:rPr>
          <w:rFonts w:eastAsia="Times New Roman" w:cs="Times New Roman"/>
          <w:szCs w:val="19"/>
          <w:lang w:val="en-US" w:eastAsia="pl-PL"/>
        </w:rPr>
        <w:t>5</w:t>
      </w:r>
      <w:r w:rsidR="00702C95" w:rsidRPr="008576F7">
        <w:rPr>
          <w:rFonts w:eastAsia="Times New Roman" w:cs="Times New Roman"/>
          <w:szCs w:val="19"/>
          <w:lang w:val="en-US" w:eastAsia="pl-PL"/>
        </w:rPr>
        <w:t>,</w:t>
      </w:r>
      <w:r w:rsidR="0052519F" w:rsidRPr="008576F7">
        <w:rPr>
          <w:rFonts w:eastAsia="Times New Roman" w:cs="Times New Roman"/>
          <w:szCs w:val="19"/>
          <w:lang w:val="en-US" w:eastAsia="pl-PL"/>
        </w:rPr>
        <w:t>034</w:t>
      </w:r>
      <w:r w:rsidR="0075381D" w:rsidRPr="008576F7">
        <w:rPr>
          <w:rFonts w:eastAsia="Times New Roman" w:cs="Times New Roman"/>
          <w:szCs w:val="19"/>
          <w:lang w:val="en-US" w:eastAsia="pl-PL"/>
        </w:rPr>
        <w:t>.</w:t>
      </w:r>
      <w:r w:rsidR="0052519F" w:rsidRPr="008576F7">
        <w:rPr>
          <w:rFonts w:eastAsia="Times New Roman" w:cs="Times New Roman"/>
          <w:szCs w:val="19"/>
          <w:lang w:val="en-US" w:eastAsia="pl-PL"/>
        </w:rPr>
        <w:t>5</w:t>
      </w:r>
      <w:r w:rsidR="0075381D" w:rsidRPr="008576F7">
        <w:rPr>
          <w:rFonts w:eastAsia="Times New Roman" w:cs="Times New Roman"/>
          <w:szCs w:val="19"/>
          <w:lang w:val="en-US" w:eastAsia="pl-PL"/>
        </w:rPr>
        <w:t xml:space="preserve"> bn PLN)</w:t>
      </w:r>
      <w:r w:rsidR="00D41384" w:rsidRPr="008576F7">
        <w:rPr>
          <w:rFonts w:eastAsia="Times New Roman" w:cs="Times New Roman"/>
          <w:szCs w:val="19"/>
          <w:lang w:val="en-US" w:eastAsia="pl-PL"/>
        </w:rPr>
        <w:t>. The cost le</w:t>
      </w:r>
      <w:r w:rsidR="00D51B63" w:rsidRPr="008576F7">
        <w:rPr>
          <w:rFonts w:eastAsia="Times New Roman" w:cs="Times New Roman"/>
          <w:szCs w:val="19"/>
          <w:lang w:val="en-US" w:eastAsia="pl-PL"/>
        </w:rPr>
        <w:t>vel</w:t>
      </w:r>
      <w:r w:rsidR="001D7293" w:rsidRPr="008576F7">
        <w:rPr>
          <w:rFonts w:eastAsia="Times New Roman" w:cs="Times New Roman"/>
          <w:szCs w:val="19"/>
          <w:lang w:val="en-US" w:eastAsia="pl-PL"/>
        </w:rPr>
        <w:t xml:space="preserve"> </w:t>
      </w:r>
      <w:r w:rsidR="007E056B" w:rsidRPr="008576F7">
        <w:rPr>
          <w:rFonts w:eastAsia="Times New Roman" w:cs="Times New Roman"/>
          <w:szCs w:val="19"/>
          <w:lang w:val="en-US" w:eastAsia="pl-PL"/>
        </w:rPr>
        <w:t>indicator</w:t>
      </w:r>
      <w:r w:rsidR="00F219EA" w:rsidRPr="008576F7">
        <w:rPr>
          <w:rFonts w:eastAsia="Times New Roman" w:cs="Times New Roman"/>
          <w:szCs w:val="19"/>
          <w:lang w:val="en-US" w:eastAsia="pl-PL"/>
        </w:rPr>
        <w:t xml:space="preserve"> was </w:t>
      </w:r>
      <w:r w:rsidR="0018717E" w:rsidRPr="008576F7">
        <w:rPr>
          <w:rFonts w:eastAsia="Times New Roman" w:cs="Times New Roman"/>
          <w:szCs w:val="19"/>
          <w:lang w:val="en-US" w:eastAsia="pl-PL"/>
        </w:rPr>
        <w:t>lower</w:t>
      </w:r>
      <w:r w:rsidR="00F219EA" w:rsidRPr="008576F7">
        <w:rPr>
          <w:rFonts w:eastAsia="Times New Roman" w:cs="Times New Roman"/>
          <w:szCs w:val="19"/>
          <w:lang w:val="en-US" w:eastAsia="pl-PL"/>
        </w:rPr>
        <w:t xml:space="preserve"> </w:t>
      </w:r>
      <w:r w:rsidR="00DB27E7" w:rsidRPr="008576F7">
        <w:rPr>
          <w:rFonts w:eastAsia="Times New Roman" w:cs="Times New Roman"/>
          <w:szCs w:val="19"/>
          <w:lang w:val="en-US" w:eastAsia="pl-PL"/>
        </w:rPr>
        <w:t>than</w:t>
      </w:r>
      <w:r w:rsidR="00BD3A00" w:rsidRPr="008576F7">
        <w:rPr>
          <w:rFonts w:eastAsia="Times New Roman" w:cs="Times New Roman"/>
          <w:szCs w:val="19"/>
          <w:lang w:val="en-US" w:eastAsia="pl-PL"/>
        </w:rPr>
        <w:t xml:space="preserve"> </w:t>
      </w:r>
      <w:r w:rsidR="00F219EA" w:rsidRPr="008576F7">
        <w:rPr>
          <w:rFonts w:eastAsia="Times New Roman" w:cs="Times New Roman"/>
          <w:szCs w:val="19"/>
          <w:lang w:val="en-US" w:eastAsia="pl-PL"/>
        </w:rPr>
        <w:t>in the previous year</w:t>
      </w:r>
      <w:r w:rsidR="00C46F5C" w:rsidRPr="008576F7">
        <w:rPr>
          <w:rFonts w:eastAsia="Times New Roman" w:cs="Times New Roman"/>
          <w:szCs w:val="19"/>
          <w:lang w:val="en-US" w:eastAsia="pl-PL"/>
        </w:rPr>
        <w:t xml:space="preserve"> </w:t>
      </w:r>
      <w:r w:rsidR="005E610B" w:rsidRPr="008576F7">
        <w:rPr>
          <w:rFonts w:eastAsia="Times New Roman" w:cs="Times New Roman"/>
          <w:szCs w:val="19"/>
          <w:lang w:val="en-US" w:eastAsia="pl-PL"/>
        </w:rPr>
        <w:t>(</w:t>
      </w:r>
      <w:r w:rsidR="00C46F5C" w:rsidRPr="008576F7">
        <w:rPr>
          <w:rFonts w:eastAsia="Times New Roman" w:cs="Times New Roman"/>
          <w:szCs w:val="19"/>
          <w:lang w:val="en-US" w:eastAsia="pl-PL"/>
        </w:rPr>
        <w:t>9</w:t>
      </w:r>
      <w:r w:rsidR="00F219EA" w:rsidRPr="008576F7">
        <w:rPr>
          <w:rFonts w:eastAsia="Times New Roman" w:cs="Times New Roman"/>
          <w:szCs w:val="19"/>
          <w:lang w:val="en-US" w:eastAsia="pl-PL"/>
        </w:rPr>
        <w:t>5</w:t>
      </w:r>
      <w:r w:rsidR="00C46F5C" w:rsidRPr="008576F7">
        <w:rPr>
          <w:rFonts w:eastAsia="Times New Roman" w:cs="Times New Roman"/>
          <w:szCs w:val="19"/>
          <w:lang w:val="en-US" w:eastAsia="pl-PL"/>
        </w:rPr>
        <w:t>.</w:t>
      </w:r>
      <w:r w:rsidR="0052519F" w:rsidRPr="008576F7">
        <w:rPr>
          <w:rFonts w:eastAsia="Times New Roman" w:cs="Times New Roman"/>
          <w:szCs w:val="19"/>
          <w:lang w:val="en-US" w:eastAsia="pl-PL"/>
        </w:rPr>
        <w:t>4</w:t>
      </w:r>
      <w:r w:rsidR="00D51B63" w:rsidRPr="008576F7">
        <w:rPr>
          <w:rFonts w:eastAsia="Times New Roman" w:cs="Times New Roman"/>
          <w:szCs w:val="19"/>
          <w:lang w:val="en-US" w:eastAsia="pl-PL"/>
        </w:rPr>
        <w:t>% in</w:t>
      </w:r>
      <w:r w:rsidR="00F219EA" w:rsidRPr="008576F7">
        <w:rPr>
          <w:rFonts w:eastAsia="Times New Roman" w:cs="Times New Roman"/>
          <w:szCs w:val="19"/>
          <w:lang w:val="en-US" w:eastAsia="pl-PL"/>
        </w:rPr>
        <w:t xml:space="preserve"> 2025, </w:t>
      </w:r>
      <w:r w:rsidR="00D51B63" w:rsidRPr="008576F7">
        <w:rPr>
          <w:rFonts w:eastAsia="Times New Roman" w:cs="Times New Roman"/>
          <w:szCs w:val="19"/>
          <w:lang w:val="en-US" w:eastAsia="pl-PL"/>
        </w:rPr>
        <w:t>9</w:t>
      </w:r>
      <w:r w:rsidR="000C7B1D" w:rsidRPr="008576F7">
        <w:rPr>
          <w:rFonts w:eastAsia="Times New Roman" w:cs="Times New Roman"/>
          <w:szCs w:val="19"/>
          <w:lang w:val="en-US" w:eastAsia="pl-PL"/>
        </w:rPr>
        <w:t>5</w:t>
      </w:r>
      <w:r w:rsidR="00A03361" w:rsidRPr="008576F7">
        <w:rPr>
          <w:rFonts w:eastAsia="Times New Roman" w:cs="Times New Roman"/>
          <w:szCs w:val="19"/>
          <w:lang w:val="en-US" w:eastAsia="pl-PL"/>
        </w:rPr>
        <w:t>.</w:t>
      </w:r>
      <w:r w:rsidR="003E2819" w:rsidRPr="008576F7">
        <w:rPr>
          <w:rFonts w:eastAsia="Times New Roman" w:cs="Times New Roman"/>
          <w:szCs w:val="19"/>
          <w:lang w:val="en-US" w:eastAsia="pl-PL"/>
        </w:rPr>
        <w:t>7</w:t>
      </w:r>
      <w:r w:rsidR="00D41384" w:rsidRPr="008576F7">
        <w:rPr>
          <w:rFonts w:eastAsia="Times New Roman" w:cs="Times New Roman"/>
          <w:szCs w:val="19"/>
          <w:lang w:val="en-US" w:eastAsia="pl-PL"/>
        </w:rPr>
        <w:t>%</w:t>
      </w:r>
      <w:r w:rsidR="00F219EA" w:rsidRPr="008576F7">
        <w:rPr>
          <w:rFonts w:eastAsia="Times New Roman" w:cs="Times New Roman"/>
          <w:szCs w:val="19"/>
          <w:lang w:val="en-US" w:eastAsia="pl-PL"/>
        </w:rPr>
        <w:t xml:space="preserve"> </w:t>
      </w:r>
      <w:r w:rsidR="007A0FD6" w:rsidRPr="008576F7">
        <w:rPr>
          <w:rFonts w:eastAsia="Times New Roman" w:cs="Times New Roman"/>
          <w:szCs w:val="19"/>
          <w:lang w:val="en-US" w:eastAsia="pl-PL"/>
        </w:rPr>
        <w:t xml:space="preserve">a year </w:t>
      </w:r>
      <w:r w:rsidR="002A184F">
        <w:rPr>
          <w:rFonts w:eastAsia="Times New Roman" w:cs="Times New Roman"/>
          <w:szCs w:val="19"/>
          <w:lang w:val="en-US" w:eastAsia="pl-PL"/>
        </w:rPr>
        <w:t>before</w:t>
      </w:r>
      <w:r w:rsidR="005E610B" w:rsidRPr="008576F7">
        <w:rPr>
          <w:rFonts w:eastAsia="Times New Roman" w:cs="Times New Roman"/>
          <w:szCs w:val="19"/>
          <w:lang w:val="en-US" w:eastAsia="pl-PL"/>
        </w:rPr>
        <w:t>)</w:t>
      </w:r>
      <w:r w:rsidR="003E2819" w:rsidRPr="008576F7">
        <w:rPr>
          <w:rFonts w:eastAsia="Times New Roman" w:cs="Times New Roman"/>
          <w:szCs w:val="19"/>
          <w:lang w:val="en-US" w:eastAsia="pl-PL"/>
        </w:rPr>
        <w:t>.</w:t>
      </w:r>
      <w:r w:rsidR="005E610B" w:rsidRPr="008576F7">
        <w:rPr>
          <w:rFonts w:eastAsia="Times New Roman" w:cs="Times New Roman"/>
          <w:szCs w:val="19"/>
          <w:lang w:val="en-US" w:eastAsia="pl-PL"/>
        </w:rPr>
        <w:t xml:space="preserve"> </w:t>
      </w:r>
      <w:r w:rsidR="008F5A20" w:rsidRPr="008576F7">
        <w:rPr>
          <w:rFonts w:eastAsia="Times New Roman" w:cs="Times New Roman"/>
          <w:szCs w:val="19"/>
          <w:lang w:val="en-US" w:eastAsia="pl-PL"/>
        </w:rPr>
        <w:t xml:space="preserve">Gross turnover profitability indicator </w:t>
      </w:r>
      <w:r w:rsidR="00B53AA7" w:rsidRPr="008576F7">
        <w:rPr>
          <w:rFonts w:eastAsia="Times New Roman" w:cs="Times New Roman"/>
          <w:szCs w:val="19"/>
          <w:lang w:val="en-US" w:eastAsia="pl-PL"/>
        </w:rPr>
        <w:t>improved</w:t>
      </w:r>
      <w:r w:rsidR="00BD3A00" w:rsidRPr="008576F7">
        <w:rPr>
          <w:rFonts w:eastAsia="Times New Roman" w:cs="Times New Roman"/>
          <w:szCs w:val="19"/>
          <w:lang w:val="en-US" w:eastAsia="pl-PL"/>
        </w:rPr>
        <w:t xml:space="preserve"> </w:t>
      </w:r>
      <w:r w:rsidR="008F5A20" w:rsidRPr="008576F7">
        <w:rPr>
          <w:rFonts w:eastAsia="Times New Roman" w:cs="Times New Roman"/>
          <w:szCs w:val="19"/>
          <w:lang w:val="en-US" w:eastAsia="pl-PL"/>
        </w:rPr>
        <w:t>(4.</w:t>
      </w:r>
      <w:r w:rsidR="005F093C" w:rsidRPr="008576F7">
        <w:rPr>
          <w:rFonts w:eastAsia="Times New Roman" w:cs="Times New Roman"/>
          <w:szCs w:val="19"/>
          <w:lang w:val="en-US" w:eastAsia="pl-PL"/>
        </w:rPr>
        <w:t>6</w:t>
      </w:r>
      <w:r w:rsidR="008F5A20" w:rsidRPr="008576F7">
        <w:rPr>
          <w:rFonts w:eastAsia="Times New Roman" w:cs="Times New Roman"/>
          <w:szCs w:val="19"/>
          <w:lang w:val="en-US" w:eastAsia="pl-PL"/>
        </w:rPr>
        <w:t>%</w:t>
      </w:r>
      <w:r w:rsidR="00DE275D" w:rsidRPr="008576F7">
        <w:rPr>
          <w:rFonts w:eastAsia="Times New Roman" w:cs="Times New Roman"/>
          <w:szCs w:val="19"/>
          <w:lang w:val="en-US" w:eastAsia="pl-PL"/>
        </w:rPr>
        <w:t>,</w:t>
      </w:r>
      <w:r w:rsidR="008F5A20" w:rsidRPr="008576F7">
        <w:rPr>
          <w:rFonts w:eastAsia="Times New Roman" w:cs="Times New Roman"/>
          <w:szCs w:val="19"/>
          <w:lang w:val="en-US" w:eastAsia="pl-PL"/>
        </w:rPr>
        <w:t xml:space="preserve"> </w:t>
      </w:r>
      <w:r w:rsidR="0011066C" w:rsidRPr="008576F7">
        <w:rPr>
          <w:rFonts w:eastAsia="Times New Roman" w:cs="Times New Roman"/>
          <w:szCs w:val="19"/>
          <w:lang w:val="en-US" w:eastAsia="pl-PL"/>
        </w:rPr>
        <w:t>compared to</w:t>
      </w:r>
      <w:r w:rsidR="008F5A20" w:rsidRPr="008576F7">
        <w:rPr>
          <w:rFonts w:eastAsia="Times New Roman" w:cs="Times New Roman"/>
          <w:szCs w:val="19"/>
          <w:lang w:val="en-US" w:eastAsia="pl-PL"/>
        </w:rPr>
        <w:t xml:space="preserve"> 4.3% in the previous year)</w:t>
      </w:r>
      <w:r w:rsidR="008F5A20" w:rsidRPr="008576F7">
        <w:rPr>
          <w:lang w:val="en-US"/>
        </w:rPr>
        <w:t xml:space="preserve"> </w:t>
      </w:r>
      <w:r w:rsidR="008F5A20" w:rsidRPr="008576F7">
        <w:rPr>
          <w:rFonts w:eastAsia="Times New Roman" w:cs="Times New Roman"/>
          <w:szCs w:val="19"/>
          <w:lang w:val="en-US" w:eastAsia="pl-PL"/>
        </w:rPr>
        <w:t>as well as n</w:t>
      </w:r>
      <w:r w:rsidR="003E2819" w:rsidRPr="008576F7">
        <w:rPr>
          <w:rFonts w:eastAsia="Times New Roman" w:cs="Times New Roman"/>
          <w:szCs w:val="19"/>
          <w:lang w:val="en-US" w:eastAsia="pl-PL"/>
        </w:rPr>
        <w:t>et</w:t>
      </w:r>
      <w:r w:rsidR="00AF6DF1" w:rsidRPr="008576F7">
        <w:rPr>
          <w:rFonts w:eastAsia="Times New Roman" w:cs="Times New Roman"/>
          <w:szCs w:val="19"/>
          <w:lang w:val="en-US" w:eastAsia="pl-PL"/>
        </w:rPr>
        <w:t xml:space="preserve"> turnover profitability indicator </w:t>
      </w:r>
      <w:r w:rsidR="005E610B" w:rsidRPr="008576F7">
        <w:rPr>
          <w:rFonts w:eastAsia="Times New Roman" w:cs="Times New Roman"/>
          <w:szCs w:val="19"/>
          <w:lang w:val="en-US" w:eastAsia="pl-PL"/>
        </w:rPr>
        <w:t>(</w:t>
      </w:r>
      <w:r w:rsidR="008F5A20" w:rsidRPr="008576F7">
        <w:rPr>
          <w:rFonts w:eastAsia="Times New Roman" w:cs="Times New Roman"/>
          <w:szCs w:val="19"/>
          <w:lang w:val="en-US" w:eastAsia="pl-PL"/>
        </w:rPr>
        <w:t>respectively</w:t>
      </w:r>
      <w:r w:rsidR="001917EC" w:rsidRPr="008576F7">
        <w:rPr>
          <w:rFonts w:eastAsia="Times New Roman" w:cs="Times New Roman"/>
          <w:szCs w:val="19"/>
          <w:lang w:val="en-US" w:eastAsia="pl-PL"/>
        </w:rPr>
        <w:t>,</w:t>
      </w:r>
      <w:r w:rsidR="008F5A20" w:rsidRPr="008576F7">
        <w:rPr>
          <w:rFonts w:eastAsia="Times New Roman" w:cs="Times New Roman"/>
          <w:szCs w:val="19"/>
          <w:lang w:val="en-US" w:eastAsia="pl-PL"/>
        </w:rPr>
        <w:t xml:space="preserve"> 3.7% and</w:t>
      </w:r>
      <w:r w:rsidR="001917EC" w:rsidRPr="008576F7">
        <w:rPr>
          <w:rFonts w:eastAsia="Times New Roman" w:cs="Times New Roman"/>
          <w:szCs w:val="19"/>
          <w:lang w:val="en-US" w:eastAsia="pl-PL"/>
        </w:rPr>
        <w:t xml:space="preserve"> </w:t>
      </w:r>
      <w:r w:rsidR="0018717E" w:rsidRPr="008576F7">
        <w:rPr>
          <w:rFonts w:eastAsia="Times New Roman" w:cs="Times New Roman"/>
          <w:szCs w:val="19"/>
          <w:lang w:val="en-US" w:eastAsia="pl-PL"/>
        </w:rPr>
        <w:t>3</w:t>
      </w:r>
      <w:r w:rsidR="00AF6DF1" w:rsidRPr="008576F7">
        <w:rPr>
          <w:rFonts w:eastAsia="Times New Roman" w:cs="Times New Roman"/>
          <w:szCs w:val="19"/>
          <w:lang w:val="en-US" w:eastAsia="pl-PL"/>
        </w:rPr>
        <w:t>.</w:t>
      </w:r>
      <w:r w:rsidR="005F093C" w:rsidRPr="008576F7">
        <w:rPr>
          <w:rFonts w:eastAsia="Times New Roman" w:cs="Times New Roman"/>
          <w:szCs w:val="19"/>
          <w:lang w:val="en-US" w:eastAsia="pl-PL"/>
        </w:rPr>
        <w:t>4</w:t>
      </w:r>
      <w:r w:rsidR="00AF6DF1" w:rsidRPr="008576F7">
        <w:rPr>
          <w:rFonts w:eastAsia="Times New Roman" w:cs="Times New Roman"/>
          <w:szCs w:val="19"/>
          <w:lang w:val="en-US" w:eastAsia="pl-PL"/>
        </w:rPr>
        <w:t>%</w:t>
      </w:r>
      <w:r w:rsidR="008F5A20" w:rsidRPr="008576F7">
        <w:rPr>
          <w:rFonts w:eastAsia="Times New Roman" w:cs="Times New Roman"/>
          <w:szCs w:val="19"/>
          <w:lang w:val="en-US" w:eastAsia="pl-PL"/>
        </w:rPr>
        <w:t xml:space="preserve">). </w:t>
      </w:r>
      <w:r w:rsidR="00D41384" w:rsidRPr="008576F7">
        <w:rPr>
          <w:rFonts w:eastAsia="Times New Roman" w:cs="Times New Roman"/>
          <w:szCs w:val="19"/>
          <w:lang w:val="en-US" w:eastAsia="pl-PL"/>
        </w:rPr>
        <w:t xml:space="preserve">Net revenues from sale of </w:t>
      </w:r>
      <w:r w:rsidR="00F154B5" w:rsidRPr="008576F7">
        <w:rPr>
          <w:rFonts w:eastAsia="Times New Roman" w:cs="Times New Roman"/>
          <w:szCs w:val="19"/>
          <w:lang w:val="en-US" w:eastAsia="pl-PL"/>
        </w:rPr>
        <w:t>products, goods and materials</w:t>
      </w:r>
      <w:r w:rsidR="005F093C" w:rsidRPr="008576F7">
        <w:rPr>
          <w:rFonts w:eastAsia="Times New Roman" w:cs="Times New Roman"/>
          <w:szCs w:val="19"/>
          <w:lang w:val="en-US" w:eastAsia="pl-PL"/>
        </w:rPr>
        <w:t xml:space="preserve"> increased by 2.8%</w:t>
      </w:r>
      <w:r w:rsidR="00F154B5" w:rsidRPr="008576F7">
        <w:rPr>
          <w:rFonts w:eastAsia="Times New Roman" w:cs="Times New Roman"/>
          <w:szCs w:val="19"/>
          <w:lang w:val="en-US" w:eastAsia="pl-PL"/>
        </w:rPr>
        <w:t xml:space="preserve"> </w:t>
      </w:r>
      <w:r w:rsidR="00D41384" w:rsidRPr="008576F7">
        <w:rPr>
          <w:rFonts w:eastAsia="Times New Roman" w:cs="Times New Roman"/>
          <w:szCs w:val="19"/>
          <w:lang w:val="en-US" w:eastAsia="pl-PL"/>
        </w:rPr>
        <w:t xml:space="preserve">and the costs of </w:t>
      </w:r>
      <w:r w:rsidR="00D03813" w:rsidRPr="008576F7">
        <w:rPr>
          <w:rFonts w:eastAsia="Times New Roman" w:cs="Times New Roman"/>
          <w:szCs w:val="19"/>
          <w:lang w:val="en-US" w:eastAsia="pl-PL"/>
        </w:rPr>
        <w:t>obtaining</w:t>
      </w:r>
      <w:r w:rsidR="001A3929" w:rsidRPr="008576F7">
        <w:rPr>
          <w:rFonts w:eastAsia="Times New Roman" w:cs="Times New Roman"/>
          <w:szCs w:val="19"/>
          <w:lang w:val="en-US" w:eastAsia="pl-PL"/>
        </w:rPr>
        <w:t xml:space="preserve"> </w:t>
      </w:r>
      <w:r w:rsidR="00C46F5C" w:rsidRPr="008576F7">
        <w:rPr>
          <w:rFonts w:eastAsia="Times New Roman" w:cs="Times New Roman"/>
          <w:szCs w:val="19"/>
          <w:lang w:val="en-US" w:eastAsia="pl-PL"/>
        </w:rPr>
        <w:t xml:space="preserve">by </w:t>
      </w:r>
      <w:r w:rsidR="001917EC" w:rsidRPr="008576F7">
        <w:rPr>
          <w:rFonts w:eastAsia="Times New Roman" w:cs="Times New Roman"/>
          <w:szCs w:val="19"/>
          <w:lang w:val="en-US" w:eastAsia="pl-PL"/>
        </w:rPr>
        <w:t>2</w:t>
      </w:r>
      <w:r w:rsidR="00C46F5C" w:rsidRPr="008576F7">
        <w:rPr>
          <w:rFonts w:eastAsia="Times New Roman" w:cs="Times New Roman"/>
          <w:szCs w:val="19"/>
          <w:lang w:val="en-US" w:eastAsia="pl-PL"/>
        </w:rPr>
        <w:t>.</w:t>
      </w:r>
      <w:r w:rsidR="0018717E" w:rsidRPr="008576F7">
        <w:rPr>
          <w:rFonts w:eastAsia="Times New Roman" w:cs="Times New Roman"/>
          <w:szCs w:val="19"/>
          <w:lang w:val="en-US" w:eastAsia="pl-PL"/>
        </w:rPr>
        <w:t>7</w:t>
      </w:r>
      <w:r w:rsidR="00D41384" w:rsidRPr="008576F7">
        <w:rPr>
          <w:rFonts w:eastAsia="Times New Roman" w:cs="Times New Roman"/>
          <w:szCs w:val="19"/>
          <w:lang w:val="en-US" w:eastAsia="pl-PL"/>
        </w:rPr>
        <w:t>%.</w:t>
      </w:r>
    </w:p>
    <w:p w14:paraId="46FBD310" w14:textId="414A9E3C" w:rsidR="004374E5" w:rsidRPr="008576F7" w:rsidRDefault="008C7011" w:rsidP="00216634">
      <w:pPr>
        <w:spacing w:line="288" w:lineRule="auto"/>
        <w:rPr>
          <w:rFonts w:eastAsia="Times New Roman" w:cs="Times New Roman"/>
          <w:szCs w:val="19"/>
          <w:lang w:val="en-US" w:eastAsia="pl-PL"/>
        </w:rPr>
      </w:pPr>
      <w:r w:rsidRPr="008576F7">
        <w:rPr>
          <w:b/>
          <w:noProof/>
          <w:spacing w:val="-2"/>
          <w:szCs w:val="19"/>
          <w:lang w:eastAsia="pl-PL"/>
        </w:rPr>
        <mc:AlternateContent>
          <mc:Choice Requires="wps">
            <w:drawing>
              <wp:anchor distT="45720" distB="45720" distL="114300" distR="114300" simplePos="0" relativeHeight="251674624" behindDoc="1" locked="0" layoutInCell="1" allowOverlap="1" wp14:anchorId="61994546" wp14:editId="64C632EC">
                <wp:simplePos x="0" y="0"/>
                <wp:positionH relativeFrom="column">
                  <wp:posOffset>5292725</wp:posOffset>
                </wp:positionH>
                <wp:positionV relativeFrom="paragraph">
                  <wp:posOffset>625475</wp:posOffset>
                </wp:positionV>
                <wp:extent cx="1463040" cy="1152525"/>
                <wp:effectExtent l="0" t="0" r="0" b="0"/>
                <wp:wrapTight wrapText="bothSides">
                  <wp:wrapPolygon edited="0">
                    <wp:start x="844" y="0"/>
                    <wp:lineTo x="844" y="21064"/>
                    <wp:lineTo x="20531" y="21064"/>
                    <wp:lineTo x="20531" y="0"/>
                    <wp:lineTo x="844" y="0"/>
                  </wp:wrapPolygon>
                </wp:wrapTight>
                <wp:docPr id="2" name="Pole tekstowe 2" descr="In 2025 net financial result of non-financial enterprises was by 13.5% higher than the year befo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52525"/>
                        </a:xfrm>
                        <a:prstGeom prst="rect">
                          <a:avLst/>
                        </a:prstGeom>
                        <a:noFill/>
                        <a:ln w="9525">
                          <a:noFill/>
                          <a:miter lim="800000"/>
                          <a:headEnd/>
                          <a:tailEnd/>
                        </a:ln>
                      </wps:spPr>
                      <wps:txbx>
                        <w:txbxContent>
                          <w:p w14:paraId="33B1B96C" w14:textId="6B9251C7" w:rsidR="00D07B6E" w:rsidRPr="00BE16FB" w:rsidRDefault="00D07B6E" w:rsidP="005F45EE">
                            <w:pPr>
                              <w:pStyle w:val="tekstzboku"/>
                              <w:rPr>
                                <w:bCs w:val="0"/>
                                <w:lang w:val="en-US"/>
                              </w:rPr>
                            </w:pPr>
                            <w:r w:rsidRPr="008576F7">
                              <w:rPr>
                                <w:lang w:val="en-US"/>
                              </w:rPr>
                              <w:t xml:space="preserve">In 2025 net financial result of non-financial enterprises was by </w:t>
                            </w:r>
                            <w:r w:rsidR="0091349A" w:rsidRPr="008576F7">
                              <w:rPr>
                                <w:lang w:val="en-US"/>
                              </w:rPr>
                              <w:t>1</w:t>
                            </w:r>
                            <w:r w:rsidR="00222B00" w:rsidRPr="008576F7">
                              <w:rPr>
                                <w:lang w:val="en-US"/>
                              </w:rPr>
                              <w:t>3</w:t>
                            </w:r>
                            <w:r w:rsidR="00443965" w:rsidRPr="008576F7">
                              <w:rPr>
                                <w:lang w:val="en-US"/>
                              </w:rPr>
                              <w:t>.</w:t>
                            </w:r>
                            <w:r w:rsidR="00222B00" w:rsidRPr="008576F7">
                              <w:rPr>
                                <w:lang w:val="en-US"/>
                              </w:rPr>
                              <w:t>5</w:t>
                            </w:r>
                            <w:r w:rsidRPr="008576F7">
                              <w:rPr>
                                <w:lang w:val="en-US"/>
                              </w:rPr>
                              <w:t>% higher than the year before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94546" id="_x0000_t202" coordsize="21600,21600" o:spt="202" path="m,l,21600r21600,l21600,xe">
                <v:stroke joinstyle="miter"/>
                <v:path gradientshapeok="t" o:connecttype="rect"/>
              </v:shapetype>
              <v:shape id="_x0000_s1027" type="#_x0000_t202" alt="In 2025 net financial result of non-financial enterprises was by 13.5% higher than the year before" style="position:absolute;margin-left:416.75pt;margin-top:49.25pt;width:115.2pt;height:90.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" filled="f" stroked="f">
                <v:textbox>
                  <w:txbxContent>
                    <w:p w14:paraId="33B1B96C" w14:textId="6B9251C7" w:rsidR="00D07B6E" w:rsidRPr="00BE16FB" w:rsidRDefault="00D07B6E" w:rsidP="005F45EE">
                      <w:pPr>
                        <w:pStyle w:val="tekstzboku"/>
                        <w:rPr>
                          <w:bCs w:val="0"/>
                          <w:lang w:val="en-US"/>
                        </w:rPr>
                      </w:pPr>
                      <w:r w:rsidRPr="008576F7">
                        <w:rPr>
                          <w:lang w:val="en-US"/>
                        </w:rPr>
                        <w:t xml:space="preserve">In 2025 net financial result of non-financial enterprises was by </w:t>
                      </w:r>
                      <w:r w:rsidR="0091349A" w:rsidRPr="008576F7">
                        <w:rPr>
                          <w:lang w:val="en-US"/>
                        </w:rPr>
                        <w:t>1</w:t>
                      </w:r>
                      <w:r w:rsidR="00222B00" w:rsidRPr="008576F7">
                        <w:rPr>
                          <w:lang w:val="en-US"/>
                        </w:rPr>
                        <w:t>3</w:t>
                      </w:r>
                      <w:r w:rsidR="00443965" w:rsidRPr="008576F7">
                        <w:rPr>
                          <w:lang w:val="en-US"/>
                        </w:rPr>
                        <w:t>.</w:t>
                      </w:r>
                      <w:r w:rsidR="00222B00" w:rsidRPr="008576F7">
                        <w:rPr>
                          <w:lang w:val="en-US"/>
                        </w:rPr>
                        <w:t>5</w:t>
                      </w:r>
                      <w:r w:rsidRPr="008576F7">
                        <w:rPr>
                          <w:lang w:val="en-US"/>
                        </w:rPr>
                        <w:t>% higher than the year before</w:t>
                      </w:r>
                    </w:p>
                  </w:txbxContent>
                </v:textbox>
                <w10:wrap type="tight"/>
              </v:shape>
            </w:pict>
          </mc:Fallback>
        </mc:AlternateContent>
      </w:r>
      <w:r w:rsidR="000D6B79" w:rsidRPr="008576F7">
        <w:rPr>
          <w:rFonts w:eastAsia="Times New Roman" w:cs="Times New Roman"/>
          <w:szCs w:val="19"/>
          <w:lang w:val="en-US" w:eastAsia="pl-PL"/>
        </w:rPr>
        <w:t>The financial result from the sale of products, goods</w:t>
      </w:r>
      <w:r w:rsidR="00D51B63" w:rsidRPr="008576F7">
        <w:rPr>
          <w:rFonts w:eastAsia="Times New Roman" w:cs="Times New Roman"/>
          <w:szCs w:val="19"/>
          <w:lang w:val="en-US" w:eastAsia="pl-PL"/>
        </w:rPr>
        <w:t xml:space="preserve"> and materials amounted to </w:t>
      </w:r>
      <w:r w:rsidR="00D616E2" w:rsidRPr="008576F7">
        <w:rPr>
          <w:rFonts w:eastAsia="Times New Roman" w:cs="Times New Roman"/>
          <w:szCs w:val="19"/>
          <w:lang w:val="en-US" w:eastAsia="pl-PL"/>
        </w:rPr>
        <w:t>233</w:t>
      </w:r>
      <w:r w:rsidR="00C46F5C" w:rsidRPr="008576F7">
        <w:rPr>
          <w:rFonts w:eastAsia="Times New Roman" w:cs="Times New Roman"/>
          <w:szCs w:val="19"/>
          <w:lang w:val="en-US" w:eastAsia="pl-PL"/>
        </w:rPr>
        <w:t>.</w:t>
      </w:r>
      <w:r w:rsidR="00D616E2" w:rsidRPr="008576F7">
        <w:rPr>
          <w:rFonts w:eastAsia="Times New Roman" w:cs="Times New Roman"/>
          <w:szCs w:val="19"/>
          <w:lang w:val="en-US" w:eastAsia="pl-PL"/>
        </w:rPr>
        <w:t>1</w:t>
      </w:r>
      <w:r w:rsidR="00D51B63" w:rsidRPr="008576F7">
        <w:rPr>
          <w:rFonts w:eastAsia="Times New Roman" w:cs="Times New Roman"/>
          <w:szCs w:val="19"/>
          <w:lang w:val="en-US" w:eastAsia="pl-PL"/>
        </w:rPr>
        <w:t xml:space="preserve"> bn PLN and was by </w:t>
      </w:r>
      <w:r w:rsidR="006322E0" w:rsidRPr="008576F7">
        <w:rPr>
          <w:rFonts w:eastAsia="Times New Roman" w:cs="Times New Roman"/>
          <w:szCs w:val="19"/>
          <w:lang w:val="en-US" w:eastAsia="pl-PL"/>
        </w:rPr>
        <w:t>6</w:t>
      </w:r>
      <w:r w:rsidR="00C46F5C" w:rsidRPr="008576F7">
        <w:rPr>
          <w:rFonts w:eastAsia="Times New Roman" w:cs="Times New Roman"/>
          <w:szCs w:val="19"/>
          <w:lang w:val="en-US" w:eastAsia="pl-PL"/>
        </w:rPr>
        <w:t>.</w:t>
      </w:r>
      <w:r w:rsidR="006322E0" w:rsidRPr="008576F7">
        <w:rPr>
          <w:rFonts w:eastAsia="Times New Roman" w:cs="Times New Roman"/>
          <w:szCs w:val="19"/>
          <w:lang w:val="en-US" w:eastAsia="pl-PL"/>
        </w:rPr>
        <w:t>7</w:t>
      </w:r>
      <w:r w:rsidR="00993E1F" w:rsidRPr="008576F7">
        <w:rPr>
          <w:rFonts w:eastAsia="Times New Roman" w:cs="Times New Roman"/>
          <w:szCs w:val="19"/>
          <w:lang w:val="en-US" w:eastAsia="pl-PL"/>
        </w:rPr>
        <w:t xml:space="preserve">% </w:t>
      </w:r>
      <w:r w:rsidR="00422D7F" w:rsidRPr="008576F7">
        <w:rPr>
          <w:rFonts w:eastAsia="Times New Roman" w:cs="Times New Roman"/>
          <w:szCs w:val="19"/>
          <w:lang w:val="en-US" w:eastAsia="pl-PL"/>
        </w:rPr>
        <w:t>higher</w:t>
      </w:r>
      <w:r w:rsidR="000D6B79" w:rsidRPr="008576F7">
        <w:rPr>
          <w:rFonts w:eastAsia="Times New Roman" w:cs="Times New Roman"/>
          <w:szCs w:val="19"/>
          <w:lang w:val="en-US" w:eastAsia="pl-PL"/>
        </w:rPr>
        <w:t xml:space="preserve"> </w:t>
      </w:r>
      <w:r w:rsidR="003D2165" w:rsidRPr="008576F7">
        <w:rPr>
          <w:rFonts w:eastAsia="Times New Roman" w:cs="Times New Roman"/>
          <w:szCs w:val="19"/>
          <w:lang w:val="en-US" w:eastAsia="pl-PL"/>
        </w:rPr>
        <w:t xml:space="preserve">than in </w:t>
      </w:r>
      <w:r w:rsidR="00755FFF" w:rsidRPr="008576F7">
        <w:rPr>
          <w:rFonts w:eastAsia="Times New Roman" w:cs="Times New Roman"/>
          <w:szCs w:val="19"/>
          <w:lang w:val="en-US" w:eastAsia="pl-PL"/>
        </w:rPr>
        <w:t>202</w:t>
      </w:r>
      <w:r w:rsidR="00422D7F" w:rsidRPr="008576F7">
        <w:rPr>
          <w:rFonts w:eastAsia="Times New Roman" w:cs="Times New Roman"/>
          <w:szCs w:val="19"/>
          <w:lang w:val="en-US" w:eastAsia="pl-PL"/>
        </w:rPr>
        <w:t>4</w:t>
      </w:r>
      <w:r w:rsidR="000D6B79" w:rsidRPr="008576F7">
        <w:rPr>
          <w:rFonts w:eastAsia="Times New Roman" w:cs="Times New Roman"/>
          <w:szCs w:val="19"/>
          <w:lang w:val="en-US" w:eastAsia="pl-PL"/>
        </w:rPr>
        <w:t>. The financial result from other ope</w:t>
      </w:r>
      <w:r w:rsidR="008D74AD" w:rsidRPr="008576F7">
        <w:rPr>
          <w:rFonts w:eastAsia="Times New Roman" w:cs="Times New Roman"/>
          <w:szCs w:val="19"/>
          <w:lang w:val="en-US" w:eastAsia="pl-PL"/>
        </w:rPr>
        <w:t>ratin</w:t>
      </w:r>
      <w:r w:rsidR="004C38CE" w:rsidRPr="008576F7">
        <w:rPr>
          <w:rFonts w:eastAsia="Times New Roman" w:cs="Times New Roman"/>
          <w:szCs w:val="19"/>
          <w:lang w:val="en-US" w:eastAsia="pl-PL"/>
        </w:rPr>
        <w:t>g activity amounted t</w:t>
      </w:r>
      <w:r w:rsidR="00D51B63" w:rsidRPr="008576F7">
        <w:rPr>
          <w:rFonts w:eastAsia="Times New Roman" w:cs="Times New Roman"/>
          <w:szCs w:val="19"/>
          <w:lang w:val="en-US" w:eastAsia="pl-PL"/>
        </w:rPr>
        <w:t xml:space="preserve">o </w:t>
      </w:r>
      <w:r w:rsidR="00A925A7" w:rsidRPr="008576F7">
        <w:rPr>
          <w:rFonts w:eastAsia="Times New Roman" w:cs="Times New Roman"/>
          <w:szCs w:val="19"/>
          <w:lang w:val="en-US" w:eastAsia="pl-PL"/>
        </w:rPr>
        <w:t>1</w:t>
      </w:r>
      <w:r w:rsidR="006322E0" w:rsidRPr="008576F7">
        <w:rPr>
          <w:rFonts w:eastAsia="Times New Roman" w:cs="Times New Roman"/>
          <w:szCs w:val="19"/>
          <w:lang w:val="en-US" w:eastAsia="pl-PL"/>
        </w:rPr>
        <w:t>3</w:t>
      </w:r>
      <w:r w:rsidR="00C46F5C" w:rsidRPr="008576F7">
        <w:rPr>
          <w:rFonts w:eastAsia="Times New Roman" w:cs="Times New Roman"/>
          <w:szCs w:val="19"/>
          <w:lang w:val="en-US" w:eastAsia="pl-PL"/>
        </w:rPr>
        <w:t>.</w:t>
      </w:r>
      <w:r w:rsidR="006322E0" w:rsidRPr="008576F7">
        <w:rPr>
          <w:rFonts w:eastAsia="Times New Roman" w:cs="Times New Roman"/>
          <w:szCs w:val="19"/>
          <w:lang w:val="en-US" w:eastAsia="pl-PL"/>
        </w:rPr>
        <w:t>8</w:t>
      </w:r>
      <w:r w:rsidR="00542A35" w:rsidRPr="008576F7">
        <w:rPr>
          <w:rFonts w:eastAsia="Times New Roman" w:cs="Times New Roman"/>
          <w:szCs w:val="19"/>
          <w:lang w:val="en-US" w:eastAsia="pl-PL"/>
        </w:rPr>
        <w:t xml:space="preserve"> bn PLN and was </w:t>
      </w:r>
      <w:r w:rsidR="0012073D" w:rsidRPr="008576F7">
        <w:rPr>
          <w:rFonts w:eastAsia="Times New Roman" w:cs="Times New Roman"/>
          <w:szCs w:val="19"/>
          <w:lang w:val="en-US" w:eastAsia="pl-PL"/>
        </w:rPr>
        <w:t>higher</w:t>
      </w:r>
      <w:r w:rsidR="00D51B63" w:rsidRPr="008576F7">
        <w:rPr>
          <w:rFonts w:eastAsia="Times New Roman" w:cs="Times New Roman"/>
          <w:szCs w:val="19"/>
          <w:lang w:val="en-US" w:eastAsia="pl-PL"/>
        </w:rPr>
        <w:t xml:space="preserve"> by </w:t>
      </w:r>
      <w:r w:rsidR="0012073D" w:rsidRPr="008576F7">
        <w:rPr>
          <w:rFonts w:eastAsia="Times New Roman" w:cs="Times New Roman"/>
          <w:szCs w:val="19"/>
          <w:lang w:val="en-US" w:eastAsia="pl-PL"/>
        </w:rPr>
        <w:t>1</w:t>
      </w:r>
      <w:r w:rsidR="006322E0" w:rsidRPr="008576F7">
        <w:rPr>
          <w:rFonts w:eastAsia="Times New Roman" w:cs="Times New Roman"/>
          <w:szCs w:val="19"/>
          <w:lang w:val="en-US" w:eastAsia="pl-PL"/>
        </w:rPr>
        <w:t>1</w:t>
      </w:r>
      <w:r w:rsidR="00C46F5C" w:rsidRPr="008576F7">
        <w:rPr>
          <w:rFonts w:eastAsia="Times New Roman" w:cs="Times New Roman"/>
          <w:szCs w:val="19"/>
          <w:lang w:val="en-US" w:eastAsia="pl-PL"/>
        </w:rPr>
        <w:t>.</w:t>
      </w:r>
      <w:r w:rsidR="00B53AA7" w:rsidRPr="008576F7">
        <w:rPr>
          <w:rFonts w:eastAsia="Times New Roman" w:cs="Times New Roman"/>
          <w:szCs w:val="19"/>
          <w:lang w:val="en-US" w:eastAsia="pl-PL"/>
        </w:rPr>
        <w:t>7</w:t>
      </w:r>
      <w:r w:rsidR="0084342E" w:rsidRPr="008576F7">
        <w:rPr>
          <w:rFonts w:eastAsia="Times New Roman" w:cs="Times New Roman"/>
          <w:szCs w:val="19"/>
          <w:lang w:val="en-US" w:eastAsia="pl-PL"/>
        </w:rPr>
        <w:t xml:space="preserve"> bn PLN over the</w:t>
      </w:r>
      <w:r w:rsidR="006A3A0F" w:rsidRPr="008576F7">
        <w:rPr>
          <w:rFonts w:eastAsia="Times New Roman" w:cs="Times New Roman"/>
          <w:szCs w:val="19"/>
          <w:lang w:val="en-US" w:eastAsia="pl-PL"/>
        </w:rPr>
        <w:t xml:space="preserve"> year</w:t>
      </w:r>
      <w:r w:rsidR="00A925A7" w:rsidRPr="008576F7">
        <w:rPr>
          <w:rFonts w:eastAsia="Times New Roman" w:cs="Times New Roman"/>
          <w:szCs w:val="19"/>
          <w:lang w:val="en-US" w:eastAsia="pl-PL"/>
        </w:rPr>
        <w:t xml:space="preserve">, </w:t>
      </w:r>
      <w:r w:rsidR="004436B6" w:rsidRPr="008576F7">
        <w:rPr>
          <w:rFonts w:eastAsia="Times New Roman" w:cs="Times New Roman"/>
          <w:szCs w:val="19"/>
          <w:lang w:val="en-US" w:eastAsia="pl-PL"/>
        </w:rPr>
        <w:t xml:space="preserve">the </w:t>
      </w:r>
      <w:r w:rsidR="0012073D" w:rsidRPr="008576F7">
        <w:rPr>
          <w:rFonts w:eastAsia="Times New Roman" w:cs="Times New Roman"/>
          <w:szCs w:val="19"/>
          <w:lang w:val="en-US" w:eastAsia="pl-PL"/>
        </w:rPr>
        <w:t>result on financial activities</w:t>
      </w:r>
      <w:r w:rsidR="00A925A7" w:rsidRPr="008576F7">
        <w:rPr>
          <w:rFonts w:eastAsia="Times New Roman" w:cs="Times New Roman"/>
          <w:szCs w:val="19"/>
          <w:lang w:val="en-US" w:eastAsia="pl-PL"/>
        </w:rPr>
        <w:t xml:space="preserve"> amounted to</w:t>
      </w:r>
      <w:r w:rsidR="006322E0" w:rsidRPr="008576F7">
        <w:rPr>
          <w:rFonts w:eastAsia="Times New Roman" w:cs="Times New Roman"/>
          <w:szCs w:val="19"/>
          <w:lang w:val="en-US" w:eastAsia="pl-PL"/>
        </w:rPr>
        <w:t xml:space="preserve"> minus</w:t>
      </w:r>
      <w:r w:rsidR="00A925A7" w:rsidRPr="008576F7">
        <w:rPr>
          <w:rFonts w:eastAsia="Times New Roman" w:cs="Times New Roman"/>
          <w:szCs w:val="19"/>
          <w:lang w:val="en-US" w:eastAsia="pl-PL"/>
        </w:rPr>
        <w:t xml:space="preserve"> </w:t>
      </w:r>
      <w:r w:rsidR="0018717E" w:rsidRPr="008576F7">
        <w:rPr>
          <w:rFonts w:eastAsia="Times New Roman" w:cs="Times New Roman"/>
          <w:szCs w:val="19"/>
          <w:lang w:val="en-US" w:eastAsia="pl-PL"/>
        </w:rPr>
        <w:t>1</w:t>
      </w:r>
      <w:r w:rsidR="00A925A7" w:rsidRPr="008576F7">
        <w:rPr>
          <w:rFonts w:eastAsia="Times New Roman" w:cs="Times New Roman"/>
          <w:szCs w:val="19"/>
          <w:lang w:val="en-US" w:eastAsia="pl-PL"/>
        </w:rPr>
        <w:t>.</w:t>
      </w:r>
      <w:r w:rsidR="006322E0" w:rsidRPr="008576F7">
        <w:rPr>
          <w:rFonts w:eastAsia="Times New Roman" w:cs="Times New Roman"/>
          <w:szCs w:val="19"/>
          <w:lang w:val="en-US" w:eastAsia="pl-PL"/>
        </w:rPr>
        <w:t>5</w:t>
      </w:r>
      <w:r w:rsidR="00A925A7" w:rsidRPr="008576F7">
        <w:rPr>
          <w:rFonts w:eastAsia="Times New Roman" w:cs="Times New Roman"/>
          <w:szCs w:val="19"/>
          <w:lang w:val="en-US" w:eastAsia="pl-PL"/>
        </w:rPr>
        <w:t xml:space="preserve"> bn PLN </w:t>
      </w:r>
      <w:r w:rsidR="00565BBA" w:rsidRPr="008576F7">
        <w:rPr>
          <w:rFonts w:eastAsia="Times New Roman" w:cs="Times New Roman"/>
          <w:szCs w:val="19"/>
          <w:lang w:val="en-US" w:eastAsia="pl-PL"/>
        </w:rPr>
        <w:t>compared to</w:t>
      </w:r>
      <w:r w:rsidR="00BA03D9" w:rsidRPr="008576F7">
        <w:rPr>
          <w:rFonts w:eastAsia="Times New Roman" w:cs="Times New Roman"/>
          <w:szCs w:val="19"/>
          <w:lang w:val="en-US" w:eastAsia="pl-PL"/>
        </w:rPr>
        <w:t xml:space="preserve"> </w:t>
      </w:r>
      <w:r w:rsidR="00565BBA" w:rsidRPr="008576F7">
        <w:rPr>
          <w:rFonts w:eastAsia="Times New Roman" w:cs="Times New Roman"/>
          <w:szCs w:val="19"/>
          <w:lang w:val="en-US" w:eastAsia="pl-PL"/>
        </w:rPr>
        <w:t xml:space="preserve">minus </w:t>
      </w:r>
      <w:r w:rsidR="006322E0" w:rsidRPr="008576F7">
        <w:rPr>
          <w:rFonts w:eastAsia="Times New Roman" w:cs="Times New Roman"/>
          <w:szCs w:val="19"/>
          <w:lang w:val="en-US" w:eastAsia="pl-PL"/>
        </w:rPr>
        <w:t>2</w:t>
      </w:r>
      <w:r w:rsidR="00BA03D9" w:rsidRPr="008576F7">
        <w:rPr>
          <w:rFonts w:eastAsia="Times New Roman" w:cs="Times New Roman"/>
          <w:szCs w:val="19"/>
          <w:lang w:val="en-US" w:eastAsia="pl-PL"/>
        </w:rPr>
        <w:t>.</w:t>
      </w:r>
      <w:r w:rsidR="006322E0" w:rsidRPr="008576F7">
        <w:rPr>
          <w:rFonts w:eastAsia="Times New Roman" w:cs="Times New Roman"/>
          <w:szCs w:val="19"/>
          <w:lang w:val="en-US" w:eastAsia="pl-PL"/>
        </w:rPr>
        <w:t>2</w:t>
      </w:r>
      <w:r w:rsidR="00BA03D9" w:rsidRPr="008576F7">
        <w:rPr>
          <w:rFonts w:eastAsia="Times New Roman" w:cs="Times New Roman"/>
          <w:szCs w:val="19"/>
          <w:lang w:val="en-US" w:eastAsia="pl-PL"/>
        </w:rPr>
        <w:t xml:space="preserve"> bn PLN </w:t>
      </w:r>
      <w:r w:rsidR="00565BBA" w:rsidRPr="008576F7">
        <w:rPr>
          <w:rFonts w:eastAsia="Times New Roman" w:cs="Times New Roman"/>
          <w:szCs w:val="19"/>
          <w:lang w:val="en-US" w:eastAsia="pl-PL"/>
        </w:rPr>
        <w:t xml:space="preserve">in </w:t>
      </w:r>
      <w:r w:rsidR="0012073D" w:rsidRPr="008576F7">
        <w:rPr>
          <w:rFonts w:eastAsia="Times New Roman" w:cs="Times New Roman"/>
          <w:szCs w:val="19"/>
          <w:lang w:val="en-US" w:eastAsia="pl-PL"/>
        </w:rPr>
        <w:t>2024</w:t>
      </w:r>
      <w:r w:rsidR="007A52AE" w:rsidRPr="008576F7">
        <w:rPr>
          <w:rFonts w:eastAsia="Times New Roman" w:cs="Times New Roman"/>
          <w:szCs w:val="19"/>
          <w:lang w:val="en-US" w:eastAsia="pl-PL"/>
        </w:rPr>
        <w:t>.</w:t>
      </w:r>
    </w:p>
    <w:p w14:paraId="45DCD9D7" w14:textId="25A9E065" w:rsidR="00DE6B58" w:rsidRDefault="00293571" w:rsidP="00216634">
      <w:pPr>
        <w:spacing w:line="288" w:lineRule="auto"/>
        <w:rPr>
          <w:rFonts w:eastAsia="Times New Roman" w:cs="Times New Roman"/>
          <w:szCs w:val="19"/>
          <w:lang w:val="en-US" w:eastAsia="pl-PL"/>
        </w:rPr>
      </w:pPr>
      <w:r w:rsidRPr="008576F7">
        <w:rPr>
          <w:rFonts w:eastAsia="Times New Roman" w:cs="Times New Roman"/>
          <w:szCs w:val="19"/>
          <w:lang w:val="en-US" w:eastAsia="pl-PL"/>
        </w:rPr>
        <w:t>Gross fi</w:t>
      </w:r>
      <w:r w:rsidR="00D64E79" w:rsidRPr="008576F7">
        <w:rPr>
          <w:rFonts w:eastAsia="Times New Roman" w:cs="Times New Roman"/>
          <w:szCs w:val="19"/>
          <w:lang w:val="en-US" w:eastAsia="pl-PL"/>
        </w:rPr>
        <w:t xml:space="preserve">nancial result amounted to </w:t>
      </w:r>
      <w:r w:rsidR="00C84078" w:rsidRPr="008576F7">
        <w:rPr>
          <w:rFonts w:eastAsia="Times New Roman" w:cs="Times New Roman"/>
          <w:szCs w:val="19"/>
          <w:lang w:val="en-US" w:eastAsia="pl-PL"/>
        </w:rPr>
        <w:t>245</w:t>
      </w:r>
      <w:r w:rsidR="00C46F5C" w:rsidRPr="008576F7">
        <w:rPr>
          <w:rFonts w:eastAsia="Times New Roman" w:cs="Times New Roman"/>
          <w:szCs w:val="19"/>
          <w:lang w:val="en-US" w:eastAsia="pl-PL"/>
        </w:rPr>
        <w:t>.</w:t>
      </w:r>
      <w:r w:rsidR="00C84078" w:rsidRPr="008576F7">
        <w:rPr>
          <w:rFonts w:eastAsia="Times New Roman" w:cs="Times New Roman"/>
          <w:szCs w:val="19"/>
          <w:lang w:val="en-US" w:eastAsia="pl-PL"/>
        </w:rPr>
        <w:t>3</w:t>
      </w:r>
      <w:r w:rsidR="00D64E79" w:rsidRPr="008576F7">
        <w:rPr>
          <w:rFonts w:eastAsia="Times New Roman" w:cs="Times New Roman"/>
          <w:szCs w:val="19"/>
          <w:lang w:val="en-US" w:eastAsia="pl-PL"/>
        </w:rPr>
        <w:t xml:space="preserve"> bn PLN </w:t>
      </w:r>
      <w:r w:rsidR="006A00AD" w:rsidRPr="008576F7">
        <w:rPr>
          <w:rFonts w:eastAsia="Times New Roman" w:cs="Times New Roman"/>
          <w:szCs w:val="19"/>
          <w:lang w:val="en-US" w:eastAsia="pl-PL"/>
        </w:rPr>
        <w:t>(</w:t>
      </w:r>
      <w:r w:rsidR="00D64E79" w:rsidRPr="008576F7">
        <w:rPr>
          <w:rFonts w:eastAsia="Times New Roman" w:cs="Times New Roman"/>
          <w:szCs w:val="19"/>
          <w:lang w:val="en-US" w:eastAsia="pl-PL"/>
        </w:rPr>
        <w:t xml:space="preserve">compared to </w:t>
      </w:r>
      <w:r w:rsidR="00C84078" w:rsidRPr="008576F7">
        <w:rPr>
          <w:rFonts w:eastAsia="Times New Roman" w:cs="Times New Roman"/>
          <w:szCs w:val="19"/>
          <w:lang w:val="en-US" w:eastAsia="pl-PL"/>
        </w:rPr>
        <w:t>218</w:t>
      </w:r>
      <w:r w:rsidR="00E276CE" w:rsidRPr="008576F7">
        <w:rPr>
          <w:rFonts w:eastAsia="Times New Roman" w:cs="Times New Roman"/>
          <w:szCs w:val="19"/>
          <w:lang w:val="en-US" w:eastAsia="pl-PL"/>
        </w:rPr>
        <w:t>.</w:t>
      </w:r>
      <w:r w:rsidR="00C84078" w:rsidRPr="008576F7">
        <w:rPr>
          <w:rFonts w:eastAsia="Times New Roman" w:cs="Times New Roman"/>
          <w:szCs w:val="19"/>
          <w:lang w:val="en-US" w:eastAsia="pl-PL"/>
        </w:rPr>
        <w:t>4</w:t>
      </w:r>
      <w:r w:rsidRPr="008576F7">
        <w:rPr>
          <w:rFonts w:eastAsia="Times New Roman" w:cs="Times New Roman"/>
          <w:szCs w:val="19"/>
          <w:lang w:val="en-US" w:eastAsia="pl-PL"/>
        </w:rPr>
        <w:t xml:space="preserve"> bn PLN </w:t>
      </w:r>
      <w:r w:rsidR="00473CCE" w:rsidRPr="008576F7">
        <w:rPr>
          <w:rFonts w:eastAsia="Times New Roman" w:cs="Times New Roman"/>
          <w:szCs w:val="19"/>
          <w:lang w:val="en-US" w:eastAsia="pl-PL"/>
        </w:rPr>
        <w:t>in 2024</w:t>
      </w:r>
      <w:r w:rsidR="006A00AD" w:rsidRPr="008576F7">
        <w:rPr>
          <w:rFonts w:eastAsia="Times New Roman" w:cs="Times New Roman"/>
          <w:szCs w:val="19"/>
          <w:lang w:val="en-US" w:eastAsia="pl-PL"/>
        </w:rPr>
        <w:t>)</w:t>
      </w:r>
      <w:r w:rsidRPr="008576F7">
        <w:rPr>
          <w:rFonts w:eastAsia="Times New Roman" w:cs="Times New Roman"/>
          <w:szCs w:val="19"/>
          <w:lang w:val="en-US" w:eastAsia="pl-PL"/>
        </w:rPr>
        <w:t xml:space="preserve"> and its obligato</w:t>
      </w:r>
      <w:r w:rsidR="00E60A80" w:rsidRPr="008576F7">
        <w:rPr>
          <w:rFonts w:eastAsia="Times New Roman" w:cs="Times New Roman"/>
          <w:szCs w:val="19"/>
          <w:lang w:val="en-US" w:eastAsia="pl-PL"/>
        </w:rPr>
        <w:t xml:space="preserve">ry </w:t>
      </w:r>
      <w:r w:rsidR="00995408" w:rsidRPr="008576F7">
        <w:rPr>
          <w:rFonts w:eastAsia="Times New Roman" w:cs="Times New Roman"/>
          <w:szCs w:val="19"/>
          <w:lang w:val="en-US" w:eastAsia="pl-PL"/>
        </w:rPr>
        <w:t xml:space="preserve">encumbrances </w:t>
      </w:r>
      <w:r w:rsidR="00C46F5C" w:rsidRPr="008576F7">
        <w:rPr>
          <w:rFonts w:eastAsia="Times New Roman" w:cs="Times New Roman"/>
          <w:szCs w:val="19"/>
          <w:lang w:val="en-US" w:eastAsia="pl-PL"/>
        </w:rPr>
        <w:t xml:space="preserve">amounted to </w:t>
      </w:r>
      <w:r w:rsidR="00C84078" w:rsidRPr="008576F7">
        <w:rPr>
          <w:rFonts w:eastAsia="Times New Roman" w:cs="Times New Roman"/>
          <w:szCs w:val="19"/>
          <w:lang w:val="en-US" w:eastAsia="pl-PL"/>
        </w:rPr>
        <w:t>48</w:t>
      </w:r>
      <w:r w:rsidR="00C46F5C" w:rsidRPr="008576F7">
        <w:rPr>
          <w:rFonts w:eastAsia="Times New Roman" w:cs="Times New Roman"/>
          <w:szCs w:val="19"/>
          <w:lang w:val="en-US" w:eastAsia="pl-PL"/>
        </w:rPr>
        <w:t>.</w:t>
      </w:r>
      <w:r w:rsidR="00C84078" w:rsidRPr="008576F7">
        <w:rPr>
          <w:rFonts w:eastAsia="Times New Roman" w:cs="Times New Roman"/>
          <w:szCs w:val="19"/>
          <w:lang w:val="en-US" w:eastAsia="pl-PL"/>
        </w:rPr>
        <w:t>3</w:t>
      </w:r>
      <w:r w:rsidR="00D64E79" w:rsidRPr="008576F7">
        <w:rPr>
          <w:rFonts w:eastAsia="Times New Roman" w:cs="Times New Roman"/>
          <w:szCs w:val="19"/>
          <w:lang w:val="en-US" w:eastAsia="pl-PL"/>
        </w:rPr>
        <w:t xml:space="preserve"> bn PLN (compared to </w:t>
      </w:r>
      <w:r w:rsidR="00C84078" w:rsidRPr="008576F7">
        <w:rPr>
          <w:rFonts w:eastAsia="Times New Roman" w:cs="Times New Roman"/>
          <w:szCs w:val="19"/>
          <w:lang w:val="en-US" w:eastAsia="pl-PL"/>
        </w:rPr>
        <w:t>44</w:t>
      </w:r>
      <w:r w:rsidR="00C46F5C" w:rsidRPr="008576F7">
        <w:rPr>
          <w:rFonts w:eastAsia="Times New Roman" w:cs="Times New Roman"/>
          <w:szCs w:val="19"/>
          <w:lang w:val="en-US" w:eastAsia="pl-PL"/>
        </w:rPr>
        <w:t>.</w:t>
      </w:r>
      <w:r w:rsidR="00C84078" w:rsidRPr="008576F7">
        <w:rPr>
          <w:rFonts w:eastAsia="Times New Roman" w:cs="Times New Roman"/>
          <w:szCs w:val="19"/>
          <w:lang w:val="en-US" w:eastAsia="pl-PL"/>
        </w:rPr>
        <w:t>7</w:t>
      </w:r>
      <w:r w:rsidRPr="008576F7">
        <w:rPr>
          <w:rFonts w:eastAsia="Times New Roman" w:cs="Times New Roman"/>
          <w:szCs w:val="19"/>
          <w:lang w:val="en-US" w:eastAsia="pl-PL"/>
        </w:rPr>
        <w:t xml:space="preserve"> bn PLN</w:t>
      </w:r>
      <w:r w:rsidR="003560D5" w:rsidRPr="008576F7">
        <w:rPr>
          <w:rFonts w:eastAsia="Times New Roman" w:cs="Times New Roman"/>
          <w:szCs w:val="19"/>
          <w:lang w:val="en-US" w:eastAsia="pl-PL"/>
        </w:rPr>
        <w:t xml:space="preserve"> a year </w:t>
      </w:r>
      <w:r w:rsidR="002A184F">
        <w:rPr>
          <w:rFonts w:eastAsia="Times New Roman" w:cs="Times New Roman"/>
          <w:szCs w:val="19"/>
          <w:lang w:val="en-US" w:eastAsia="pl-PL"/>
        </w:rPr>
        <w:t>before</w:t>
      </w:r>
      <w:r w:rsidRPr="008576F7">
        <w:rPr>
          <w:rFonts w:eastAsia="Times New Roman" w:cs="Times New Roman"/>
          <w:szCs w:val="19"/>
          <w:lang w:val="en-US" w:eastAsia="pl-PL"/>
        </w:rPr>
        <w:t>). Net fi</w:t>
      </w:r>
      <w:r w:rsidR="00F651F5" w:rsidRPr="008576F7">
        <w:rPr>
          <w:rFonts w:eastAsia="Times New Roman" w:cs="Times New Roman"/>
          <w:szCs w:val="19"/>
          <w:lang w:val="en-US" w:eastAsia="pl-PL"/>
        </w:rPr>
        <w:t xml:space="preserve">nancial result amounted to </w:t>
      </w:r>
      <w:r w:rsidR="00276722" w:rsidRPr="008576F7">
        <w:rPr>
          <w:rFonts w:eastAsia="Times New Roman" w:cs="Times New Roman"/>
          <w:szCs w:val="19"/>
          <w:lang w:val="en-US" w:eastAsia="pl-PL"/>
        </w:rPr>
        <w:t>1</w:t>
      </w:r>
      <w:r w:rsidR="00DB56EC" w:rsidRPr="008576F7">
        <w:rPr>
          <w:rFonts w:eastAsia="Times New Roman" w:cs="Times New Roman"/>
          <w:szCs w:val="19"/>
          <w:lang w:val="en-US" w:eastAsia="pl-PL"/>
        </w:rPr>
        <w:t>97</w:t>
      </w:r>
      <w:r w:rsidR="00C46F5C" w:rsidRPr="008576F7">
        <w:rPr>
          <w:rFonts w:eastAsia="Times New Roman" w:cs="Times New Roman"/>
          <w:szCs w:val="19"/>
          <w:lang w:val="en-US" w:eastAsia="pl-PL"/>
        </w:rPr>
        <w:t>.</w:t>
      </w:r>
      <w:r w:rsidR="00DB56EC" w:rsidRPr="008576F7">
        <w:rPr>
          <w:rFonts w:eastAsia="Times New Roman" w:cs="Times New Roman"/>
          <w:szCs w:val="19"/>
          <w:lang w:val="en-US" w:eastAsia="pl-PL"/>
        </w:rPr>
        <w:t>1</w:t>
      </w:r>
      <w:r w:rsidR="00C250BE" w:rsidRPr="008576F7">
        <w:rPr>
          <w:rFonts w:eastAsia="Times New Roman" w:cs="Times New Roman"/>
          <w:szCs w:val="19"/>
          <w:lang w:val="en-US" w:eastAsia="pl-PL"/>
        </w:rPr>
        <w:t xml:space="preserve"> bn PLN and was </w:t>
      </w:r>
      <w:r w:rsidR="0036441F" w:rsidRPr="008576F7">
        <w:rPr>
          <w:rFonts w:eastAsia="Times New Roman" w:cs="Times New Roman"/>
          <w:szCs w:val="19"/>
          <w:lang w:val="en-US" w:eastAsia="pl-PL"/>
        </w:rPr>
        <w:t xml:space="preserve">by </w:t>
      </w:r>
      <w:r w:rsidR="0018717E" w:rsidRPr="008576F7">
        <w:rPr>
          <w:rFonts w:eastAsia="Times New Roman" w:cs="Times New Roman"/>
          <w:szCs w:val="19"/>
          <w:lang w:val="en-US" w:eastAsia="pl-PL"/>
        </w:rPr>
        <w:t>1</w:t>
      </w:r>
      <w:r w:rsidR="00DB56EC" w:rsidRPr="008576F7">
        <w:rPr>
          <w:rFonts w:eastAsia="Times New Roman" w:cs="Times New Roman"/>
          <w:szCs w:val="19"/>
          <w:lang w:val="en-US" w:eastAsia="pl-PL"/>
        </w:rPr>
        <w:t>3</w:t>
      </w:r>
      <w:r w:rsidR="00C46F5C" w:rsidRPr="008576F7">
        <w:rPr>
          <w:rFonts w:eastAsia="Times New Roman" w:cs="Times New Roman"/>
          <w:szCs w:val="19"/>
          <w:lang w:val="en-US" w:eastAsia="pl-PL"/>
        </w:rPr>
        <w:t>.</w:t>
      </w:r>
      <w:r w:rsidR="00DB56EC" w:rsidRPr="008576F7">
        <w:rPr>
          <w:rFonts w:eastAsia="Times New Roman" w:cs="Times New Roman"/>
          <w:szCs w:val="19"/>
          <w:lang w:val="en-US" w:eastAsia="pl-PL"/>
        </w:rPr>
        <w:t>5</w:t>
      </w:r>
      <w:r w:rsidR="00152F9B" w:rsidRPr="008576F7">
        <w:rPr>
          <w:rFonts w:eastAsia="Times New Roman" w:cs="Times New Roman"/>
          <w:szCs w:val="19"/>
          <w:lang w:val="en-US" w:eastAsia="pl-PL"/>
        </w:rPr>
        <w:t xml:space="preserve">% </w:t>
      </w:r>
      <w:r w:rsidR="00473CCE" w:rsidRPr="008576F7">
        <w:rPr>
          <w:rFonts w:eastAsia="Times New Roman" w:cs="Times New Roman"/>
          <w:szCs w:val="19"/>
          <w:lang w:val="en-US" w:eastAsia="pl-PL"/>
        </w:rPr>
        <w:t>higher</w:t>
      </w:r>
      <w:r w:rsidRPr="008576F7">
        <w:rPr>
          <w:rFonts w:eastAsia="Times New Roman" w:cs="Times New Roman"/>
          <w:szCs w:val="19"/>
          <w:lang w:val="en-US" w:eastAsia="pl-PL"/>
        </w:rPr>
        <w:t xml:space="preserve"> than the year before. </w:t>
      </w:r>
      <w:r w:rsidR="00F651F5" w:rsidRPr="008576F7">
        <w:rPr>
          <w:rFonts w:eastAsia="Times New Roman" w:cs="Times New Roman"/>
          <w:szCs w:val="19"/>
          <w:lang w:val="en-US" w:eastAsia="pl-PL"/>
        </w:rPr>
        <w:t xml:space="preserve">Net profit amounted to </w:t>
      </w:r>
      <w:r w:rsidR="00DB56EC" w:rsidRPr="008576F7">
        <w:rPr>
          <w:rFonts w:eastAsia="Times New Roman" w:cs="Times New Roman"/>
          <w:szCs w:val="19"/>
          <w:lang w:val="en-US" w:eastAsia="pl-PL"/>
        </w:rPr>
        <w:t>261</w:t>
      </w:r>
      <w:r w:rsidR="00C46F5C" w:rsidRPr="008576F7">
        <w:rPr>
          <w:rFonts w:eastAsia="Times New Roman" w:cs="Times New Roman"/>
          <w:szCs w:val="19"/>
          <w:lang w:val="en-US" w:eastAsia="pl-PL"/>
        </w:rPr>
        <w:t>.</w:t>
      </w:r>
      <w:r w:rsidR="0018717E" w:rsidRPr="008576F7">
        <w:rPr>
          <w:rFonts w:eastAsia="Times New Roman" w:cs="Times New Roman"/>
          <w:szCs w:val="19"/>
          <w:lang w:val="en-US" w:eastAsia="pl-PL"/>
        </w:rPr>
        <w:t>3</w:t>
      </w:r>
      <w:r w:rsidR="00402134" w:rsidRPr="008576F7">
        <w:rPr>
          <w:rFonts w:eastAsia="Times New Roman" w:cs="Times New Roman"/>
          <w:szCs w:val="19"/>
          <w:lang w:val="en-US" w:eastAsia="pl-PL"/>
        </w:rPr>
        <w:t xml:space="preserve"> bn PLN and was </w:t>
      </w:r>
      <w:r w:rsidR="00473CCE" w:rsidRPr="008576F7">
        <w:rPr>
          <w:rFonts w:eastAsia="Times New Roman" w:cs="Times New Roman"/>
          <w:szCs w:val="19"/>
          <w:lang w:val="en-US" w:eastAsia="pl-PL"/>
        </w:rPr>
        <w:t>higher</w:t>
      </w:r>
      <w:r w:rsidR="00F651F5" w:rsidRPr="008576F7">
        <w:rPr>
          <w:rFonts w:eastAsia="Times New Roman" w:cs="Times New Roman"/>
          <w:szCs w:val="19"/>
          <w:lang w:val="en-US" w:eastAsia="pl-PL"/>
        </w:rPr>
        <w:t xml:space="preserve"> by </w:t>
      </w:r>
      <w:r w:rsidR="0018717E" w:rsidRPr="008576F7">
        <w:rPr>
          <w:rFonts w:eastAsia="Times New Roman" w:cs="Times New Roman"/>
          <w:szCs w:val="19"/>
          <w:lang w:val="en-US" w:eastAsia="pl-PL"/>
        </w:rPr>
        <w:t>1</w:t>
      </w:r>
      <w:r w:rsidR="00DB56EC" w:rsidRPr="008576F7">
        <w:rPr>
          <w:rFonts w:eastAsia="Times New Roman" w:cs="Times New Roman"/>
          <w:szCs w:val="19"/>
          <w:lang w:val="en-US" w:eastAsia="pl-PL"/>
        </w:rPr>
        <w:t>8</w:t>
      </w:r>
      <w:r w:rsidR="00C46F5C" w:rsidRPr="008576F7">
        <w:rPr>
          <w:rFonts w:eastAsia="Times New Roman" w:cs="Times New Roman"/>
          <w:szCs w:val="19"/>
          <w:lang w:val="en-US" w:eastAsia="pl-PL"/>
        </w:rPr>
        <w:t>.</w:t>
      </w:r>
      <w:r w:rsidR="00DB56EC" w:rsidRPr="008576F7">
        <w:rPr>
          <w:rFonts w:eastAsia="Times New Roman" w:cs="Times New Roman"/>
          <w:szCs w:val="19"/>
          <w:lang w:val="en-US" w:eastAsia="pl-PL"/>
        </w:rPr>
        <w:t>6</w:t>
      </w:r>
      <w:r w:rsidRPr="008576F7">
        <w:rPr>
          <w:rFonts w:eastAsia="Times New Roman" w:cs="Times New Roman"/>
          <w:szCs w:val="19"/>
          <w:lang w:val="en-US" w:eastAsia="pl-PL"/>
        </w:rPr>
        <w:t xml:space="preserve"> bn PLN </w:t>
      </w:r>
      <w:r w:rsidR="00ED5FDC" w:rsidRPr="008576F7">
        <w:rPr>
          <w:rFonts w:eastAsia="Times New Roman" w:cs="Times New Roman"/>
          <w:szCs w:val="19"/>
          <w:lang w:val="en-US" w:eastAsia="pl-PL"/>
        </w:rPr>
        <w:t xml:space="preserve">(by </w:t>
      </w:r>
      <w:r w:rsidR="0018717E" w:rsidRPr="008576F7">
        <w:rPr>
          <w:rFonts w:eastAsia="Times New Roman" w:cs="Times New Roman"/>
          <w:szCs w:val="19"/>
          <w:lang w:val="en-US" w:eastAsia="pl-PL"/>
        </w:rPr>
        <w:t>7</w:t>
      </w:r>
      <w:r w:rsidR="00ED5FDC" w:rsidRPr="008576F7">
        <w:rPr>
          <w:rFonts w:eastAsia="Times New Roman" w:cs="Times New Roman"/>
          <w:szCs w:val="19"/>
          <w:lang w:val="en-US" w:eastAsia="pl-PL"/>
        </w:rPr>
        <w:t>.</w:t>
      </w:r>
      <w:r w:rsidR="00DB56EC" w:rsidRPr="008576F7">
        <w:rPr>
          <w:rFonts w:eastAsia="Times New Roman" w:cs="Times New Roman"/>
          <w:szCs w:val="19"/>
          <w:lang w:val="en-US" w:eastAsia="pl-PL"/>
        </w:rPr>
        <w:t>7</w:t>
      </w:r>
      <w:r w:rsidR="00ED5FDC" w:rsidRPr="008576F7">
        <w:rPr>
          <w:rFonts w:eastAsia="Times New Roman" w:cs="Times New Roman"/>
          <w:szCs w:val="19"/>
          <w:lang w:val="en-US" w:eastAsia="pl-PL"/>
        </w:rPr>
        <w:t xml:space="preserve">%) </w:t>
      </w:r>
      <w:r w:rsidR="00473CCE" w:rsidRPr="008576F7">
        <w:rPr>
          <w:rFonts w:eastAsia="Times New Roman" w:cs="Times New Roman"/>
          <w:szCs w:val="19"/>
          <w:lang w:val="en-US" w:eastAsia="pl-PL"/>
        </w:rPr>
        <w:t xml:space="preserve">than in 2024 </w:t>
      </w:r>
      <w:r w:rsidR="00AF1109" w:rsidRPr="008576F7">
        <w:rPr>
          <w:rFonts w:eastAsia="Times New Roman" w:cs="Times New Roman"/>
          <w:szCs w:val="19"/>
          <w:lang w:val="en-US" w:eastAsia="pl-PL"/>
        </w:rPr>
        <w:t>while n</w:t>
      </w:r>
      <w:r w:rsidR="008D34D6" w:rsidRPr="008576F7">
        <w:rPr>
          <w:rFonts w:eastAsia="Times New Roman" w:cs="Times New Roman"/>
          <w:szCs w:val="19"/>
          <w:lang w:val="en-US" w:eastAsia="pl-PL"/>
        </w:rPr>
        <w:t>et loss</w:t>
      </w:r>
      <w:r w:rsidR="00DB56EC" w:rsidRPr="008576F7">
        <w:rPr>
          <w:rFonts w:eastAsia="Times New Roman" w:cs="Times New Roman"/>
          <w:szCs w:val="19"/>
          <w:lang w:val="en-US" w:eastAsia="pl-PL"/>
        </w:rPr>
        <w:t xml:space="preserve"> amounted to </w:t>
      </w:r>
      <w:r w:rsidR="008F4F01" w:rsidRPr="008576F7">
        <w:rPr>
          <w:rFonts w:eastAsia="Times New Roman" w:cs="Times New Roman"/>
          <w:szCs w:val="19"/>
          <w:lang w:val="en-US" w:eastAsia="pl-PL"/>
        </w:rPr>
        <w:t>64</w:t>
      </w:r>
      <w:r w:rsidR="00DB56EC" w:rsidRPr="008576F7">
        <w:rPr>
          <w:rFonts w:eastAsia="Times New Roman" w:cs="Times New Roman"/>
          <w:szCs w:val="19"/>
          <w:lang w:val="en-US" w:eastAsia="pl-PL"/>
        </w:rPr>
        <w:t>.</w:t>
      </w:r>
      <w:r w:rsidR="008F4F01" w:rsidRPr="008576F7">
        <w:rPr>
          <w:rFonts w:eastAsia="Times New Roman" w:cs="Times New Roman"/>
          <w:szCs w:val="19"/>
          <w:lang w:val="en-US" w:eastAsia="pl-PL"/>
        </w:rPr>
        <w:t>2</w:t>
      </w:r>
      <w:r w:rsidR="00DB56EC" w:rsidRPr="008576F7">
        <w:rPr>
          <w:rFonts w:eastAsia="Times New Roman" w:cs="Times New Roman"/>
          <w:szCs w:val="19"/>
          <w:lang w:val="en-US" w:eastAsia="pl-PL"/>
        </w:rPr>
        <w:t xml:space="preserve"> bn PLN</w:t>
      </w:r>
      <w:r w:rsidR="008D34D6" w:rsidRPr="008576F7">
        <w:rPr>
          <w:rFonts w:eastAsia="Times New Roman" w:cs="Times New Roman"/>
          <w:szCs w:val="19"/>
          <w:lang w:val="en-US" w:eastAsia="pl-PL"/>
        </w:rPr>
        <w:t xml:space="preserve"> </w:t>
      </w:r>
      <w:r w:rsidR="008F4F01" w:rsidRPr="008576F7">
        <w:rPr>
          <w:rFonts w:eastAsia="Times New Roman" w:cs="Times New Roman"/>
          <w:szCs w:val="19"/>
          <w:lang w:val="en-US" w:eastAsia="pl-PL"/>
        </w:rPr>
        <w:t xml:space="preserve">and was lower by 4.8 bn PLN compared to the previous year. </w:t>
      </w:r>
      <w:r w:rsidR="00AA74FF" w:rsidRPr="008576F7">
        <w:rPr>
          <w:rFonts w:eastAsia="Times New Roman" w:cs="Times New Roman"/>
          <w:szCs w:val="19"/>
          <w:lang w:val="en-US" w:eastAsia="pl-PL"/>
        </w:rPr>
        <w:t>Net profit w</w:t>
      </w:r>
      <w:r w:rsidR="008D34D6" w:rsidRPr="008576F7">
        <w:rPr>
          <w:rFonts w:eastAsia="Times New Roman" w:cs="Times New Roman"/>
          <w:szCs w:val="19"/>
          <w:lang w:val="en-US" w:eastAsia="pl-PL"/>
        </w:rPr>
        <w:t xml:space="preserve">as recorded by </w:t>
      </w:r>
      <w:r w:rsidR="00276722" w:rsidRPr="008576F7">
        <w:rPr>
          <w:rFonts w:eastAsia="Times New Roman" w:cs="Times New Roman"/>
          <w:szCs w:val="19"/>
          <w:lang w:val="en-US" w:eastAsia="pl-PL"/>
        </w:rPr>
        <w:t>7</w:t>
      </w:r>
      <w:r w:rsidR="00016C07" w:rsidRPr="008576F7">
        <w:rPr>
          <w:rFonts w:eastAsia="Times New Roman" w:cs="Times New Roman"/>
          <w:szCs w:val="19"/>
          <w:lang w:val="en-US" w:eastAsia="pl-PL"/>
        </w:rPr>
        <w:t>8</w:t>
      </w:r>
      <w:r w:rsidR="00C46F5C" w:rsidRPr="008576F7">
        <w:rPr>
          <w:rFonts w:eastAsia="Times New Roman" w:cs="Times New Roman"/>
          <w:szCs w:val="19"/>
          <w:lang w:val="en-US" w:eastAsia="pl-PL"/>
        </w:rPr>
        <w:t>.</w:t>
      </w:r>
      <w:r w:rsidR="00016C07" w:rsidRPr="008576F7">
        <w:rPr>
          <w:rFonts w:eastAsia="Times New Roman" w:cs="Times New Roman"/>
          <w:szCs w:val="19"/>
          <w:lang w:val="en-US" w:eastAsia="pl-PL"/>
        </w:rPr>
        <w:t>1</w:t>
      </w:r>
      <w:r w:rsidRPr="008576F7">
        <w:rPr>
          <w:rFonts w:eastAsia="Times New Roman" w:cs="Times New Roman"/>
          <w:szCs w:val="19"/>
          <w:lang w:val="en-US" w:eastAsia="pl-PL"/>
        </w:rPr>
        <w:t>% of a</w:t>
      </w:r>
      <w:r w:rsidR="008D34D6" w:rsidRPr="008576F7">
        <w:rPr>
          <w:rFonts w:eastAsia="Times New Roman" w:cs="Times New Roman"/>
          <w:szCs w:val="19"/>
          <w:lang w:val="en-US" w:eastAsia="pl-PL"/>
        </w:rPr>
        <w:t xml:space="preserve">ll enterprises (compared to </w:t>
      </w:r>
      <w:r w:rsidR="00276722" w:rsidRPr="008576F7">
        <w:rPr>
          <w:rFonts w:eastAsia="Times New Roman" w:cs="Times New Roman"/>
          <w:szCs w:val="19"/>
          <w:lang w:val="en-US" w:eastAsia="pl-PL"/>
        </w:rPr>
        <w:t>7</w:t>
      </w:r>
      <w:r w:rsidR="00016C07" w:rsidRPr="008576F7">
        <w:rPr>
          <w:rFonts w:eastAsia="Times New Roman" w:cs="Times New Roman"/>
          <w:szCs w:val="19"/>
          <w:lang w:val="en-US" w:eastAsia="pl-PL"/>
        </w:rPr>
        <w:t>7</w:t>
      </w:r>
      <w:r w:rsidR="00C46F5C" w:rsidRPr="008576F7">
        <w:rPr>
          <w:rFonts w:eastAsia="Times New Roman" w:cs="Times New Roman"/>
          <w:szCs w:val="19"/>
          <w:lang w:val="en-US" w:eastAsia="pl-PL"/>
        </w:rPr>
        <w:t>.</w:t>
      </w:r>
      <w:r w:rsidR="00016C07" w:rsidRPr="008576F7">
        <w:rPr>
          <w:rFonts w:eastAsia="Times New Roman" w:cs="Times New Roman"/>
          <w:szCs w:val="19"/>
          <w:lang w:val="en-US" w:eastAsia="pl-PL"/>
        </w:rPr>
        <w:t>2</w:t>
      </w:r>
      <w:r w:rsidRPr="008576F7">
        <w:rPr>
          <w:rFonts w:eastAsia="Times New Roman" w:cs="Times New Roman"/>
          <w:szCs w:val="19"/>
          <w:lang w:val="en-US" w:eastAsia="pl-PL"/>
        </w:rPr>
        <w:t xml:space="preserve">% a year </w:t>
      </w:r>
      <w:r w:rsidR="002A184F">
        <w:rPr>
          <w:rFonts w:eastAsia="Times New Roman" w:cs="Times New Roman"/>
          <w:szCs w:val="19"/>
          <w:lang w:val="en-US" w:eastAsia="pl-PL"/>
        </w:rPr>
        <w:t>before</w:t>
      </w:r>
      <w:r w:rsidRPr="008576F7">
        <w:rPr>
          <w:rFonts w:eastAsia="Times New Roman" w:cs="Times New Roman"/>
          <w:szCs w:val="19"/>
          <w:lang w:val="en-US" w:eastAsia="pl-PL"/>
        </w:rPr>
        <w:t xml:space="preserve">) and </w:t>
      </w:r>
      <w:r w:rsidR="00680981" w:rsidRPr="008576F7">
        <w:rPr>
          <w:rFonts w:eastAsia="Times New Roman" w:cs="Times New Roman"/>
          <w:szCs w:val="19"/>
          <w:lang w:val="en-US" w:eastAsia="pl-PL"/>
        </w:rPr>
        <w:t>the revenues o</w:t>
      </w:r>
      <w:r w:rsidR="00F6527E" w:rsidRPr="008576F7">
        <w:rPr>
          <w:rFonts w:eastAsia="Times New Roman" w:cs="Times New Roman"/>
          <w:szCs w:val="19"/>
          <w:lang w:val="en-US" w:eastAsia="pl-PL"/>
        </w:rPr>
        <w:t xml:space="preserve">btained by them constituted </w:t>
      </w:r>
      <w:r w:rsidR="00FA7F1B" w:rsidRPr="008576F7">
        <w:rPr>
          <w:rFonts w:eastAsia="Times New Roman" w:cs="Times New Roman"/>
          <w:szCs w:val="19"/>
          <w:lang w:val="en-US" w:eastAsia="pl-PL"/>
        </w:rPr>
        <w:t>8</w:t>
      </w:r>
      <w:r w:rsidR="00016C07" w:rsidRPr="008576F7">
        <w:rPr>
          <w:rFonts w:eastAsia="Times New Roman" w:cs="Times New Roman"/>
          <w:szCs w:val="19"/>
          <w:lang w:val="en-US" w:eastAsia="pl-PL"/>
        </w:rPr>
        <w:t>5</w:t>
      </w:r>
      <w:r w:rsidR="007D530C" w:rsidRPr="008576F7">
        <w:rPr>
          <w:rFonts w:eastAsia="Times New Roman" w:cs="Times New Roman"/>
          <w:szCs w:val="19"/>
          <w:lang w:val="en-US" w:eastAsia="pl-PL"/>
        </w:rPr>
        <w:t>.</w:t>
      </w:r>
      <w:r w:rsidR="00016C07" w:rsidRPr="008576F7">
        <w:rPr>
          <w:rFonts w:eastAsia="Times New Roman" w:cs="Times New Roman"/>
          <w:szCs w:val="19"/>
          <w:lang w:val="en-US" w:eastAsia="pl-PL"/>
        </w:rPr>
        <w:t>1</w:t>
      </w:r>
      <w:r w:rsidR="00680981" w:rsidRPr="008576F7">
        <w:rPr>
          <w:rFonts w:eastAsia="Times New Roman" w:cs="Times New Roman"/>
          <w:szCs w:val="19"/>
          <w:lang w:val="en-US" w:eastAsia="pl-PL"/>
        </w:rPr>
        <w:t>% of total revenues of the survey</w:t>
      </w:r>
      <w:r w:rsidR="00F6527E" w:rsidRPr="008576F7">
        <w:rPr>
          <w:rFonts w:eastAsia="Times New Roman" w:cs="Times New Roman"/>
          <w:szCs w:val="19"/>
          <w:lang w:val="en-US" w:eastAsia="pl-PL"/>
        </w:rPr>
        <w:t xml:space="preserve">ed enterprises </w:t>
      </w:r>
      <w:r w:rsidR="008D34D6" w:rsidRPr="008576F7">
        <w:rPr>
          <w:rFonts w:eastAsia="Times New Roman" w:cs="Times New Roman"/>
          <w:szCs w:val="19"/>
          <w:lang w:val="en-US" w:eastAsia="pl-PL"/>
        </w:rPr>
        <w:t xml:space="preserve">(compared to </w:t>
      </w:r>
      <w:r w:rsidR="005961D3" w:rsidRPr="008576F7">
        <w:rPr>
          <w:rFonts w:eastAsia="Times New Roman" w:cs="Times New Roman"/>
          <w:szCs w:val="19"/>
          <w:lang w:val="en-US" w:eastAsia="pl-PL"/>
        </w:rPr>
        <w:t>8</w:t>
      </w:r>
      <w:r w:rsidR="00016C07" w:rsidRPr="008576F7">
        <w:rPr>
          <w:rFonts w:eastAsia="Times New Roman" w:cs="Times New Roman"/>
          <w:szCs w:val="19"/>
          <w:lang w:val="en-US" w:eastAsia="pl-PL"/>
        </w:rPr>
        <w:t>2</w:t>
      </w:r>
      <w:r w:rsidR="00C46F5C" w:rsidRPr="008576F7">
        <w:rPr>
          <w:rFonts w:eastAsia="Times New Roman" w:cs="Times New Roman"/>
          <w:szCs w:val="19"/>
          <w:lang w:val="en-US" w:eastAsia="pl-PL"/>
        </w:rPr>
        <w:t>.</w:t>
      </w:r>
      <w:r w:rsidR="00016C07" w:rsidRPr="008576F7">
        <w:rPr>
          <w:rFonts w:eastAsia="Times New Roman" w:cs="Times New Roman"/>
          <w:szCs w:val="19"/>
          <w:lang w:val="en-US" w:eastAsia="pl-PL"/>
        </w:rPr>
        <w:t>9</w:t>
      </w:r>
      <w:r w:rsidR="00680981" w:rsidRPr="008576F7">
        <w:rPr>
          <w:rFonts w:eastAsia="Times New Roman" w:cs="Times New Roman"/>
          <w:szCs w:val="19"/>
          <w:lang w:val="en-US" w:eastAsia="pl-PL"/>
        </w:rPr>
        <w:t xml:space="preserve">% the year before). </w:t>
      </w:r>
      <w:r w:rsidRPr="008576F7">
        <w:rPr>
          <w:rFonts w:eastAsia="Times New Roman" w:cs="Times New Roman"/>
          <w:szCs w:val="19"/>
          <w:lang w:val="en-US" w:eastAsia="pl-PL"/>
        </w:rPr>
        <w:t>In manufacturin</w:t>
      </w:r>
      <w:r w:rsidR="00E60A80" w:rsidRPr="008576F7">
        <w:rPr>
          <w:rFonts w:eastAsia="Times New Roman" w:cs="Times New Roman"/>
          <w:szCs w:val="19"/>
          <w:lang w:val="en-US" w:eastAsia="pl-PL"/>
        </w:rPr>
        <w:t>g,</w:t>
      </w:r>
      <w:r w:rsidR="008D34D6" w:rsidRPr="008576F7">
        <w:rPr>
          <w:rFonts w:eastAsia="Times New Roman" w:cs="Times New Roman"/>
          <w:szCs w:val="19"/>
          <w:lang w:val="en-US" w:eastAsia="pl-PL"/>
        </w:rPr>
        <w:t xml:space="preserve"> net profit was recorded by </w:t>
      </w:r>
      <w:r w:rsidR="00486611" w:rsidRPr="008576F7">
        <w:rPr>
          <w:rFonts w:eastAsia="Times New Roman" w:cs="Times New Roman"/>
          <w:szCs w:val="19"/>
          <w:lang w:val="en-US" w:eastAsia="pl-PL"/>
        </w:rPr>
        <w:t>7</w:t>
      </w:r>
      <w:r w:rsidR="00E61867" w:rsidRPr="008576F7">
        <w:rPr>
          <w:rFonts w:eastAsia="Times New Roman" w:cs="Times New Roman"/>
          <w:szCs w:val="19"/>
          <w:lang w:val="en-US" w:eastAsia="pl-PL"/>
        </w:rPr>
        <w:t>5</w:t>
      </w:r>
      <w:r w:rsidR="00C46F5C" w:rsidRPr="008576F7">
        <w:rPr>
          <w:rFonts w:eastAsia="Times New Roman" w:cs="Times New Roman"/>
          <w:szCs w:val="19"/>
          <w:lang w:val="en-US" w:eastAsia="pl-PL"/>
        </w:rPr>
        <w:t>.</w:t>
      </w:r>
      <w:r w:rsidR="00E61867" w:rsidRPr="008576F7">
        <w:rPr>
          <w:rFonts w:eastAsia="Times New Roman" w:cs="Times New Roman"/>
          <w:szCs w:val="19"/>
          <w:lang w:val="en-US" w:eastAsia="pl-PL"/>
        </w:rPr>
        <w:t>8</w:t>
      </w:r>
      <w:r w:rsidRPr="008576F7">
        <w:rPr>
          <w:rFonts w:eastAsia="Times New Roman" w:cs="Times New Roman"/>
          <w:szCs w:val="19"/>
          <w:lang w:val="en-US" w:eastAsia="pl-PL"/>
        </w:rPr>
        <w:t>%</w:t>
      </w:r>
      <w:r w:rsidR="00C46F5C" w:rsidRPr="008576F7">
        <w:rPr>
          <w:rFonts w:eastAsia="Times New Roman" w:cs="Times New Roman"/>
          <w:szCs w:val="19"/>
          <w:lang w:val="en-US" w:eastAsia="pl-PL"/>
        </w:rPr>
        <w:t xml:space="preserve"> of all enterprises (it was </w:t>
      </w:r>
      <w:r w:rsidR="00F52488" w:rsidRPr="008576F7">
        <w:rPr>
          <w:rFonts w:eastAsia="Times New Roman" w:cs="Times New Roman"/>
          <w:szCs w:val="19"/>
          <w:lang w:val="en-US" w:eastAsia="pl-PL"/>
        </w:rPr>
        <w:t>7</w:t>
      </w:r>
      <w:r w:rsidR="00E61867" w:rsidRPr="008576F7">
        <w:rPr>
          <w:rFonts w:eastAsia="Times New Roman" w:cs="Times New Roman"/>
          <w:szCs w:val="19"/>
          <w:lang w:val="en-US" w:eastAsia="pl-PL"/>
        </w:rPr>
        <w:t>4</w:t>
      </w:r>
      <w:r w:rsidR="004B512B" w:rsidRPr="008576F7">
        <w:rPr>
          <w:rFonts w:eastAsia="Times New Roman" w:cs="Times New Roman"/>
          <w:szCs w:val="19"/>
          <w:lang w:val="en-US" w:eastAsia="pl-PL"/>
        </w:rPr>
        <w:t>.</w:t>
      </w:r>
      <w:r w:rsidR="00E61867" w:rsidRPr="008576F7">
        <w:rPr>
          <w:rFonts w:eastAsia="Times New Roman" w:cs="Times New Roman"/>
          <w:szCs w:val="19"/>
          <w:lang w:val="en-US" w:eastAsia="pl-PL"/>
        </w:rPr>
        <w:t>8</w:t>
      </w:r>
      <w:r w:rsidRPr="008576F7">
        <w:rPr>
          <w:rFonts w:eastAsia="Times New Roman" w:cs="Times New Roman"/>
          <w:szCs w:val="19"/>
          <w:lang w:val="en-US" w:eastAsia="pl-PL"/>
        </w:rPr>
        <w:t xml:space="preserve">% a year </w:t>
      </w:r>
      <w:r w:rsidR="002A184F">
        <w:rPr>
          <w:rFonts w:eastAsia="Times New Roman" w:cs="Times New Roman"/>
          <w:szCs w:val="19"/>
          <w:lang w:val="en-US" w:eastAsia="pl-PL"/>
        </w:rPr>
        <w:t>before</w:t>
      </w:r>
      <w:r w:rsidRPr="008576F7">
        <w:rPr>
          <w:rFonts w:eastAsia="Times New Roman" w:cs="Times New Roman"/>
          <w:szCs w:val="19"/>
          <w:lang w:val="en-US" w:eastAsia="pl-PL"/>
        </w:rPr>
        <w:t>) and the share of the total revenues generated by these ent</w:t>
      </w:r>
      <w:r w:rsidR="007F364A" w:rsidRPr="008576F7">
        <w:rPr>
          <w:rFonts w:eastAsia="Times New Roman" w:cs="Times New Roman"/>
          <w:szCs w:val="19"/>
          <w:lang w:val="en-US" w:eastAsia="pl-PL"/>
        </w:rPr>
        <w:t xml:space="preserve">ities </w:t>
      </w:r>
      <w:r w:rsidRPr="008576F7">
        <w:rPr>
          <w:rFonts w:eastAsia="Times New Roman" w:cs="Times New Roman"/>
          <w:szCs w:val="19"/>
          <w:lang w:val="en-US" w:eastAsia="pl-PL"/>
        </w:rPr>
        <w:t>in the total revenues of all ente</w:t>
      </w:r>
      <w:r w:rsidR="00E2565B" w:rsidRPr="008576F7">
        <w:rPr>
          <w:rFonts w:eastAsia="Times New Roman" w:cs="Times New Roman"/>
          <w:szCs w:val="19"/>
          <w:lang w:val="en-US" w:eastAsia="pl-PL"/>
        </w:rPr>
        <w:t>rprises</w:t>
      </w:r>
      <w:r w:rsidR="00F6527E" w:rsidRPr="008576F7">
        <w:rPr>
          <w:rFonts w:eastAsia="Times New Roman" w:cs="Times New Roman"/>
          <w:szCs w:val="19"/>
          <w:lang w:val="en-US" w:eastAsia="pl-PL"/>
        </w:rPr>
        <w:t xml:space="preserve"> in this section</w:t>
      </w:r>
      <w:r w:rsidR="008D34D6" w:rsidRPr="008576F7">
        <w:rPr>
          <w:rFonts w:eastAsia="Times New Roman" w:cs="Times New Roman"/>
          <w:szCs w:val="19"/>
          <w:lang w:val="en-US" w:eastAsia="pl-PL"/>
        </w:rPr>
        <w:t xml:space="preserve"> was </w:t>
      </w:r>
      <w:r w:rsidR="00F52488" w:rsidRPr="008576F7">
        <w:rPr>
          <w:rFonts w:eastAsia="Times New Roman" w:cs="Times New Roman"/>
          <w:szCs w:val="19"/>
          <w:lang w:val="en-US" w:eastAsia="pl-PL"/>
        </w:rPr>
        <w:t>8</w:t>
      </w:r>
      <w:r w:rsidR="00E61867" w:rsidRPr="008576F7">
        <w:rPr>
          <w:rFonts w:eastAsia="Times New Roman" w:cs="Times New Roman"/>
          <w:szCs w:val="19"/>
          <w:lang w:val="en-US" w:eastAsia="pl-PL"/>
        </w:rPr>
        <w:t>4</w:t>
      </w:r>
      <w:r w:rsidR="00C46F5C" w:rsidRPr="008576F7">
        <w:rPr>
          <w:rFonts w:eastAsia="Times New Roman" w:cs="Times New Roman"/>
          <w:szCs w:val="19"/>
          <w:lang w:val="en-US" w:eastAsia="pl-PL"/>
        </w:rPr>
        <w:t>.</w:t>
      </w:r>
      <w:r w:rsidR="00E61867" w:rsidRPr="008576F7">
        <w:rPr>
          <w:rFonts w:eastAsia="Times New Roman" w:cs="Times New Roman"/>
          <w:szCs w:val="19"/>
          <w:lang w:val="en-US" w:eastAsia="pl-PL"/>
        </w:rPr>
        <w:t>4</w:t>
      </w:r>
      <w:r w:rsidR="008D34D6" w:rsidRPr="008576F7">
        <w:rPr>
          <w:rFonts w:eastAsia="Times New Roman" w:cs="Times New Roman"/>
          <w:szCs w:val="19"/>
          <w:lang w:val="en-US" w:eastAsia="pl-PL"/>
        </w:rPr>
        <w:t xml:space="preserve">% (compared to </w:t>
      </w:r>
      <w:r w:rsidR="00F52488" w:rsidRPr="008576F7">
        <w:rPr>
          <w:rFonts w:eastAsia="Times New Roman" w:cs="Times New Roman"/>
          <w:szCs w:val="19"/>
          <w:lang w:val="en-US" w:eastAsia="pl-PL"/>
        </w:rPr>
        <w:t>8</w:t>
      </w:r>
      <w:r w:rsidR="00E61867" w:rsidRPr="008576F7">
        <w:rPr>
          <w:rFonts w:eastAsia="Times New Roman" w:cs="Times New Roman"/>
          <w:szCs w:val="19"/>
          <w:lang w:val="en-US" w:eastAsia="pl-PL"/>
        </w:rPr>
        <w:t>3</w:t>
      </w:r>
      <w:r w:rsidR="00C46F5C" w:rsidRPr="008576F7">
        <w:rPr>
          <w:rFonts w:eastAsia="Times New Roman" w:cs="Times New Roman"/>
          <w:szCs w:val="19"/>
          <w:lang w:val="en-US" w:eastAsia="pl-PL"/>
        </w:rPr>
        <w:t>.</w:t>
      </w:r>
      <w:r w:rsidR="00E61867" w:rsidRPr="008576F7">
        <w:rPr>
          <w:rFonts w:eastAsia="Times New Roman" w:cs="Times New Roman"/>
          <w:szCs w:val="19"/>
          <w:lang w:val="en-US" w:eastAsia="pl-PL"/>
        </w:rPr>
        <w:t>7</w:t>
      </w:r>
      <w:r w:rsidRPr="008576F7">
        <w:rPr>
          <w:rFonts w:eastAsia="Times New Roman" w:cs="Times New Roman"/>
          <w:szCs w:val="19"/>
          <w:lang w:val="en-US" w:eastAsia="pl-PL"/>
        </w:rPr>
        <w:t xml:space="preserve">% a year </w:t>
      </w:r>
      <w:r w:rsidR="002A184F">
        <w:rPr>
          <w:rFonts w:eastAsia="Times New Roman" w:cs="Times New Roman"/>
          <w:szCs w:val="19"/>
          <w:lang w:val="en-US" w:eastAsia="pl-PL"/>
        </w:rPr>
        <w:t>before</w:t>
      </w:r>
      <w:r w:rsidRPr="008576F7">
        <w:rPr>
          <w:rFonts w:eastAsia="Times New Roman" w:cs="Times New Roman"/>
          <w:szCs w:val="19"/>
          <w:lang w:val="en-US" w:eastAsia="pl-PL"/>
        </w:rPr>
        <w:t>).</w:t>
      </w:r>
    </w:p>
    <w:p w14:paraId="449DDC74" w14:textId="784F9701" w:rsidR="00571CEB" w:rsidRDefault="006E149D" w:rsidP="00216634">
      <w:pPr>
        <w:spacing w:line="288" w:lineRule="auto"/>
        <w:rPr>
          <w:rFonts w:eastAsia="Times New Roman" w:cs="Times New Roman"/>
          <w:b/>
          <w:szCs w:val="19"/>
          <w:lang w:val="en-US" w:eastAsia="pl-PL"/>
        </w:rPr>
      </w:pPr>
      <w:r>
        <w:rPr>
          <w:noProof/>
          <w:lang w:val="en-US"/>
        </w:rPr>
        <w:drawing>
          <wp:anchor distT="0" distB="0" distL="114300" distR="114300" simplePos="0" relativeHeight="251829248" behindDoc="0" locked="0" layoutInCell="1" allowOverlap="1" wp14:anchorId="5B0DEF41" wp14:editId="2B44BB72">
            <wp:simplePos x="0" y="0"/>
            <wp:positionH relativeFrom="margin">
              <wp:align>left</wp:align>
            </wp:positionH>
            <wp:positionV relativeFrom="paragraph">
              <wp:posOffset>240030</wp:posOffset>
            </wp:positionV>
            <wp:extent cx="4457700" cy="2720975"/>
            <wp:effectExtent l="0" t="0" r="0" b="3175"/>
            <wp:wrapTopAndBottom/>
            <wp:docPr id="13" name="Obraz 13" descr="Line chart. The data for Chart 1 can be found in the XLSX file titled IS-06-tabl-20260323- Financial results of non-financial enterprises in 2025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8868" cy="2740176"/>
                    </a:xfrm>
                    <a:prstGeom prst="rect">
                      <a:avLst/>
                    </a:prstGeom>
                    <a:noFill/>
                  </pic:spPr>
                </pic:pic>
              </a:graphicData>
            </a:graphic>
            <wp14:sizeRelH relativeFrom="margin">
              <wp14:pctWidth>0</wp14:pctWidth>
            </wp14:sizeRelH>
            <wp14:sizeRelV relativeFrom="margin">
              <wp14:pctHeight>0</wp14:pctHeight>
            </wp14:sizeRelV>
          </wp:anchor>
        </w:drawing>
      </w:r>
      <w:r w:rsidR="00571CEB" w:rsidRPr="00180FCF">
        <w:rPr>
          <w:rFonts w:eastAsia="Times New Roman" w:cs="Times New Roman"/>
          <w:b/>
          <w:szCs w:val="19"/>
          <w:lang w:val="en-US" w:eastAsia="pl-PL"/>
        </w:rPr>
        <w:t>Chart 1. Profitability indicators</w:t>
      </w:r>
      <w:r w:rsidR="00E45A79" w:rsidRPr="00180FCF">
        <w:rPr>
          <w:rFonts w:eastAsia="Times New Roman" w:cs="Times New Roman"/>
          <w:b/>
          <w:szCs w:val="19"/>
          <w:lang w:val="en-US" w:eastAsia="pl-PL"/>
        </w:rPr>
        <w:t xml:space="preserve"> </w:t>
      </w:r>
      <w:r w:rsidR="00DF661A">
        <w:rPr>
          <w:rFonts w:eastAsia="Times New Roman" w:cs="Times New Roman"/>
          <w:b/>
          <w:szCs w:val="19"/>
          <w:lang w:val="en-US" w:eastAsia="pl-PL"/>
        </w:rPr>
        <w:t>from</w:t>
      </w:r>
      <w:r w:rsidR="00180FCF">
        <w:rPr>
          <w:rFonts w:eastAsia="Times New Roman" w:cs="Times New Roman"/>
          <w:b/>
          <w:szCs w:val="19"/>
          <w:lang w:val="en-US" w:eastAsia="pl-PL"/>
        </w:rPr>
        <w:t xml:space="preserve"> 2006</w:t>
      </w:r>
      <w:r w:rsidR="00571CEB" w:rsidRPr="00180FCF">
        <w:rPr>
          <w:rFonts w:eastAsia="Times New Roman" w:cs="Times New Roman"/>
          <w:b/>
          <w:szCs w:val="19"/>
          <w:lang w:val="en-US" w:eastAsia="pl-PL"/>
        </w:rPr>
        <w:t xml:space="preserve"> </w:t>
      </w:r>
      <w:r w:rsidR="00180FCF">
        <w:rPr>
          <w:rFonts w:eastAsia="Times New Roman" w:cs="Times New Roman"/>
          <w:b/>
          <w:szCs w:val="19"/>
          <w:lang w:val="en-US" w:eastAsia="pl-PL"/>
        </w:rPr>
        <w:t>to 2025</w:t>
      </w:r>
    </w:p>
    <w:p w14:paraId="7C9706BF" w14:textId="05EEF882" w:rsidR="0000772B" w:rsidRDefault="0000772B" w:rsidP="00FB163D">
      <w:pPr>
        <w:pStyle w:val="LID"/>
        <w:contextualSpacing/>
        <w:rPr>
          <w:lang w:val="en-US"/>
        </w:rPr>
      </w:pPr>
    </w:p>
    <w:p w14:paraId="771F35B0" w14:textId="14C5836D" w:rsidR="00FB163D" w:rsidRPr="00716184" w:rsidRDefault="00FB163D" w:rsidP="00395F56">
      <w:pPr>
        <w:pStyle w:val="LID"/>
        <w:spacing w:before="360" w:line="240" w:lineRule="auto"/>
        <w:contextualSpacing/>
        <w:rPr>
          <w:lang w:val="en-US"/>
        </w:rPr>
      </w:pPr>
      <w:r w:rsidRPr="00716184">
        <w:rPr>
          <w:lang w:val="en-US"/>
        </w:rPr>
        <w:t xml:space="preserve">Table 1. Basic financial data of surveyed </w:t>
      </w:r>
      <w:r w:rsidR="00045D14" w:rsidRPr="00716184">
        <w:rPr>
          <w:lang w:val="en-US"/>
        </w:rPr>
        <w:t xml:space="preserve">non-financial </w:t>
      </w:r>
      <w:r w:rsidRPr="00716184">
        <w:rPr>
          <w:lang w:val="en-US"/>
        </w:rPr>
        <w:t>enterprises</w:t>
      </w:r>
    </w:p>
    <w:tbl>
      <w:tblPr>
        <w:tblW w:w="7902" w:type="dxa"/>
        <w:tblCellMar>
          <w:left w:w="70" w:type="dxa"/>
          <w:right w:w="70" w:type="dxa"/>
        </w:tblCellMar>
        <w:tblLook w:val="04A0" w:firstRow="1" w:lastRow="0" w:firstColumn="1" w:lastColumn="0" w:noHBand="0" w:noVBand="1"/>
        <w:tblCaption w:val="Table 1. Basic financial data of surveyed non-financial enterprises"/>
        <w:tblDescription w:val="Table. The data for Table 1 can be found in the XLSX file titled IS-06-tabl-20260323- Financial results of non-financial enterprises in 2025 Table in XLSX format."/>
      </w:tblPr>
      <w:tblGrid>
        <w:gridCol w:w="3634"/>
        <w:gridCol w:w="1422"/>
        <w:gridCol w:w="1448"/>
        <w:gridCol w:w="1398"/>
      </w:tblGrid>
      <w:tr w:rsidR="006A24EF" w:rsidRPr="0094765F" w14:paraId="32907075" w14:textId="77777777" w:rsidTr="00BF0182">
        <w:trPr>
          <w:trHeight w:val="216"/>
        </w:trPr>
        <w:tc>
          <w:tcPr>
            <w:tcW w:w="3634" w:type="dxa"/>
            <w:vMerge w:val="restart"/>
            <w:tcBorders>
              <w:top w:val="single" w:sz="4" w:space="0" w:color="212492"/>
              <w:left w:val="nil"/>
              <w:bottom w:val="single" w:sz="8" w:space="0" w:color="000000"/>
              <w:right w:val="single" w:sz="4" w:space="0" w:color="212492"/>
            </w:tcBorders>
            <w:shd w:val="clear" w:color="auto" w:fill="auto"/>
            <w:noWrap/>
            <w:vAlign w:val="center"/>
            <w:hideMark/>
          </w:tcPr>
          <w:p w14:paraId="035BA231" w14:textId="77777777" w:rsidR="00FB163D" w:rsidRPr="000966AA" w:rsidRDefault="00FB163D" w:rsidP="00395F56">
            <w:pPr>
              <w:jc w:val="center"/>
              <w:rPr>
                <w:rFonts w:eastAsia="Times New Roman" w:cs="Calibri"/>
                <w:color w:val="000000"/>
                <w:szCs w:val="19"/>
                <w:lang w:eastAsia="pl-PL"/>
              </w:rPr>
            </w:pPr>
            <w:r w:rsidRPr="000966AA">
              <w:rPr>
                <w:rFonts w:eastAsia="Times New Roman" w:cs="Calibri"/>
                <w:color w:val="000000"/>
                <w:szCs w:val="19"/>
                <w:lang w:eastAsia="pl-PL"/>
              </w:rPr>
              <w:t>SPECIFICATION</w:t>
            </w:r>
          </w:p>
        </w:tc>
        <w:tc>
          <w:tcPr>
            <w:tcW w:w="1422" w:type="dxa"/>
            <w:tcBorders>
              <w:top w:val="single" w:sz="4" w:space="0" w:color="212492"/>
              <w:left w:val="nil"/>
              <w:bottom w:val="single" w:sz="4" w:space="0" w:color="212492"/>
              <w:right w:val="single" w:sz="4" w:space="0" w:color="212492"/>
            </w:tcBorders>
            <w:shd w:val="clear" w:color="auto" w:fill="auto"/>
            <w:noWrap/>
            <w:vAlign w:val="center"/>
            <w:hideMark/>
          </w:tcPr>
          <w:p w14:paraId="6D69F203" w14:textId="44D1EE10" w:rsidR="00FB163D" w:rsidRPr="00D4786A" w:rsidRDefault="00D115BF" w:rsidP="00853232">
            <w:pPr>
              <w:spacing w:line="288" w:lineRule="auto"/>
              <w:jc w:val="center"/>
              <w:rPr>
                <w:rFonts w:eastAsia="Times New Roman" w:cs="Calibri"/>
                <w:color w:val="000000"/>
                <w:spacing w:val="-2"/>
                <w:szCs w:val="19"/>
                <w:lang w:val="en-US" w:eastAsia="pl-PL"/>
              </w:rPr>
            </w:pPr>
            <w:r>
              <w:rPr>
                <w:rFonts w:eastAsia="Times New Roman" w:cs="Calibri"/>
                <w:color w:val="000000"/>
                <w:spacing w:val="-2"/>
                <w:szCs w:val="19"/>
                <w:lang w:val="en-US" w:eastAsia="pl-PL"/>
              </w:rPr>
              <w:t>Jan.-</w:t>
            </w:r>
            <w:r w:rsidR="00AE5660">
              <w:rPr>
                <w:rFonts w:eastAsia="Times New Roman" w:cs="Calibri"/>
                <w:color w:val="000000"/>
                <w:spacing w:val="-2"/>
                <w:szCs w:val="19"/>
                <w:lang w:val="en-US" w:eastAsia="pl-PL"/>
              </w:rPr>
              <w:t>Dec</w:t>
            </w:r>
            <w:r w:rsidR="00A800CD">
              <w:rPr>
                <w:rFonts w:eastAsia="Times New Roman" w:cs="Calibri"/>
                <w:color w:val="000000"/>
                <w:spacing w:val="-2"/>
                <w:szCs w:val="19"/>
                <w:lang w:val="en-US" w:eastAsia="pl-PL"/>
              </w:rPr>
              <w:t>.</w:t>
            </w:r>
            <w:r w:rsidR="007E6B8B">
              <w:rPr>
                <w:rFonts w:eastAsia="Times New Roman" w:cs="Calibri"/>
                <w:color w:val="000000"/>
                <w:spacing w:val="-2"/>
                <w:szCs w:val="19"/>
                <w:lang w:val="en-US" w:eastAsia="pl-PL"/>
              </w:rPr>
              <w:t xml:space="preserve"> 202</w:t>
            </w:r>
            <w:r w:rsidR="00A57E0B">
              <w:rPr>
                <w:rFonts w:eastAsia="Times New Roman" w:cs="Calibri"/>
                <w:color w:val="000000"/>
                <w:spacing w:val="-2"/>
                <w:szCs w:val="19"/>
                <w:lang w:val="en-US" w:eastAsia="pl-PL"/>
              </w:rPr>
              <w:t>4</w:t>
            </w:r>
          </w:p>
        </w:tc>
        <w:tc>
          <w:tcPr>
            <w:tcW w:w="1448" w:type="dxa"/>
            <w:tcBorders>
              <w:top w:val="single" w:sz="4" w:space="0" w:color="212492"/>
              <w:left w:val="nil"/>
              <w:bottom w:val="single" w:sz="4" w:space="0" w:color="212492"/>
              <w:right w:val="single" w:sz="4" w:space="0" w:color="212492"/>
            </w:tcBorders>
            <w:shd w:val="clear" w:color="auto" w:fill="auto"/>
            <w:noWrap/>
            <w:vAlign w:val="center"/>
            <w:hideMark/>
          </w:tcPr>
          <w:p w14:paraId="1476507B" w14:textId="512B7E9F" w:rsidR="00FB163D" w:rsidRPr="00D4786A" w:rsidRDefault="00D115BF" w:rsidP="00853232">
            <w:pPr>
              <w:spacing w:line="288" w:lineRule="auto"/>
              <w:jc w:val="center"/>
              <w:rPr>
                <w:rFonts w:eastAsia="Times New Roman" w:cs="Calibri"/>
                <w:color w:val="000000"/>
                <w:spacing w:val="-2"/>
                <w:szCs w:val="19"/>
                <w:lang w:val="en-US" w:eastAsia="pl-PL"/>
              </w:rPr>
            </w:pPr>
            <w:r>
              <w:rPr>
                <w:rFonts w:eastAsia="Times New Roman" w:cs="Calibri"/>
                <w:color w:val="000000"/>
                <w:spacing w:val="-2"/>
                <w:szCs w:val="19"/>
                <w:lang w:val="en-US" w:eastAsia="pl-PL"/>
              </w:rPr>
              <w:t>Jan.-</w:t>
            </w:r>
            <w:r w:rsidR="00AE5660">
              <w:rPr>
                <w:rFonts w:eastAsia="Times New Roman" w:cs="Calibri"/>
                <w:color w:val="000000"/>
                <w:spacing w:val="-2"/>
                <w:szCs w:val="19"/>
                <w:lang w:val="en-US" w:eastAsia="pl-PL"/>
              </w:rPr>
              <w:t>Dec</w:t>
            </w:r>
            <w:r w:rsidR="00A800CD">
              <w:rPr>
                <w:rFonts w:eastAsia="Times New Roman" w:cs="Calibri"/>
                <w:color w:val="000000"/>
                <w:spacing w:val="-2"/>
                <w:szCs w:val="19"/>
                <w:lang w:val="en-US" w:eastAsia="pl-PL"/>
              </w:rPr>
              <w:t>.</w:t>
            </w:r>
            <w:r w:rsidR="003E1D0A">
              <w:rPr>
                <w:rFonts w:eastAsia="Times New Roman" w:cs="Calibri"/>
                <w:color w:val="000000"/>
                <w:spacing w:val="-2"/>
                <w:szCs w:val="19"/>
                <w:lang w:val="en-US" w:eastAsia="pl-PL"/>
              </w:rPr>
              <w:t xml:space="preserve"> </w:t>
            </w:r>
            <w:r w:rsidR="007E6B8B">
              <w:rPr>
                <w:rFonts w:eastAsia="Times New Roman" w:cs="Calibri"/>
                <w:color w:val="000000"/>
                <w:spacing w:val="-2"/>
                <w:szCs w:val="19"/>
                <w:lang w:val="en-US" w:eastAsia="pl-PL"/>
              </w:rPr>
              <w:t>202</w:t>
            </w:r>
            <w:r w:rsidR="00A57E0B">
              <w:rPr>
                <w:rFonts w:eastAsia="Times New Roman" w:cs="Calibri"/>
                <w:color w:val="000000"/>
                <w:spacing w:val="-2"/>
                <w:szCs w:val="19"/>
                <w:lang w:val="en-US" w:eastAsia="pl-PL"/>
              </w:rPr>
              <w:t>5</w:t>
            </w:r>
          </w:p>
        </w:tc>
        <w:tc>
          <w:tcPr>
            <w:tcW w:w="1398" w:type="dxa"/>
            <w:vMerge w:val="restart"/>
            <w:tcBorders>
              <w:top w:val="single" w:sz="4" w:space="0" w:color="212492"/>
              <w:left w:val="single" w:sz="4" w:space="0" w:color="212492"/>
              <w:bottom w:val="single" w:sz="8" w:space="0" w:color="000000"/>
              <w:right w:val="nil"/>
            </w:tcBorders>
            <w:shd w:val="clear" w:color="auto" w:fill="auto"/>
            <w:noWrap/>
            <w:vAlign w:val="center"/>
            <w:hideMark/>
          </w:tcPr>
          <w:p w14:paraId="19FA4E09" w14:textId="6F365DCA" w:rsidR="00FB163D" w:rsidRPr="000966AA" w:rsidRDefault="00D115BF" w:rsidP="00853232">
            <w:pPr>
              <w:spacing w:line="288" w:lineRule="auto"/>
              <w:jc w:val="center"/>
              <w:rPr>
                <w:rFonts w:eastAsia="Times New Roman" w:cs="Calibri"/>
                <w:szCs w:val="19"/>
                <w:lang w:val="en-US" w:eastAsia="pl-PL"/>
              </w:rPr>
            </w:pPr>
            <w:r>
              <w:rPr>
                <w:rFonts w:eastAsia="Times New Roman" w:cs="Calibri"/>
                <w:szCs w:val="19"/>
                <w:lang w:val="en-US" w:eastAsia="pl-PL"/>
              </w:rPr>
              <w:t>Jan.-</w:t>
            </w:r>
            <w:r w:rsidR="00AE5660">
              <w:rPr>
                <w:rFonts w:eastAsia="Times New Roman" w:cs="Calibri"/>
                <w:szCs w:val="19"/>
                <w:lang w:val="en-US" w:eastAsia="pl-PL"/>
              </w:rPr>
              <w:t>Dec</w:t>
            </w:r>
            <w:r w:rsidR="00A800CD">
              <w:rPr>
                <w:rFonts w:eastAsia="Times New Roman" w:cs="Calibri"/>
                <w:szCs w:val="19"/>
                <w:lang w:val="en-US" w:eastAsia="pl-PL"/>
              </w:rPr>
              <w:t>.</w:t>
            </w:r>
            <w:r w:rsidR="00880777">
              <w:rPr>
                <w:rFonts w:eastAsia="Times New Roman" w:cs="Calibri"/>
                <w:szCs w:val="19"/>
                <w:lang w:val="en-US" w:eastAsia="pl-PL"/>
              </w:rPr>
              <w:t xml:space="preserve"> </w:t>
            </w:r>
            <w:r w:rsidR="007E6B8B">
              <w:rPr>
                <w:rFonts w:eastAsia="Times New Roman" w:cs="Calibri"/>
                <w:szCs w:val="19"/>
                <w:lang w:val="en-US" w:eastAsia="pl-PL"/>
              </w:rPr>
              <w:t>202</w:t>
            </w:r>
            <w:r w:rsidR="00A57E0B">
              <w:rPr>
                <w:rFonts w:eastAsia="Times New Roman" w:cs="Calibri"/>
                <w:szCs w:val="19"/>
                <w:lang w:val="en-US" w:eastAsia="pl-PL"/>
              </w:rPr>
              <w:t>4</w:t>
            </w:r>
            <w:r w:rsidR="00FB163D" w:rsidRPr="000966AA">
              <w:rPr>
                <w:rFonts w:eastAsia="Times New Roman" w:cs="Calibri"/>
                <w:szCs w:val="19"/>
                <w:lang w:val="en-US" w:eastAsia="pl-PL"/>
              </w:rPr>
              <w:t xml:space="preserve"> = 100</w:t>
            </w:r>
          </w:p>
        </w:tc>
      </w:tr>
      <w:tr w:rsidR="00FB163D" w:rsidRPr="0094765F" w14:paraId="5C49BA28" w14:textId="77777777" w:rsidTr="00BF0182">
        <w:trPr>
          <w:trHeight w:val="213"/>
        </w:trPr>
        <w:tc>
          <w:tcPr>
            <w:tcW w:w="3634" w:type="dxa"/>
            <w:vMerge/>
            <w:tcBorders>
              <w:top w:val="single" w:sz="8" w:space="0" w:color="000000"/>
              <w:left w:val="nil"/>
              <w:bottom w:val="single" w:sz="4" w:space="0" w:color="212492"/>
              <w:right w:val="single" w:sz="4" w:space="0" w:color="212492"/>
            </w:tcBorders>
            <w:vAlign w:val="center"/>
            <w:hideMark/>
          </w:tcPr>
          <w:p w14:paraId="6A371364" w14:textId="77777777" w:rsidR="00FB163D" w:rsidRPr="000966AA" w:rsidRDefault="00FB163D" w:rsidP="00D07B6E">
            <w:pPr>
              <w:spacing w:before="0" w:after="0" w:line="240" w:lineRule="auto"/>
              <w:rPr>
                <w:rFonts w:eastAsia="Times New Roman" w:cs="Calibri"/>
                <w:color w:val="000000"/>
                <w:szCs w:val="19"/>
                <w:lang w:val="en-US" w:eastAsia="pl-PL"/>
              </w:rPr>
            </w:pPr>
          </w:p>
        </w:tc>
        <w:tc>
          <w:tcPr>
            <w:tcW w:w="2870" w:type="dxa"/>
            <w:gridSpan w:val="2"/>
            <w:tcBorders>
              <w:top w:val="single" w:sz="4" w:space="0" w:color="212492"/>
              <w:left w:val="nil"/>
              <w:bottom w:val="single" w:sz="4" w:space="0" w:color="212492"/>
              <w:right w:val="single" w:sz="4" w:space="0" w:color="212492"/>
            </w:tcBorders>
            <w:shd w:val="clear" w:color="auto" w:fill="auto"/>
            <w:noWrap/>
            <w:vAlign w:val="center"/>
            <w:hideMark/>
          </w:tcPr>
          <w:p w14:paraId="5DEFC9D4" w14:textId="77777777" w:rsidR="00FB163D" w:rsidRPr="000966AA" w:rsidRDefault="00FB163D" w:rsidP="00853232">
            <w:pPr>
              <w:spacing w:line="288" w:lineRule="auto"/>
              <w:jc w:val="center"/>
              <w:rPr>
                <w:rFonts w:eastAsia="Times New Roman" w:cs="Calibri"/>
                <w:color w:val="000000"/>
                <w:szCs w:val="19"/>
                <w:lang w:val="en-US" w:eastAsia="pl-PL"/>
              </w:rPr>
            </w:pPr>
            <w:r w:rsidRPr="000966AA">
              <w:rPr>
                <w:rFonts w:eastAsia="Times New Roman" w:cs="Calibri"/>
                <w:color w:val="000000"/>
                <w:szCs w:val="19"/>
                <w:lang w:val="en-US" w:eastAsia="pl-PL"/>
              </w:rPr>
              <w:t>in million PLN</w:t>
            </w:r>
          </w:p>
        </w:tc>
        <w:tc>
          <w:tcPr>
            <w:tcW w:w="1398" w:type="dxa"/>
            <w:vMerge/>
            <w:tcBorders>
              <w:top w:val="nil"/>
              <w:left w:val="single" w:sz="4" w:space="0" w:color="212492"/>
              <w:bottom w:val="single" w:sz="4" w:space="0" w:color="212492"/>
              <w:right w:val="nil"/>
            </w:tcBorders>
            <w:vAlign w:val="center"/>
            <w:hideMark/>
          </w:tcPr>
          <w:p w14:paraId="531EB670" w14:textId="77777777" w:rsidR="00FB163D" w:rsidRPr="000966AA" w:rsidRDefault="00FB163D" w:rsidP="00D07B6E">
            <w:pPr>
              <w:spacing w:before="0" w:after="0" w:line="240" w:lineRule="auto"/>
              <w:rPr>
                <w:rFonts w:eastAsia="Times New Roman" w:cs="Calibri"/>
                <w:color w:val="000000"/>
                <w:szCs w:val="19"/>
                <w:lang w:val="en-US" w:eastAsia="pl-PL"/>
              </w:rPr>
            </w:pPr>
          </w:p>
        </w:tc>
      </w:tr>
      <w:tr w:rsidR="00AE5660" w:rsidRPr="0094765F" w14:paraId="0FD41EF1" w14:textId="77777777" w:rsidTr="00AE5660">
        <w:trPr>
          <w:trHeight w:val="499"/>
        </w:trPr>
        <w:tc>
          <w:tcPr>
            <w:tcW w:w="3634" w:type="dxa"/>
            <w:tcBorders>
              <w:top w:val="single" w:sz="4" w:space="0" w:color="212492"/>
              <w:left w:val="nil"/>
              <w:bottom w:val="single" w:sz="4" w:space="0" w:color="212492"/>
              <w:right w:val="single" w:sz="4" w:space="0" w:color="212492"/>
            </w:tcBorders>
            <w:shd w:val="clear" w:color="auto" w:fill="auto"/>
            <w:noWrap/>
            <w:vAlign w:val="center"/>
            <w:hideMark/>
          </w:tcPr>
          <w:p w14:paraId="137777B6" w14:textId="77777777" w:rsidR="00AE5660" w:rsidRPr="000966AA" w:rsidRDefault="00AE5660" w:rsidP="00AE5660">
            <w:pPr>
              <w:spacing w:before="6" w:after="0" w:line="240" w:lineRule="auto"/>
              <w:rPr>
                <w:rFonts w:eastAsia="Times New Roman" w:cs="Calibri"/>
                <w:color w:val="000000"/>
                <w:szCs w:val="19"/>
                <w:lang w:val="en-US" w:eastAsia="pl-PL"/>
              </w:rPr>
            </w:pPr>
            <w:r w:rsidRPr="000966AA">
              <w:rPr>
                <w:rFonts w:eastAsia="Times New Roman" w:cs="Calibri"/>
                <w:color w:val="000000"/>
                <w:szCs w:val="19"/>
                <w:lang w:val="en-US" w:eastAsia="pl-PL"/>
              </w:rPr>
              <w:t>Total revenues</w:t>
            </w:r>
          </w:p>
        </w:tc>
        <w:tc>
          <w:tcPr>
            <w:tcW w:w="1422" w:type="dxa"/>
            <w:tcBorders>
              <w:top w:val="single" w:sz="4" w:space="0" w:color="212492"/>
              <w:left w:val="nil"/>
              <w:bottom w:val="single" w:sz="4" w:space="0" w:color="212492"/>
              <w:right w:val="single" w:sz="4" w:space="0" w:color="212492"/>
            </w:tcBorders>
            <w:shd w:val="clear" w:color="auto" w:fill="auto"/>
            <w:noWrap/>
            <w:vAlign w:val="center"/>
            <w:hideMark/>
          </w:tcPr>
          <w:p w14:paraId="69383929" w14:textId="21FF542D" w:rsidR="00AE5660" w:rsidRPr="008576F7" w:rsidRDefault="00AE5660" w:rsidP="00AE5660">
            <w:pPr>
              <w:spacing w:before="0" w:after="0" w:line="240" w:lineRule="auto"/>
              <w:jc w:val="right"/>
              <w:rPr>
                <w:rFonts w:cs="Calibri"/>
                <w:color w:val="000000"/>
                <w:szCs w:val="19"/>
              </w:rPr>
            </w:pPr>
            <w:r w:rsidRPr="008576F7">
              <w:t>5,133,029.9</w:t>
            </w:r>
          </w:p>
        </w:tc>
        <w:tc>
          <w:tcPr>
            <w:tcW w:w="1448" w:type="dxa"/>
            <w:tcBorders>
              <w:top w:val="single" w:sz="4" w:space="0" w:color="212492"/>
              <w:left w:val="nil"/>
              <w:bottom w:val="single" w:sz="4" w:space="0" w:color="212492"/>
              <w:right w:val="single" w:sz="4" w:space="0" w:color="212492"/>
            </w:tcBorders>
            <w:shd w:val="clear" w:color="auto" w:fill="auto"/>
            <w:noWrap/>
            <w:hideMark/>
          </w:tcPr>
          <w:p w14:paraId="2CF5D501" w14:textId="043F9145" w:rsidR="00AE5660" w:rsidRPr="008576F7" w:rsidRDefault="00AE5660" w:rsidP="00AE5660">
            <w:pPr>
              <w:jc w:val="right"/>
              <w:rPr>
                <w:rFonts w:cs="Calibri"/>
                <w:color w:val="000000"/>
                <w:szCs w:val="19"/>
              </w:rPr>
            </w:pPr>
            <w:r w:rsidRPr="008576F7">
              <w:t>5,279,802.3</w:t>
            </w:r>
          </w:p>
        </w:tc>
        <w:tc>
          <w:tcPr>
            <w:tcW w:w="1398" w:type="dxa"/>
            <w:tcBorders>
              <w:top w:val="single" w:sz="4" w:space="0" w:color="212492"/>
              <w:left w:val="nil"/>
              <w:bottom w:val="single" w:sz="4" w:space="0" w:color="212492"/>
              <w:right w:val="nil"/>
            </w:tcBorders>
            <w:shd w:val="clear" w:color="auto" w:fill="auto"/>
            <w:noWrap/>
            <w:hideMark/>
          </w:tcPr>
          <w:p w14:paraId="6DF94B8C" w14:textId="6DFB2142" w:rsidR="00AE5660" w:rsidRPr="008576F7" w:rsidRDefault="00AE5660" w:rsidP="00AE5660">
            <w:pPr>
              <w:jc w:val="right"/>
              <w:rPr>
                <w:rFonts w:cs="Calibri"/>
                <w:color w:val="000000"/>
                <w:szCs w:val="19"/>
              </w:rPr>
            </w:pPr>
            <w:r w:rsidRPr="008576F7">
              <w:t>102.9</w:t>
            </w:r>
          </w:p>
        </w:tc>
      </w:tr>
      <w:tr w:rsidR="00AE5660" w:rsidRPr="00957F9B" w14:paraId="0C5FB10F" w14:textId="77777777" w:rsidTr="00AE5660">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57B3B860" w14:textId="77777777" w:rsidR="00AE5660" w:rsidRPr="000966AA" w:rsidRDefault="00AE5660" w:rsidP="00AE5660">
            <w:pPr>
              <w:spacing w:before="12" w:after="0" w:line="240" w:lineRule="auto"/>
              <w:ind w:left="176"/>
              <w:rPr>
                <w:rFonts w:eastAsia="Times New Roman" w:cs="Calibri"/>
                <w:color w:val="000000"/>
                <w:szCs w:val="19"/>
                <w:lang w:val="en-US" w:eastAsia="pl-PL"/>
              </w:rPr>
            </w:pPr>
            <w:r w:rsidRPr="000966AA">
              <w:rPr>
                <w:rFonts w:eastAsia="Times New Roman" w:cs="Calibri"/>
                <w:color w:val="000000"/>
                <w:szCs w:val="19"/>
                <w:lang w:val="en-US" w:eastAsia="pl-PL"/>
              </w:rPr>
              <w:t>of which net revenues from sale</w:t>
            </w:r>
            <w:r w:rsidRPr="000966AA">
              <w:rPr>
                <w:rFonts w:eastAsia="Times New Roman" w:cs="Calibri"/>
                <w:color w:val="000000"/>
                <w:szCs w:val="19"/>
                <w:lang w:val="en-US" w:eastAsia="pl-PL"/>
              </w:rPr>
              <w:br/>
              <w:t xml:space="preserve"> of products, goods and materials</w:t>
            </w:r>
          </w:p>
        </w:tc>
        <w:tc>
          <w:tcPr>
            <w:tcW w:w="1422" w:type="dxa"/>
            <w:tcBorders>
              <w:top w:val="nil"/>
              <w:left w:val="nil"/>
              <w:bottom w:val="single" w:sz="4" w:space="0" w:color="212492"/>
              <w:right w:val="single" w:sz="4" w:space="0" w:color="212492"/>
            </w:tcBorders>
            <w:shd w:val="clear" w:color="auto" w:fill="auto"/>
            <w:noWrap/>
            <w:vAlign w:val="center"/>
            <w:hideMark/>
          </w:tcPr>
          <w:p w14:paraId="24B516E4" w14:textId="3279B196" w:rsidR="00AE5660" w:rsidRPr="008576F7" w:rsidRDefault="00AE5660" w:rsidP="00AE5660">
            <w:pPr>
              <w:jc w:val="right"/>
              <w:rPr>
                <w:rFonts w:cs="Calibri"/>
                <w:color w:val="000000"/>
                <w:szCs w:val="19"/>
              </w:rPr>
            </w:pPr>
            <w:r w:rsidRPr="008576F7">
              <w:t>4,960,631.4</w:t>
            </w:r>
          </w:p>
        </w:tc>
        <w:tc>
          <w:tcPr>
            <w:tcW w:w="1448" w:type="dxa"/>
            <w:tcBorders>
              <w:top w:val="nil"/>
              <w:left w:val="nil"/>
              <w:bottom w:val="single" w:sz="4" w:space="0" w:color="212492"/>
              <w:right w:val="single" w:sz="4" w:space="0" w:color="212492"/>
            </w:tcBorders>
            <w:shd w:val="clear" w:color="auto" w:fill="auto"/>
            <w:noWrap/>
            <w:hideMark/>
          </w:tcPr>
          <w:p w14:paraId="523BDE67" w14:textId="523412AF" w:rsidR="00AE5660" w:rsidRPr="008576F7" w:rsidRDefault="00AE5660" w:rsidP="00AE5660">
            <w:pPr>
              <w:jc w:val="right"/>
              <w:rPr>
                <w:rFonts w:cs="Calibri"/>
                <w:color w:val="000000"/>
                <w:szCs w:val="19"/>
              </w:rPr>
            </w:pPr>
            <w:r w:rsidRPr="008576F7">
              <w:t>5,101,520.8</w:t>
            </w:r>
          </w:p>
        </w:tc>
        <w:tc>
          <w:tcPr>
            <w:tcW w:w="1398" w:type="dxa"/>
            <w:tcBorders>
              <w:top w:val="nil"/>
              <w:left w:val="nil"/>
              <w:bottom w:val="single" w:sz="4" w:space="0" w:color="212492"/>
              <w:right w:val="nil"/>
            </w:tcBorders>
            <w:shd w:val="clear" w:color="auto" w:fill="auto"/>
            <w:noWrap/>
            <w:hideMark/>
          </w:tcPr>
          <w:p w14:paraId="5DCFEA63" w14:textId="35CF959A" w:rsidR="00AE5660" w:rsidRPr="008576F7" w:rsidRDefault="00AE5660" w:rsidP="00AE5660">
            <w:pPr>
              <w:jc w:val="right"/>
              <w:rPr>
                <w:rFonts w:cs="Calibri"/>
                <w:color w:val="000000"/>
                <w:szCs w:val="19"/>
              </w:rPr>
            </w:pPr>
            <w:r w:rsidRPr="008576F7">
              <w:t>102.8</w:t>
            </w:r>
          </w:p>
        </w:tc>
      </w:tr>
      <w:tr w:rsidR="00AE5660" w:rsidRPr="00957F9B" w14:paraId="6C8C3BA6" w14:textId="77777777" w:rsidTr="00AE5660">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4E183ECD" w14:textId="77777777" w:rsidR="00AE5660" w:rsidRPr="000966AA" w:rsidRDefault="00AE5660" w:rsidP="00AE5660">
            <w:pPr>
              <w:spacing w:before="6" w:after="0" w:line="240" w:lineRule="auto"/>
              <w:rPr>
                <w:rFonts w:eastAsia="Times New Roman" w:cs="Calibri"/>
                <w:color w:val="000000"/>
                <w:szCs w:val="19"/>
                <w:lang w:eastAsia="pl-PL"/>
              </w:rPr>
            </w:pPr>
            <w:r w:rsidRPr="000966AA">
              <w:rPr>
                <w:rFonts w:eastAsia="Times New Roman" w:cs="Calibri"/>
                <w:color w:val="000000"/>
                <w:szCs w:val="19"/>
                <w:lang w:eastAsia="pl-PL"/>
              </w:rPr>
              <w:t xml:space="preserve">Total </w:t>
            </w:r>
            <w:proofErr w:type="spellStart"/>
            <w:r w:rsidRPr="000966AA">
              <w:rPr>
                <w:rFonts w:eastAsia="Times New Roman" w:cs="Calibri"/>
                <w:color w:val="000000"/>
                <w:szCs w:val="19"/>
                <w:lang w:eastAsia="pl-PL"/>
              </w:rPr>
              <w:t>costs</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132E1AB6" w14:textId="390B4051" w:rsidR="00AE5660" w:rsidRPr="008576F7" w:rsidRDefault="00AE5660" w:rsidP="00AE5660">
            <w:pPr>
              <w:jc w:val="right"/>
              <w:rPr>
                <w:rFonts w:cs="Calibri"/>
                <w:color w:val="000000"/>
                <w:szCs w:val="19"/>
              </w:rPr>
            </w:pPr>
            <w:r w:rsidRPr="008576F7">
              <w:t>4,914,664.2</w:t>
            </w:r>
          </w:p>
        </w:tc>
        <w:tc>
          <w:tcPr>
            <w:tcW w:w="1448" w:type="dxa"/>
            <w:tcBorders>
              <w:top w:val="nil"/>
              <w:left w:val="nil"/>
              <w:bottom w:val="single" w:sz="4" w:space="0" w:color="212492"/>
              <w:right w:val="single" w:sz="4" w:space="0" w:color="212492"/>
            </w:tcBorders>
            <w:shd w:val="clear" w:color="auto" w:fill="auto"/>
            <w:noWrap/>
            <w:hideMark/>
          </w:tcPr>
          <w:p w14:paraId="6AC38298" w14:textId="2F0D8007" w:rsidR="00AE5660" w:rsidRPr="008576F7" w:rsidRDefault="00AE5660" w:rsidP="00AE5660">
            <w:pPr>
              <w:jc w:val="right"/>
              <w:rPr>
                <w:rFonts w:cs="Calibri"/>
                <w:color w:val="000000"/>
                <w:szCs w:val="19"/>
              </w:rPr>
            </w:pPr>
            <w:r w:rsidRPr="008576F7">
              <w:t>5,034,454.2</w:t>
            </w:r>
          </w:p>
        </w:tc>
        <w:tc>
          <w:tcPr>
            <w:tcW w:w="1398" w:type="dxa"/>
            <w:tcBorders>
              <w:top w:val="nil"/>
              <w:left w:val="nil"/>
              <w:bottom w:val="single" w:sz="4" w:space="0" w:color="212492"/>
              <w:right w:val="nil"/>
            </w:tcBorders>
            <w:shd w:val="clear" w:color="auto" w:fill="auto"/>
            <w:noWrap/>
            <w:hideMark/>
          </w:tcPr>
          <w:p w14:paraId="6975F02F" w14:textId="039373E8" w:rsidR="00AE5660" w:rsidRPr="008576F7" w:rsidRDefault="00AE5660" w:rsidP="00AE5660">
            <w:pPr>
              <w:jc w:val="right"/>
              <w:rPr>
                <w:rFonts w:cs="Calibri"/>
                <w:color w:val="000000"/>
                <w:szCs w:val="19"/>
              </w:rPr>
            </w:pPr>
            <w:r w:rsidRPr="008576F7">
              <w:t>102.4</w:t>
            </w:r>
          </w:p>
        </w:tc>
      </w:tr>
      <w:tr w:rsidR="00AE5660" w:rsidRPr="00957F9B" w14:paraId="15449879" w14:textId="77777777" w:rsidTr="00AE5660">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5AD943D1" w14:textId="77777777" w:rsidR="00AE5660" w:rsidRPr="000966AA" w:rsidRDefault="00AE5660" w:rsidP="00AE5660">
            <w:pPr>
              <w:spacing w:before="12" w:after="0" w:line="240" w:lineRule="auto"/>
              <w:ind w:left="176"/>
              <w:rPr>
                <w:rFonts w:eastAsia="Times New Roman" w:cs="Calibri"/>
                <w:color w:val="000000"/>
                <w:szCs w:val="19"/>
                <w:lang w:val="en-US" w:eastAsia="pl-PL"/>
              </w:rPr>
            </w:pPr>
            <w:r w:rsidRPr="000966AA">
              <w:rPr>
                <w:rFonts w:eastAsia="Times New Roman" w:cs="Calibri"/>
                <w:color w:val="000000"/>
                <w:szCs w:val="19"/>
                <w:lang w:val="en-US" w:eastAsia="pl-PL"/>
              </w:rPr>
              <w:t>of which cost of products,</w:t>
            </w:r>
            <w:r w:rsidRPr="000966AA">
              <w:rPr>
                <w:rFonts w:eastAsia="Times New Roman" w:cs="Calibri"/>
                <w:color w:val="000000"/>
                <w:szCs w:val="19"/>
                <w:lang w:val="en-US" w:eastAsia="pl-PL"/>
              </w:rPr>
              <w:br/>
              <w:t xml:space="preserve"> goods and materials sold</w:t>
            </w:r>
          </w:p>
        </w:tc>
        <w:tc>
          <w:tcPr>
            <w:tcW w:w="1422" w:type="dxa"/>
            <w:tcBorders>
              <w:top w:val="nil"/>
              <w:left w:val="nil"/>
              <w:bottom w:val="single" w:sz="4" w:space="0" w:color="212492"/>
              <w:right w:val="single" w:sz="4" w:space="0" w:color="212492"/>
            </w:tcBorders>
            <w:shd w:val="clear" w:color="auto" w:fill="auto"/>
            <w:noWrap/>
            <w:vAlign w:val="center"/>
            <w:hideMark/>
          </w:tcPr>
          <w:p w14:paraId="5C0B9426" w14:textId="7FC002FE" w:rsidR="00AE5660" w:rsidRPr="008576F7" w:rsidRDefault="00AE5660" w:rsidP="00AE5660">
            <w:pPr>
              <w:jc w:val="right"/>
              <w:rPr>
                <w:rFonts w:cs="Calibri"/>
                <w:color w:val="000000"/>
                <w:szCs w:val="19"/>
              </w:rPr>
            </w:pPr>
            <w:r w:rsidRPr="008576F7">
              <w:t>4,742,079.1</w:t>
            </w:r>
          </w:p>
        </w:tc>
        <w:tc>
          <w:tcPr>
            <w:tcW w:w="1448" w:type="dxa"/>
            <w:tcBorders>
              <w:top w:val="nil"/>
              <w:left w:val="nil"/>
              <w:bottom w:val="single" w:sz="4" w:space="0" w:color="212492"/>
              <w:right w:val="single" w:sz="4" w:space="0" w:color="212492"/>
            </w:tcBorders>
            <w:shd w:val="clear" w:color="auto" w:fill="auto"/>
            <w:noWrap/>
            <w:hideMark/>
          </w:tcPr>
          <w:p w14:paraId="433F4CDF" w14:textId="64AB3A35" w:rsidR="00AE5660" w:rsidRPr="008576F7" w:rsidRDefault="00AE5660" w:rsidP="00AE5660">
            <w:pPr>
              <w:jc w:val="right"/>
              <w:rPr>
                <w:rFonts w:cs="Calibri"/>
                <w:color w:val="000000"/>
                <w:szCs w:val="19"/>
              </w:rPr>
            </w:pPr>
            <w:r w:rsidRPr="008576F7">
              <w:t>4,868,420.9</w:t>
            </w:r>
          </w:p>
        </w:tc>
        <w:tc>
          <w:tcPr>
            <w:tcW w:w="1398" w:type="dxa"/>
            <w:tcBorders>
              <w:top w:val="nil"/>
              <w:left w:val="nil"/>
              <w:bottom w:val="single" w:sz="4" w:space="0" w:color="212492"/>
              <w:right w:val="nil"/>
            </w:tcBorders>
            <w:shd w:val="clear" w:color="auto" w:fill="auto"/>
            <w:noWrap/>
            <w:hideMark/>
          </w:tcPr>
          <w:p w14:paraId="6E74E365" w14:textId="1225FE03" w:rsidR="00AE5660" w:rsidRPr="008576F7" w:rsidRDefault="00AE5660" w:rsidP="00AE5660">
            <w:pPr>
              <w:jc w:val="right"/>
              <w:rPr>
                <w:rFonts w:cs="Calibri"/>
                <w:color w:val="000000"/>
                <w:szCs w:val="19"/>
              </w:rPr>
            </w:pPr>
            <w:r w:rsidRPr="008576F7">
              <w:t>102.7</w:t>
            </w:r>
          </w:p>
        </w:tc>
      </w:tr>
      <w:tr w:rsidR="00AE5660" w:rsidRPr="00957F9B" w14:paraId="4DF1A2C9" w14:textId="77777777" w:rsidTr="00AE5660">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039A1A53" w14:textId="0A78E4FE" w:rsidR="00AE5660" w:rsidRPr="000966AA" w:rsidRDefault="00AE5660" w:rsidP="00AE5660">
            <w:pPr>
              <w:spacing w:before="6" w:after="0" w:line="240" w:lineRule="auto"/>
              <w:rPr>
                <w:rFonts w:eastAsia="Times New Roman" w:cs="Calibri"/>
                <w:color w:val="000000"/>
                <w:szCs w:val="19"/>
                <w:lang w:val="en-US" w:eastAsia="pl-PL"/>
              </w:rPr>
            </w:pPr>
            <w:r w:rsidRPr="000966AA">
              <w:rPr>
                <w:rFonts w:eastAsia="Times New Roman" w:cs="Calibri"/>
                <w:color w:val="000000"/>
                <w:szCs w:val="19"/>
                <w:lang w:val="en-US" w:eastAsia="pl-PL"/>
              </w:rPr>
              <w:t>Financial result from the sale of products, goods and materials</w:t>
            </w:r>
          </w:p>
        </w:tc>
        <w:tc>
          <w:tcPr>
            <w:tcW w:w="1422" w:type="dxa"/>
            <w:tcBorders>
              <w:top w:val="nil"/>
              <w:left w:val="nil"/>
              <w:bottom w:val="single" w:sz="4" w:space="0" w:color="212492"/>
              <w:right w:val="single" w:sz="4" w:space="0" w:color="212492"/>
            </w:tcBorders>
            <w:shd w:val="clear" w:color="auto" w:fill="auto"/>
            <w:noWrap/>
            <w:vAlign w:val="center"/>
            <w:hideMark/>
          </w:tcPr>
          <w:p w14:paraId="49F096C0" w14:textId="1D954416" w:rsidR="00AE5660" w:rsidRPr="008576F7" w:rsidRDefault="00AE5660" w:rsidP="00AE5660">
            <w:pPr>
              <w:jc w:val="right"/>
              <w:rPr>
                <w:rFonts w:cs="Calibri"/>
                <w:color w:val="000000"/>
                <w:szCs w:val="19"/>
              </w:rPr>
            </w:pPr>
            <w:r w:rsidRPr="008576F7">
              <w:t>218,552.3</w:t>
            </w:r>
          </w:p>
        </w:tc>
        <w:tc>
          <w:tcPr>
            <w:tcW w:w="1448" w:type="dxa"/>
            <w:tcBorders>
              <w:top w:val="nil"/>
              <w:left w:val="nil"/>
              <w:bottom w:val="single" w:sz="4" w:space="0" w:color="212492"/>
              <w:right w:val="single" w:sz="4" w:space="0" w:color="212492"/>
            </w:tcBorders>
            <w:shd w:val="clear" w:color="auto" w:fill="auto"/>
            <w:noWrap/>
            <w:hideMark/>
          </w:tcPr>
          <w:p w14:paraId="2DD43139" w14:textId="45C2C832" w:rsidR="00AE5660" w:rsidRPr="008576F7" w:rsidRDefault="00AE5660" w:rsidP="00AE5660">
            <w:pPr>
              <w:jc w:val="right"/>
              <w:rPr>
                <w:rFonts w:cs="Calibri"/>
                <w:color w:val="000000"/>
                <w:szCs w:val="19"/>
              </w:rPr>
            </w:pPr>
            <w:r w:rsidRPr="008576F7">
              <w:t>233,099.9</w:t>
            </w:r>
          </w:p>
        </w:tc>
        <w:tc>
          <w:tcPr>
            <w:tcW w:w="1398" w:type="dxa"/>
            <w:tcBorders>
              <w:top w:val="nil"/>
              <w:left w:val="nil"/>
              <w:bottom w:val="single" w:sz="4" w:space="0" w:color="212492"/>
              <w:right w:val="nil"/>
            </w:tcBorders>
            <w:shd w:val="clear" w:color="auto" w:fill="auto"/>
            <w:noWrap/>
            <w:hideMark/>
          </w:tcPr>
          <w:p w14:paraId="407119A5" w14:textId="50E7EC9B" w:rsidR="00AE5660" w:rsidRPr="008576F7" w:rsidRDefault="00AE5660" w:rsidP="00AE5660">
            <w:pPr>
              <w:jc w:val="right"/>
              <w:rPr>
                <w:rFonts w:cs="Calibri"/>
                <w:color w:val="000000"/>
                <w:szCs w:val="19"/>
              </w:rPr>
            </w:pPr>
            <w:r w:rsidRPr="008576F7">
              <w:t>106.7</w:t>
            </w:r>
          </w:p>
        </w:tc>
      </w:tr>
      <w:tr w:rsidR="00AE5660" w:rsidRPr="00957F9B" w14:paraId="5E032DA5" w14:textId="77777777" w:rsidTr="00AE5660">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49FEDCAD" w14:textId="77777777" w:rsidR="00AE5660" w:rsidRPr="000966AA" w:rsidRDefault="00AE5660" w:rsidP="00AE5660">
            <w:pPr>
              <w:spacing w:before="6" w:after="0" w:line="240" w:lineRule="auto"/>
              <w:rPr>
                <w:rFonts w:eastAsia="Times New Roman" w:cs="Calibri"/>
                <w:color w:val="000000"/>
                <w:szCs w:val="19"/>
                <w:lang w:val="en-US" w:eastAsia="pl-PL"/>
              </w:rPr>
            </w:pPr>
            <w:r w:rsidRPr="000966AA">
              <w:rPr>
                <w:rFonts w:eastAsia="Times New Roman" w:cs="Calibri"/>
                <w:color w:val="000000"/>
                <w:szCs w:val="19"/>
                <w:lang w:val="en-US" w:eastAsia="pl-PL"/>
              </w:rPr>
              <w:t xml:space="preserve">Financial result from other </w:t>
            </w:r>
            <w:r w:rsidRPr="000966AA">
              <w:rPr>
                <w:rFonts w:eastAsia="Times New Roman" w:cs="Calibri"/>
                <w:color w:val="000000"/>
                <w:szCs w:val="19"/>
                <w:lang w:val="en-US" w:eastAsia="pl-PL"/>
              </w:rPr>
              <w:br/>
              <w:t>operating activity</w:t>
            </w:r>
          </w:p>
        </w:tc>
        <w:tc>
          <w:tcPr>
            <w:tcW w:w="1422" w:type="dxa"/>
            <w:tcBorders>
              <w:top w:val="nil"/>
              <w:left w:val="nil"/>
              <w:bottom w:val="single" w:sz="4" w:space="0" w:color="212492"/>
              <w:right w:val="single" w:sz="4" w:space="0" w:color="212492"/>
            </w:tcBorders>
            <w:shd w:val="clear" w:color="auto" w:fill="auto"/>
            <w:noWrap/>
            <w:vAlign w:val="center"/>
            <w:hideMark/>
          </w:tcPr>
          <w:p w14:paraId="5164A2A7" w14:textId="7DF47D4C" w:rsidR="00AE5660" w:rsidRPr="008576F7" w:rsidRDefault="00AE5660" w:rsidP="00AE5660">
            <w:pPr>
              <w:jc w:val="right"/>
              <w:rPr>
                <w:rFonts w:cs="Calibri"/>
                <w:color w:val="000000"/>
                <w:szCs w:val="19"/>
              </w:rPr>
            </w:pPr>
            <w:r w:rsidRPr="008576F7">
              <w:t>2,062.2</w:t>
            </w:r>
          </w:p>
        </w:tc>
        <w:tc>
          <w:tcPr>
            <w:tcW w:w="1448" w:type="dxa"/>
            <w:tcBorders>
              <w:top w:val="nil"/>
              <w:left w:val="nil"/>
              <w:bottom w:val="single" w:sz="4" w:space="0" w:color="212492"/>
              <w:right w:val="single" w:sz="4" w:space="0" w:color="212492"/>
            </w:tcBorders>
            <w:shd w:val="clear" w:color="auto" w:fill="auto"/>
            <w:noWrap/>
            <w:hideMark/>
          </w:tcPr>
          <w:p w14:paraId="1CC0B74A" w14:textId="42B8F0CB" w:rsidR="00AE5660" w:rsidRPr="008576F7" w:rsidRDefault="00AE5660" w:rsidP="00AE5660">
            <w:pPr>
              <w:jc w:val="right"/>
              <w:rPr>
                <w:rFonts w:cs="Calibri"/>
                <w:color w:val="000000"/>
                <w:szCs w:val="19"/>
              </w:rPr>
            </w:pPr>
            <w:r w:rsidRPr="008576F7">
              <w:t>13,766.6</w:t>
            </w:r>
          </w:p>
        </w:tc>
        <w:tc>
          <w:tcPr>
            <w:tcW w:w="1398" w:type="dxa"/>
            <w:tcBorders>
              <w:top w:val="nil"/>
              <w:left w:val="nil"/>
              <w:bottom w:val="single" w:sz="4" w:space="0" w:color="212492"/>
              <w:right w:val="nil"/>
            </w:tcBorders>
            <w:shd w:val="clear" w:color="auto" w:fill="auto"/>
            <w:noWrap/>
            <w:hideMark/>
          </w:tcPr>
          <w:p w14:paraId="28444476" w14:textId="18D26412" w:rsidR="00AE5660" w:rsidRPr="008576F7" w:rsidRDefault="00AE5660" w:rsidP="00AE5660">
            <w:pPr>
              <w:jc w:val="right"/>
              <w:rPr>
                <w:rFonts w:cs="Calibri"/>
                <w:color w:val="000000"/>
                <w:szCs w:val="19"/>
              </w:rPr>
            </w:pPr>
            <w:r w:rsidRPr="008576F7">
              <w:t>667.6</w:t>
            </w:r>
          </w:p>
        </w:tc>
      </w:tr>
      <w:tr w:rsidR="00AE5660" w:rsidRPr="00957F9B" w14:paraId="26AB8C61" w14:textId="77777777" w:rsidTr="00AE5660">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3AFAF76C" w14:textId="77777777" w:rsidR="00AE5660" w:rsidRPr="000966AA" w:rsidRDefault="00AE5660" w:rsidP="00AE5660">
            <w:pPr>
              <w:spacing w:before="6" w:after="0" w:line="240" w:lineRule="auto"/>
              <w:rPr>
                <w:rFonts w:eastAsia="Times New Roman" w:cs="Calibri"/>
                <w:color w:val="000000"/>
                <w:szCs w:val="19"/>
                <w:lang w:eastAsia="pl-PL"/>
              </w:rPr>
            </w:pPr>
            <w:proofErr w:type="spellStart"/>
            <w:r w:rsidRPr="000966AA">
              <w:rPr>
                <w:rFonts w:eastAsia="Times New Roman" w:cs="Calibri"/>
                <w:color w:val="000000"/>
                <w:szCs w:val="19"/>
                <w:lang w:eastAsia="pl-PL"/>
              </w:rPr>
              <w:t>Result</w:t>
            </w:r>
            <w:proofErr w:type="spellEnd"/>
            <w:r w:rsidRPr="000966AA">
              <w:rPr>
                <w:rFonts w:eastAsia="Times New Roman" w:cs="Calibri"/>
                <w:color w:val="000000"/>
                <w:szCs w:val="19"/>
                <w:lang w:eastAsia="pl-PL"/>
              </w:rPr>
              <w:t xml:space="preserve"> on </w:t>
            </w:r>
            <w:proofErr w:type="spellStart"/>
            <w:r w:rsidRPr="000966AA">
              <w:rPr>
                <w:rFonts w:eastAsia="Times New Roman" w:cs="Calibri"/>
                <w:color w:val="000000"/>
                <w:szCs w:val="19"/>
                <w:lang w:eastAsia="pl-PL"/>
              </w:rPr>
              <w:t>financial</w:t>
            </w:r>
            <w:proofErr w:type="spellEnd"/>
            <w:r w:rsidRPr="000966AA">
              <w:rPr>
                <w:rFonts w:eastAsia="Times New Roman" w:cs="Calibri"/>
                <w:color w:val="000000"/>
                <w:szCs w:val="19"/>
                <w:lang w:eastAsia="pl-PL"/>
              </w:rPr>
              <w:t xml:space="preserve"> </w:t>
            </w:r>
            <w:proofErr w:type="spellStart"/>
            <w:r w:rsidRPr="000966AA">
              <w:rPr>
                <w:rFonts w:eastAsia="Times New Roman" w:cs="Calibri"/>
                <w:color w:val="000000"/>
                <w:szCs w:val="19"/>
                <w:lang w:eastAsia="pl-PL"/>
              </w:rPr>
              <w:t>activity</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48F2B3F7" w14:textId="3BE4BA33" w:rsidR="00AE5660" w:rsidRPr="008576F7" w:rsidRDefault="00AE5660" w:rsidP="00AE5660">
            <w:pPr>
              <w:jc w:val="right"/>
              <w:rPr>
                <w:rFonts w:cs="Calibri"/>
                <w:color w:val="000000"/>
                <w:szCs w:val="19"/>
              </w:rPr>
            </w:pPr>
            <w:r w:rsidRPr="008576F7">
              <w:t>-2,248.8</w:t>
            </w:r>
          </w:p>
        </w:tc>
        <w:tc>
          <w:tcPr>
            <w:tcW w:w="1448" w:type="dxa"/>
            <w:tcBorders>
              <w:top w:val="nil"/>
              <w:left w:val="nil"/>
              <w:bottom w:val="single" w:sz="4" w:space="0" w:color="212492"/>
              <w:right w:val="single" w:sz="4" w:space="0" w:color="212492"/>
            </w:tcBorders>
            <w:shd w:val="clear" w:color="auto" w:fill="auto"/>
            <w:noWrap/>
            <w:hideMark/>
          </w:tcPr>
          <w:p w14:paraId="21EEDA62" w14:textId="62558EF9" w:rsidR="00AE5660" w:rsidRPr="008576F7" w:rsidRDefault="00AE5660" w:rsidP="00AE5660">
            <w:pPr>
              <w:jc w:val="right"/>
              <w:rPr>
                <w:rFonts w:cs="Calibri"/>
                <w:color w:val="000000"/>
                <w:szCs w:val="19"/>
              </w:rPr>
            </w:pPr>
            <w:r w:rsidRPr="008576F7">
              <w:t>-1,518.4</w:t>
            </w:r>
          </w:p>
        </w:tc>
        <w:tc>
          <w:tcPr>
            <w:tcW w:w="1398" w:type="dxa"/>
            <w:tcBorders>
              <w:top w:val="nil"/>
              <w:left w:val="nil"/>
              <w:bottom w:val="single" w:sz="4" w:space="0" w:color="212492"/>
              <w:right w:val="nil"/>
            </w:tcBorders>
            <w:shd w:val="clear" w:color="auto" w:fill="auto"/>
            <w:noWrap/>
            <w:hideMark/>
          </w:tcPr>
          <w:p w14:paraId="633C984C" w14:textId="566C89E3" w:rsidR="00AE5660" w:rsidRPr="008576F7" w:rsidRDefault="00AE5660" w:rsidP="00AE5660">
            <w:pPr>
              <w:jc w:val="right"/>
              <w:rPr>
                <w:rFonts w:cs="Calibri"/>
                <w:color w:val="000000"/>
                <w:szCs w:val="19"/>
              </w:rPr>
            </w:pPr>
            <w:r w:rsidRPr="008576F7">
              <w:rPr>
                <w:rFonts w:cs="Calibri"/>
                <w:color w:val="000000"/>
                <w:szCs w:val="19"/>
              </w:rPr>
              <w:t>.</w:t>
            </w:r>
          </w:p>
        </w:tc>
      </w:tr>
      <w:tr w:rsidR="00AE5660" w:rsidRPr="00957F9B" w14:paraId="25C3DD95" w14:textId="77777777" w:rsidTr="00AE5660">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1E3526E1" w14:textId="77777777" w:rsidR="00AE5660" w:rsidRPr="000966AA" w:rsidRDefault="00AE5660" w:rsidP="00AE5660">
            <w:pPr>
              <w:spacing w:before="6" w:after="0" w:line="240" w:lineRule="auto"/>
              <w:rPr>
                <w:rFonts w:eastAsia="Times New Roman" w:cs="Calibri"/>
                <w:color w:val="000000"/>
                <w:szCs w:val="19"/>
                <w:lang w:eastAsia="pl-PL"/>
              </w:rPr>
            </w:pPr>
            <w:r w:rsidRPr="000966AA">
              <w:rPr>
                <w:rFonts w:eastAsia="Times New Roman" w:cs="Calibri"/>
                <w:color w:val="000000"/>
                <w:szCs w:val="19"/>
                <w:lang w:eastAsia="pl-PL"/>
              </w:rPr>
              <w:t xml:space="preserve">Gross </w:t>
            </w:r>
            <w:proofErr w:type="spellStart"/>
            <w:r w:rsidRPr="000966AA">
              <w:rPr>
                <w:rFonts w:eastAsia="Times New Roman" w:cs="Calibri"/>
                <w:color w:val="000000"/>
                <w:szCs w:val="19"/>
                <w:lang w:eastAsia="pl-PL"/>
              </w:rPr>
              <w:t>financial</w:t>
            </w:r>
            <w:proofErr w:type="spellEnd"/>
            <w:r w:rsidRPr="000966AA">
              <w:rPr>
                <w:rFonts w:eastAsia="Times New Roman" w:cs="Calibri"/>
                <w:color w:val="000000"/>
                <w:szCs w:val="19"/>
                <w:lang w:eastAsia="pl-PL"/>
              </w:rPr>
              <w:t xml:space="preserve"> </w:t>
            </w:r>
            <w:proofErr w:type="spellStart"/>
            <w:r w:rsidRPr="000966AA">
              <w:rPr>
                <w:rFonts w:eastAsia="Times New Roman" w:cs="Calibri"/>
                <w:color w:val="000000"/>
                <w:szCs w:val="19"/>
                <w:lang w:eastAsia="pl-PL"/>
              </w:rPr>
              <w:t>result</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78213DB5" w14:textId="23A7B4A9" w:rsidR="00AE5660" w:rsidRPr="008576F7" w:rsidRDefault="00AE5660" w:rsidP="00AE5660">
            <w:pPr>
              <w:jc w:val="right"/>
              <w:rPr>
                <w:rFonts w:cs="Calibri"/>
                <w:color w:val="000000"/>
                <w:szCs w:val="19"/>
              </w:rPr>
            </w:pPr>
            <w:r w:rsidRPr="008576F7">
              <w:t>218,365.7</w:t>
            </w:r>
          </w:p>
        </w:tc>
        <w:tc>
          <w:tcPr>
            <w:tcW w:w="1448" w:type="dxa"/>
            <w:tcBorders>
              <w:top w:val="nil"/>
              <w:left w:val="nil"/>
              <w:bottom w:val="single" w:sz="4" w:space="0" w:color="212492"/>
              <w:right w:val="single" w:sz="4" w:space="0" w:color="212492"/>
            </w:tcBorders>
            <w:shd w:val="clear" w:color="auto" w:fill="auto"/>
            <w:noWrap/>
            <w:hideMark/>
          </w:tcPr>
          <w:p w14:paraId="2E493CE5" w14:textId="426454B1" w:rsidR="00AE5660" w:rsidRPr="008576F7" w:rsidRDefault="00AE5660" w:rsidP="00AE5660">
            <w:pPr>
              <w:jc w:val="right"/>
              <w:rPr>
                <w:rFonts w:cs="Calibri"/>
                <w:color w:val="000000"/>
                <w:szCs w:val="19"/>
              </w:rPr>
            </w:pPr>
            <w:r w:rsidRPr="008576F7">
              <w:t>245,348.1</w:t>
            </w:r>
          </w:p>
        </w:tc>
        <w:tc>
          <w:tcPr>
            <w:tcW w:w="1398" w:type="dxa"/>
            <w:tcBorders>
              <w:top w:val="nil"/>
              <w:left w:val="nil"/>
              <w:bottom w:val="single" w:sz="4" w:space="0" w:color="212492"/>
              <w:right w:val="nil"/>
            </w:tcBorders>
            <w:shd w:val="clear" w:color="auto" w:fill="auto"/>
            <w:noWrap/>
            <w:hideMark/>
          </w:tcPr>
          <w:p w14:paraId="4AB1E5A6" w14:textId="06A784F7" w:rsidR="00AE5660" w:rsidRPr="008576F7" w:rsidRDefault="00AE5660" w:rsidP="00AE5660">
            <w:pPr>
              <w:jc w:val="right"/>
              <w:rPr>
                <w:rFonts w:cs="Calibri"/>
                <w:color w:val="000000"/>
                <w:szCs w:val="19"/>
              </w:rPr>
            </w:pPr>
            <w:r w:rsidRPr="008576F7">
              <w:t>112.4</w:t>
            </w:r>
          </w:p>
        </w:tc>
      </w:tr>
      <w:tr w:rsidR="00AE5660" w:rsidRPr="00957F9B" w14:paraId="3C448431" w14:textId="77777777" w:rsidTr="00AE5660">
        <w:trPr>
          <w:trHeight w:val="499"/>
        </w:trPr>
        <w:tc>
          <w:tcPr>
            <w:tcW w:w="3634" w:type="dxa"/>
            <w:tcBorders>
              <w:top w:val="nil"/>
              <w:left w:val="nil"/>
              <w:bottom w:val="single" w:sz="4" w:space="0" w:color="212492"/>
              <w:right w:val="single" w:sz="4" w:space="0" w:color="212492"/>
            </w:tcBorders>
            <w:shd w:val="clear" w:color="auto" w:fill="auto"/>
            <w:noWrap/>
            <w:vAlign w:val="center"/>
            <w:hideMark/>
          </w:tcPr>
          <w:p w14:paraId="66187385" w14:textId="77777777" w:rsidR="00AE5660" w:rsidRPr="000966AA" w:rsidRDefault="00AE5660" w:rsidP="00AE5660">
            <w:pPr>
              <w:spacing w:before="6" w:after="0" w:line="240" w:lineRule="auto"/>
              <w:rPr>
                <w:rFonts w:eastAsia="Times New Roman" w:cs="Calibri"/>
                <w:color w:val="000000"/>
                <w:szCs w:val="19"/>
                <w:lang w:eastAsia="pl-PL"/>
              </w:rPr>
            </w:pPr>
            <w:r w:rsidRPr="000966AA">
              <w:rPr>
                <w:rFonts w:eastAsia="Times New Roman" w:cs="Calibri"/>
                <w:color w:val="000000"/>
                <w:szCs w:val="19"/>
                <w:lang w:eastAsia="pl-PL"/>
              </w:rPr>
              <w:t xml:space="preserve">Net </w:t>
            </w:r>
            <w:proofErr w:type="spellStart"/>
            <w:r w:rsidRPr="000966AA">
              <w:rPr>
                <w:rFonts w:eastAsia="Times New Roman" w:cs="Calibri"/>
                <w:color w:val="000000"/>
                <w:szCs w:val="19"/>
                <w:lang w:eastAsia="pl-PL"/>
              </w:rPr>
              <w:t>financial</w:t>
            </w:r>
            <w:proofErr w:type="spellEnd"/>
            <w:r w:rsidRPr="000966AA">
              <w:rPr>
                <w:rFonts w:eastAsia="Times New Roman" w:cs="Calibri"/>
                <w:color w:val="000000"/>
                <w:szCs w:val="19"/>
                <w:lang w:eastAsia="pl-PL"/>
              </w:rPr>
              <w:t xml:space="preserve"> </w:t>
            </w:r>
            <w:proofErr w:type="spellStart"/>
            <w:r w:rsidRPr="000966AA">
              <w:rPr>
                <w:rFonts w:eastAsia="Times New Roman" w:cs="Calibri"/>
                <w:color w:val="000000"/>
                <w:szCs w:val="19"/>
                <w:lang w:eastAsia="pl-PL"/>
              </w:rPr>
              <w:t>result</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53149FB7" w14:textId="3CDF2038" w:rsidR="00AE5660" w:rsidRPr="008576F7" w:rsidRDefault="00AE5660" w:rsidP="00AE5660">
            <w:pPr>
              <w:jc w:val="right"/>
              <w:rPr>
                <w:rFonts w:cs="Calibri"/>
                <w:color w:val="000000"/>
                <w:szCs w:val="19"/>
              </w:rPr>
            </w:pPr>
            <w:r w:rsidRPr="008576F7">
              <w:t>173,704.2</w:t>
            </w:r>
          </w:p>
        </w:tc>
        <w:tc>
          <w:tcPr>
            <w:tcW w:w="1448" w:type="dxa"/>
            <w:tcBorders>
              <w:top w:val="nil"/>
              <w:left w:val="nil"/>
              <w:bottom w:val="single" w:sz="4" w:space="0" w:color="212492"/>
              <w:right w:val="single" w:sz="4" w:space="0" w:color="212492"/>
            </w:tcBorders>
            <w:shd w:val="clear" w:color="auto" w:fill="auto"/>
            <w:noWrap/>
            <w:hideMark/>
          </w:tcPr>
          <w:p w14:paraId="5940069F" w14:textId="2EF1502F" w:rsidR="00AE5660" w:rsidRPr="008576F7" w:rsidRDefault="00AE5660" w:rsidP="00AE5660">
            <w:pPr>
              <w:jc w:val="right"/>
              <w:rPr>
                <w:rFonts w:cs="Calibri"/>
                <w:color w:val="000000"/>
                <w:szCs w:val="19"/>
              </w:rPr>
            </w:pPr>
            <w:r w:rsidRPr="008576F7">
              <w:t>197,087.5</w:t>
            </w:r>
          </w:p>
        </w:tc>
        <w:tc>
          <w:tcPr>
            <w:tcW w:w="1398" w:type="dxa"/>
            <w:tcBorders>
              <w:top w:val="nil"/>
              <w:left w:val="nil"/>
              <w:bottom w:val="single" w:sz="4" w:space="0" w:color="212492"/>
              <w:right w:val="nil"/>
            </w:tcBorders>
            <w:shd w:val="clear" w:color="auto" w:fill="auto"/>
            <w:noWrap/>
            <w:hideMark/>
          </w:tcPr>
          <w:p w14:paraId="084AE51F" w14:textId="41BDA00A" w:rsidR="00AE5660" w:rsidRPr="008576F7" w:rsidRDefault="00AE5660" w:rsidP="00AE5660">
            <w:pPr>
              <w:jc w:val="right"/>
              <w:rPr>
                <w:rFonts w:cs="Calibri"/>
                <w:color w:val="000000"/>
                <w:szCs w:val="19"/>
              </w:rPr>
            </w:pPr>
            <w:r w:rsidRPr="008576F7">
              <w:t>113.5</w:t>
            </w:r>
          </w:p>
        </w:tc>
      </w:tr>
      <w:tr w:rsidR="00AE5660" w:rsidRPr="00957F9B" w14:paraId="2BDCEDFA" w14:textId="77777777" w:rsidTr="00AE5660">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2B9032E7" w14:textId="77777777" w:rsidR="00AE5660" w:rsidRPr="000966AA" w:rsidRDefault="00AE5660" w:rsidP="00AE5660">
            <w:pPr>
              <w:spacing w:before="6" w:after="0" w:line="240" w:lineRule="auto"/>
              <w:rPr>
                <w:rFonts w:eastAsia="Times New Roman" w:cs="Calibri"/>
                <w:color w:val="000000"/>
                <w:szCs w:val="19"/>
                <w:lang w:eastAsia="pl-PL"/>
              </w:rPr>
            </w:pPr>
            <w:r w:rsidRPr="000966AA">
              <w:rPr>
                <w:rFonts w:eastAsia="Times New Roman" w:cs="Calibri"/>
                <w:color w:val="000000"/>
                <w:szCs w:val="19"/>
                <w:lang w:eastAsia="pl-PL"/>
              </w:rPr>
              <w:t>Net profit</w:t>
            </w:r>
          </w:p>
        </w:tc>
        <w:tc>
          <w:tcPr>
            <w:tcW w:w="1422" w:type="dxa"/>
            <w:tcBorders>
              <w:top w:val="nil"/>
              <w:left w:val="nil"/>
              <w:bottom w:val="single" w:sz="4" w:space="0" w:color="212492"/>
              <w:right w:val="single" w:sz="4" w:space="0" w:color="212492"/>
            </w:tcBorders>
            <w:shd w:val="clear" w:color="auto" w:fill="auto"/>
            <w:noWrap/>
            <w:vAlign w:val="center"/>
            <w:hideMark/>
          </w:tcPr>
          <w:p w14:paraId="55FD9F5C" w14:textId="7F6ABBC2" w:rsidR="00AE5660" w:rsidRPr="008576F7" w:rsidRDefault="00AE5660" w:rsidP="00AE5660">
            <w:pPr>
              <w:jc w:val="right"/>
              <w:rPr>
                <w:rFonts w:cs="Calibri"/>
                <w:color w:val="000000"/>
                <w:szCs w:val="19"/>
              </w:rPr>
            </w:pPr>
            <w:r w:rsidRPr="008576F7">
              <w:t>242,709.2</w:t>
            </w:r>
          </w:p>
        </w:tc>
        <w:tc>
          <w:tcPr>
            <w:tcW w:w="1448" w:type="dxa"/>
            <w:tcBorders>
              <w:top w:val="nil"/>
              <w:left w:val="nil"/>
              <w:bottom w:val="single" w:sz="4" w:space="0" w:color="212492"/>
              <w:right w:val="single" w:sz="4" w:space="0" w:color="212492"/>
            </w:tcBorders>
            <w:shd w:val="clear" w:color="auto" w:fill="auto"/>
            <w:noWrap/>
            <w:hideMark/>
          </w:tcPr>
          <w:p w14:paraId="7DD76549" w14:textId="15E9A7CA" w:rsidR="00AE5660" w:rsidRPr="008576F7" w:rsidRDefault="00AE5660" w:rsidP="00AE5660">
            <w:pPr>
              <w:jc w:val="right"/>
              <w:rPr>
                <w:rFonts w:cs="Calibri"/>
                <w:color w:val="000000"/>
                <w:szCs w:val="19"/>
              </w:rPr>
            </w:pPr>
            <w:r w:rsidRPr="008576F7">
              <w:t>261,319.6</w:t>
            </w:r>
          </w:p>
        </w:tc>
        <w:tc>
          <w:tcPr>
            <w:tcW w:w="1398" w:type="dxa"/>
            <w:tcBorders>
              <w:top w:val="nil"/>
              <w:left w:val="nil"/>
              <w:bottom w:val="single" w:sz="4" w:space="0" w:color="212492"/>
              <w:right w:val="nil"/>
            </w:tcBorders>
            <w:shd w:val="clear" w:color="auto" w:fill="auto"/>
            <w:noWrap/>
            <w:hideMark/>
          </w:tcPr>
          <w:p w14:paraId="4B558BB1" w14:textId="0FAD3031" w:rsidR="00AE5660" w:rsidRPr="008576F7" w:rsidRDefault="00AE5660" w:rsidP="00AE5660">
            <w:pPr>
              <w:jc w:val="right"/>
              <w:rPr>
                <w:rFonts w:cs="Calibri"/>
                <w:color w:val="000000"/>
                <w:szCs w:val="19"/>
              </w:rPr>
            </w:pPr>
            <w:r w:rsidRPr="008576F7">
              <w:t>107.7</w:t>
            </w:r>
          </w:p>
        </w:tc>
      </w:tr>
      <w:tr w:rsidR="00AE5660" w:rsidRPr="00957F9B" w14:paraId="7A44B8CE" w14:textId="77777777" w:rsidTr="00AE5660">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55A26024" w14:textId="77777777" w:rsidR="00AE5660" w:rsidRPr="000966AA" w:rsidRDefault="00AE5660" w:rsidP="00AE5660">
            <w:pPr>
              <w:spacing w:before="6" w:after="0" w:line="240" w:lineRule="auto"/>
              <w:rPr>
                <w:rFonts w:eastAsia="Times New Roman" w:cs="Calibri"/>
                <w:color w:val="000000"/>
                <w:szCs w:val="19"/>
                <w:lang w:eastAsia="pl-PL"/>
              </w:rPr>
            </w:pPr>
            <w:r w:rsidRPr="000966AA">
              <w:rPr>
                <w:rFonts w:eastAsia="Times New Roman" w:cs="Calibri"/>
                <w:color w:val="000000"/>
                <w:szCs w:val="19"/>
                <w:lang w:eastAsia="pl-PL"/>
              </w:rPr>
              <w:t xml:space="preserve">Net </w:t>
            </w:r>
            <w:proofErr w:type="spellStart"/>
            <w:r w:rsidRPr="000966AA">
              <w:rPr>
                <w:rFonts w:eastAsia="Times New Roman" w:cs="Calibri"/>
                <w:color w:val="000000"/>
                <w:szCs w:val="19"/>
                <w:lang w:eastAsia="pl-PL"/>
              </w:rPr>
              <w:t>loss</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514F3A7D" w14:textId="150B358C" w:rsidR="00AE5660" w:rsidRPr="008576F7" w:rsidRDefault="00AE5660" w:rsidP="00AE5660">
            <w:pPr>
              <w:jc w:val="right"/>
              <w:rPr>
                <w:rFonts w:cs="Calibri"/>
                <w:color w:val="000000"/>
                <w:szCs w:val="19"/>
              </w:rPr>
            </w:pPr>
            <w:r w:rsidRPr="008576F7">
              <w:t>69,004.9</w:t>
            </w:r>
          </w:p>
        </w:tc>
        <w:tc>
          <w:tcPr>
            <w:tcW w:w="1448" w:type="dxa"/>
            <w:tcBorders>
              <w:top w:val="nil"/>
              <w:left w:val="nil"/>
              <w:bottom w:val="single" w:sz="4" w:space="0" w:color="212492"/>
              <w:right w:val="single" w:sz="4" w:space="0" w:color="212492"/>
            </w:tcBorders>
            <w:shd w:val="clear" w:color="auto" w:fill="auto"/>
            <w:noWrap/>
            <w:hideMark/>
          </w:tcPr>
          <w:p w14:paraId="6783BF73" w14:textId="2B2D6001" w:rsidR="00AE5660" w:rsidRPr="008576F7" w:rsidRDefault="00AE5660" w:rsidP="00AE5660">
            <w:pPr>
              <w:jc w:val="right"/>
              <w:rPr>
                <w:rFonts w:cs="Calibri"/>
                <w:color w:val="000000"/>
                <w:szCs w:val="19"/>
              </w:rPr>
            </w:pPr>
            <w:r w:rsidRPr="008576F7">
              <w:t>64,232.1</w:t>
            </w:r>
          </w:p>
        </w:tc>
        <w:tc>
          <w:tcPr>
            <w:tcW w:w="1398" w:type="dxa"/>
            <w:tcBorders>
              <w:top w:val="nil"/>
              <w:left w:val="nil"/>
              <w:bottom w:val="single" w:sz="4" w:space="0" w:color="212492"/>
              <w:right w:val="nil"/>
            </w:tcBorders>
            <w:shd w:val="clear" w:color="auto" w:fill="auto"/>
            <w:noWrap/>
            <w:hideMark/>
          </w:tcPr>
          <w:p w14:paraId="44548A26" w14:textId="5151178F" w:rsidR="00AE5660" w:rsidRPr="008576F7" w:rsidRDefault="00AE5660" w:rsidP="00AE5660">
            <w:pPr>
              <w:jc w:val="right"/>
              <w:rPr>
                <w:rFonts w:cs="Calibri"/>
                <w:color w:val="000000"/>
                <w:szCs w:val="19"/>
              </w:rPr>
            </w:pPr>
            <w:r w:rsidRPr="008576F7">
              <w:t>93.1</w:t>
            </w:r>
          </w:p>
        </w:tc>
      </w:tr>
      <w:tr w:rsidR="00FB163D" w:rsidRPr="00957F9B" w14:paraId="279A15E8" w14:textId="77777777" w:rsidTr="00BF0182">
        <w:trPr>
          <w:trHeight w:val="202"/>
        </w:trPr>
        <w:tc>
          <w:tcPr>
            <w:tcW w:w="3634" w:type="dxa"/>
            <w:tcBorders>
              <w:top w:val="nil"/>
              <w:left w:val="nil"/>
              <w:bottom w:val="single" w:sz="4" w:space="0" w:color="212492"/>
              <w:right w:val="nil"/>
            </w:tcBorders>
            <w:shd w:val="clear" w:color="auto" w:fill="auto"/>
            <w:noWrap/>
            <w:vAlign w:val="bottom"/>
            <w:hideMark/>
          </w:tcPr>
          <w:p w14:paraId="3972B158" w14:textId="77777777" w:rsidR="00FB163D" w:rsidRPr="00957F9B" w:rsidRDefault="00FB163D" w:rsidP="00D07B6E">
            <w:pPr>
              <w:spacing w:before="0" w:after="0" w:line="240" w:lineRule="auto"/>
              <w:rPr>
                <w:rFonts w:eastAsia="Times New Roman" w:cs="Calibri"/>
                <w:color w:val="000000"/>
                <w:sz w:val="16"/>
                <w:szCs w:val="16"/>
                <w:lang w:eastAsia="pl-PL"/>
              </w:rPr>
            </w:pPr>
            <w:r w:rsidRPr="00957F9B">
              <w:rPr>
                <w:rFonts w:eastAsia="Times New Roman" w:cs="Calibri"/>
                <w:color w:val="000000"/>
                <w:sz w:val="16"/>
                <w:szCs w:val="16"/>
                <w:lang w:eastAsia="pl-PL"/>
              </w:rPr>
              <w:t> </w:t>
            </w:r>
          </w:p>
        </w:tc>
        <w:tc>
          <w:tcPr>
            <w:tcW w:w="4268" w:type="dxa"/>
            <w:gridSpan w:val="3"/>
            <w:tcBorders>
              <w:top w:val="single" w:sz="4" w:space="0" w:color="212492"/>
              <w:left w:val="nil"/>
              <w:bottom w:val="single" w:sz="4" w:space="0" w:color="212492"/>
            </w:tcBorders>
            <w:shd w:val="clear" w:color="auto" w:fill="auto"/>
            <w:noWrap/>
            <w:vAlign w:val="bottom"/>
            <w:hideMark/>
          </w:tcPr>
          <w:p w14:paraId="000A5636" w14:textId="77777777" w:rsidR="00FB163D" w:rsidRPr="00AE5660" w:rsidRDefault="009B4923" w:rsidP="00D07B6E">
            <w:pPr>
              <w:spacing w:before="0" w:after="0" w:line="240" w:lineRule="auto"/>
              <w:jc w:val="center"/>
              <w:rPr>
                <w:rFonts w:eastAsia="Times New Roman" w:cs="Calibri"/>
                <w:color w:val="000000"/>
                <w:szCs w:val="19"/>
                <w:highlight w:val="green"/>
                <w:lang w:eastAsia="pl-PL"/>
              </w:rPr>
            </w:pPr>
            <w:r w:rsidRPr="008576F7">
              <w:rPr>
                <w:rFonts w:eastAsia="Times New Roman" w:cs="Calibri"/>
                <w:color w:val="000000"/>
                <w:szCs w:val="19"/>
                <w:lang w:eastAsia="pl-PL"/>
              </w:rPr>
              <w:t xml:space="preserve">in </w:t>
            </w:r>
            <w:r w:rsidR="00FB163D" w:rsidRPr="008576F7">
              <w:rPr>
                <w:rFonts w:eastAsia="Times New Roman" w:cs="Calibri"/>
                <w:color w:val="000000"/>
                <w:szCs w:val="19"/>
                <w:lang w:eastAsia="pl-PL"/>
              </w:rPr>
              <w:t>%</w:t>
            </w:r>
          </w:p>
        </w:tc>
      </w:tr>
      <w:tr w:rsidR="00AE5660" w:rsidRPr="00957F9B" w14:paraId="2083B621" w14:textId="77777777" w:rsidTr="00AE5660">
        <w:trPr>
          <w:trHeight w:val="499"/>
        </w:trPr>
        <w:tc>
          <w:tcPr>
            <w:tcW w:w="3634" w:type="dxa"/>
            <w:tcBorders>
              <w:top w:val="nil"/>
              <w:left w:val="nil"/>
              <w:bottom w:val="single" w:sz="4" w:space="0" w:color="212492"/>
              <w:right w:val="single" w:sz="4" w:space="0" w:color="212492"/>
            </w:tcBorders>
            <w:shd w:val="clear" w:color="auto" w:fill="auto"/>
            <w:noWrap/>
            <w:vAlign w:val="center"/>
            <w:hideMark/>
          </w:tcPr>
          <w:p w14:paraId="5D473947" w14:textId="77777777" w:rsidR="00AE5660" w:rsidRPr="000966AA" w:rsidRDefault="00AE5660" w:rsidP="00AE5660">
            <w:pPr>
              <w:spacing w:before="6" w:after="0" w:line="240" w:lineRule="auto"/>
              <w:rPr>
                <w:rFonts w:eastAsia="Times New Roman" w:cs="Calibri"/>
                <w:color w:val="000000"/>
                <w:szCs w:val="19"/>
                <w:lang w:eastAsia="pl-PL"/>
              </w:rPr>
            </w:pPr>
            <w:proofErr w:type="spellStart"/>
            <w:r w:rsidRPr="000966AA">
              <w:rPr>
                <w:rFonts w:eastAsia="Times New Roman" w:cs="Calibri"/>
                <w:color w:val="000000"/>
                <w:szCs w:val="19"/>
                <w:lang w:eastAsia="pl-PL"/>
              </w:rPr>
              <w:t>Cost</w:t>
            </w:r>
            <w:proofErr w:type="spellEnd"/>
            <w:r w:rsidRPr="000966AA">
              <w:rPr>
                <w:rFonts w:eastAsia="Times New Roman" w:cs="Calibri"/>
                <w:color w:val="000000"/>
                <w:szCs w:val="19"/>
                <w:lang w:eastAsia="pl-PL"/>
              </w:rPr>
              <w:t xml:space="preserve"> </w:t>
            </w:r>
            <w:proofErr w:type="spellStart"/>
            <w:r w:rsidRPr="000966AA">
              <w:rPr>
                <w:rFonts w:eastAsia="Times New Roman" w:cs="Calibri"/>
                <w:color w:val="000000"/>
                <w:szCs w:val="19"/>
                <w:lang w:eastAsia="pl-PL"/>
              </w:rPr>
              <w:t>level</w:t>
            </w:r>
            <w:proofErr w:type="spellEnd"/>
            <w:r w:rsidRPr="000966AA">
              <w:rPr>
                <w:rFonts w:eastAsia="Times New Roman" w:cs="Calibri"/>
                <w:color w:val="000000"/>
                <w:szCs w:val="19"/>
                <w:lang w:eastAsia="pl-PL"/>
              </w:rPr>
              <w:t xml:space="preserve"> </w:t>
            </w:r>
            <w:proofErr w:type="spellStart"/>
            <w:r w:rsidRPr="000966AA">
              <w:rPr>
                <w:rFonts w:eastAsia="Times New Roman" w:cs="Calibri"/>
                <w:color w:val="000000"/>
                <w:szCs w:val="19"/>
                <w:lang w:eastAsia="pl-PL"/>
              </w:rPr>
              <w:t>indicator</w:t>
            </w:r>
            <w:proofErr w:type="spellEnd"/>
          </w:p>
        </w:tc>
        <w:tc>
          <w:tcPr>
            <w:tcW w:w="1422" w:type="dxa"/>
            <w:tcBorders>
              <w:top w:val="nil"/>
              <w:left w:val="nil"/>
              <w:bottom w:val="single" w:sz="4" w:space="0" w:color="212492"/>
              <w:right w:val="single" w:sz="4" w:space="0" w:color="212492"/>
            </w:tcBorders>
            <w:shd w:val="clear" w:color="auto" w:fill="auto"/>
            <w:noWrap/>
            <w:vAlign w:val="center"/>
            <w:hideMark/>
          </w:tcPr>
          <w:p w14:paraId="106D31A9" w14:textId="413C1F26" w:rsidR="00AE5660" w:rsidRPr="008576F7" w:rsidRDefault="00AE5660" w:rsidP="00AE5660">
            <w:pPr>
              <w:spacing w:before="0" w:after="0" w:line="240" w:lineRule="auto"/>
              <w:jc w:val="right"/>
              <w:rPr>
                <w:rFonts w:cs="Calibri"/>
                <w:color w:val="000000"/>
                <w:szCs w:val="19"/>
              </w:rPr>
            </w:pPr>
            <w:r w:rsidRPr="008576F7">
              <w:t>95.7</w:t>
            </w:r>
          </w:p>
        </w:tc>
        <w:tc>
          <w:tcPr>
            <w:tcW w:w="1448" w:type="dxa"/>
            <w:tcBorders>
              <w:top w:val="nil"/>
              <w:left w:val="nil"/>
              <w:bottom w:val="single" w:sz="4" w:space="0" w:color="212492"/>
              <w:right w:val="single" w:sz="4" w:space="0" w:color="212492"/>
            </w:tcBorders>
            <w:shd w:val="clear" w:color="auto" w:fill="auto"/>
            <w:noWrap/>
            <w:hideMark/>
          </w:tcPr>
          <w:p w14:paraId="4816E434" w14:textId="53B61AB3" w:rsidR="00AE5660" w:rsidRPr="008576F7" w:rsidRDefault="00AE5660" w:rsidP="00AE5660">
            <w:pPr>
              <w:jc w:val="right"/>
              <w:rPr>
                <w:rFonts w:cs="Calibri"/>
                <w:color w:val="000000"/>
                <w:szCs w:val="19"/>
              </w:rPr>
            </w:pPr>
            <w:r w:rsidRPr="008576F7">
              <w:t>95.4</w:t>
            </w:r>
          </w:p>
        </w:tc>
        <w:tc>
          <w:tcPr>
            <w:tcW w:w="1398" w:type="dxa"/>
            <w:tcBorders>
              <w:top w:val="nil"/>
              <w:left w:val="nil"/>
              <w:bottom w:val="single" w:sz="4" w:space="0" w:color="212492"/>
              <w:right w:val="nil"/>
            </w:tcBorders>
            <w:shd w:val="clear" w:color="auto" w:fill="auto"/>
            <w:noWrap/>
            <w:vAlign w:val="center"/>
            <w:hideMark/>
          </w:tcPr>
          <w:p w14:paraId="313D877E" w14:textId="77777777" w:rsidR="00AE5660" w:rsidRPr="008576F7" w:rsidRDefault="00AE5660" w:rsidP="00AE5660">
            <w:pPr>
              <w:spacing w:before="0" w:after="0" w:line="240" w:lineRule="auto"/>
              <w:jc w:val="right"/>
              <w:rPr>
                <w:rFonts w:eastAsia="Times New Roman" w:cs="Calibri"/>
                <w:color w:val="000000"/>
                <w:szCs w:val="19"/>
                <w:lang w:eastAsia="pl-PL"/>
              </w:rPr>
            </w:pPr>
            <w:r w:rsidRPr="008576F7">
              <w:rPr>
                <w:rFonts w:eastAsia="Times New Roman" w:cs="Calibri"/>
                <w:color w:val="000000"/>
                <w:szCs w:val="19"/>
                <w:lang w:eastAsia="pl-PL"/>
              </w:rPr>
              <w:t>.</w:t>
            </w:r>
          </w:p>
        </w:tc>
      </w:tr>
      <w:tr w:rsidR="00AE5660" w:rsidRPr="00957F9B" w14:paraId="4F510AD3" w14:textId="77777777" w:rsidTr="00BF018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77EEE328" w14:textId="77777777" w:rsidR="00AE5660" w:rsidRPr="000966AA" w:rsidRDefault="00AE5660" w:rsidP="00AE5660">
            <w:pPr>
              <w:spacing w:before="6" w:after="0" w:line="240" w:lineRule="auto"/>
              <w:rPr>
                <w:rFonts w:eastAsia="Times New Roman" w:cs="Calibri"/>
                <w:color w:val="000000"/>
                <w:szCs w:val="19"/>
                <w:lang w:eastAsia="pl-PL"/>
              </w:rPr>
            </w:pPr>
            <w:r w:rsidRPr="000966AA">
              <w:rPr>
                <w:rFonts w:eastAsia="Times New Roman" w:cs="Calibri"/>
                <w:color w:val="000000"/>
                <w:szCs w:val="19"/>
                <w:lang w:eastAsia="pl-PL"/>
              </w:rPr>
              <w:t xml:space="preserve">Gross </w:t>
            </w:r>
            <w:proofErr w:type="spellStart"/>
            <w:r w:rsidRPr="000966AA">
              <w:rPr>
                <w:rFonts w:eastAsia="Times New Roman" w:cs="Calibri"/>
                <w:color w:val="000000"/>
                <w:szCs w:val="19"/>
                <w:lang w:eastAsia="pl-PL"/>
              </w:rPr>
              <w:t>sales</w:t>
            </w:r>
            <w:proofErr w:type="spellEnd"/>
            <w:r w:rsidRPr="000966AA">
              <w:rPr>
                <w:rFonts w:eastAsia="Times New Roman" w:cs="Calibri"/>
                <w:color w:val="000000"/>
                <w:szCs w:val="19"/>
                <w:lang w:eastAsia="pl-PL"/>
              </w:rPr>
              <w:t xml:space="preserve"> </w:t>
            </w:r>
            <w:proofErr w:type="spellStart"/>
            <w:r w:rsidRPr="000966AA">
              <w:rPr>
                <w:rFonts w:eastAsia="Times New Roman" w:cs="Calibri"/>
                <w:color w:val="000000"/>
                <w:szCs w:val="19"/>
                <w:lang w:eastAsia="pl-PL"/>
              </w:rPr>
              <w:t>profitability</w:t>
            </w:r>
            <w:proofErr w:type="spellEnd"/>
            <w:r w:rsidRPr="000966AA">
              <w:rPr>
                <w:rFonts w:eastAsia="Times New Roman" w:cs="Calibri"/>
                <w:color w:val="000000"/>
                <w:szCs w:val="19"/>
                <w:lang w:eastAsia="pl-PL"/>
              </w:rPr>
              <w:t xml:space="preserve"> </w:t>
            </w:r>
            <w:proofErr w:type="spellStart"/>
            <w:r w:rsidRPr="000966AA">
              <w:rPr>
                <w:rFonts w:eastAsia="Times New Roman" w:cs="Calibri"/>
                <w:color w:val="000000"/>
                <w:szCs w:val="19"/>
                <w:lang w:eastAsia="pl-PL"/>
              </w:rPr>
              <w:t>indicator</w:t>
            </w:r>
            <w:proofErr w:type="spellEnd"/>
            <w:r w:rsidRPr="000966AA">
              <w:rPr>
                <w:rFonts w:eastAsia="Times New Roman" w:cs="Calibri"/>
                <w:color w:val="000000"/>
                <w:szCs w:val="19"/>
                <w:lang w:eastAsia="pl-PL"/>
              </w:rPr>
              <w:t xml:space="preserve"> </w:t>
            </w:r>
          </w:p>
        </w:tc>
        <w:tc>
          <w:tcPr>
            <w:tcW w:w="1422" w:type="dxa"/>
            <w:tcBorders>
              <w:top w:val="nil"/>
              <w:left w:val="nil"/>
              <w:bottom w:val="single" w:sz="4" w:space="0" w:color="212492"/>
              <w:right w:val="single" w:sz="4" w:space="0" w:color="212492"/>
            </w:tcBorders>
            <w:shd w:val="clear" w:color="auto" w:fill="auto"/>
            <w:noWrap/>
            <w:hideMark/>
          </w:tcPr>
          <w:p w14:paraId="228D6733" w14:textId="6EBDB48C" w:rsidR="00AE5660" w:rsidRPr="008576F7" w:rsidRDefault="00AE5660" w:rsidP="00AE5660">
            <w:pPr>
              <w:jc w:val="right"/>
              <w:rPr>
                <w:rFonts w:cs="Calibri"/>
                <w:color w:val="000000"/>
                <w:szCs w:val="19"/>
              </w:rPr>
            </w:pPr>
            <w:r w:rsidRPr="008576F7">
              <w:t>4.4</w:t>
            </w:r>
          </w:p>
        </w:tc>
        <w:tc>
          <w:tcPr>
            <w:tcW w:w="1448" w:type="dxa"/>
            <w:tcBorders>
              <w:top w:val="nil"/>
              <w:left w:val="nil"/>
              <w:bottom w:val="single" w:sz="4" w:space="0" w:color="212492"/>
              <w:right w:val="single" w:sz="4" w:space="0" w:color="212492"/>
            </w:tcBorders>
            <w:shd w:val="clear" w:color="auto" w:fill="auto"/>
            <w:noWrap/>
            <w:hideMark/>
          </w:tcPr>
          <w:p w14:paraId="25BCD823" w14:textId="6F686401" w:rsidR="00AE5660" w:rsidRPr="008576F7" w:rsidRDefault="00AE5660" w:rsidP="00AE5660">
            <w:pPr>
              <w:jc w:val="right"/>
              <w:rPr>
                <w:rFonts w:cs="Calibri"/>
                <w:color w:val="000000"/>
                <w:szCs w:val="19"/>
              </w:rPr>
            </w:pPr>
            <w:r w:rsidRPr="008576F7">
              <w:t>4.6</w:t>
            </w:r>
          </w:p>
        </w:tc>
        <w:tc>
          <w:tcPr>
            <w:tcW w:w="1398" w:type="dxa"/>
            <w:tcBorders>
              <w:top w:val="nil"/>
              <w:left w:val="nil"/>
              <w:bottom w:val="single" w:sz="4" w:space="0" w:color="212492"/>
              <w:right w:val="nil"/>
            </w:tcBorders>
            <w:shd w:val="clear" w:color="auto" w:fill="auto"/>
            <w:noWrap/>
            <w:vAlign w:val="center"/>
            <w:hideMark/>
          </w:tcPr>
          <w:p w14:paraId="58BC6A90" w14:textId="77777777" w:rsidR="00AE5660" w:rsidRPr="008576F7" w:rsidRDefault="00AE5660" w:rsidP="00AE5660">
            <w:pPr>
              <w:spacing w:before="0" w:after="0" w:line="240" w:lineRule="auto"/>
              <w:jc w:val="right"/>
              <w:rPr>
                <w:rFonts w:eastAsia="Times New Roman" w:cs="Calibri"/>
                <w:color w:val="000000"/>
                <w:szCs w:val="19"/>
                <w:lang w:eastAsia="pl-PL"/>
              </w:rPr>
            </w:pPr>
            <w:r w:rsidRPr="008576F7">
              <w:rPr>
                <w:rFonts w:eastAsia="Times New Roman" w:cs="Calibri"/>
                <w:color w:val="000000"/>
                <w:szCs w:val="19"/>
                <w:lang w:eastAsia="pl-PL"/>
              </w:rPr>
              <w:t>.</w:t>
            </w:r>
          </w:p>
        </w:tc>
      </w:tr>
      <w:tr w:rsidR="00AE5660" w:rsidRPr="00957F9B" w14:paraId="79A461B1" w14:textId="77777777" w:rsidTr="00BF018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73192BCC" w14:textId="77777777" w:rsidR="00AE5660" w:rsidRPr="000966AA" w:rsidRDefault="00AE5660" w:rsidP="00AE5660">
            <w:pPr>
              <w:spacing w:before="6" w:after="0" w:line="240" w:lineRule="auto"/>
              <w:rPr>
                <w:rFonts w:eastAsia="Times New Roman" w:cs="Calibri"/>
                <w:color w:val="000000"/>
                <w:szCs w:val="19"/>
                <w:lang w:eastAsia="pl-PL"/>
              </w:rPr>
            </w:pPr>
            <w:r w:rsidRPr="000966AA">
              <w:rPr>
                <w:rFonts w:eastAsia="Times New Roman" w:cs="Calibri"/>
                <w:color w:val="000000"/>
                <w:szCs w:val="19"/>
                <w:lang w:eastAsia="pl-PL"/>
              </w:rPr>
              <w:t xml:space="preserve">Gross </w:t>
            </w:r>
            <w:proofErr w:type="spellStart"/>
            <w:r w:rsidRPr="000966AA">
              <w:rPr>
                <w:rFonts w:eastAsia="Times New Roman" w:cs="Calibri"/>
                <w:color w:val="000000"/>
                <w:szCs w:val="19"/>
                <w:lang w:eastAsia="pl-PL"/>
              </w:rPr>
              <w:t>turnover</w:t>
            </w:r>
            <w:proofErr w:type="spellEnd"/>
            <w:r w:rsidRPr="000966AA">
              <w:rPr>
                <w:rFonts w:eastAsia="Times New Roman" w:cs="Calibri"/>
                <w:color w:val="000000"/>
                <w:szCs w:val="19"/>
                <w:lang w:eastAsia="pl-PL"/>
              </w:rPr>
              <w:t xml:space="preserve"> </w:t>
            </w:r>
            <w:proofErr w:type="spellStart"/>
            <w:r w:rsidRPr="000966AA">
              <w:rPr>
                <w:rFonts w:eastAsia="Times New Roman" w:cs="Calibri"/>
                <w:color w:val="000000"/>
                <w:szCs w:val="19"/>
                <w:lang w:eastAsia="pl-PL"/>
              </w:rPr>
              <w:t>profitability</w:t>
            </w:r>
            <w:proofErr w:type="spellEnd"/>
            <w:r w:rsidRPr="000966AA">
              <w:rPr>
                <w:rFonts w:eastAsia="Times New Roman" w:cs="Calibri"/>
                <w:color w:val="000000"/>
                <w:szCs w:val="19"/>
                <w:lang w:eastAsia="pl-PL"/>
              </w:rPr>
              <w:t xml:space="preserve"> </w:t>
            </w:r>
            <w:proofErr w:type="spellStart"/>
            <w:r w:rsidRPr="000966AA">
              <w:rPr>
                <w:rFonts w:eastAsia="Times New Roman" w:cs="Calibri"/>
                <w:color w:val="000000"/>
                <w:szCs w:val="19"/>
                <w:lang w:eastAsia="pl-PL"/>
              </w:rPr>
              <w:t>indicator</w:t>
            </w:r>
            <w:proofErr w:type="spellEnd"/>
          </w:p>
        </w:tc>
        <w:tc>
          <w:tcPr>
            <w:tcW w:w="1422" w:type="dxa"/>
            <w:tcBorders>
              <w:top w:val="nil"/>
              <w:left w:val="nil"/>
              <w:bottom w:val="single" w:sz="4" w:space="0" w:color="212492"/>
              <w:right w:val="single" w:sz="4" w:space="0" w:color="212492"/>
            </w:tcBorders>
            <w:shd w:val="clear" w:color="auto" w:fill="auto"/>
            <w:noWrap/>
            <w:hideMark/>
          </w:tcPr>
          <w:p w14:paraId="27B22793" w14:textId="4F4BD174" w:rsidR="00AE5660" w:rsidRPr="008576F7" w:rsidRDefault="00AE5660" w:rsidP="00AE5660">
            <w:pPr>
              <w:jc w:val="right"/>
              <w:rPr>
                <w:rFonts w:cs="Calibri"/>
                <w:color w:val="000000"/>
                <w:szCs w:val="19"/>
              </w:rPr>
            </w:pPr>
            <w:r w:rsidRPr="008576F7">
              <w:t>4.3</w:t>
            </w:r>
          </w:p>
        </w:tc>
        <w:tc>
          <w:tcPr>
            <w:tcW w:w="1448" w:type="dxa"/>
            <w:tcBorders>
              <w:top w:val="nil"/>
              <w:left w:val="nil"/>
              <w:bottom w:val="single" w:sz="4" w:space="0" w:color="212492"/>
              <w:right w:val="single" w:sz="4" w:space="0" w:color="212492"/>
            </w:tcBorders>
            <w:shd w:val="clear" w:color="auto" w:fill="auto"/>
            <w:noWrap/>
            <w:hideMark/>
          </w:tcPr>
          <w:p w14:paraId="78A4EC9E" w14:textId="08272C23" w:rsidR="00AE5660" w:rsidRPr="008576F7" w:rsidRDefault="00AE5660" w:rsidP="00AE5660">
            <w:pPr>
              <w:jc w:val="right"/>
              <w:rPr>
                <w:rFonts w:cs="Calibri"/>
                <w:color w:val="000000"/>
                <w:szCs w:val="19"/>
              </w:rPr>
            </w:pPr>
            <w:r w:rsidRPr="008576F7">
              <w:t>4.6</w:t>
            </w:r>
          </w:p>
        </w:tc>
        <w:tc>
          <w:tcPr>
            <w:tcW w:w="1398" w:type="dxa"/>
            <w:tcBorders>
              <w:top w:val="nil"/>
              <w:left w:val="nil"/>
              <w:bottom w:val="single" w:sz="4" w:space="0" w:color="212492"/>
              <w:right w:val="nil"/>
            </w:tcBorders>
            <w:shd w:val="clear" w:color="auto" w:fill="auto"/>
            <w:noWrap/>
            <w:vAlign w:val="center"/>
            <w:hideMark/>
          </w:tcPr>
          <w:p w14:paraId="6A166EC5" w14:textId="77777777" w:rsidR="00AE5660" w:rsidRPr="008576F7" w:rsidRDefault="00AE5660" w:rsidP="00AE5660">
            <w:pPr>
              <w:spacing w:before="0" w:after="0" w:line="240" w:lineRule="auto"/>
              <w:jc w:val="right"/>
              <w:rPr>
                <w:rFonts w:eastAsia="Times New Roman" w:cs="Calibri"/>
                <w:color w:val="000000"/>
                <w:szCs w:val="19"/>
                <w:lang w:eastAsia="pl-PL"/>
              </w:rPr>
            </w:pPr>
            <w:r w:rsidRPr="008576F7">
              <w:rPr>
                <w:rFonts w:eastAsia="Times New Roman" w:cs="Calibri"/>
                <w:color w:val="000000"/>
                <w:szCs w:val="19"/>
                <w:lang w:eastAsia="pl-PL"/>
              </w:rPr>
              <w:t>.</w:t>
            </w:r>
          </w:p>
        </w:tc>
      </w:tr>
      <w:tr w:rsidR="00AE5660" w:rsidRPr="00957F9B" w14:paraId="0602E36D" w14:textId="77777777" w:rsidTr="00BF0182">
        <w:trPr>
          <w:trHeight w:val="499"/>
        </w:trPr>
        <w:tc>
          <w:tcPr>
            <w:tcW w:w="3634" w:type="dxa"/>
            <w:tcBorders>
              <w:top w:val="nil"/>
              <w:left w:val="nil"/>
              <w:bottom w:val="single" w:sz="4" w:space="0" w:color="212492"/>
              <w:right w:val="single" w:sz="4" w:space="0" w:color="212492"/>
            </w:tcBorders>
            <w:shd w:val="clear" w:color="auto" w:fill="auto"/>
            <w:noWrap/>
            <w:vAlign w:val="center"/>
            <w:hideMark/>
          </w:tcPr>
          <w:p w14:paraId="3244B33F" w14:textId="77777777" w:rsidR="00AE5660" w:rsidRPr="000966AA" w:rsidRDefault="00AE5660" w:rsidP="00AE5660">
            <w:pPr>
              <w:spacing w:before="6" w:after="0" w:line="240" w:lineRule="auto"/>
              <w:rPr>
                <w:rFonts w:eastAsia="Times New Roman" w:cs="Calibri"/>
                <w:color w:val="000000"/>
                <w:szCs w:val="19"/>
                <w:lang w:eastAsia="pl-PL"/>
              </w:rPr>
            </w:pPr>
            <w:r w:rsidRPr="000966AA">
              <w:rPr>
                <w:rFonts w:eastAsia="Times New Roman" w:cs="Calibri"/>
                <w:color w:val="000000"/>
                <w:szCs w:val="19"/>
                <w:lang w:eastAsia="pl-PL"/>
              </w:rPr>
              <w:t xml:space="preserve">Net </w:t>
            </w:r>
            <w:proofErr w:type="spellStart"/>
            <w:r w:rsidRPr="000966AA">
              <w:rPr>
                <w:rFonts w:eastAsia="Times New Roman" w:cs="Calibri"/>
                <w:color w:val="000000"/>
                <w:szCs w:val="19"/>
                <w:lang w:eastAsia="pl-PL"/>
              </w:rPr>
              <w:t>turnover</w:t>
            </w:r>
            <w:proofErr w:type="spellEnd"/>
            <w:r w:rsidRPr="000966AA">
              <w:rPr>
                <w:rFonts w:eastAsia="Times New Roman" w:cs="Calibri"/>
                <w:color w:val="000000"/>
                <w:szCs w:val="19"/>
                <w:lang w:eastAsia="pl-PL"/>
              </w:rPr>
              <w:t xml:space="preserve"> </w:t>
            </w:r>
            <w:proofErr w:type="spellStart"/>
            <w:r w:rsidRPr="000966AA">
              <w:rPr>
                <w:rFonts w:eastAsia="Times New Roman" w:cs="Calibri"/>
                <w:color w:val="000000"/>
                <w:szCs w:val="19"/>
                <w:lang w:eastAsia="pl-PL"/>
              </w:rPr>
              <w:t>profitability</w:t>
            </w:r>
            <w:proofErr w:type="spellEnd"/>
            <w:r w:rsidRPr="000966AA">
              <w:rPr>
                <w:rFonts w:eastAsia="Times New Roman" w:cs="Calibri"/>
                <w:color w:val="000000"/>
                <w:szCs w:val="19"/>
                <w:lang w:eastAsia="pl-PL"/>
              </w:rPr>
              <w:t xml:space="preserve"> </w:t>
            </w:r>
            <w:proofErr w:type="spellStart"/>
            <w:r w:rsidRPr="000966AA">
              <w:rPr>
                <w:rFonts w:eastAsia="Times New Roman" w:cs="Calibri"/>
                <w:color w:val="000000"/>
                <w:szCs w:val="19"/>
                <w:lang w:eastAsia="pl-PL"/>
              </w:rPr>
              <w:t>indicator</w:t>
            </w:r>
            <w:proofErr w:type="spellEnd"/>
          </w:p>
        </w:tc>
        <w:tc>
          <w:tcPr>
            <w:tcW w:w="1422" w:type="dxa"/>
            <w:tcBorders>
              <w:top w:val="nil"/>
              <w:left w:val="nil"/>
              <w:bottom w:val="single" w:sz="4" w:space="0" w:color="212492"/>
              <w:right w:val="single" w:sz="4" w:space="0" w:color="212492"/>
            </w:tcBorders>
            <w:shd w:val="clear" w:color="auto" w:fill="auto"/>
            <w:noWrap/>
            <w:hideMark/>
          </w:tcPr>
          <w:p w14:paraId="109D39C0" w14:textId="1B3188F7" w:rsidR="00AE5660" w:rsidRPr="008576F7" w:rsidRDefault="00AE5660" w:rsidP="00AE5660">
            <w:pPr>
              <w:jc w:val="right"/>
              <w:rPr>
                <w:rFonts w:cs="Calibri"/>
                <w:color w:val="000000"/>
                <w:szCs w:val="19"/>
              </w:rPr>
            </w:pPr>
            <w:r w:rsidRPr="008576F7">
              <w:t>3.4</w:t>
            </w:r>
          </w:p>
        </w:tc>
        <w:tc>
          <w:tcPr>
            <w:tcW w:w="1448" w:type="dxa"/>
            <w:tcBorders>
              <w:top w:val="nil"/>
              <w:left w:val="nil"/>
              <w:bottom w:val="single" w:sz="4" w:space="0" w:color="212492"/>
              <w:right w:val="single" w:sz="4" w:space="0" w:color="212492"/>
            </w:tcBorders>
            <w:shd w:val="clear" w:color="auto" w:fill="auto"/>
            <w:noWrap/>
            <w:hideMark/>
          </w:tcPr>
          <w:p w14:paraId="7ABD47A0" w14:textId="3E361CD4" w:rsidR="00AE5660" w:rsidRPr="008576F7" w:rsidRDefault="00AE5660" w:rsidP="00AE5660">
            <w:pPr>
              <w:jc w:val="right"/>
              <w:rPr>
                <w:rFonts w:cs="Calibri"/>
                <w:color w:val="000000"/>
                <w:szCs w:val="19"/>
              </w:rPr>
            </w:pPr>
            <w:r w:rsidRPr="008576F7">
              <w:t>3.7</w:t>
            </w:r>
          </w:p>
        </w:tc>
        <w:tc>
          <w:tcPr>
            <w:tcW w:w="1398" w:type="dxa"/>
            <w:tcBorders>
              <w:top w:val="nil"/>
              <w:left w:val="nil"/>
              <w:bottom w:val="single" w:sz="4" w:space="0" w:color="212492"/>
              <w:right w:val="nil"/>
            </w:tcBorders>
            <w:shd w:val="clear" w:color="auto" w:fill="auto"/>
            <w:noWrap/>
            <w:vAlign w:val="center"/>
            <w:hideMark/>
          </w:tcPr>
          <w:p w14:paraId="4A71ACE6" w14:textId="77777777" w:rsidR="00AE5660" w:rsidRPr="008576F7" w:rsidRDefault="00AE5660" w:rsidP="00AE5660">
            <w:pPr>
              <w:spacing w:before="0" w:after="0" w:line="240" w:lineRule="auto"/>
              <w:jc w:val="right"/>
              <w:rPr>
                <w:rFonts w:eastAsia="Times New Roman" w:cs="Calibri"/>
                <w:color w:val="000000"/>
                <w:szCs w:val="19"/>
                <w:lang w:eastAsia="pl-PL"/>
              </w:rPr>
            </w:pPr>
            <w:r w:rsidRPr="008576F7">
              <w:rPr>
                <w:rFonts w:eastAsia="Times New Roman" w:cs="Calibri"/>
                <w:color w:val="000000"/>
                <w:szCs w:val="19"/>
                <w:lang w:eastAsia="pl-PL"/>
              </w:rPr>
              <w:t>.</w:t>
            </w:r>
          </w:p>
        </w:tc>
      </w:tr>
      <w:tr w:rsidR="00AE5660" w:rsidRPr="00957F9B" w14:paraId="61E6DDD1" w14:textId="77777777" w:rsidTr="00BF0182">
        <w:trPr>
          <w:trHeight w:val="499"/>
        </w:trPr>
        <w:tc>
          <w:tcPr>
            <w:tcW w:w="3634" w:type="dxa"/>
            <w:tcBorders>
              <w:top w:val="nil"/>
              <w:left w:val="nil"/>
              <w:bottom w:val="single" w:sz="4" w:space="0" w:color="212492"/>
              <w:right w:val="single" w:sz="4" w:space="0" w:color="212492"/>
            </w:tcBorders>
            <w:shd w:val="clear" w:color="auto" w:fill="auto"/>
            <w:vAlign w:val="center"/>
            <w:hideMark/>
          </w:tcPr>
          <w:p w14:paraId="37DB8758" w14:textId="77777777" w:rsidR="00AE5660" w:rsidRPr="000966AA" w:rsidRDefault="00AE5660" w:rsidP="00AE5660">
            <w:pPr>
              <w:spacing w:before="6" w:after="0" w:line="240" w:lineRule="auto"/>
              <w:rPr>
                <w:rFonts w:eastAsia="Times New Roman" w:cs="Calibri"/>
                <w:color w:val="000000"/>
                <w:szCs w:val="19"/>
                <w:lang w:val="en-US" w:eastAsia="pl-PL"/>
              </w:rPr>
            </w:pPr>
            <w:r w:rsidRPr="000966AA">
              <w:rPr>
                <w:rFonts w:eastAsia="Times New Roman" w:cs="Calibri"/>
                <w:color w:val="000000"/>
                <w:szCs w:val="19"/>
                <w:lang w:val="en-US" w:eastAsia="pl-PL"/>
              </w:rPr>
              <w:t>First degree financial liquidity indicator</w:t>
            </w:r>
          </w:p>
        </w:tc>
        <w:tc>
          <w:tcPr>
            <w:tcW w:w="1422" w:type="dxa"/>
            <w:tcBorders>
              <w:top w:val="nil"/>
              <w:left w:val="nil"/>
              <w:bottom w:val="single" w:sz="4" w:space="0" w:color="212492"/>
              <w:right w:val="single" w:sz="4" w:space="0" w:color="212492"/>
            </w:tcBorders>
            <w:shd w:val="clear" w:color="auto" w:fill="auto"/>
            <w:noWrap/>
            <w:hideMark/>
          </w:tcPr>
          <w:p w14:paraId="7BE3FE07" w14:textId="40C2441E" w:rsidR="00AE5660" w:rsidRPr="008576F7" w:rsidRDefault="00AE5660" w:rsidP="00AE5660">
            <w:pPr>
              <w:jc w:val="right"/>
              <w:rPr>
                <w:rFonts w:cs="Calibri"/>
                <w:color w:val="000000"/>
                <w:szCs w:val="19"/>
              </w:rPr>
            </w:pPr>
            <w:r w:rsidRPr="008576F7">
              <w:t>44.6</w:t>
            </w:r>
          </w:p>
        </w:tc>
        <w:tc>
          <w:tcPr>
            <w:tcW w:w="1448" w:type="dxa"/>
            <w:tcBorders>
              <w:top w:val="nil"/>
              <w:left w:val="nil"/>
              <w:bottom w:val="single" w:sz="4" w:space="0" w:color="212492"/>
              <w:right w:val="single" w:sz="4" w:space="0" w:color="212492"/>
            </w:tcBorders>
            <w:shd w:val="clear" w:color="auto" w:fill="auto"/>
            <w:noWrap/>
            <w:hideMark/>
          </w:tcPr>
          <w:p w14:paraId="7495422F" w14:textId="4B240C87" w:rsidR="00AE5660" w:rsidRPr="008576F7" w:rsidRDefault="00AE5660" w:rsidP="00AE5660">
            <w:pPr>
              <w:jc w:val="right"/>
              <w:rPr>
                <w:rFonts w:cs="Calibri"/>
                <w:color w:val="000000"/>
                <w:szCs w:val="19"/>
              </w:rPr>
            </w:pPr>
            <w:r w:rsidRPr="008576F7">
              <w:t>48.9</w:t>
            </w:r>
          </w:p>
        </w:tc>
        <w:tc>
          <w:tcPr>
            <w:tcW w:w="1398" w:type="dxa"/>
            <w:tcBorders>
              <w:top w:val="nil"/>
              <w:left w:val="nil"/>
              <w:bottom w:val="single" w:sz="4" w:space="0" w:color="212492"/>
              <w:right w:val="nil"/>
            </w:tcBorders>
            <w:shd w:val="clear" w:color="auto" w:fill="auto"/>
            <w:noWrap/>
            <w:vAlign w:val="center"/>
            <w:hideMark/>
          </w:tcPr>
          <w:p w14:paraId="1D18F7CB" w14:textId="77777777" w:rsidR="00AE5660" w:rsidRPr="008576F7" w:rsidRDefault="00AE5660" w:rsidP="00AE5660">
            <w:pPr>
              <w:spacing w:before="0" w:after="0" w:line="240" w:lineRule="auto"/>
              <w:jc w:val="right"/>
              <w:rPr>
                <w:rFonts w:eastAsia="Times New Roman" w:cs="Calibri"/>
                <w:color w:val="000000"/>
                <w:szCs w:val="19"/>
                <w:lang w:eastAsia="pl-PL"/>
              </w:rPr>
            </w:pPr>
            <w:r w:rsidRPr="008576F7">
              <w:rPr>
                <w:rFonts w:eastAsia="Times New Roman" w:cs="Calibri"/>
                <w:color w:val="000000"/>
                <w:szCs w:val="19"/>
                <w:lang w:eastAsia="pl-PL"/>
              </w:rPr>
              <w:t>.</w:t>
            </w:r>
          </w:p>
        </w:tc>
      </w:tr>
      <w:tr w:rsidR="00AE5660" w:rsidRPr="00957F9B" w14:paraId="5586CD2C" w14:textId="77777777" w:rsidTr="00BF0182">
        <w:trPr>
          <w:trHeight w:val="243"/>
        </w:trPr>
        <w:tc>
          <w:tcPr>
            <w:tcW w:w="3634" w:type="dxa"/>
            <w:tcBorders>
              <w:top w:val="nil"/>
              <w:left w:val="nil"/>
              <w:bottom w:val="nil"/>
              <w:right w:val="single" w:sz="4" w:space="0" w:color="212492"/>
            </w:tcBorders>
            <w:shd w:val="clear" w:color="auto" w:fill="auto"/>
            <w:vAlign w:val="center"/>
            <w:hideMark/>
          </w:tcPr>
          <w:p w14:paraId="70D8882B" w14:textId="77777777" w:rsidR="00AE5660" w:rsidRPr="000966AA" w:rsidRDefault="00AE5660" w:rsidP="00AE5660">
            <w:pPr>
              <w:spacing w:before="6" w:after="0" w:line="240" w:lineRule="auto"/>
              <w:rPr>
                <w:rFonts w:eastAsia="Times New Roman" w:cs="Calibri"/>
                <w:color w:val="000000"/>
                <w:szCs w:val="19"/>
                <w:lang w:val="en-US" w:eastAsia="pl-PL"/>
              </w:rPr>
            </w:pPr>
            <w:r w:rsidRPr="000966AA">
              <w:rPr>
                <w:rFonts w:eastAsia="Times New Roman" w:cs="Calibri"/>
                <w:color w:val="000000"/>
                <w:szCs w:val="19"/>
                <w:lang w:val="en-US" w:eastAsia="pl-PL"/>
              </w:rPr>
              <w:t>Second degree financial liquidity indicator</w:t>
            </w:r>
          </w:p>
        </w:tc>
        <w:tc>
          <w:tcPr>
            <w:tcW w:w="1422" w:type="dxa"/>
            <w:tcBorders>
              <w:top w:val="nil"/>
              <w:left w:val="nil"/>
              <w:bottom w:val="nil"/>
              <w:right w:val="single" w:sz="4" w:space="0" w:color="212492"/>
            </w:tcBorders>
            <w:shd w:val="clear" w:color="auto" w:fill="auto"/>
            <w:noWrap/>
            <w:hideMark/>
          </w:tcPr>
          <w:p w14:paraId="3DECD361" w14:textId="014AA27A" w:rsidR="00AE5660" w:rsidRPr="008576F7" w:rsidRDefault="00AE5660" w:rsidP="00AE5660">
            <w:pPr>
              <w:jc w:val="right"/>
              <w:rPr>
                <w:rFonts w:cs="Calibri"/>
                <w:color w:val="000000"/>
                <w:szCs w:val="19"/>
              </w:rPr>
            </w:pPr>
            <w:r w:rsidRPr="008576F7">
              <w:t>107.5</w:t>
            </w:r>
          </w:p>
        </w:tc>
        <w:tc>
          <w:tcPr>
            <w:tcW w:w="1448" w:type="dxa"/>
            <w:tcBorders>
              <w:top w:val="nil"/>
              <w:left w:val="nil"/>
              <w:bottom w:val="nil"/>
              <w:right w:val="single" w:sz="4" w:space="0" w:color="212492"/>
            </w:tcBorders>
            <w:shd w:val="clear" w:color="auto" w:fill="auto"/>
            <w:noWrap/>
            <w:hideMark/>
          </w:tcPr>
          <w:p w14:paraId="41761085" w14:textId="7209209A" w:rsidR="00AE5660" w:rsidRPr="008576F7" w:rsidRDefault="00AE5660" w:rsidP="00AE5660">
            <w:pPr>
              <w:jc w:val="right"/>
              <w:rPr>
                <w:rFonts w:cs="Calibri"/>
                <w:color w:val="000000"/>
                <w:szCs w:val="19"/>
              </w:rPr>
            </w:pPr>
            <w:r w:rsidRPr="008576F7">
              <w:t>109.0</w:t>
            </w:r>
          </w:p>
        </w:tc>
        <w:tc>
          <w:tcPr>
            <w:tcW w:w="1398" w:type="dxa"/>
            <w:tcBorders>
              <w:top w:val="nil"/>
              <w:left w:val="nil"/>
              <w:bottom w:val="nil"/>
              <w:right w:val="nil"/>
            </w:tcBorders>
            <w:shd w:val="clear" w:color="auto" w:fill="auto"/>
            <w:noWrap/>
            <w:vAlign w:val="center"/>
            <w:hideMark/>
          </w:tcPr>
          <w:p w14:paraId="6964A7D0" w14:textId="77777777" w:rsidR="00AE5660" w:rsidRPr="008576F7" w:rsidRDefault="00AE5660" w:rsidP="00AE5660">
            <w:pPr>
              <w:spacing w:before="0" w:after="0" w:line="240" w:lineRule="auto"/>
              <w:jc w:val="right"/>
              <w:rPr>
                <w:rFonts w:eastAsia="Times New Roman" w:cs="Calibri"/>
                <w:color w:val="000000"/>
                <w:szCs w:val="19"/>
                <w:lang w:eastAsia="pl-PL"/>
              </w:rPr>
            </w:pPr>
            <w:r w:rsidRPr="008576F7">
              <w:rPr>
                <w:rFonts w:eastAsia="Times New Roman" w:cs="Calibri"/>
                <w:color w:val="000000"/>
                <w:szCs w:val="19"/>
                <w:lang w:eastAsia="pl-PL"/>
              </w:rPr>
              <w:t>.</w:t>
            </w:r>
          </w:p>
        </w:tc>
      </w:tr>
    </w:tbl>
    <w:p w14:paraId="2F79FF6E" w14:textId="5A5EDD80" w:rsidR="00FB163D" w:rsidRPr="008576F7" w:rsidRDefault="00983660" w:rsidP="00CA57AE">
      <w:pPr>
        <w:pStyle w:val="LID"/>
        <w:spacing w:line="288" w:lineRule="auto"/>
        <w:rPr>
          <w:b w:val="0"/>
          <w:lang w:val="en-US"/>
        </w:rPr>
      </w:pPr>
      <w:r>
        <w:rPr>
          <w:b w:val="0"/>
          <w:lang w:val="en-US"/>
        </w:rPr>
        <w:t>G</w:t>
      </w:r>
      <w:r w:rsidR="00FB163D" w:rsidRPr="008576F7">
        <w:rPr>
          <w:b w:val="0"/>
          <w:lang w:val="en-US"/>
        </w:rPr>
        <w:t>ross sales profitabil</w:t>
      </w:r>
      <w:r w:rsidR="00812AD6" w:rsidRPr="008576F7">
        <w:rPr>
          <w:b w:val="0"/>
          <w:lang w:val="en-US"/>
        </w:rPr>
        <w:t xml:space="preserve">ity indicator </w:t>
      </w:r>
      <w:r>
        <w:rPr>
          <w:b w:val="0"/>
          <w:lang w:val="en-US"/>
        </w:rPr>
        <w:t xml:space="preserve">improved </w:t>
      </w:r>
      <w:r w:rsidR="000A3869" w:rsidRPr="008576F7">
        <w:rPr>
          <w:b w:val="0"/>
          <w:lang w:val="en-US"/>
        </w:rPr>
        <w:t>(</w:t>
      </w:r>
      <w:r w:rsidR="004624A1" w:rsidRPr="008576F7">
        <w:rPr>
          <w:b w:val="0"/>
          <w:lang w:val="en-US"/>
        </w:rPr>
        <w:t>4</w:t>
      </w:r>
      <w:r w:rsidR="00746825" w:rsidRPr="008576F7">
        <w:rPr>
          <w:b w:val="0"/>
          <w:lang w:val="en-US"/>
        </w:rPr>
        <w:t>.</w:t>
      </w:r>
      <w:r w:rsidR="000A3869" w:rsidRPr="008576F7">
        <w:rPr>
          <w:b w:val="0"/>
          <w:lang w:val="en-US"/>
        </w:rPr>
        <w:t>6</w:t>
      </w:r>
      <w:r w:rsidR="00FB163D" w:rsidRPr="008576F7">
        <w:rPr>
          <w:b w:val="0"/>
          <w:lang w:val="en-US"/>
        </w:rPr>
        <w:t>%</w:t>
      </w:r>
      <w:r w:rsidR="00A178E3" w:rsidRPr="008576F7">
        <w:rPr>
          <w:b w:val="0"/>
          <w:lang w:val="en-US"/>
        </w:rPr>
        <w:t xml:space="preserve"> </w:t>
      </w:r>
      <w:r w:rsidR="00E466FD">
        <w:rPr>
          <w:b w:val="0"/>
          <w:lang w:val="en-US"/>
        </w:rPr>
        <w:t xml:space="preserve">in 2025 </w:t>
      </w:r>
      <w:r w:rsidR="000A3869" w:rsidRPr="008576F7">
        <w:rPr>
          <w:b w:val="0"/>
          <w:lang w:val="en-US"/>
        </w:rPr>
        <w:t>compared to 4.4%</w:t>
      </w:r>
      <w:r w:rsidR="00E466FD">
        <w:rPr>
          <w:b w:val="0"/>
          <w:lang w:val="en-US"/>
        </w:rPr>
        <w:t xml:space="preserve"> in 2024</w:t>
      </w:r>
      <w:r w:rsidR="000A3869" w:rsidRPr="008576F7">
        <w:rPr>
          <w:b w:val="0"/>
          <w:lang w:val="en-US"/>
        </w:rPr>
        <w:t>)</w:t>
      </w:r>
      <w:r>
        <w:rPr>
          <w:b w:val="0"/>
          <w:lang w:val="en-US"/>
        </w:rPr>
        <w:t xml:space="preserve"> as well as </w:t>
      </w:r>
      <w:r w:rsidR="000A3869" w:rsidRPr="008576F7">
        <w:rPr>
          <w:b w:val="0"/>
          <w:lang w:val="en-US"/>
        </w:rPr>
        <w:t>g</w:t>
      </w:r>
      <w:r w:rsidR="00FB163D" w:rsidRPr="008576F7">
        <w:rPr>
          <w:b w:val="0"/>
          <w:lang w:val="en-US"/>
        </w:rPr>
        <w:t>ross turnover profitabil</w:t>
      </w:r>
      <w:r w:rsidR="004B72C8" w:rsidRPr="008576F7">
        <w:rPr>
          <w:b w:val="0"/>
          <w:lang w:val="en-US"/>
        </w:rPr>
        <w:t>ity indi</w:t>
      </w:r>
      <w:r w:rsidR="007E1C26" w:rsidRPr="008576F7">
        <w:rPr>
          <w:b w:val="0"/>
          <w:lang w:val="en-US"/>
        </w:rPr>
        <w:t>cator</w:t>
      </w:r>
      <w:r w:rsidR="000A3869" w:rsidRPr="008576F7">
        <w:rPr>
          <w:b w:val="0"/>
          <w:lang w:val="en-US"/>
        </w:rPr>
        <w:t xml:space="preserve"> </w:t>
      </w:r>
      <w:r w:rsidR="002D3569" w:rsidRPr="008576F7">
        <w:rPr>
          <w:b w:val="0"/>
          <w:lang w:val="en-US"/>
        </w:rPr>
        <w:t>(</w:t>
      </w:r>
      <w:r w:rsidR="004624A1" w:rsidRPr="008576F7">
        <w:rPr>
          <w:b w:val="0"/>
          <w:lang w:val="en-US"/>
        </w:rPr>
        <w:t>4</w:t>
      </w:r>
      <w:r w:rsidR="005B5596" w:rsidRPr="008576F7">
        <w:rPr>
          <w:b w:val="0"/>
          <w:lang w:val="en-US"/>
        </w:rPr>
        <w:t>.</w:t>
      </w:r>
      <w:r w:rsidR="000A3869" w:rsidRPr="008576F7">
        <w:rPr>
          <w:b w:val="0"/>
          <w:lang w:val="en-US"/>
        </w:rPr>
        <w:t>6</w:t>
      </w:r>
      <w:r w:rsidR="00812AD6" w:rsidRPr="008576F7">
        <w:rPr>
          <w:b w:val="0"/>
          <w:lang w:val="en-US"/>
        </w:rPr>
        <w:t xml:space="preserve">% </w:t>
      </w:r>
      <w:r w:rsidR="004624A1" w:rsidRPr="008576F7">
        <w:rPr>
          <w:b w:val="0"/>
          <w:lang w:val="en-US"/>
        </w:rPr>
        <w:t>compar</w:t>
      </w:r>
      <w:r w:rsidR="0093570B" w:rsidRPr="008576F7">
        <w:rPr>
          <w:b w:val="0"/>
          <w:lang w:val="en-US"/>
        </w:rPr>
        <w:t>e</w:t>
      </w:r>
      <w:r w:rsidR="004624A1" w:rsidRPr="008576F7">
        <w:rPr>
          <w:b w:val="0"/>
          <w:lang w:val="en-US"/>
        </w:rPr>
        <w:t xml:space="preserve">d </w:t>
      </w:r>
      <w:r w:rsidR="00812AD6" w:rsidRPr="008576F7">
        <w:rPr>
          <w:b w:val="0"/>
          <w:lang w:val="en-US"/>
        </w:rPr>
        <w:t xml:space="preserve">to </w:t>
      </w:r>
      <w:r w:rsidR="00746825" w:rsidRPr="008576F7">
        <w:rPr>
          <w:b w:val="0"/>
          <w:lang w:val="en-US"/>
        </w:rPr>
        <w:t>4.</w:t>
      </w:r>
      <w:r w:rsidR="00EA2FB2" w:rsidRPr="008576F7">
        <w:rPr>
          <w:b w:val="0"/>
          <w:lang w:val="en-US"/>
        </w:rPr>
        <w:t>3</w:t>
      </w:r>
      <w:r w:rsidR="00FB163D" w:rsidRPr="008576F7">
        <w:rPr>
          <w:b w:val="0"/>
          <w:lang w:val="en-US"/>
        </w:rPr>
        <w:t>%</w:t>
      </w:r>
      <w:r w:rsidR="004624A1" w:rsidRPr="008576F7">
        <w:rPr>
          <w:b w:val="0"/>
          <w:lang w:val="en-US"/>
        </w:rPr>
        <w:t>) a</w:t>
      </w:r>
      <w:r w:rsidR="00EA2FB2" w:rsidRPr="008576F7">
        <w:rPr>
          <w:b w:val="0"/>
          <w:lang w:val="en-US"/>
        </w:rPr>
        <w:t>s well as</w:t>
      </w:r>
      <w:r w:rsidR="004624A1" w:rsidRPr="008576F7">
        <w:rPr>
          <w:b w:val="0"/>
          <w:lang w:val="en-US"/>
        </w:rPr>
        <w:t xml:space="preserve"> </w:t>
      </w:r>
      <w:r w:rsidR="00FB163D" w:rsidRPr="008576F7">
        <w:rPr>
          <w:b w:val="0"/>
          <w:lang w:val="en-US"/>
        </w:rPr>
        <w:t>net turnover profitability indi</w:t>
      </w:r>
      <w:r w:rsidR="000B3144" w:rsidRPr="008576F7">
        <w:rPr>
          <w:b w:val="0"/>
          <w:lang w:val="en-US"/>
        </w:rPr>
        <w:t xml:space="preserve">cator </w:t>
      </w:r>
      <w:r w:rsidR="002D3569" w:rsidRPr="008576F7">
        <w:rPr>
          <w:b w:val="0"/>
          <w:lang w:val="en-US"/>
        </w:rPr>
        <w:t>(</w:t>
      </w:r>
      <w:r w:rsidR="004624A1" w:rsidRPr="008576F7">
        <w:rPr>
          <w:b w:val="0"/>
          <w:lang w:val="en-US"/>
        </w:rPr>
        <w:t>3</w:t>
      </w:r>
      <w:r w:rsidR="005B5596" w:rsidRPr="008576F7">
        <w:rPr>
          <w:b w:val="0"/>
          <w:lang w:val="en-US"/>
        </w:rPr>
        <w:t>.</w:t>
      </w:r>
      <w:r w:rsidR="00EA2FB2" w:rsidRPr="008576F7">
        <w:rPr>
          <w:b w:val="0"/>
          <w:lang w:val="en-US"/>
        </w:rPr>
        <w:t>7</w:t>
      </w:r>
      <w:r w:rsidR="00CD564F" w:rsidRPr="008576F7">
        <w:rPr>
          <w:b w:val="0"/>
          <w:lang w:val="en-US"/>
        </w:rPr>
        <w:t xml:space="preserve">% </w:t>
      </w:r>
      <w:r w:rsidR="003D1555" w:rsidRPr="008576F7">
        <w:rPr>
          <w:b w:val="0"/>
          <w:lang w:val="en-US"/>
        </w:rPr>
        <w:t>c</w:t>
      </w:r>
      <w:r w:rsidR="00D722CE" w:rsidRPr="008576F7">
        <w:rPr>
          <w:b w:val="0"/>
          <w:lang w:val="en-US"/>
        </w:rPr>
        <w:t xml:space="preserve">ompared to </w:t>
      </w:r>
      <w:r w:rsidR="00CD564F" w:rsidRPr="008576F7">
        <w:rPr>
          <w:b w:val="0"/>
          <w:lang w:val="en-US"/>
        </w:rPr>
        <w:t>3</w:t>
      </w:r>
      <w:r w:rsidR="005B5596" w:rsidRPr="008576F7">
        <w:rPr>
          <w:b w:val="0"/>
          <w:lang w:val="en-US"/>
        </w:rPr>
        <w:t>.</w:t>
      </w:r>
      <w:r w:rsidR="000A3869" w:rsidRPr="008576F7">
        <w:rPr>
          <w:b w:val="0"/>
          <w:lang w:val="en-US"/>
        </w:rPr>
        <w:t>4</w:t>
      </w:r>
      <w:r w:rsidR="00FB163D" w:rsidRPr="008576F7">
        <w:rPr>
          <w:b w:val="0"/>
          <w:lang w:val="en-US"/>
        </w:rPr>
        <w:t>%</w:t>
      </w:r>
      <w:r w:rsidR="00D722CE" w:rsidRPr="008576F7">
        <w:rPr>
          <w:b w:val="0"/>
          <w:lang w:val="en-US"/>
        </w:rPr>
        <w:t>)</w:t>
      </w:r>
      <w:r w:rsidR="00FB163D" w:rsidRPr="008576F7">
        <w:rPr>
          <w:b w:val="0"/>
          <w:lang w:val="en-US"/>
        </w:rPr>
        <w:t>.</w:t>
      </w:r>
    </w:p>
    <w:p w14:paraId="7648EEC2" w14:textId="06E32922" w:rsidR="008F571B" w:rsidRDefault="00D722CE" w:rsidP="00CA57AE">
      <w:pPr>
        <w:pStyle w:val="LID"/>
        <w:spacing w:line="288" w:lineRule="auto"/>
        <w:rPr>
          <w:b w:val="0"/>
          <w:lang w:val="en-US"/>
        </w:rPr>
      </w:pPr>
      <w:r w:rsidRPr="008576F7">
        <w:rPr>
          <w:b w:val="0"/>
          <w:lang w:val="en-US"/>
        </w:rPr>
        <w:t xml:space="preserve">An improvement in net turnover profitability indicator was recorded i.a. </w:t>
      </w:r>
      <w:r w:rsidR="00B21BA3" w:rsidRPr="008576F7">
        <w:rPr>
          <w:b w:val="0"/>
          <w:lang w:val="en-US"/>
        </w:rPr>
        <w:t xml:space="preserve">in electricity, gas, steam and air conditioning supply (from 3.1% to 5.5%), </w:t>
      </w:r>
      <w:r w:rsidR="00EA2FB2" w:rsidRPr="008576F7">
        <w:rPr>
          <w:b w:val="0"/>
          <w:lang w:val="en-US"/>
        </w:rPr>
        <w:t>professional, scientific and technical activities (from 6.</w:t>
      </w:r>
      <w:r w:rsidR="00B21BA3" w:rsidRPr="008576F7">
        <w:rPr>
          <w:b w:val="0"/>
          <w:lang w:val="en-US"/>
        </w:rPr>
        <w:t>2</w:t>
      </w:r>
      <w:r w:rsidR="00EA2FB2" w:rsidRPr="008576F7">
        <w:rPr>
          <w:b w:val="0"/>
          <w:lang w:val="en-US"/>
        </w:rPr>
        <w:t xml:space="preserve">% to </w:t>
      </w:r>
      <w:r w:rsidR="00B21BA3" w:rsidRPr="008576F7">
        <w:rPr>
          <w:b w:val="0"/>
          <w:lang w:val="en-US"/>
        </w:rPr>
        <w:t>8</w:t>
      </w:r>
      <w:r w:rsidR="00EA2FB2" w:rsidRPr="008576F7">
        <w:rPr>
          <w:b w:val="0"/>
          <w:lang w:val="en-US"/>
        </w:rPr>
        <w:t>.</w:t>
      </w:r>
      <w:r w:rsidR="00B21BA3" w:rsidRPr="008576F7">
        <w:rPr>
          <w:b w:val="0"/>
          <w:lang w:val="en-US"/>
        </w:rPr>
        <w:t>4</w:t>
      </w:r>
      <w:r w:rsidR="00EA2FB2" w:rsidRPr="008576F7">
        <w:rPr>
          <w:b w:val="0"/>
          <w:lang w:val="en-US"/>
        </w:rPr>
        <w:t xml:space="preserve">%), </w:t>
      </w:r>
      <w:r w:rsidR="00B21BA3" w:rsidRPr="008576F7">
        <w:rPr>
          <w:b w:val="0"/>
          <w:lang w:val="en-US"/>
        </w:rPr>
        <w:t xml:space="preserve">transportation and storage (from 3.4% to 4.4%), </w:t>
      </w:r>
      <w:r w:rsidR="00EA2FB2" w:rsidRPr="008576F7">
        <w:rPr>
          <w:b w:val="0"/>
          <w:lang w:val="en-US"/>
        </w:rPr>
        <w:t xml:space="preserve">water supply; sewerage, waste management and remediation activities (from </w:t>
      </w:r>
      <w:r w:rsidR="00B21BA3" w:rsidRPr="008576F7">
        <w:rPr>
          <w:b w:val="0"/>
          <w:lang w:val="en-US"/>
        </w:rPr>
        <w:t>6</w:t>
      </w:r>
      <w:r w:rsidR="00EA2FB2" w:rsidRPr="008576F7">
        <w:rPr>
          <w:b w:val="0"/>
          <w:lang w:val="en-US"/>
        </w:rPr>
        <w:t>.</w:t>
      </w:r>
      <w:r w:rsidR="00B21BA3" w:rsidRPr="008576F7">
        <w:rPr>
          <w:b w:val="0"/>
          <w:lang w:val="en-US"/>
        </w:rPr>
        <w:t>3</w:t>
      </w:r>
      <w:r w:rsidR="00EA2FB2" w:rsidRPr="008576F7">
        <w:rPr>
          <w:b w:val="0"/>
          <w:lang w:val="en-US"/>
        </w:rPr>
        <w:t xml:space="preserve">% to </w:t>
      </w:r>
      <w:r w:rsidR="00B21BA3" w:rsidRPr="008576F7">
        <w:rPr>
          <w:b w:val="0"/>
          <w:lang w:val="en-US"/>
        </w:rPr>
        <w:t>6</w:t>
      </w:r>
      <w:r w:rsidR="00EA2FB2" w:rsidRPr="008576F7">
        <w:rPr>
          <w:b w:val="0"/>
          <w:lang w:val="en-US"/>
        </w:rPr>
        <w:t>.</w:t>
      </w:r>
      <w:r w:rsidR="00B21BA3" w:rsidRPr="008576F7">
        <w:rPr>
          <w:b w:val="0"/>
          <w:lang w:val="en-US"/>
        </w:rPr>
        <w:t>7</w:t>
      </w:r>
      <w:r w:rsidR="00EA2FB2" w:rsidRPr="008576F7">
        <w:rPr>
          <w:b w:val="0"/>
          <w:lang w:val="en-US"/>
        </w:rPr>
        <w:t>%),</w:t>
      </w:r>
      <w:r w:rsidR="00B21BA3" w:rsidRPr="008576F7">
        <w:rPr>
          <w:b w:val="0"/>
          <w:lang w:val="en-US"/>
        </w:rPr>
        <w:t xml:space="preserve"> construction (from 5.3% to 5.6%)</w:t>
      </w:r>
      <w:r w:rsidR="008576F7">
        <w:rPr>
          <w:b w:val="0"/>
          <w:lang w:val="en-US"/>
        </w:rPr>
        <w:t xml:space="preserve">, </w:t>
      </w:r>
      <w:r w:rsidR="00B21BA3" w:rsidRPr="008576F7">
        <w:rPr>
          <w:b w:val="0"/>
          <w:lang w:val="en-US"/>
        </w:rPr>
        <w:t>in trade; repair of motor vehicles (from 2.4% to 2.5%)</w:t>
      </w:r>
      <w:r w:rsidR="008576F7" w:rsidRPr="008576F7">
        <w:rPr>
          <w:b w:val="0"/>
          <w:lang w:val="en-US"/>
        </w:rPr>
        <w:t xml:space="preserve"> </w:t>
      </w:r>
      <w:r w:rsidR="008576F7">
        <w:rPr>
          <w:b w:val="0"/>
          <w:lang w:val="en-US"/>
        </w:rPr>
        <w:t xml:space="preserve">as well as in </w:t>
      </w:r>
      <w:r w:rsidR="008576F7" w:rsidRPr="008576F7">
        <w:rPr>
          <w:b w:val="0"/>
          <w:lang w:val="en-US"/>
        </w:rPr>
        <w:t>mining and quarrying (from minus 10.2% to minus 7.4%)</w:t>
      </w:r>
      <w:r w:rsidR="00B21BA3" w:rsidRPr="008576F7">
        <w:rPr>
          <w:b w:val="0"/>
          <w:lang w:val="en-US"/>
        </w:rPr>
        <w:t>.</w:t>
      </w:r>
      <w:r w:rsidR="009E542E" w:rsidRPr="008576F7">
        <w:rPr>
          <w:b w:val="0"/>
          <w:lang w:val="en-US"/>
        </w:rPr>
        <w:t xml:space="preserve"> In </w:t>
      </w:r>
      <w:r w:rsidR="00EA2FB2" w:rsidRPr="008576F7">
        <w:rPr>
          <w:b w:val="0"/>
          <w:lang w:val="en-US"/>
        </w:rPr>
        <w:t>manufacturing</w:t>
      </w:r>
      <w:r w:rsidR="009E542E" w:rsidRPr="008576F7">
        <w:rPr>
          <w:b w:val="0"/>
          <w:lang w:val="en-US"/>
        </w:rPr>
        <w:t xml:space="preserve"> net turnover profitability indicator was the same as in the previous year and amouted </w:t>
      </w:r>
      <w:r w:rsidR="002A184F">
        <w:rPr>
          <w:b w:val="0"/>
          <w:lang w:val="en-US"/>
        </w:rPr>
        <w:t>to</w:t>
      </w:r>
      <w:r w:rsidR="00EA2FB2" w:rsidRPr="008576F7">
        <w:rPr>
          <w:b w:val="0"/>
          <w:lang w:val="en-US"/>
        </w:rPr>
        <w:t xml:space="preserve"> </w:t>
      </w:r>
      <w:r w:rsidR="00104B41" w:rsidRPr="008576F7">
        <w:rPr>
          <w:b w:val="0"/>
          <w:lang w:val="en-US"/>
        </w:rPr>
        <w:t>3</w:t>
      </w:r>
      <w:r w:rsidR="00EA2FB2" w:rsidRPr="008576F7">
        <w:rPr>
          <w:b w:val="0"/>
          <w:lang w:val="en-US"/>
        </w:rPr>
        <w:t>.</w:t>
      </w:r>
      <w:r w:rsidR="00104B41" w:rsidRPr="008576F7">
        <w:rPr>
          <w:b w:val="0"/>
          <w:lang w:val="en-US"/>
        </w:rPr>
        <w:t>7</w:t>
      </w:r>
      <w:r w:rsidR="00EA2FB2" w:rsidRPr="008576F7">
        <w:rPr>
          <w:b w:val="0"/>
          <w:lang w:val="en-US"/>
        </w:rPr>
        <w:t>%</w:t>
      </w:r>
      <w:r w:rsidR="009E542E" w:rsidRPr="008576F7">
        <w:rPr>
          <w:b w:val="0"/>
          <w:lang w:val="en-US"/>
        </w:rPr>
        <w:t>.</w:t>
      </w:r>
      <w:r w:rsidR="005A4067" w:rsidRPr="008576F7">
        <w:rPr>
          <w:b w:val="0"/>
          <w:lang w:val="en-US"/>
        </w:rPr>
        <w:t xml:space="preserve"> </w:t>
      </w:r>
      <w:r w:rsidR="00D07B6E" w:rsidRPr="008576F7">
        <w:rPr>
          <w:b w:val="0"/>
          <w:lang w:val="en-US"/>
        </w:rPr>
        <w:t>A deterioration of net turnover profitability indicator was recorded i.a.</w:t>
      </w:r>
      <w:r w:rsidR="001754B7" w:rsidRPr="008576F7">
        <w:rPr>
          <w:b w:val="0"/>
          <w:lang w:val="en-US"/>
        </w:rPr>
        <w:t xml:space="preserve"> in</w:t>
      </w:r>
      <w:r w:rsidR="00D07B6E" w:rsidRPr="008576F7">
        <w:rPr>
          <w:b w:val="0"/>
          <w:lang w:val="en-US"/>
        </w:rPr>
        <w:t xml:space="preserve"> administrative and support service activities (from 6.</w:t>
      </w:r>
      <w:r w:rsidR="005A4067" w:rsidRPr="008576F7">
        <w:rPr>
          <w:b w:val="0"/>
          <w:lang w:val="en-US"/>
        </w:rPr>
        <w:t>5</w:t>
      </w:r>
      <w:r w:rsidR="00D07B6E" w:rsidRPr="008576F7">
        <w:rPr>
          <w:b w:val="0"/>
          <w:lang w:val="en-US"/>
        </w:rPr>
        <w:t xml:space="preserve">% to </w:t>
      </w:r>
      <w:r w:rsidR="00104B41" w:rsidRPr="008576F7">
        <w:rPr>
          <w:b w:val="0"/>
          <w:lang w:val="en-US"/>
        </w:rPr>
        <w:t>5</w:t>
      </w:r>
      <w:r w:rsidR="00D07B6E" w:rsidRPr="008576F7">
        <w:rPr>
          <w:b w:val="0"/>
          <w:lang w:val="en-US"/>
        </w:rPr>
        <w:t>.</w:t>
      </w:r>
      <w:r w:rsidR="005A4067" w:rsidRPr="008576F7">
        <w:rPr>
          <w:b w:val="0"/>
          <w:lang w:val="en-US"/>
        </w:rPr>
        <w:t>2</w:t>
      </w:r>
      <w:r w:rsidR="00D07B6E" w:rsidRPr="008576F7">
        <w:rPr>
          <w:b w:val="0"/>
          <w:lang w:val="en-US"/>
        </w:rPr>
        <w:t xml:space="preserve">%), </w:t>
      </w:r>
      <w:r w:rsidR="005A4067" w:rsidRPr="008576F7">
        <w:rPr>
          <w:b w:val="0"/>
          <w:lang w:val="en-US"/>
        </w:rPr>
        <w:t xml:space="preserve">in real estate activities (from 5.6% to 4.7%), information and communication (from 8.1% to 8.0%) as well as in </w:t>
      </w:r>
      <w:r w:rsidR="00EA2FB2" w:rsidRPr="008576F7">
        <w:rPr>
          <w:b w:val="0"/>
          <w:lang w:val="en-US"/>
        </w:rPr>
        <w:t xml:space="preserve">accommodation and catering (from </w:t>
      </w:r>
      <w:r w:rsidR="00104B41" w:rsidRPr="008576F7">
        <w:rPr>
          <w:b w:val="0"/>
          <w:lang w:val="en-US"/>
        </w:rPr>
        <w:t>9</w:t>
      </w:r>
      <w:r w:rsidR="00EA2FB2" w:rsidRPr="008576F7">
        <w:rPr>
          <w:b w:val="0"/>
          <w:lang w:val="en-US"/>
        </w:rPr>
        <w:t>.</w:t>
      </w:r>
      <w:r w:rsidR="005A4067" w:rsidRPr="008576F7">
        <w:rPr>
          <w:b w:val="0"/>
          <w:lang w:val="en-US"/>
        </w:rPr>
        <w:t>2</w:t>
      </w:r>
      <w:r w:rsidR="00EA2FB2" w:rsidRPr="008576F7">
        <w:rPr>
          <w:b w:val="0"/>
          <w:lang w:val="en-US"/>
        </w:rPr>
        <w:t>% to 9.</w:t>
      </w:r>
      <w:r w:rsidR="005A4067" w:rsidRPr="008576F7">
        <w:rPr>
          <w:b w:val="0"/>
          <w:lang w:val="en-US"/>
        </w:rPr>
        <w:t>1</w:t>
      </w:r>
      <w:r w:rsidR="00EA2FB2" w:rsidRPr="008576F7">
        <w:rPr>
          <w:b w:val="0"/>
          <w:lang w:val="en-US"/>
        </w:rPr>
        <w:t>%)</w:t>
      </w:r>
      <w:r w:rsidR="005A4067" w:rsidRPr="008576F7">
        <w:rPr>
          <w:b w:val="0"/>
          <w:lang w:val="en-US"/>
        </w:rPr>
        <w:t>.</w:t>
      </w:r>
    </w:p>
    <w:p w14:paraId="66FC7379" w14:textId="0F25A99D" w:rsidR="00FB163D" w:rsidRDefault="00FB163D" w:rsidP="00CA57AE">
      <w:pPr>
        <w:pStyle w:val="LID"/>
        <w:spacing w:line="288" w:lineRule="auto"/>
        <w:rPr>
          <w:b w:val="0"/>
          <w:lang w:val="en-US"/>
        </w:rPr>
      </w:pPr>
      <w:r w:rsidRPr="008576F7">
        <w:rPr>
          <w:b w:val="0"/>
          <w:lang w:val="en-US"/>
        </w:rPr>
        <w:lastRenderedPageBreak/>
        <w:t xml:space="preserve">First degree financial liquidity indicator </w:t>
      </w:r>
      <w:r w:rsidR="00013CCA" w:rsidRPr="008576F7">
        <w:rPr>
          <w:b w:val="0"/>
          <w:lang w:val="en-US"/>
        </w:rPr>
        <w:t xml:space="preserve">improved </w:t>
      </w:r>
      <w:r w:rsidR="004B6CC5" w:rsidRPr="008576F7">
        <w:rPr>
          <w:b w:val="0"/>
          <w:lang w:val="en-US"/>
        </w:rPr>
        <w:t>to</w:t>
      </w:r>
      <w:r w:rsidR="00CE03B9" w:rsidRPr="008576F7">
        <w:rPr>
          <w:b w:val="0"/>
          <w:lang w:val="en-US"/>
        </w:rPr>
        <w:t xml:space="preserve"> </w:t>
      </w:r>
      <w:r w:rsidR="00566CE5" w:rsidRPr="008576F7">
        <w:rPr>
          <w:b w:val="0"/>
          <w:lang w:val="en-US"/>
        </w:rPr>
        <w:t>4</w:t>
      </w:r>
      <w:r w:rsidR="00A1298E" w:rsidRPr="008576F7">
        <w:rPr>
          <w:b w:val="0"/>
          <w:lang w:val="en-US"/>
        </w:rPr>
        <w:t>8</w:t>
      </w:r>
      <w:r w:rsidR="00566CE5" w:rsidRPr="008576F7">
        <w:rPr>
          <w:b w:val="0"/>
          <w:lang w:val="en-US"/>
        </w:rPr>
        <w:t>.</w:t>
      </w:r>
      <w:r w:rsidR="00A1298E" w:rsidRPr="008576F7">
        <w:rPr>
          <w:b w:val="0"/>
          <w:lang w:val="en-US"/>
        </w:rPr>
        <w:t>9</w:t>
      </w:r>
      <w:r w:rsidR="00566CE5" w:rsidRPr="008576F7">
        <w:rPr>
          <w:b w:val="0"/>
          <w:lang w:val="en-US"/>
        </w:rPr>
        <w:t xml:space="preserve">% (compared to </w:t>
      </w:r>
      <w:r w:rsidR="001103CE" w:rsidRPr="008576F7">
        <w:rPr>
          <w:b w:val="0"/>
          <w:lang w:val="en-US"/>
        </w:rPr>
        <w:t>4</w:t>
      </w:r>
      <w:r w:rsidR="00A1298E" w:rsidRPr="008576F7">
        <w:rPr>
          <w:b w:val="0"/>
          <w:lang w:val="en-US"/>
        </w:rPr>
        <w:t>4</w:t>
      </w:r>
      <w:r w:rsidR="00566CE5" w:rsidRPr="008576F7">
        <w:rPr>
          <w:b w:val="0"/>
          <w:lang w:val="en-US"/>
        </w:rPr>
        <w:t>.</w:t>
      </w:r>
      <w:r w:rsidR="00A1298E" w:rsidRPr="008576F7">
        <w:rPr>
          <w:b w:val="0"/>
          <w:lang w:val="en-US"/>
        </w:rPr>
        <w:t>6</w:t>
      </w:r>
      <w:r w:rsidR="00EF3957" w:rsidRPr="008576F7">
        <w:rPr>
          <w:b w:val="0"/>
          <w:lang w:val="en-US"/>
        </w:rPr>
        <w:t xml:space="preserve">% </w:t>
      </w:r>
      <w:r w:rsidR="001103CE" w:rsidRPr="008576F7">
        <w:rPr>
          <w:b w:val="0"/>
          <w:lang w:val="en-US"/>
        </w:rPr>
        <w:t>in 2024</w:t>
      </w:r>
      <w:r w:rsidRPr="008576F7">
        <w:rPr>
          <w:b w:val="0"/>
          <w:lang w:val="en-US"/>
        </w:rPr>
        <w:t>) and second degree financi</w:t>
      </w:r>
      <w:r w:rsidR="00566CE5" w:rsidRPr="008576F7">
        <w:rPr>
          <w:b w:val="0"/>
          <w:lang w:val="en-US"/>
        </w:rPr>
        <w:t xml:space="preserve">al liquidity indicator </w:t>
      </w:r>
      <w:r w:rsidR="009B742E" w:rsidRPr="008576F7">
        <w:rPr>
          <w:b w:val="0"/>
          <w:lang w:val="en-US"/>
        </w:rPr>
        <w:t xml:space="preserve">amouted </w:t>
      </w:r>
      <w:r w:rsidR="00270B75" w:rsidRPr="008576F7">
        <w:rPr>
          <w:b w:val="0"/>
          <w:lang w:val="en-US"/>
        </w:rPr>
        <w:t>to</w:t>
      </w:r>
      <w:r w:rsidR="000A704D" w:rsidRPr="008576F7">
        <w:rPr>
          <w:b w:val="0"/>
          <w:lang w:val="en-US"/>
        </w:rPr>
        <w:t xml:space="preserve"> </w:t>
      </w:r>
      <w:r w:rsidR="00566CE5" w:rsidRPr="008576F7">
        <w:rPr>
          <w:b w:val="0"/>
          <w:lang w:val="en-US"/>
        </w:rPr>
        <w:t>10</w:t>
      </w:r>
      <w:r w:rsidR="009B742E" w:rsidRPr="008576F7">
        <w:rPr>
          <w:b w:val="0"/>
          <w:lang w:val="en-US"/>
        </w:rPr>
        <w:t>9</w:t>
      </w:r>
      <w:r w:rsidR="00566CE5" w:rsidRPr="008576F7">
        <w:rPr>
          <w:b w:val="0"/>
          <w:lang w:val="en-US"/>
        </w:rPr>
        <w:t>.</w:t>
      </w:r>
      <w:r w:rsidR="00572646" w:rsidRPr="008576F7">
        <w:rPr>
          <w:b w:val="0"/>
          <w:lang w:val="en-US"/>
        </w:rPr>
        <w:t>0</w:t>
      </w:r>
      <w:r w:rsidR="004F1022" w:rsidRPr="008576F7">
        <w:rPr>
          <w:b w:val="0"/>
          <w:lang w:val="en-US"/>
        </w:rPr>
        <w:t>%</w:t>
      </w:r>
      <w:r w:rsidR="009B742E" w:rsidRPr="008576F7">
        <w:rPr>
          <w:b w:val="0"/>
          <w:lang w:val="en-US"/>
        </w:rPr>
        <w:t xml:space="preserve"> (compared to 10</w:t>
      </w:r>
      <w:r w:rsidR="00572646" w:rsidRPr="008576F7">
        <w:rPr>
          <w:b w:val="0"/>
          <w:lang w:val="en-US"/>
        </w:rPr>
        <w:t>7</w:t>
      </w:r>
      <w:r w:rsidR="009B742E" w:rsidRPr="008576F7">
        <w:rPr>
          <w:b w:val="0"/>
          <w:lang w:val="en-US"/>
        </w:rPr>
        <w:t>.</w:t>
      </w:r>
      <w:r w:rsidR="00572646" w:rsidRPr="008576F7">
        <w:rPr>
          <w:b w:val="0"/>
          <w:lang w:val="en-US"/>
        </w:rPr>
        <w:t>5</w:t>
      </w:r>
      <w:r w:rsidR="009B742E" w:rsidRPr="008576F7">
        <w:rPr>
          <w:b w:val="0"/>
          <w:lang w:val="en-US"/>
        </w:rPr>
        <w:t xml:space="preserve">% a year </w:t>
      </w:r>
      <w:r w:rsidR="002A184F">
        <w:rPr>
          <w:b w:val="0"/>
          <w:lang w:val="en-US"/>
        </w:rPr>
        <w:t>before</w:t>
      </w:r>
      <w:r w:rsidR="009B742E" w:rsidRPr="008576F7">
        <w:rPr>
          <w:b w:val="0"/>
          <w:lang w:val="en-US"/>
        </w:rPr>
        <w:t>)</w:t>
      </w:r>
      <w:r w:rsidRPr="008576F7">
        <w:rPr>
          <w:b w:val="0"/>
          <w:lang w:val="en-US"/>
        </w:rPr>
        <w:t>. First degree financial liquidity indicator at the lev</w:t>
      </w:r>
      <w:r w:rsidR="0051392B" w:rsidRPr="008576F7">
        <w:rPr>
          <w:b w:val="0"/>
          <w:lang w:val="en-US"/>
        </w:rPr>
        <w:t xml:space="preserve">el over 20% was achieved by </w:t>
      </w:r>
      <w:r w:rsidR="00566CE5" w:rsidRPr="008576F7">
        <w:rPr>
          <w:b w:val="0"/>
          <w:lang w:val="en-US"/>
        </w:rPr>
        <w:t>5</w:t>
      </w:r>
      <w:r w:rsidR="00572646" w:rsidRPr="008576F7">
        <w:rPr>
          <w:b w:val="0"/>
          <w:lang w:val="en-US"/>
        </w:rPr>
        <w:t>9</w:t>
      </w:r>
      <w:r w:rsidR="00566CE5" w:rsidRPr="008576F7">
        <w:rPr>
          <w:b w:val="0"/>
          <w:lang w:val="en-US"/>
        </w:rPr>
        <w:t>.</w:t>
      </w:r>
      <w:r w:rsidR="00572646" w:rsidRPr="008576F7">
        <w:rPr>
          <w:b w:val="0"/>
          <w:lang w:val="en-US"/>
        </w:rPr>
        <w:t>0</w:t>
      </w:r>
      <w:r w:rsidRPr="008576F7">
        <w:rPr>
          <w:b w:val="0"/>
          <w:lang w:val="en-US"/>
        </w:rPr>
        <w:t>% of the surveyed enterprises (</w:t>
      </w:r>
      <w:r w:rsidR="00A121B0" w:rsidRPr="008576F7">
        <w:rPr>
          <w:b w:val="0"/>
          <w:lang w:val="en-US"/>
        </w:rPr>
        <w:t>compared to 5</w:t>
      </w:r>
      <w:r w:rsidR="00572646" w:rsidRPr="008576F7">
        <w:rPr>
          <w:b w:val="0"/>
          <w:lang w:val="en-US"/>
        </w:rPr>
        <w:t>8</w:t>
      </w:r>
      <w:r w:rsidR="00566CE5" w:rsidRPr="008576F7">
        <w:rPr>
          <w:b w:val="0"/>
          <w:lang w:val="en-US"/>
        </w:rPr>
        <w:t>.</w:t>
      </w:r>
      <w:r w:rsidR="00572646" w:rsidRPr="008576F7">
        <w:rPr>
          <w:b w:val="0"/>
          <w:lang w:val="en-US"/>
        </w:rPr>
        <w:t>5</w:t>
      </w:r>
      <w:r w:rsidRPr="008576F7">
        <w:rPr>
          <w:b w:val="0"/>
          <w:lang w:val="en-US"/>
        </w:rPr>
        <w:t xml:space="preserve">% a year </w:t>
      </w:r>
      <w:r w:rsidR="002A184F">
        <w:rPr>
          <w:b w:val="0"/>
          <w:lang w:val="en-US"/>
        </w:rPr>
        <w:t>before</w:t>
      </w:r>
      <w:r w:rsidRPr="008576F7">
        <w:rPr>
          <w:b w:val="0"/>
          <w:lang w:val="en-US"/>
        </w:rPr>
        <w:t>). Second degree fina</w:t>
      </w:r>
      <w:r w:rsidR="00A0614D" w:rsidRPr="008576F7">
        <w:rPr>
          <w:b w:val="0"/>
          <w:lang w:val="en-US"/>
        </w:rPr>
        <w:t>ncial liquidity indicator ranged from 100% to 130%</w:t>
      </w:r>
      <w:r w:rsidRPr="008576F7">
        <w:rPr>
          <w:b w:val="0"/>
          <w:lang w:val="en-US"/>
        </w:rPr>
        <w:t xml:space="preserve"> was re</w:t>
      </w:r>
      <w:r w:rsidR="00566CE5" w:rsidRPr="008576F7">
        <w:rPr>
          <w:b w:val="0"/>
          <w:lang w:val="en-US"/>
        </w:rPr>
        <w:t>corded by 11.</w:t>
      </w:r>
      <w:r w:rsidR="00572646" w:rsidRPr="008576F7">
        <w:rPr>
          <w:b w:val="0"/>
          <w:lang w:val="en-US"/>
        </w:rPr>
        <w:t>4</w:t>
      </w:r>
      <w:r w:rsidRPr="008576F7">
        <w:rPr>
          <w:b w:val="0"/>
          <w:lang w:val="en-US"/>
        </w:rPr>
        <w:t>% of the survey</w:t>
      </w:r>
      <w:r w:rsidR="004F1022" w:rsidRPr="008576F7">
        <w:rPr>
          <w:b w:val="0"/>
          <w:lang w:val="en-US"/>
        </w:rPr>
        <w:t>ed enterprises</w:t>
      </w:r>
      <w:r w:rsidR="0078097A" w:rsidRPr="008576F7">
        <w:rPr>
          <w:b w:val="0"/>
          <w:lang w:val="en-US"/>
        </w:rPr>
        <w:t>,</w:t>
      </w:r>
      <w:r w:rsidR="00572646" w:rsidRPr="008576F7">
        <w:rPr>
          <w:b w:val="0"/>
          <w:lang w:val="en-US"/>
        </w:rPr>
        <w:t xml:space="preserve"> 11.5% in the previous year</w:t>
      </w:r>
      <w:r w:rsidR="00771B1F" w:rsidRPr="008576F7">
        <w:rPr>
          <w:b w:val="0"/>
          <w:lang w:val="en-US"/>
        </w:rPr>
        <w:t>.</w:t>
      </w:r>
    </w:p>
    <w:p w14:paraId="7DE6D17B" w14:textId="3FB8B6B3" w:rsidR="00BA2B2D" w:rsidRDefault="00BA2B2D" w:rsidP="00A30ACA">
      <w:pPr>
        <w:pStyle w:val="LID"/>
        <w:spacing w:before="360" w:line="240" w:lineRule="auto"/>
        <w:contextualSpacing/>
        <w:rPr>
          <w:lang w:val="en-US"/>
        </w:rPr>
      </w:pPr>
      <w:r w:rsidRPr="00180FCF">
        <w:rPr>
          <w:lang w:val="en-US"/>
        </w:rPr>
        <w:t>Chart 2. Net turnover profitability indicator</w:t>
      </w:r>
    </w:p>
    <w:p w14:paraId="59592407" w14:textId="365C8DA6" w:rsidR="0042536A" w:rsidRDefault="005F368B" w:rsidP="0033552B">
      <w:pPr>
        <w:spacing w:line="288" w:lineRule="auto"/>
        <w:rPr>
          <w:rFonts w:eastAsia="Times New Roman" w:cs="Times New Roman"/>
          <w:szCs w:val="19"/>
          <w:lang w:val="en-US" w:eastAsia="pl-PL"/>
        </w:rPr>
      </w:pPr>
      <w:r w:rsidRPr="00823593">
        <w:rPr>
          <w:b/>
          <w:noProof/>
          <w:spacing w:val="-2"/>
        </w:rPr>
        <mc:AlternateContent>
          <mc:Choice Requires="wps">
            <w:drawing>
              <wp:anchor distT="45720" distB="45720" distL="114300" distR="114300" simplePos="0" relativeHeight="251817984" behindDoc="1" locked="0" layoutInCell="1" allowOverlap="1" wp14:anchorId="7A1E7E44" wp14:editId="03EE4F49">
                <wp:simplePos x="0" y="0"/>
                <wp:positionH relativeFrom="page">
                  <wp:posOffset>5740400</wp:posOffset>
                </wp:positionH>
                <wp:positionV relativeFrom="paragraph">
                  <wp:posOffset>3131185</wp:posOffset>
                </wp:positionV>
                <wp:extent cx="1629410" cy="1558290"/>
                <wp:effectExtent l="0" t="0" r="0" b="3810"/>
                <wp:wrapTight wrapText="bothSides">
                  <wp:wrapPolygon edited="0">
                    <wp:start x="758" y="0"/>
                    <wp:lineTo x="758" y="21389"/>
                    <wp:lineTo x="20708" y="21389"/>
                    <wp:lineTo x="20708" y="0"/>
                    <wp:lineTo x="758" y="0"/>
                  </wp:wrapPolygon>
                </wp:wrapTight>
                <wp:docPr id="3" name="Pole tekstowe 3" descr="In the total costs by type the share of external services  and wages and salaries increased the most (by 0.8 pp.), whereas share of consumption of materials decreased the most (by 1.5 p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558290"/>
                        </a:xfrm>
                        <a:prstGeom prst="rect">
                          <a:avLst/>
                        </a:prstGeom>
                        <a:noFill/>
                        <a:ln w="9525">
                          <a:noFill/>
                          <a:miter lim="800000"/>
                          <a:headEnd/>
                          <a:tailEnd/>
                        </a:ln>
                      </wps:spPr>
                      <wps:txbx>
                        <w:txbxContent>
                          <w:p w14:paraId="1C02A010" w14:textId="4EB3FC5E" w:rsidR="00862E86" w:rsidRPr="00BE16FB" w:rsidRDefault="00862E86" w:rsidP="00862E86">
                            <w:pPr>
                              <w:pStyle w:val="tekstzboku"/>
                              <w:rPr>
                                <w:bCs w:val="0"/>
                                <w:lang w:val="en-US"/>
                              </w:rPr>
                            </w:pPr>
                            <w:r w:rsidRPr="008576F7">
                              <w:rPr>
                                <w:bCs w:val="0"/>
                                <w:lang w:val="en-US"/>
                              </w:rPr>
                              <w:t xml:space="preserve">In the total costs </w:t>
                            </w:r>
                            <w:r w:rsidR="00020513" w:rsidRPr="008576F7">
                              <w:rPr>
                                <w:bCs w:val="0"/>
                                <w:lang w:val="en-US"/>
                              </w:rPr>
                              <w:t xml:space="preserve">by type </w:t>
                            </w:r>
                            <w:r w:rsidRPr="008576F7">
                              <w:rPr>
                                <w:bCs w:val="0"/>
                                <w:lang w:val="en-US"/>
                              </w:rPr>
                              <w:t>the share of external services  and wages and salaries increased the most (by 0.8 pp.), whereas share of consumption of materials decreased the most (by 1.5 pp.)</w:t>
                            </w:r>
                          </w:p>
                          <w:p w14:paraId="12C1623D" w14:textId="35767210" w:rsidR="00D07B6E" w:rsidRPr="00BE16FB" w:rsidRDefault="00D07B6E" w:rsidP="000A24BB">
                            <w:pPr>
                              <w:pStyle w:val="tekstzboku"/>
                              <w:rPr>
                                <w:bCs w:val="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E7E44" id="_x0000_t202" coordsize="21600,21600" o:spt="202" path="m,l,21600r21600,l21600,xe">
                <v:stroke joinstyle="miter"/>
                <v:path gradientshapeok="t" o:connecttype="rect"/>
              </v:shapetype>
              <v:shape id="Pole tekstowe 3" o:spid="_x0000_s1028" type="#_x0000_t202" alt="In the total costs by type the share of external services  and wages and salaries increased the most (by 0.8 pp.), whereas share of consumption of materials decreased the most (by 1.5 pp.)" style="position:absolute;margin-left:452pt;margin-top:246.55pt;width:128.3pt;height:122.7pt;z-index:-2514984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" filled="f" stroked="f">
                <v:textbox>
                  <w:txbxContent>
                    <w:p w14:paraId="1C02A010" w14:textId="4EB3FC5E" w:rsidR="00862E86" w:rsidRPr="00BE16FB" w:rsidRDefault="00862E86" w:rsidP="00862E86">
                      <w:pPr>
                        <w:pStyle w:val="tekstzboku"/>
                        <w:rPr>
                          <w:bCs w:val="0"/>
                          <w:lang w:val="en-US"/>
                        </w:rPr>
                      </w:pPr>
                      <w:r w:rsidRPr="008576F7">
                        <w:rPr>
                          <w:bCs w:val="0"/>
                          <w:lang w:val="en-US"/>
                        </w:rPr>
                        <w:t xml:space="preserve">In the total costs </w:t>
                      </w:r>
                      <w:r w:rsidR="00020513" w:rsidRPr="008576F7">
                        <w:rPr>
                          <w:bCs w:val="0"/>
                          <w:lang w:val="en-US"/>
                        </w:rPr>
                        <w:t xml:space="preserve">by type </w:t>
                      </w:r>
                      <w:r w:rsidRPr="008576F7">
                        <w:rPr>
                          <w:bCs w:val="0"/>
                          <w:lang w:val="en-US"/>
                        </w:rPr>
                        <w:t>the share of external services  and wages and salaries increased the most (by 0.8 pp.), whereas share of consumption of materials decreased the most (by 1.5 pp.)</w:t>
                      </w:r>
                    </w:p>
                    <w:p w14:paraId="12C1623D" w14:textId="35767210" w:rsidR="00D07B6E" w:rsidRPr="00BE16FB" w:rsidRDefault="00D07B6E" w:rsidP="000A24BB">
                      <w:pPr>
                        <w:pStyle w:val="tekstzboku"/>
                        <w:rPr>
                          <w:bCs w:val="0"/>
                          <w:lang w:val="en-US"/>
                        </w:rPr>
                      </w:pPr>
                    </w:p>
                  </w:txbxContent>
                </v:textbox>
                <w10:wrap type="tight" anchorx="page"/>
              </v:shape>
            </w:pict>
          </mc:Fallback>
        </mc:AlternateContent>
      </w:r>
      <w:r w:rsidR="006E149D">
        <w:rPr>
          <w:rFonts w:eastAsia="Times New Roman" w:cs="Times New Roman"/>
          <w:noProof/>
          <w:szCs w:val="19"/>
          <w:lang w:val="en-US" w:eastAsia="pl-PL"/>
        </w:rPr>
        <w:drawing>
          <wp:inline distT="0" distB="0" distL="0" distR="0" wp14:anchorId="01335D4A" wp14:editId="53DCE99E">
            <wp:extent cx="4731026" cy="3187968"/>
            <wp:effectExtent l="0" t="0" r="0" b="0"/>
            <wp:docPr id="15" name="Obraz 15" descr="Line and column chart. The data for Chart 2 can be found in the XLSX file titled IS-06-tabl-20260323- Financial results of non-financial enterprises in 2025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155" cy="3212987"/>
                    </a:xfrm>
                    <a:prstGeom prst="rect">
                      <a:avLst/>
                    </a:prstGeom>
                    <a:noFill/>
                  </pic:spPr>
                </pic:pic>
              </a:graphicData>
            </a:graphic>
          </wp:inline>
        </w:drawing>
      </w:r>
    </w:p>
    <w:p w14:paraId="1AFF4470" w14:textId="2E4649CA" w:rsidR="00F50852" w:rsidRPr="0033552B" w:rsidRDefault="000A4B6B" w:rsidP="0033552B">
      <w:pPr>
        <w:spacing w:line="288" w:lineRule="auto"/>
        <w:rPr>
          <w:rFonts w:eastAsia="Times New Roman" w:cs="Times New Roman"/>
          <w:szCs w:val="19"/>
          <w:lang w:val="en-US" w:eastAsia="pl-PL"/>
        </w:rPr>
      </w:pPr>
      <w:r w:rsidRPr="008576F7">
        <w:rPr>
          <w:rFonts w:eastAsia="Times New Roman" w:cs="Times New Roman"/>
          <w:szCs w:val="19"/>
          <w:lang w:val="en-US" w:eastAsia="pl-PL"/>
        </w:rPr>
        <w:t>In the structure of total costs</w:t>
      </w:r>
      <w:r w:rsidR="00205604" w:rsidRPr="008576F7">
        <w:rPr>
          <w:rFonts w:eastAsia="Times New Roman" w:cs="Times New Roman"/>
          <w:szCs w:val="19"/>
          <w:lang w:val="en-US" w:eastAsia="pl-PL"/>
        </w:rPr>
        <w:t xml:space="preserve"> by type</w:t>
      </w:r>
      <w:r w:rsidRPr="008576F7">
        <w:rPr>
          <w:rFonts w:eastAsia="Times New Roman" w:cs="Times New Roman"/>
          <w:szCs w:val="19"/>
          <w:lang w:val="en-US" w:eastAsia="pl-PL"/>
        </w:rPr>
        <w:t xml:space="preserve">, there was an increase </w:t>
      </w:r>
      <w:r w:rsidR="00547CE0" w:rsidRPr="008576F7">
        <w:rPr>
          <w:rFonts w:eastAsia="Times New Roman" w:cs="Times New Roman"/>
          <w:szCs w:val="19"/>
          <w:lang w:val="en-US" w:eastAsia="pl-PL"/>
        </w:rPr>
        <w:t xml:space="preserve">compared to 2024 </w:t>
      </w:r>
      <w:r w:rsidRPr="008576F7">
        <w:rPr>
          <w:rFonts w:eastAsia="Times New Roman" w:cs="Times New Roman"/>
          <w:szCs w:val="19"/>
          <w:lang w:val="en-US" w:eastAsia="pl-PL"/>
        </w:rPr>
        <w:t xml:space="preserve">in the share of </w:t>
      </w:r>
      <w:r w:rsidR="00D06CA9" w:rsidRPr="008576F7">
        <w:rPr>
          <w:rFonts w:eastAsia="Times New Roman" w:cs="Times New Roman"/>
          <w:szCs w:val="19"/>
          <w:lang w:val="en-US" w:eastAsia="pl-PL"/>
        </w:rPr>
        <w:t xml:space="preserve">external services (by </w:t>
      </w:r>
      <w:r w:rsidR="00614F47" w:rsidRPr="008576F7">
        <w:rPr>
          <w:rFonts w:eastAsia="Times New Roman" w:cs="Times New Roman"/>
          <w:szCs w:val="19"/>
          <w:lang w:val="en-US" w:eastAsia="pl-PL"/>
        </w:rPr>
        <w:t>0</w:t>
      </w:r>
      <w:r w:rsidR="00D06CA9" w:rsidRPr="008576F7">
        <w:rPr>
          <w:rFonts w:eastAsia="Times New Roman" w:cs="Times New Roman"/>
          <w:szCs w:val="19"/>
          <w:lang w:val="en-US" w:eastAsia="pl-PL"/>
        </w:rPr>
        <w:t>.</w:t>
      </w:r>
      <w:r w:rsidR="00614F47" w:rsidRPr="008576F7">
        <w:rPr>
          <w:rFonts w:eastAsia="Times New Roman" w:cs="Times New Roman"/>
          <w:szCs w:val="19"/>
          <w:lang w:val="en-US" w:eastAsia="pl-PL"/>
        </w:rPr>
        <w:t>8</w:t>
      </w:r>
      <w:r w:rsidR="00D06CA9" w:rsidRPr="008576F7">
        <w:rPr>
          <w:rFonts w:eastAsia="Times New Roman" w:cs="Times New Roman"/>
          <w:szCs w:val="19"/>
          <w:lang w:val="en-US" w:eastAsia="pl-PL"/>
        </w:rPr>
        <w:t xml:space="preserve"> pp.), </w:t>
      </w:r>
      <w:r w:rsidR="004070B9" w:rsidRPr="008576F7">
        <w:rPr>
          <w:rFonts w:eastAsia="Times New Roman" w:cs="Times New Roman"/>
          <w:szCs w:val="19"/>
          <w:lang w:val="en-US" w:eastAsia="pl-PL"/>
        </w:rPr>
        <w:t>wages and salaries</w:t>
      </w:r>
      <w:r w:rsidR="00AF580D" w:rsidRPr="008576F7">
        <w:rPr>
          <w:rFonts w:eastAsia="Times New Roman" w:cs="Times New Roman"/>
          <w:szCs w:val="19"/>
          <w:lang w:val="en-US" w:eastAsia="pl-PL"/>
        </w:rPr>
        <w:t xml:space="preserve"> </w:t>
      </w:r>
      <w:r w:rsidR="00D06CA9" w:rsidRPr="008576F7">
        <w:rPr>
          <w:rFonts w:eastAsia="Times New Roman" w:cs="Times New Roman"/>
          <w:szCs w:val="19"/>
          <w:lang w:val="en-US" w:eastAsia="pl-PL"/>
        </w:rPr>
        <w:t xml:space="preserve">(by </w:t>
      </w:r>
      <w:r w:rsidR="00D43CD5" w:rsidRPr="008576F7">
        <w:rPr>
          <w:rFonts w:eastAsia="Times New Roman" w:cs="Times New Roman"/>
          <w:szCs w:val="19"/>
          <w:lang w:val="en-US" w:eastAsia="pl-PL"/>
        </w:rPr>
        <w:t>0</w:t>
      </w:r>
      <w:r w:rsidR="00D06CA9" w:rsidRPr="008576F7">
        <w:rPr>
          <w:rFonts w:eastAsia="Times New Roman" w:cs="Times New Roman"/>
          <w:szCs w:val="19"/>
          <w:lang w:val="en-US" w:eastAsia="pl-PL"/>
        </w:rPr>
        <w:t>.</w:t>
      </w:r>
      <w:r w:rsidR="00862E86" w:rsidRPr="008576F7">
        <w:rPr>
          <w:rFonts w:eastAsia="Times New Roman" w:cs="Times New Roman"/>
          <w:szCs w:val="19"/>
          <w:lang w:val="en-US" w:eastAsia="pl-PL"/>
        </w:rPr>
        <w:t>8</w:t>
      </w:r>
      <w:r w:rsidR="004F00CF" w:rsidRPr="008576F7">
        <w:rPr>
          <w:rFonts w:eastAsia="Times New Roman" w:cs="Times New Roman"/>
          <w:szCs w:val="19"/>
          <w:lang w:val="en-US" w:eastAsia="pl-PL"/>
        </w:rPr>
        <w:t xml:space="preserve"> pp.), </w:t>
      </w:r>
      <w:r w:rsidR="00541CA8" w:rsidRPr="008576F7">
        <w:rPr>
          <w:rFonts w:eastAsia="Times New Roman" w:cs="Times New Roman"/>
          <w:szCs w:val="19"/>
          <w:lang w:val="en-US" w:eastAsia="pl-PL"/>
        </w:rPr>
        <w:t>other costs by kind (by 0.</w:t>
      </w:r>
      <w:r w:rsidR="00862E86" w:rsidRPr="008576F7">
        <w:rPr>
          <w:rFonts w:eastAsia="Times New Roman" w:cs="Times New Roman"/>
          <w:szCs w:val="19"/>
          <w:lang w:val="en-US" w:eastAsia="pl-PL"/>
        </w:rPr>
        <w:t>6</w:t>
      </w:r>
      <w:r w:rsidR="00541CA8" w:rsidRPr="008576F7">
        <w:rPr>
          <w:rFonts w:eastAsia="Times New Roman" w:cs="Times New Roman"/>
          <w:szCs w:val="19"/>
          <w:lang w:val="en-US" w:eastAsia="pl-PL"/>
        </w:rPr>
        <w:t xml:space="preserve"> pp.), </w:t>
      </w:r>
      <w:r w:rsidR="00547CE0" w:rsidRPr="008576F7">
        <w:rPr>
          <w:rFonts w:eastAsia="Times New Roman" w:cs="Times New Roman"/>
          <w:szCs w:val="19"/>
          <w:lang w:val="en-US" w:eastAsia="pl-PL"/>
        </w:rPr>
        <w:t xml:space="preserve">social insurances and other benefits </w:t>
      </w:r>
      <w:r w:rsidR="00D06CA9" w:rsidRPr="008576F7">
        <w:rPr>
          <w:rFonts w:eastAsia="Times New Roman" w:cs="Times New Roman"/>
          <w:szCs w:val="19"/>
          <w:lang w:val="en-US" w:eastAsia="pl-PL"/>
        </w:rPr>
        <w:t>(by 0.</w:t>
      </w:r>
      <w:r w:rsidR="00614F47" w:rsidRPr="008576F7">
        <w:rPr>
          <w:rFonts w:eastAsia="Times New Roman" w:cs="Times New Roman"/>
          <w:szCs w:val="19"/>
          <w:lang w:val="en-US" w:eastAsia="pl-PL"/>
        </w:rPr>
        <w:t>2</w:t>
      </w:r>
      <w:r w:rsidR="00541CA8" w:rsidRPr="008576F7">
        <w:rPr>
          <w:rFonts w:eastAsia="Times New Roman" w:cs="Times New Roman"/>
          <w:szCs w:val="19"/>
          <w:lang w:val="en-US" w:eastAsia="pl-PL"/>
        </w:rPr>
        <w:t xml:space="preserve"> pp.)</w:t>
      </w:r>
      <w:r w:rsidR="00862E86" w:rsidRPr="008576F7">
        <w:rPr>
          <w:rFonts w:eastAsia="Times New Roman" w:cs="Times New Roman"/>
          <w:szCs w:val="19"/>
          <w:lang w:val="en-US" w:eastAsia="pl-PL"/>
        </w:rPr>
        <w:t xml:space="preserve"> as well as depreciation (by 0.1 pp.)</w:t>
      </w:r>
      <w:r w:rsidR="00D06CA9" w:rsidRPr="008576F7">
        <w:rPr>
          <w:rFonts w:eastAsia="Times New Roman" w:cs="Times New Roman"/>
          <w:szCs w:val="19"/>
          <w:lang w:val="en-US" w:eastAsia="pl-PL"/>
        </w:rPr>
        <w:t xml:space="preserve">. </w:t>
      </w:r>
      <w:r w:rsidR="005A6282" w:rsidRPr="008576F7">
        <w:rPr>
          <w:rFonts w:eastAsia="Times New Roman" w:cs="Times New Roman"/>
          <w:szCs w:val="19"/>
          <w:lang w:val="en-US" w:eastAsia="pl-PL"/>
        </w:rPr>
        <w:t>There was a decrease in the</w:t>
      </w:r>
      <w:r w:rsidR="00DF016D" w:rsidRPr="008576F7">
        <w:rPr>
          <w:rFonts w:eastAsia="Times New Roman" w:cs="Times New Roman"/>
          <w:szCs w:val="19"/>
          <w:lang w:val="en-US" w:eastAsia="pl-PL"/>
        </w:rPr>
        <w:t xml:space="preserve"> consumption of materials</w:t>
      </w:r>
      <w:r w:rsidR="005A6282" w:rsidRPr="008576F7">
        <w:rPr>
          <w:rFonts w:eastAsia="Times New Roman" w:cs="Times New Roman"/>
          <w:szCs w:val="19"/>
          <w:lang w:val="en-US" w:eastAsia="pl-PL"/>
        </w:rPr>
        <w:t xml:space="preserve"> </w:t>
      </w:r>
      <w:r w:rsidR="00D43CD5" w:rsidRPr="008576F7">
        <w:rPr>
          <w:rFonts w:eastAsia="Times New Roman" w:cs="Times New Roman"/>
          <w:szCs w:val="19"/>
          <w:lang w:val="en-US" w:eastAsia="pl-PL"/>
        </w:rPr>
        <w:t>(by 1.</w:t>
      </w:r>
      <w:r w:rsidR="00862E86" w:rsidRPr="008576F7">
        <w:rPr>
          <w:rFonts w:eastAsia="Times New Roman" w:cs="Times New Roman"/>
          <w:szCs w:val="19"/>
          <w:lang w:val="en-US" w:eastAsia="pl-PL"/>
        </w:rPr>
        <w:t>5</w:t>
      </w:r>
      <w:r w:rsidR="00D43CD5" w:rsidRPr="008576F7">
        <w:rPr>
          <w:rFonts w:eastAsia="Times New Roman" w:cs="Times New Roman"/>
          <w:szCs w:val="19"/>
          <w:lang w:val="en-US" w:eastAsia="pl-PL"/>
        </w:rPr>
        <w:t xml:space="preserve"> pp.), </w:t>
      </w:r>
      <w:r w:rsidR="00DF016D" w:rsidRPr="008576F7">
        <w:rPr>
          <w:rFonts w:eastAsia="Times New Roman" w:cs="Times New Roman"/>
          <w:szCs w:val="19"/>
          <w:lang w:val="en-US" w:eastAsia="pl-PL"/>
        </w:rPr>
        <w:t xml:space="preserve">share of taxes and fees </w:t>
      </w:r>
      <w:r w:rsidR="005A6282" w:rsidRPr="008576F7">
        <w:rPr>
          <w:rFonts w:eastAsia="Times New Roman" w:cs="Times New Roman"/>
          <w:szCs w:val="19"/>
          <w:lang w:val="en-US" w:eastAsia="pl-PL"/>
        </w:rPr>
        <w:t xml:space="preserve">(by </w:t>
      </w:r>
      <w:r w:rsidR="00862E86" w:rsidRPr="008576F7">
        <w:rPr>
          <w:rFonts w:eastAsia="Times New Roman" w:cs="Times New Roman"/>
          <w:szCs w:val="19"/>
          <w:lang w:val="en-US" w:eastAsia="pl-PL"/>
        </w:rPr>
        <w:t>0</w:t>
      </w:r>
      <w:r w:rsidR="00D06CA9" w:rsidRPr="008576F7">
        <w:rPr>
          <w:rFonts w:eastAsia="Times New Roman" w:cs="Times New Roman"/>
          <w:szCs w:val="19"/>
          <w:lang w:val="en-US" w:eastAsia="pl-PL"/>
        </w:rPr>
        <w:t>.</w:t>
      </w:r>
      <w:r w:rsidR="00862E86" w:rsidRPr="008576F7">
        <w:rPr>
          <w:rFonts w:eastAsia="Times New Roman" w:cs="Times New Roman"/>
          <w:szCs w:val="19"/>
          <w:lang w:val="en-US" w:eastAsia="pl-PL"/>
        </w:rPr>
        <w:t>7</w:t>
      </w:r>
      <w:r w:rsidR="005A6282" w:rsidRPr="008576F7">
        <w:rPr>
          <w:rFonts w:eastAsia="Times New Roman" w:cs="Times New Roman"/>
          <w:szCs w:val="19"/>
          <w:lang w:val="en-US" w:eastAsia="pl-PL"/>
        </w:rPr>
        <w:t xml:space="preserve"> pp.)</w:t>
      </w:r>
      <w:r w:rsidR="00D43CD5" w:rsidRPr="008576F7">
        <w:rPr>
          <w:rFonts w:eastAsia="Times New Roman" w:cs="Times New Roman"/>
          <w:szCs w:val="19"/>
          <w:lang w:val="en-US" w:eastAsia="pl-PL"/>
        </w:rPr>
        <w:t xml:space="preserve"> as well as</w:t>
      </w:r>
      <w:r w:rsidR="00D06CA9" w:rsidRPr="008576F7">
        <w:rPr>
          <w:rFonts w:eastAsia="Times New Roman" w:cs="Times New Roman"/>
          <w:szCs w:val="19"/>
          <w:lang w:val="en-US" w:eastAsia="pl-PL"/>
        </w:rPr>
        <w:t xml:space="preserve"> </w:t>
      </w:r>
      <w:r w:rsidR="000E1DE1" w:rsidRPr="008576F7">
        <w:rPr>
          <w:rFonts w:eastAsia="Times New Roman" w:cs="Times New Roman"/>
          <w:szCs w:val="19"/>
          <w:lang w:val="en-US" w:eastAsia="pl-PL"/>
        </w:rPr>
        <w:t>consumption</w:t>
      </w:r>
      <w:r w:rsidR="005A6282" w:rsidRPr="008576F7">
        <w:rPr>
          <w:rFonts w:eastAsia="Times New Roman" w:cs="Times New Roman"/>
          <w:szCs w:val="19"/>
          <w:lang w:val="en-US" w:eastAsia="pl-PL"/>
        </w:rPr>
        <w:t xml:space="preserve"> of energy (by 0.</w:t>
      </w:r>
      <w:r w:rsidR="00D43CD5" w:rsidRPr="008576F7">
        <w:rPr>
          <w:rFonts w:eastAsia="Times New Roman" w:cs="Times New Roman"/>
          <w:szCs w:val="19"/>
          <w:lang w:val="en-US" w:eastAsia="pl-PL"/>
        </w:rPr>
        <w:t>3</w:t>
      </w:r>
      <w:r w:rsidR="005A6282" w:rsidRPr="008576F7">
        <w:rPr>
          <w:rFonts w:eastAsia="Times New Roman" w:cs="Times New Roman"/>
          <w:szCs w:val="19"/>
          <w:lang w:val="en-US" w:eastAsia="pl-PL"/>
        </w:rPr>
        <w:t xml:space="preserve"> </w:t>
      </w:r>
      <w:r w:rsidR="00D06CA9" w:rsidRPr="008576F7">
        <w:rPr>
          <w:rFonts w:eastAsia="Times New Roman" w:cs="Times New Roman"/>
          <w:szCs w:val="19"/>
          <w:lang w:val="en-US" w:eastAsia="pl-PL"/>
        </w:rPr>
        <w:t>pp.)</w:t>
      </w:r>
      <w:r w:rsidR="00D43CD5" w:rsidRPr="008576F7">
        <w:rPr>
          <w:rFonts w:eastAsia="Times New Roman" w:cs="Times New Roman"/>
          <w:szCs w:val="19"/>
          <w:lang w:val="en-US" w:eastAsia="pl-PL"/>
        </w:rPr>
        <w:t>.</w:t>
      </w:r>
    </w:p>
    <w:p w14:paraId="4DF12DC4" w14:textId="6F43DC27" w:rsidR="00F50852" w:rsidRDefault="00C47E0D" w:rsidP="00C47E0D">
      <w:pPr>
        <w:pStyle w:val="LID"/>
        <w:spacing w:before="360" w:line="240" w:lineRule="auto"/>
        <w:contextualSpacing/>
        <w:rPr>
          <w:lang w:val="en-US"/>
        </w:rPr>
      </w:pPr>
      <w:r>
        <w:rPr>
          <w:lang w:val="en-US"/>
        </w:rPr>
        <w:drawing>
          <wp:anchor distT="0" distB="0" distL="114300" distR="114300" simplePos="0" relativeHeight="251830272" behindDoc="0" locked="0" layoutInCell="1" allowOverlap="1" wp14:anchorId="30BFFDD8" wp14:editId="4A0B48FA">
            <wp:simplePos x="0" y="0"/>
            <wp:positionH relativeFrom="margin">
              <wp:align>left</wp:align>
            </wp:positionH>
            <wp:positionV relativeFrom="paragraph">
              <wp:posOffset>440055</wp:posOffset>
            </wp:positionV>
            <wp:extent cx="4603750" cy="3143885"/>
            <wp:effectExtent l="0" t="0" r="6350" b="0"/>
            <wp:wrapTopAndBottom/>
            <wp:docPr id="16" name="Obraz 16" descr="Pie chart. The data for Chart 3 can be found in the XLSX file titled IS-06-tabl-20260323- Financial results of non-financial enterprises in 2025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3750" cy="3143885"/>
                    </a:xfrm>
                    <a:prstGeom prst="rect">
                      <a:avLst/>
                    </a:prstGeom>
                    <a:noFill/>
                  </pic:spPr>
                </pic:pic>
              </a:graphicData>
            </a:graphic>
            <wp14:sizeRelH relativeFrom="margin">
              <wp14:pctWidth>0</wp14:pctWidth>
            </wp14:sizeRelH>
            <wp14:sizeRelV relativeFrom="margin">
              <wp14:pctHeight>0</wp14:pctHeight>
            </wp14:sizeRelV>
          </wp:anchor>
        </w:drawing>
      </w:r>
      <w:r w:rsidR="00F50852" w:rsidRPr="00180FCF">
        <w:rPr>
          <w:lang w:val="en-US"/>
        </w:rPr>
        <w:t>Chart 3. St</w:t>
      </w:r>
      <w:r w:rsidR="00EF7283" w:rsidRPr="00180FCF">
        <w:rPr>
          <w:lang w:val="en-US"/>
        </w:rPr>
        <w:t>r</w:t>
      </w:r>
      <w:r w:rsidR="007C1AA4" w:rsidRPr="00180FCF">
        <w:rPr>
          <w:lang w:val="en-US"/>
        </w:rPr>
        <w:t xml:space="preserve">ucture of costs by type </w:t>
      </w:r>
      <w:r w:rsidR="004F00CF" w:rsidRPr="00180FCF">
        <w:rPr>
          <w:lang w:val="en-US"/>
        </w:rPr>
        <w:t>in</w:t>
      </w:r>
      <w:r w:rsidR="00180FCF" w:rsidRPr="00180FCF">
        <w:rPr>
          <w:lang w:val="en-US"/>
        </w:rPr>
        <w:t xml:space="preserve"> 2025</w:t>
      </w:r>
    </w:p>
    <w:p w14:paraId="38759112" w14:textId="74189CCA" w:rsidR="007D530C" w:rsidRDefault="007D530C" w:rsidP="00F50852">
      <w:pPr>
        <w:pStyle w:val="LID"/>
        <w:contextualSpacing/>
        <w:rPr>
          <w:lang w:val="en-US"/>
        </w:rPr>
      </w:pPr>
    </w:p>
    <w:p w14:paraId="5ABCD768" w14:textId="45623E9A" w:rsidR="008A0D96" w:rsidRDefault="003919D0" w:rsidP="00CA57AE">
      <w:pPr>
        <w:pStyle w:val="LID"/>
        <w:spacing w:line="288" w:lineRule="auto"/>
        <w:rPr>
          <w:b w:val="0"/>
          <w:lang w:val="en-US"/>
        </w:rPr>
      </w:pPr>
      <w:r w:rsidRPr="008576F7">
        <w:rPr>
          <w:rFonts w:eastAsia="Times New Roman" w:cs="Times New Roman"/>
          <w:lang w:val="en-US"/>
        </w:rPr>
        <w:lastRenderedPageBreak/>
        <mc:AlternateContent>
          <mc:Choice Requires="wps">
            <w:drawing>
              <wp:anchor distT="45720" distB="45720" distL="114300" distR="114300" simplePos="0" relativeHeight="251828224" behindDoc="0" locked="0" layoutInCell="1" allowOverlap="1" wp14:anchorId="1969E50A" wp14:editId="199C738D">
                <wp:simplePos x="0" y="0"/>
                <wp:positionH relativeFrom="page">
                  <wp:posOffset>5781675</wp:posOffset>
                </wp:positionH>
                <wp:positionV relativeFrom="paragraph">
                  <wp:posOffset>995045</wp:posOffset>
                </wp:positionV>
                <wp:extent cx="1605915" cy="1987550"/>
                <wp:effectExtent l="0" t="0" r="0" b="0"/>
                <wp:wrapSquare wrapText="bothSides"/>
                <wp:docPr id="19" name="Pole tekstowe 2" descr="There was an increase in investment outlays of the surveyed enterprises by 3.2% compared to  2025. Expenditures on purchases increased, while outlays on buildings and structures decreas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1987550"/>
                        </a:xfrm>
                        <a:prstGeom prst="rect">
                          <a:avLst/>
                        </a:prstGeom>
                        <a:noFill/>
                        <a:ln w="9525">
                          <a:noFill/>
                          <a:miter lim="800000"/>
                          <a:headEnd/>
                          <a:tailEnd/>
                        </a:ln>
                      </wps:spPr>
                      <wps:txbx>
                        <w:txbxContent>
                          <w:p w14:paraId="51A589C4" w14:textId="48010643" w:rsidR="00544B94" w:rsidRPr="007C5F60" w:rsidRDefault="00544B94" w:rsidP="00544B94">
                            <w:pPr>
                              <w:rPr>
                                <w:lang w:val="en-US"/>
                              </w:rPr>
                            </w:pPr>
                            <w:r w:rsidRPr="0024418A">
                              <w:rPr>
                                <w:rFonts w:eastAsia="Times New Roman" w:cs="Times New Roman"/>
                                <w:bCs/>
                                <w:color w:val="001D77"/>
                                <w:sz w:val="18"/>
                                <w:szCs w:val="18"/>
                                <w:lang w:val="en-US" w:eastAsia="pl-PL"/>
                              </w:rPr>
                              <w:t>There was a</w:t>
                            </w:r>
                            <w:r>
                              <w:rPr>
                                <w:rFonts w:eastAsia="Times New Roman" w:cs="Times New Roman"/>
                                <w:bCs/>
                                <w:color w:val="001D77"/>
                                <w:sz w:val="18"/>
                                <w:szCs w:val="18"/>
                                <w:lang w:val="en-US" w:eastAsia="pl-PL"/>
                              </w:rPr>
                              <w:t>n in</w:t>
                            </w:r>
                            <w:r w:rsidRPr="0024418A">
                              <w:rPr>
                                <w:rFonts w:eastAsia="Times New Roman" w:cs="Times New Roman"/>
                                <w:bCs/>
                                <w:color w:val="001D77"/>
                                <w:sz w:val="18"/>
                                <w:szCs w:val="18"/>
                                <w:lang w:val="en-US" w:eastAsia="pl-PL"/>
                              </w:rPr>
                              <w:t>crease in investment outlays of</w:t>
                            </w:r>
                            <w:r>
                              <w:rPr>
                                <w:rFonts w:eastAsia="Times New Roman" w:cs="Times New Roman"/>
                                <w:bCs/>
                                <w:color w:val="001D77"/>
                                <w:sz w:val="18"/>
                                <w:szCs w:val="18"/>
                                <w:lang w:val="en-US" w:eastAsia="pl-PL"/>
                              </w:rPr>
                              <w:t xml:space="preserve"> the surveyed enterprises by 3.2% compared to 2025. Expenditures on purchases increased, while outlays on buildings and structures decreased</w:t>
                            </w:r>
                          </w:p>
                          <w:p w14:paraId="26D229A3" w14:textId="5BCFE588" w:rsidR="0038321E" w:rsidRPr="007C5F60" w:rsidRDefault="0038321E" w:rsidP="0038321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9E50A" id="_x0000_s1029" type="#_x0000_t202" alt="There was an increase in investment outlays of the surveyed enterprises by 3.2% compared to  2025. Expenditures on purchases increased, while outlays on buildings and structures decreased" style="position:absolute;margin-left:455.25pt;margin-top:78.35pt;width:126.45pt;height:156.5pt;z-index:251828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" filled="f" stroked="f">
                <v:textbox>
                  <w:txbxContent>
                    <w:p w14:paraId="51A589C4" w14:textId="48010643" w:rsidR="00544B94" w:rsidRPr="007C5F60" w:rsidRDefault="00544B94" w:rsidP="00544B94">
                      <w:pPr>
                        <w:rPr>
                          <w:lang w:val="en-US"/>
                        </w:rPr>
                      </w:pPr>
                      <w:r w:rsidRPr="0024418A">
                        <w:rPr>
                          <w:rFonts w:eastAsia="Times New Roman" w:cs="Times New Roman"/>
                          <w:bCs/>
                          <w:color w:val="001D77"/>
                          <w:sz w:val="18"/>
                          <w:szCs w:val="18"/>
                          <w:lang w:val="en-US" w:eastAsia="pl-PL"/>
                        </w:rPr>
                        <w:t>There was a</w:t>
                      </w:r>
                      <w:r>
                        <w:rPr>
                          <w:rFonts w:eastAsia="Times New Roman" w:cs="Times New Roman"/>
                          <w:bCs/>
                          <w:color w:val="001D77"/>
                          <w:sz w:val="18"/>
                          <w:szCs w:val="18"/>
                          <w:lang w:val="en-US" w:eastAsia="pl-PL"/>
                        </w:rPr>
                        <w:t>n in</w:t>
                      </w:r>
                      <w:r w:rsidRPr="0024418A">
                        <w:rPr>
                          <w:rFonts w:eastAsia="Times New Roman" w:cs="Times New Roman"/>
                          <w:bCs/>
                          <w:color w:val="001D77"/>
                          <w:sz w:val="18"/>
                          <w:szCs w:val="18"/>
                          <w:lang w:val="en-US" w:eastAsia="pl-PL"/>
                        </w:rPr>
                        <w:t>crease in investment outlays of</w:t>
                      </w:r>
                      <w:r>
                        <w:rPr>
                          <w:rFonts w:eastAsia="Times New Roman" w:cs="Times New Roman"/>
                          <w:bCs/>
                          <w:color w:val="001D77"/>
                          <w:sz w:val="18"/>
                          <w:szCs w:val="18"/>
                          <w:lang w:val="en-US" w:eastAsia="pl-PL"/>
                        </w:rPr>
                        <w:t xml:space="preserve"> the surveyed enterprises by 3.2% compared to 2025. Expenditures on purchases increased, while outlays on buildings and structures decreased</w:t>
                      </w:r>
                    </w:p>
                    <w:p w14:paraId="26D229A3" w14:textId="5BCFE588" w:rsidR="0038321E" w:rsidRPr="007C5F60" w:rsidRDefault="0038321E" w:rsidP="0038321E">
                      <w:pPr>
                        <w:rPr>
                          <w:lang w:val="en-US"/>
                        </w:rPr>
                      </w:pPr>
                    </w:p>
                  </w:txbxContent>
                </v:textbox>
                <w10:wrap type="square" anchorx="page"/>
              </v:shape>
            </w:pict>
          </mc:Fallback>
        </mc:AlternateContent>
      </w:r>
      <w:r w:rsidR="000C53FB" w:rsidRPr="008576F7">
        <w:rPr>
          <w:b w:val="0"/>
          <w:lang w:val="en-US"/>
        </w:rPr>
        <w:t>5</w:t>
      </w:r>
      <w:r w:rsidR="00A83539" w:rsidRPr="008576F7">
        <w:rPr>
          <w:b w:val="0"/>
          <w:lang w:val="en-US"/>
        </w:rPr>
        <w:t>5</w:t>
      </w:r>
      <w:r w:rsidR="000C53FB" w:rsidRPr="008576F7">
        <w:rPr>
          <w:b w:val="0"/>
          <w:lang w:val="en-US"/>
        </w:rPr>
        <w:t>.</w:t>
      </w:r>
      <w:r w:rsidR="00A83539" w:rsidRPr="008576F7">
        <w:rPr>
          <w:b w:val="0"/>
          <w:lang w:val="en-US"/>
        </w:rPr>
        <w:t>0</w:t>
      </w:r>
      <w:r w:rsidR="008A0D96" w:rsidRPr="008576F7">
        <w:rPr>
          <w:b w:val="0"/>
          <w:lang w:val="en-US"/>
        </w:rPr>
        <w:t xml:space="preserve">% of the surveyed enterprises reported net revenues from sale of products, goods and materials for export in </w:t>
      </w:r>
      <w:r w:rsidR="00996AF7" w:rsidRPr="008576F7">
        <w:rPr>
          <w:b w:val="0"/>
          <w:lang w:val="en-US"/>
        </w:rPr>
        <w:t>2025</w:t>
      </w:r>
      <w:r w:rsidR="008A0D96" w:rsidRPr="008576F7">
        <w:rPr>
          <w:b w:val="0"/>
          <w:lang w:val="en-US"/>
        </w:rPr>
        <w:t xml:space="preserve"> (compared</w:t>
      </w:r>
      <w:r w:rsidR="00B76881" w:rsidRPr="008576F7">
        <w:rPr>
          <w:b w:val="0"/>
          <w:lang w:val="en-US"/>
        </w:rPr>
        <w:t xml:space="preserve"> to 5</w:t>
      </w:r>
      <w:r w:rsidR="00355824" w:rsidRPr="008576F7">
        <w:rPr>
          <w:b w:val="0"/>
          <w:lang w:val="en-US"/>
        </w:rPr>
        <w:t>4</w:t>
      </w:r>
      <w:r w:rsidR="000C53FB" w:rsidRPr="008576F7">
        <w:rPr>
          <w:b w:val="0"/>
          <w:lang w:val="en-US"/>
        </w:rPr>
        <w:t>.</w:t>
      </w:r>
      <w:r w:rsidR="00547504" w:rsidRPr="008576F7">
        <w:rPr>
          <w:b w:val="0"/>
          <w:lang w:val="en-US"/>
        </w:rPr>
        <w:t>6</w:t>
      </w:r>
      <w:r w:rsidR="008A0D96" w:rsidRPr="008576F7">
        <w:rPr>
          <w:b w:val="0"/>
          <w:lang w:val="en-US"/>
        </w:rPr>
        <w:t xml:space="preserve">% in </w:t>
      </w:r>
      <w:r w:rsidR="004739AE" w:rsidRPr="008576F7">
        <w:rPr>
          <w:rFonts w:eastAsia="Times New Roman" w:cs="Times New Roman"/>
          <w:b w:val="0"/>
          <w:lang w:val="en-US"/>
        </w:rPr>
        <w:t>2024</w:t>
      </w:r>
      <w:r w:rsidR="008A0D96" w:rsidRPr="008576F7">
        <w:rPr>
          <w:b w:val="0"/>
          <w:lang w:val="en-US"/>
        </w:rPr>
        <w:t>). The revenue</w:t>
      </w:r>
      <w:r w:rsidR="00B76881" w:rsidRPr="008576F7">
        <w:rPr>
          <w:b w:val="0"/>
          <w:lang w:val="en-US"/>
        </w:rPr>
        <w:t xml:space="preserve">s from export sales were by </w:t>
      </w:r>
      <w:r w:rsidR="00355824" w:rsidRPr="008576F7">
        <w:rPr>
          <w:b w:val="0"/>
          <w:lang w:val="en-US"/>
        </w:rPr>
        <w:t>2</w:t>
      </w:r>
      <w:r w:rsidR="000C53FB" w:rsidRPr="008576F7">
        <w:rPr>
          <w:b w:val="0"/>
          <w:lang w:val="en-US"/>
        </w:rPr>
        <w:t>.</w:t>
      </w:r>
      <w:r w:rsidR="00547504" w:rsidRPr="008576F7">
        <w:rPr>
          <w:b w:val="0"/>
          <w:lang w:val="en-US"/>
        </w:rPr>
        <w:t>3</w:t>
      </w:r>
      <w:r w:rsidR="008F0EAE" w:rsidRPr="008576F7">
        <w:rPr>
          <w:b w:val="0"/>
          <w:lang w:val="en-US"/>
        </w:rPr>
        <w:t xml:space="preserve">% </w:t>
      </w:r>
      <w:r w:rsidR="00572B59" w:rsidRPr="008576F7">
        <w:rPr>
          <w:b w:val="0"/>
          <w:lang w:val="en-US"/>
        </w:rPr>
        <w:t>higher</w:t>
      </w:r>
      <w:r w:rsidR="00F25599" w:rsidRPr="008576F7">
        <w:rPr>
          <w:b w:val="0"/>
          <w:lang w:val="en-US"/>
        </w:rPr>
        <w:t xml:space="preserve"> than a year before</w:t>
      </w:r>
      <w:r w:rsidR="008A0D96" w:rsidRPr="008576F7">
        <w:rPr>
          <w:b w:val="0"/>
          <w:lang w:val="en-US"/>
        </w:rPr>
        <w:t xml:space="preserve">. The share of export </w:t>
      </w:r>
      <w:r w:rsidR="005E2FD1" w:rsidRPr="008576F7">
        <w:rPr>
          <w:b w:val="0"/>
          <w:lang w:val="en-US"/>
        </w:rPr>
        <w:t xml:space="preserve">sales </w:t>
      </w:r>
      <w:r w:rsidR="008A0D96" w:rsidRPr="008576F7">
        <w:rPr>
          <w:b w:val="0"/>
          <w:lang w:val="en-US"/>
        </w:rPr>
        <w:t xml:space="preserve">in total </w:t>
      </w:r>
      <w:r w:rsidR="003C4884" w:rsidRPr="008576F7">
        <w:rPr>
          <w:b w:val="0"/>
          <w:lang w:val="en-US"/>
        </w:rPr>
        <w:t>sales revenues of</w:t>
      </w:r>
      <w:r w:rsidR="008A0D96" w:rsidRPr="008576F7">
        <w:rPr>
          <w:b w:val="0"/>
          <w:lang w:val="en-US"/>
        </w:rPr>
        <w:t xml:space="preserve"> all surveyed</w:t>
      </w:r>
      <w:r w:rsidR="00617B81" w:rsidRPr="008576F7">
        <w:rPr>
          <w:b w:val="0"/>
          <w:lang w:val="en-US"/>
        </w:rPr>
        <w:t xml:space="preserve"> enterpri</w:t>
      </w:r>
      <w:r w:rsidR="00B76881" w:rsidRPr="008576F7">
        <w:rPr>
          <w:b w:val="0"/>
          <w:lang w:val="en-US"/>
        </w:rPr>
        <w:t xml:space="preserve">ses </w:t>
      </w:r>
      <w:r w:rsidR="00355824" w:rsidRPr="008576F7">
        <w:rPr>
          <w:b w:val="0"/>
          <w:lang w:val="en-US"/>
        </w:rPr>
        <w:t>amou</w:t>
      </w:r>
      <w:r w:rsidR="002A184F">
        <w:rPr>
          <w:b w:val="0"/>
          <w:lang w:val="en-US"/>
        </w:rPr>
        <w:t>n</w:t>
      </w:r>
      <w:r w:rsidR="00355824" w:rsidRPr="008576F7">
        <w:rPr>
          <w:b w:val="0"/>
          <w:lang w:val="en-US"/>
        </w:rPr>
        <w:t>ted</w:t>
      </w:r>
      <w:r w:rsidR="000C53FB" w:rsidRPr="008576F7">
        <w:rPr>
          <w:b w:val="0"/>
          <w:lang w:val="en-US"/>
        </w:rPr>
        <w:t xml:space="preserve"> </w:t>
      </w:r>
      <w:r w:rsidR="003D1555" w:rsidRPr="008576F7">
        <w:rPr>
          <w:b w:val="0"/>
          <w:lang w:val="en-US"/>
        </w:rPr>
        <w:t xml:space="preserve">to </w:t>
      </w:r>
      <w:r w:rsidR="000C53FB" w:rsidRPr="008576F7">
        <w:rPr>
          <w:b w:val="0"/>
          <w:lang w:val="en-US"/>
        </w:rPr>
        <w:t>2</w:t>
      </w:r>
      <w:r w:rsidR="00996AF7" w:rsidRPr="008576F7">
        <w:rPr>
          <w:b w:val="0"/>
          <w:lang w:val="en-US"/>
        </w:rPr>
        <w:t>3</w:t>
      </w:r>
      <w:r w:rsidR="000C53FB" w:rsidRPr="008576F7">
        <w:rPr>
          <w:b w:val="0"/>
          <w:lang w:val="en-US"/>
        </w:rPr>
        <w:t>.</w:t>
      </w:r>
      <w:r w:rsidR="00547504" w:rsidRPr="008576F7">
        <w:rPr>
          <w:b w:val="0"/>
          <w:lang w:val="en-US"/>
        </w:rPr>
        <w:t>3</w:t>
      </w:r>
      <w:r w:rsidR="000C53FB" w:rsidRPr="008576F7">
        <w:rPr>
          <w:b w:val="0"/>
          <w:lang w:val="en-US"/>
        </w:rPr>
        <w:t>%</w:t>
      </w:r>
      <w:r w:rsidR="00547504" w:rsidRPr="008576F7">
        <w:rPr>
          <w:b w:val="0"/>
          <w:lang w:val="en-US"/>
        </w:rPr>
        <w:t xml:space="preserve"> (23.4% in the previous year)</w:t>
      </w:r>
      <w:r w:rsidR="008A0D96" w:rsidRPr="008576F7">
        <w:rPr>
          <w:b w:val="0"/>
          <w:lang w:val="en-US"/>
        </w:rPr>
        <w:t>.</w:t>
      </w:r>
      <w:r w:rsidR="00D927A4" w:rsidRPr="008576F7">
        <w:rPr>
          <w:b w:val="0"/>
          <w:lang w:val="en-US"/>
        </w:rPr>
        <w:t xml:space="preserve"> The share </w:t>
      </w:r>
      <w:r w:rsidR="008A0D96" w:rsidRPr="008576F7">
        <w:rPr>
          <w:b w:val="0"/>
          <w:lang w:val="en-US"/>
        </w:rPr>
        <w:t>of the exporting enterprises</w:t>
      </w:r>
      <w:r w:rsidR="00C93522" w:rsidRPr="008576F7">
        <w:rPr>
          <w:b w:val="0"/>
          <w:lang w:val="en-US"/>
        </w:rPr>
        <w:t xml:space="preserve"> which</w:t>
      </w:r>
      <w:r w:rsidR="008A0D96" w:rsidRPr="008576F7">
        <w:rPr>
          <w:b w:val="0"/>
          <w:lang w:val="en-US"/>
        </w:rPr>
        <w:t xml:space="preserve"> repor</w:t>
      </w:r>
      <w:r w:rsidR="00617B81" w:rsidRPr="008576F7">
        <w:rPr>
          <w:b w:val="0"/>
          <w:lang w:val="en-US"/>
        </w:rPr>
        <w:t xml:space="preserve">ted net profit </w:t>
      </w:r>
      <w:r w:rsidR="00B76881" w:rsidRPr="008576F7">
        <w:rPr>
          <w:b w:val="0"/>
          <w:lang w:val="en-US"/>
        </w:rPr>
        <w:t xml:space="preserve">was </w:t>
      </w:r>
      <w:r w:rsidR="00572B59" w:rsidRPr="008576F7">
        <w:rPr>
          <w:b w:val="0"/>
          <w:lang w:val="en-US"/>
        </w:rPr>
        <w:t>7</w:t>
      </w:r>
      <w:r w:rsidR="00547504" w:rsidRPr="008576F7">
        <w:rPr>
          <w:b w:val="0"/>
          <w:lang w:val="en-US"/>
        </w:rPr>
        <w:t>7</w:t>
      </w:r>
      <w:r w:rsidR="00572B59" w:rsidRPr="008576F7">
        <w:rPr>
          <w:b w:val="0"/>
          <w:lang w:val="en-US"/>
        </w:rPr>
        <w:t>.</w:t>
      </w:r>
      <w:r w:rsidR="00547504" w:rsidRPr="008576F7">
        <w:rPr>
          <w:b w:val="0"/>
          <w:lang w:val="en-US"/>
        </w:rPr>
        <w:t>5</w:t>
      </w:r>
      <w:r w:rsidR="00C93522" w:rsidRPr="008576F7">
        <w:rPr>
          <w:b w:val="0"/>
          <w:lang w:val="en-US"/>
        </w:rPr>
        <w:t xml:space="preserve">% </w:t>
      </w:r>
      <w:r w:rsidR="00B76881" w:rsidRPr="008576F7">
        <w:rPr>
          <w:b w:val="0"/>
          <w:lang w:val="en-US"/>
        </w:rPr>
        <w:t xml:space="preserve">(compared to </w:t>
      </w:r>
      <w:r w:rsidR="00572B59" w:rsidRPr="008576F7">
        <w:rPr>
          <w:b w:val="0"/>
          <w:lang w:val="en-US"/>
        </w:rPr>
        <w:t>7</w:t>
      </w:r>
      <w:r w:rsidR="00547504" w:rsidRPr="008576F7">
        <w:rPr>
          <w:b w:val="0"/>
          <w:lang w:val="en-US"/>
        </w:rPr>
        <w:t>6</w:t>
      </w:r>
      <w:r w:rsidR="008D2D65" w:rsidRPr="008576F7">
        <w:rPr>
          <w:b w:val="0"/>
          <w:lang w:val="en-US"/>
        </w:rPr>
        <w:t>.</w:t>
      </w:r>
      <w:r w:rsidR="00355824" w:rsidRPr="008576F7">
        <w:rPr>
          <w:b w:val="0"/>
          <w:lang w:val="en-US"/>
        </w:rPr>
        <w:t>4</w:t>
      </w:r>
      <w:r w:rsidR="008A0D96" w:rsidRPr="008576F7">
        <w:rPr>
          <w:b w:val="0"/>
          <w:lang w:val="en-US"/>
        </w:rPr>
        <w:t xml:space="preserve">% </w:t>
      </w:r>
      <w:r w:rsidR="00206ACB" w:rsidRPr="008576F7">
        <w:rPr>
          <w:b w:val="0"/>
          <w:lang w:val="en-US"/>
        </w:rPr>
        <w:t xml:space="preserve">a year </w:t>
      </w:r>
      <w:r w:rsidR="002A184F">
        <w:rPr>
          <w:b w:val="0"/>
          <w:lang w:val="en-US"/>
        </w:rPr>
        <w:t>before</w:t>
      </w:r>
      <w:r w:rsidR="008A0D96" w:rsidRPr="008576F7">
        <w:rPr>
          <w:b w:val="0"/>
          <w:lang w:val="en-US"/>
        </w:rPr>
        <w:t>).</w:t>
      </w:r>
      <w:r w:rsidR="00DD2A25" w:rsidRPr="008576F7">
        <w:rPr>
          <w:b w:val="0"/>
          <w:lang w:val="en-US"/>
        </w:rPr>
        <w:t xml:space="preserve"> </w:t>
      </w:r>
      <w:r w:rsidR="008225AD" w:rsidRPr="008576F7">
        <w:rPr>
          <w:b w:val="0"/>
          <w:lang w:val="en-US"/>
        </w:rPr>
        <w:t xml:space="preserve">The </w:t>
      </w:r>
      <w:r w:rsidR="008A0D96" w:rsidRPr="008576F7">
        <w:rPr>
          <w:b w:val="0"/>
          <w:lang w:val="en-US"/>
        </w:rPr>
        <w:t xml:space="preserve">basic economic and financial relations </w:t>
      </w:r>
      <w:r w:rsidR="0060713B" w:rsidRPr="008576F7">
        <w:rPr>
          <w:b w:val="0"/>
          <w:lang w:val="en-US"/>
        </w:rPr>
        <w:t>of</w:t>
      </w:r>
      <w:r w:rsidR="00194B3B" w:rsidRPr="008576F7">
        <w:rPr>
          <w:b w:val="0"/>
          <w:lang w:val="en-US"/>
        </w:rPr>
        <w:t xml:space="preserve"> the exporting enterprises</w:t>
      </w:r>
      <w:r w:rsidR="008225AD" w:rsidRPr="008576F7">
        <w:rPr>
          <w:b w:val="0"/>
          <w:lang w:val="en-US"/>
        </w:rPr>
        <w:t xml:space="preserve"> </w:t>
      </w:r>
      <w:r w:rsidR="0054431D" w:rsidRPr="008576F7">
        <w:rPr>
          <w:b w:val="0"/>
          <w:lang w:val="en-US"/>
        </w:rPr>
        <w:t>improved</w:t>
      </w:r>
      <w:r w:rsidR="00BA40FE" w:rsidRPr="008576F7">
        <w:rPr>
          <w:b w:val="0"/>
          <w:lang w:val="en-US"/>
        </w:rPr>
        <w:t>.</w:t>
      </w:r>
    </w:p>
    <w:p w14:paraId="16EF504F" w14:textId="352213BC" w:rsidR="00544B94" w:rsidRPr="0038321E" w:rsidRDefault="00544B94" w:rsidP="00544B94">
      <w:pPr>
        <w:spacing w:line="288" w:lineRule="auto"/>
        <w:rPr>
          <w:rFonts w:eastAsia="Times New Roman" w:cs="Times New Roman"/>
          <w:szCs w:val="19"/>
          <w:lang w:val="en-US" w:eastAsia="pl-PL"/>
        </w:rPr>
      </w:pPr>
      <w:r w:rsidRPr="0038321E">
        <w:rPr>
          <w:rFonts w:eastAsia="Times New Roman" w:cs="Times New Roman"/>
          <w:szCs w:val="19"/>
          <w:lang w:val="en-US" w:eastAsia="pl-PL"/>
        </w:rPr>
        <w:t xml:space="preserve">In </w:t>
      </w:r>
      <w:r w:rsidRPr="00D278DF">
        <w:rPr>
          <w:rFonts w:eastAsia="Times New Roman" w:cs="Times New Roman"/>
          <w:szCs w:val="19"/>
          <w:lang w:val="en-US" w:eastAsia="pl-PL"/>
        </w:rPr>
        <w:t>2025 investment</w:t>
      </w:r>
      <w:r w:rsidRPr="0038321E">
        <w:rPr>
          <w:rFonts w:eastAsia="Times New Roman" w:cs="Times New Roman"/>
          <w:szCs w:val="19"/>
          <w:lang w:val="en-US" w:eastAsia="pl-PL"/>
        </w:rPr>
        <w:t xml:space="preserve"> outlays of the surveyed </w:t>
      </w:r>
      <w:r w:rsidRPr="00B35A79">
        <w:rPr>
          <w:rFonts w:eastAsia="Times New Roman" w:cs="Times New Roman"/>
          <w:szCs w:val="19"/>
          <w:lang w:val="en-US" w:eastAsia="pl-PL"/>
        </w:rPr>
        <w:t xml:space="preserve">enterprises amounted to 217.6 bn PLN and were (in constant prices) by 3.2% higher than in the previous year (when a decrease by 7.8% was recorded). </w:t>
      </w:r>
      <w:r w:rsidR="00512EBD">
        <w:rPr>
          <w:rFonts w:eastAsia="Times New Roman" w:cs="Times New Roman"/>
          <w:szCs w:val="19"/>
          <w:lang w:val="en-US" w:eastAsia="pl-PL"/>
        </w:rPr>
        <w:t>The e</w:t>
      </w:r>
      <w:r w:rsidRPr="00B35A79">
        <w:rPr>
          <w:rFonts w:eastAsia="Times New Roman" w:cs="Times New Roman"/>
          <w:szCs w:val="19"/>
          <w:lang w:val="en-US" w:eastAsia="pl-PL"/>
        </w:rPr>
        <w:t>xpenditures</w:t>
      </w:r>
      <w:r w:rsidR="00BE633E">
        <w:rPr>
          <w:rStyle w:val="Odwoanieprzypisudolnego"/>
          <w:rFonts w:eastAsia="Times New Roman" w:cs="Times New Roman"/>
          <w:szCs w:val="19"/>
          <w:lang w:val="en-US" w:eastAsia="pl-PL"/>
        </w:rPr>
        <w:footnoteReference w:id="1"/>
      </w:r>
      <w:r w:rsidRPr="0038321E">
        <w:rPr>
          <w:rFonts w:eastAsia="Times New Roman" w:cs="Times New Roman"/>
          <w:szCs w:val="19"/>
          <w:lang w:val="en-US" w:eastAsia="pl-PL"/>
        </w:rPr>
        <w:t xml:space="preserve"> on purchases </w:t>
      </w:r>
      <w:r w:rsidRPr="00B35A79">
        <w:rPr>
          <w:rFonts w:eastAsia="Times New Roman" w:cs="Times New Roman"/>
          <w:szCs w:val="19"/>
          <w:lang w:val="en-US" w:eastAsia="pl-PL"/>
        </w:rPr>
        <w:t>increased by 5.4% (in</w:t>
      </w:r>
      <w:r w:rsidRPr="0038321E">
        <w:rPr>
          <w:rFonts w:eastAsia="Times New Roman" w:cs="Times New Roman"/>
          <w:szCs w:val="19"/>
          <w:lang w:val="en-US" w:eastAsia="pl-PL"/>
        </w:rPr>
        <w:t xml:space="preserve"> the previous year </w:t>
      </w:r>
      <w:r w:rsidRPr="00B35A79">
        <w:rPr>
          <w:rFonts w:eastAsia="Times New Roman" w:cs="Times New Roman"/>
          <w:szCs w:val="19"/>
          <w:lang w:val="en-US" w:eastAsia="pl-PL"/>
        </w:rPr>
        <w:t>they decreased by 4.3%), including</w:t>
      </w:r>
      <w:r>
        <w:rPr>
          <w:rFonts w:eastAsia="Times New Roman" w:cs="Times New Roman"/>
          <w:szCs w:val="19"/>
          <w:lang w:val="en-US" w:eastAsia="pl-PL"/>
        </w:rPr>
        <w:t xml:space="preserve"> increase of</w:t>
      </w:r>
      <w:r w:rsidRPr="0038321E">
        <w:rPr>
          <w:rFonts w:eastAsia="Times New Roman" w:cs="Times New Roman"/>
          <w:szCs w:val="19"/>
          <w:lang w:val="en-US" w:eastAsia="pl-PL"/>
        </w:rPr>
        <w:t xml:space="preserve"> outlays on machinery, technical equipment and tools </w:t>
      </w:r>
      <w:r w:rsidRPr="00B35A79">
        <w:rPr>
          <w:rFonts w:eastAsia="Times New Roman" w:cs="Times New Roman"/>
          <w:szCs w:val="19"/>
          <w:lang w:val="en-US" w:eastAsia="pl-PL"/>
        </w:rPr>
        <w:t>by 4.1</w:t>
      </w:r>
      <w:r w:rsidRPr="00CD3394">
        <w:rPr>
          <w:rFonts w:eastAsia="Times New Roman" w:cs="Times New Roman"/>
          <w:szCs w:val="19"/>
          <w:lang w:val="en-US" w:eastAsia="pl-PL"/>
        </w:rPr>
        <w:t xml:space="preserve">% (in comparison to the decrease in the previous year by 4.9%) as well as increase of outlays on transport equipment – by 9.4% (in comparison to the decrease in the previous year </w:t>
      </w:r>
      <w:r w:rsidR="002A184F">
        <w:rPr>
          <w:rFonts w:eastAsia="Times New Roman" w:cs="Times New Roman"/>
          <w:szCs w:val="19"/>
          <w:lang w:val="en-US" w:eastAsia="pl-PL"/>
        </w:rPr>
        <w:t>by</w:t>
      </w:r>
      <w:r w:rsidRPr="00CD3394">
        <w:rPr>
          <w:rFonts w:eastAsia="Times New Roman" w:cs="Times New Roman"/>
          <w:szCs w:val="19"/>
          <w:lang w:val="en-US" w:eastAsia="pl-PL"/>
        </w:rPr>
        <w:t xml:space="preserve"> 2.4%).</w:t>
      </w:r>
      <w:r w:rsidR="00512EBD" w:rsidRPr="00512EBD">
        <w:rPr>
          <w:rFonts w:eastAsia="Times New Roman" w:cs="Times New Roman"/>
          <w:szCs w:val="19"/>
          <w:lang w:val="en-US" w:eastAsia="pl-PL"/>
        </w:rPr>
        <w:t xml:space="preserve"> </w:t>
      </w:r>
      <w:r w:rsidR="00512EBD">
        <w:rPr>
          <w:rFonts w:eastAsia="Times New Roman" w:cs="Times New Roman"/>
          <w:szCs w:val="19"/>
          <w:lang w:val="en-US" w:eastAsia="pl-PL"/>
        </w:rPr>
        <w:t>E</w:t>
      </w:r>
      <w:r w:rsidR="00512EBD" w:rsidRPr="00B35A79">
        <w:rPr>
          <w:rFonts w:eastAsia="Times New Roman" w:cs="Times New Roman"/>
          <w:szCs w:val="19"/>
          <w:lang w:val="en-US" w:eastAsia="pl-PL"/>
        </w:rPr>
        <w:t>xpenditures on buildings and structures decreased by 0.3% (in the previous year they decreased by 13.4%).</w:t>
      </w:r>
    </w:p>
    <w:p w14:paraId="75E8AD47" w14:textId="7D426DB8" w:rsidR="00544B94" w:rsidRPr="0038321E" w:rsidRDefault="00544B94" w:rsidP="00544B94">
      <w:pPr>
        <w:spacing w:line="288" w:lineRule="auto"/>
        <w:rPr>
          <w:rFonts w:eastAsia="Times New Roman" w:cs="Times New Roman"/>
          <w:szCs w:val="19"/>
          <w:lang w:val="en-US" w:eastAsia="pl-PL"/>
        </w:rPr>
      </w:pPr>
      <w:r w:rsidRPr="00686EF2">
        <w:rPr>
          <w:rFonts w:eastAsia="Times New Roman" w:cs="Times New Roman"/>
          <w:szCs w:val="19"/>
          <w:lang w:val="en-US" w:eastAsia="pl-PL"/>
        </w:rPr>
        <w:t xml:space="preserve">The increase in investment outlays (in current prices) was noticed </w:t>
      </w:r>
      <w:proofErr w:type="spellStart"/>
      <w:r w:rsidRPr="00686EF2">
        <w:rPr>
          <w:rFonts w:eastAsia="Times New Roman" w:cs="Times New Roman"/>
          <w:szCs w:val="19"/>
          <w:lang w:val="en-US" w:eastAsia="pl-PL"/>
        </w:rPr>
        <w:t>i.a.</w:t>
      </w:r>
      <w:proofErr w:type="spellEnd"/>
      <w:r w:rsidRPr="00686EF2">
        <w:rPr>
          <w:rFonts w:eastAsia="Times New Roman" w:cs="Times New Roman"/>
          <w:szCs w:val="19"/>
          <w:lang w:val="en-US" w:eastAsia="pl-PL"/>
        </w:rPr>
        <w:t xml:space="preserve"> information and communication (by 32.4%, </w:t>
      </w:r>
      <w:r w:rsidRPr="00160B4B">
        <w:rPr>
          <w:rFonts w:eastAsia="Times New Roman" w:cs="Times New Roman"/>
          <w:szCs w:val="19"/>
          <w:lang w:val="en-US" w:eastAsia="pl-PL"/>
        </w:rPr>
        <w:t>compared to the decrease by 10.7%), in construction (by 30.3%, compared to the increase by 23.8% the</w:t>
      </w:r>
      <w:r w:rsidRPr="0038321E">
        <w:rPr>
          <w:rFonts w:eastAsia="Times New Roman" w:cs="Times New Roman"/>
          <w:szCs w:val="19"/>
          <w:lang w:val="en-US" w:eastAsia="pl-PL"/>
        </w:rPr>
        <w:t xml:space="preserve"> year earlier),</w:t>
      </w:r>
      <w:r w:rsidRPr="000A1248">
        <w:rPr>
          <w:rFonts w:eastAsia="Times New Roman" w:cs="Times New Roman"/>
          <w:szCs w:val="19"/>
          <w:lang w:val="en-US" w:eastAsia="pl-PL"/>
        </w:rPr>
        <w:t xml:space="preserve"> </w:t>
      </w:r>
      <w:r w:rsidRPr="0038321E">
        <w:rPr>
          <w:rFonts w:eastAsia="Times New Roman" w:cs="Times New Roman"/>
          <w:szCs w:val="19"/>
          <w:lang w:val="en-US" w:eastAsia="pl-PL"/>
        </w:rPr>
        <w:t xml:space="preserve">water supply; sewerage, waste </w:t>
      </w:r>
      <w:r w:rsidRPr="0009624E">
        <w:rPr>
          <w:rFonts w:eastAsia="Times New Roman" w:cs="Times New Roman"/>
          <w:szCs w:val="19"/>
          <w:lang w:val="en-US" w:eastAsia="pl-PL"/>
        </w:rPr>
        <w:t>management and remediation activities (by 17.3%, compared to the decrease by 18.2%),</w:t>
      </w:r>
      <w:r>
        <w:rPr>
          <w:rFonts w:eastAsia="Times New Roman" w:cs="Times New Roman"/>
          <w:szCs w:val="19"/>
          <w:lang w:val="en-US" w:eastAsia="pl-PL"/>
        </w:rPr>
        <w:t xml:space="preserve"> </w:t>
      </w:r>
      <w:r w:rsidRPr="0009624E">
        <w:rPr>
          <w:rFonts w:eastAsia="Times New Roman" w:cs="Times New Roman"/>
          <w:szCs w:val="19"/>
          <w:lang w:val="en-US" w:eastAsia="pl-PL"/>
        </w:rPr>
        <w:t>electricity, gas, steam and air conditioning supply (by 12.0%, compared to the  decrease by 7.4%), transportation and storage (by 11.6%, compared to the decrease by 21.8%),</w:t>
      </w:r>
      <w:r w:rsidRPr="000A1248">
        <w:rPr>
          <w:rFonts w:eastAsia="Times New Roman" w:cs="Times New Roman"/>
          <w:szCs w:val="19"/>
          <w:lang w:val="en-US" w:eastAsia="pl-PL"/>
        </w:rPr>
        <w:t xml:space="preserve"> </w:t>
      </w:r>
      <w:r w:rsidRPr="0038321E">
        <w:rPr>
          <w:rFonts w:eastAsia="Times New Roman" w:cs="Times New Roman"/>
          <w:szCs w:val="19"/>
          <w:lang w:val="en-US" w:eastAsia="pl-PL"/>
        </w:rPr>
        <w:t>administrative and support service activit</w:t>
      </w:r>
      <w:r w:rsidRPr="0009624E">
        <w:rPr>
          <w:rFonts w:eastAsia="Times New Roman" w:cs="Times New Roman"/>
          <w:szCs w:val="19"/>
          <w:lang w:val="en-US" w:eastAsia="pl-PL"/>
        </w:rPr>
        <w:t xml:space="preserve">ies (by 9.6%, compared to the increase by 11.6%) and trade; repair of motor vehicles (by 6.5%, compared to the increase by 0.3%). The decrease in investment outlays was recorded </w:t>
      </w:r>
      <w:proofErr w:type="spellStart"/>
      <w:r w:rsidRPr="0009624E">
        <w:rPr>
          <w:rFonts w:eastAsia="Times New Roman" w:cs="Times New Roman"/>
          <w:szCs w:val="19"/>
          <w:lang w:val="en-US" w:eastAsia="pl-PL"/>
        </w:rPr>
        <w:t>i.a.</w:t>
      </w:r>
      <w:proofErr w:type="spellEnd"/>
      <w:r w:rsidRPr="0009624E">
        <w:rPr>
          <w:rFonts w:eastAsia="Times New Roman" w:cs="Times New Roman"/>
          <w:szCs w:val="19"/>
          <w:lang w:val="en-US" w:eastAsia="pl-PL"/>
        </w:rPr>
        <w:t xml:space="preserve"> in mining and quarrying (by 14.9%, compared to the increase by 3.7%), real estate activities (by 6.0%, compared to the decrease by 26.9%), manufacturing (by 5.7%, compared to the decrease by 8.3%) and accommodation and catering (by 1.6%, compared</w:t>
      </w:r>
      <w:r w:rsidRPr="0038321E">
        <w:rPr>
          <w:rFonts w:eastAsia="Times New Roman" w:cs="Times New Roman"/>
          <w:szCs w:val="19"/>
          <w:lang w:val="en-US" w:eastAsia="pl-PL"/>
        </w:rPr>
        <w:t xml:space="preserve"> to the </w:t>
      </w:r>
      <w:r>
        <w:rPr>
          <w:rFonts w:eastAsia="Times New Roman" w:cs="Times New Roman"/>
          <w:szCs w:val="19"/>
          <w:lang w:val="en-US" w:eastAsia="pl-PL"/>
        </w:rPr>
        <w:t>de</w:t>
      </w:r>
      <w:r w:rsidRPr="0038321E">
        <w:rPr>
          <w:rFonts w:eastAsia="Times New Roman" w:cs="Times New Roman"/>
          <w:szCs w:val="19"/>
          <w:lang w:val="en-US" w:eastAsia="pl-PL"/>
        </w:rPr>
        <w:t xml:space="preserve">crease </w:t>
      </w:r>
      <w:r w:rsidRPr="0009624E">
        <w:rPr>
          <w:rFonts w:eastAsia="Times New Roman" w:cs="Times New Roman"/>
          <w:szCs w:val="19"/>
          <w:lang w:val="en-US" w:eastAsia="pl-PL"/>
        </w:rPr>
        <w:t>by 1.1%).</w:t>
      </w:r>
      <w:r w:rsidRPr="0038321E">
        <w:rPr>
          <w:rFonts w:eastAsia="Times New Roman" w:cs="Times New Roman"/>
          <w:szCs w:val="19"/>
          <w:lang w:val="en-US" w:eastAsia="pl-PL"/>
        </w:rPr>
        <w:t xml:space="preserve"> </w:t>
      </w:r>
    </w:p>
    <w:p w14:paraId="3FC13668" w14:textId="2BA90D71" w:rsidR="00F25ABB" w:rsidRDefault="00741E46" w:rsidP="003D74B5">
      <w:pPr>
        <w:pStyle w:val="LID"/>
        <w:spacing w:before="360" w:line="240" w:lineRule="auto"/>
        <w:ind w:left="709" w:hanging="709"/>
        <w:contextualSpacing/>
        <w:rPr>
          <w:lang w:val="en-US"/>
        </w:rPr>
      </w:pPr>
      <w:r>
        <w:rPr>
          <w:lang w:val="en-US"/>
        </w:rPr>
        <w:drawing>
          <wp:anchor distT="0" distB="0" distL="114300" distR="114300" simplePos="0" relativeHeight="251831296" behindDoc="0" locked="0" layoutInCell="1" allowOverlap="1" wp14:anchorId="20616118" wp14:editId="427E1A09">
            <wp:simplePos x="0" y="0"/>
            <wp:positionH relativeFrom="margin">
              <wp:posOffset>19050</wp:posOffset>
            </wp:positionH>
            <wp:positionV relativeFrom="paragraph">
              <wp:posOffset>527685</wp:posOffset>
            </wp:positionV>
            <wp:extent cx="5010785" cy="3430905"/>
            <wp:effectExtent l="0" t="0" r="0" b="0"/>
            <wp:wrapTopAndBottom/>
            <wp:docPr id="17" name="Obraz 17" descr="Line and column chart. The data for Chart 4 can be found in the XLSX file titled IS-06-tabl-20260323- Financial results of non-financial enterprises in 2025 Charts in XLSX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785" cy="3430905"/>
                    </a:xfrm>
                    <a:prstGeom prst="rect">
                      <a:avLst/>
                    </a:prstGeom>
                    <a:noFill/>
                  </pic:spPr>
                </pic:pic>
              </a:graphicData>
            </a:graphic>
            <wp14:sizeRelH relativeFrom="margin">
              <wp14:pctWidth>0</wp14:pctWidth>
            </wp14:sizeRelH>
            <wp14:sizeRelV relativeFrom="margin">
              <wp14:pctHeight>0</wp14:pctHeight>
            </wp14:sizeRelV>
          </wp:anchor>
        </w:drawing>
      </w:r>
      <w:r w:rsidR="00AB344B" w:rsidRPr="00A629D0">
        <w:rPr>
          <w:lang w:val="en-US"/>
        </w:rPr>
        <w:t>Chart 4. I</w:t>
      </w:r>
      <w:r w:rsidR="00F25ABB" w:rsidRPr="00A629D0">
        <w:rPr>
          <w:lang w:val="en-US"/>
        </w:rPr>
        <w:t xml:space="preserve">nvestment outlays </w:t>
      </w:r>
      <w:r w:rsidR="00AB344B" w:rsidRPr="00A629D0">
        <w:rPr>
          <w:lang w:val="en-US"/>
        </w:rPr>
        <w:t>–</w:t>
      </w:r>
      <w:r w:rsidR="00F25ABB" w:rsidRPr="00A629D0">
        <w:rPr>
          <w:lang w:val="en-US"/>
        </w:rPr>
        <w:t xml:space="preserve"> </w:t>
      </w:r>
      <w:r w:rsidR="00AB344B" w:rsidRPr="00A629D0">
        <w:rPr>
          <w:lang w:val="en-US"/>
        </w:rPr>
        <w:t xml:space="preserve">change </w:t>
      </w:r>
      <w:r w:rsidR="00F25ABB" w:rsidRPr="00A629D0">
        <w:rPr>
          <w:lang w:val="en-US"/>
        </w:rPr>
        <w:t>compared to the corresponding period of the previous year</w:t>
      </w:r>
    </w:p>
    <w:p w14:paraId="188758F0" w14:textId="130B181F" w:rsidR="00864BC0" w:rsidRPr="00A629D0" w:rsidRDefault="00864BC0" w:rsidP="00F25ABB">
      <w:pPr>
        <w:pStyle w:val="LID"/>
        <w:ind w:left="709" w:hanging="709"/>
        <w:contextualSpacing/>
        <w:rPr>
          <w:lang w:val="en-US"/>
        </w:rPr>
      </w:pPr>
    </w:p>
    <w:p w14:paraId="7CEF66C8" w14:textId="6E6AA768" w:rsidR="00741E46" w:rsidRDefault="00741E46" w:rsidP="00CA57AE">
      <w:pPr>
        <w:pStyle w:val="LID"/>
        <w:spacing w:line="288" w:lineRule="auto"/>
        <w:contextualSpacing/>
        <w:rPr>
          <w:b w:val="0"/>
          <w:lang w:val="en-US"/>
        </w:rPr>
      </w:pPr>
    </w:p>
    <w:p w14:paraId="7250F81D" w14:textId="10DCAD42" w:rsidR="00F16DA1" w:rsidRDefault="00BB430A" w:rsidP="00CA57AE">
      <w:pPr>
        <w:pStyle w:val="LID"/>
        <w:spacing w:line="288" w:lineRule="auto"/>
        <w:contextualSpacing/>
        <w:rPr>
          <w:b w:val="0"/>
          <w:lang w:val="en-US"/>
        </w:rPr>
      </w:pPr>
      <w:r>
        <w:rPr>
          <w:b w:val="0"/>
          <w:lang w:val="en-US"/>
        </w:rPr>
        <w:lastRenderedPageBreak/>
        <w:t xml:space="preserve">The data refer to </w:t>
      </w:r>
      <w:r w:rsidRPr="008F5A20">
        <w:rPr>
          <w:b w:val="0"/>
          <w:lang w:val="en-US"/>
        </w:rPr>
        <w:t>1</w:t>
      </w:r>
      <w:r w:rsidR="00572B59" w:rsidRPr="008F5A20">
        <w:rPr>
          <w:b w:val="0"/>
          <w:lang w:val="en-US"/>
        </w:rPr>
        <w:t>7</w:t>
      </w:r>
      <w:r w:rsidR="00CD04AE" w:rsidRPr="008F5A20">
        <w:rPr>
          <w:b w:val="0"/>
          <w:lang w:val="en-US"/>
        </w:rPr>
        <w:t xml:space="preserve"> </w:t>
      </w:r>
      <w:r w:rsidR="00A83539">
        <w:rPr>
          <w:b w:val="0"/>
          <w:lang w:val="en-US"/>
        </w:rPr>
        <w:t>903</w:t>
      </w:r>
      <w:r w:rsidR="00F16DA1" w:rsidRPr="008C18B8">
        <w:rPr>
          <w:b w:val="0"/>
          <w:lang w:val="en-US"/>
        </w:rPr>
        <w:t xml:space="preserve"> non-financial enterprises</w:t>
      </w:r>
      <w:r w:rsidR="00F65D27">
        <w:rPr>
          <w:b w:val="0"/>
          <w:lang w:val="en-US"/>
        </w:rPr>
        <w:t xml:space="preserve"> (legal units</w:t>
      </w:r>
      <w:r w:rsidR="00F16DA1">
        <w:rPr>
          <w:b w:val="0"/>
          <w:lang w:val="en-US"/>
        </w:rPr>
        <w:t>) with</w:t>
      </w:r>
      <w:r w:rsidR="00F16DA1" w:rsidRPr="008C18B8">
        <w:rPr>
          <w:b w:val="0"/>
          <w:lang w:val="en-US"/>
        </w:rPr>
        <w:t xml:space="preserve"> 50 and more </w:t>
      </w:r>
      <w:r w:rsidR="00F16DA1">
        <w:rPr>
          <w:b w:val="0"/>
          <w:lang w:val="en-US"/>
        </w:rPr>
        <w:t>persons employed keeping accounting ledgers.</w:t>
      </w:r>
      <w:r w:rsidR="00F16DA1" w:rsidRPr="008C18B8">
        <w:rPr>
          <w:b w:val="0"/>
          <w:lang w:val="en-US"/>
        </w:rPr>
        <w:t xml:space="preserve"> The data do not include agriculture, forestry, hunting and fish</w:t>
      </w:r>
      <w:r w:rsidR="00F16DA1">
        <w:rPr>
          <w:b w:val="0"/>
          <w:lang w:val="en-US"/>
        </w:rPr>
        <w:t xml:space="preserve">ing (section A according to NACE </w:t>
      </w:r>
      <w:r w:rsidR="006430E8">
        <w:rPr>
          <w:b w:val="0"/>
          <w:lang w:val="en-US"/>
        </w:rPr>
        <w:t>R</w:t>
      </w:r>
      <w:r w:rsidR="00F16DA1">
        <w:rPr>
          <w:b w:val="0"/>
          <w:lang w:val="en-US"/>
        </w:rPr>
        <w:t>ev. 2</w:t>
      </w:r>
      <w:r w:rsidR="00F16DA1" w:rsidRPr="008C18B8">
        <w:rPr>
          <w:b w:val="0"/>
          <w:lang w:val="en-US"/>
        </w:rPr>
        <w:t>); financial and insurance activities (</w:t>
      </w:r>
      <w:r w:rsidR="00F16DA1">
        <w:rPr>
          <w:b w:val="0"/>
          <w:lang w:val="en-US"/>
        </w:rPr>
        <w:t xml:space="preserve">section K according to NACE </w:t>
      </w:r>
      <w:r w:rsidR="006430E8">
        <w:rPr>
          <w:b w:val="0"/>
          <w:lang w:val="en-US"/>
        </w:rPr>
        <w:t>R</w:t>
      </w:r>
      <w:r w:rsidR="00F16DA1">
        <w:rPr>
          <w:b w:val="0"/>
          <w:lang w:val="en-US"/>
        </w:rPr>
        <w:t>ev. 2</w:t>
      </w:r>
      <w:r w:rsidR="00F16DA1" w:rsidRPr="008C18B8">
        <w:rPr>
          <w:b w:val="0"/>
          <w:lang w:val="en-US"/>
        </w:rPr>
        <w:t>); higher education institutions; independent public health care facilities; cultural institutions with legal personality; trade unions, religious and political organisations</w:t>
      </w:r>
      <w:r w:rsidR="00915316">
        <w:rPr>
          <w:b w:val="0"/>
          <w:lang w:val="en-US"/>
        </w:rPr>
        <w:t>.</w:t>
      </w:r>
    </w:p>
    <w:p w14:paraId="24A43DE7" w14:textId="4BE78D93" w:rsidR="00050362" w:rsidRDefault="00050362" w:rsidP="00CA57AE">
      <w:pPr>
        <w:pStyle w:val="LID"/>
        <w:spacing w:line="288" w:lineRule="auto"/>
        <w:contextualSpacing/>
        <w:rPr>
          <w:b w:val="0"/>
          <w:lang w:val="en-US"/>
        </w:rPr>
      </w:pPr>
    </w:p>
    <w:p w14:paraId="0D2F2542" w14:textId="40D5C61C" w:rsidR="00050362" w:rsidRDefault="00050362" w:rsidP="00CA57AE">
      <w:pPr>
        <w:pStyle w:val="LID"/>
        <w:spacing w:line="288" w:lineRule="auto"/>
        <w:contextualSpacing/>
        <w:rPr>
          <w:b w:val="0"/>
          <w:lang w:val="en-US"/>
        </w:rPr>
      </w:pPr>
      <w:r w:rsidRPr="00050362">
        <w:rPr>
          <w:b w:val="0"/>
          <w:lang w:val="en-US"/>
        </w:rPr>
        <w:t>Due to the rounding of data, in some cases sums of components may slightly differ from the amount given in the item ‘total’. Relative numbers (indices, percentages) are usually calculated on the basis of absolute data expressed with greater precision than that presented in the news release.</w:t>
      </w:r>
    </w:p>
    <w:p w14:paraId="12E0BB7C" w14:textId="77777777" w:rsidR="00050362" w:rsidRDefault="00050362" w:rsidP="00CA57AE">
      <w:pPr>
        <w:pStyle w:val="LID"/>
        <w:spacing w:line="288" w:lineRule="auto"/>
        <w:contextualSpacing/>
        <w:rPr>
          <w:b w:val="0"/>
          <w:lang w:val="en-US"/>
        </w:rPr>
      </w:pPr>
    </w:p>
    <w:p w14:paraId="274B638D" w14:textId="77777777" w:rsidR="00DA331D" w:rsidRPr="00564C18" w:rsidRDefault="00773CA4" w:rsidP="00CA57AE">
      <w:pPr>
        <w:pStyle w:val="LID"/>
        <w:spacing w:line="288" w:lineRule="auto"/>
        <w:contextualSpacing/>
        <w:rPr>
          <w:sz w:val="18"/>
          <w:szCs w:val="18"/>
          <w:lang w:val="en-US"/>
        </w:rPr>
        <w:sectPr w:rsidR="00DA331D" w:rsidRPr="00564C18"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773CA4">
        <w:rPr>
          <w:b w:val="0"/>
          <w:lang w:val="en-US"/>
        </w:rPr>
        <w:t>When quoting Statistics Poland data, please provide the information: “Source of data: Statistics Poland”, and when publishing calculations made o</w:t>
      </w:r>
      <w:r w:rsidR="00E21378">
        <w:rPr>
          <w:b w:val="0"/>
          <w:lang w:val="en-US"/>
        </w:rPr>
        <w:t xml:space="preserve">n data published by Statistics </w:t>
      </w:r>
      <w:r w:rsidRPr="00773CA4">
        <w:rPr>
          <w:b w:val="0"/>
          <w:lang w:val="en-US"/>
        </w:rPr>
        <w:t>Poland, please include the following disclaimer: “Own stu</w:t>
      </w:r>
      <w:r>
        <w:rPr>
          <w:b w:val="0"/>
          <w:lang w:val="en-US"/>
        </w:rPr>
        <w:t>dy based on figures from Statis</w:t>
      </w:r>
      <w:r w:rsidRPr="00773CA4">
        <w:rPr>
          <w:b w:val="0"/>
          <w:lang w:val="en-US"/>
        </w:rPr>
        <w:t>tics Poland</w:t>
      </w:r>
      <w:r>
        <w:rPr>
          <w:b w:val="0"/>
          <w:lang w:val="en-US"/>
        </w:rPr>
        <w:t>”.</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rsidRPr="008A0B8C" w14:paraId="6530E089" w14:textId="77777777" w:rsidTr="009E7D31">
        <w:trPr>
          <w:trHeight w:val="1626"/>
        </w:trPr>
        <w:tc>
          <w:tcPr>
            <w:tcW w:w="4926" w:type="dxa"/>
          </w:tcPr>
          <w:p w14:paraId="1236EB2C" w14:textId="77777777" w:rsidR="00DE2400" w:rsidRPr="00BE16FB" w:rsidRDefault="00C60504" w:rsidP="00DE2400">
            <w:pPr>
              <w:spacing w:before="0" w:after="0" w:line="276" w:lineRule="auto"/>
              <w:rPr>
                <w:rFonts w:cs="Arial"/>
                <w:sz w:val="20"/>
                <w:lang w:val="en-US"/>
              </w:rPr>
            </w:pPr>
            <w:r w:rsidRPr="00BE16FB">
              <w:rPr>
                <w:rFonts w:cs="Arial"/>
                <w:sz w:val="20"/>
                <w:lang w:val="en-US"/>
              </w:rPr>
              <w:lastRenderedPageBreak/>
              <w:t>Prepared by</w:t>
            </w:r>
            <w:r w:rsidR="00DE2400" w:rsidRPr="00BE16FB">
              <w:rPr>
                <w:rFonts w:cs="Arial"/>
                <w:sz w:val="20"/>
                <w:lang w:val="en-US"/>
              </w:rPr>
              <w:t>:</w:t>
            </w:r>
          </w:p>
          <w:p w14:paraId="5FE8AD61" w14:textId="2F34AFE7" w:rsidR="00DE2400" w:rsidRPr="00BE16FB" w:rsidRDefault="00742204" w:rsidP="00DE2400">
            <w:pPr>
              <w:spacing w:before="0" w:line="276" w:lineRule="auto"/>
              <w:rPr>
                <w:rFonts w:cs="Arial"/>
                <w:b/>
                <w:color w:val="000000" w:themeColor="text1"/>
                <w:sz w:val="20"/>
                <w:lang w:val="en-US"/>
              </w:rPr>
            </w:pPr>
            <w:r>
              <w:rPr>
                <w:rFonts w:cs="Arial"/>
                <w:b/>
                <w:color w:val="000000" w:themeColor="text1"/>
                <w:sz w:val="20"/>
                <w:lang w:val="en-US"/>
              </w:rPr>
              <w:t>Enterprise</w:t>
            </w:r>
            <w:r w:rsidR="006C197A" w:rsidRPr="00BE16FB">
              <w:rPr>
                <w:rFonts w:cs="Arial"/>
                <w:b/>
                <w:color w:val="000000" w:themeColor="text1"/>
                <w:sz w:val="20"/>
                <w:lang w:val="en-US"/>
              </w:rPr>
              <w:t xml:space="preserve"> </w:t>
            </w:r>
            <w:r w:rsidR="00D3180F">
              <w:rPr>
                <w:rFonts w:cs="Arial"/>
                <w:b/>
                <w:color w:val="000000" w:themeColor="text1"/>
                <w:sz w:val="20"/>
                <w:lang w:val="en-US"/>
              </w:rPr>
              <w:t xml:space="preserve">Statistics </w:t>
            </w:r>
            <w:r w:rsidR="00DE2400" w:rsidRPr="00BE16FB">
              <w:rPr>
                <w:rFonts w:cs="Arial"/>
                <w:b/>
                <w:color w:val="000000" w:themeColor="text1"/>
                <w:sz w:val="20"/>
                <w:lang w:val="en-US"/>
              </w:rPr>
              <w:t>Department</w:t>
            </w:r>
          </w:p>
          <w:p w14:paraId="7C505D7E" w14:textId="156AA261" w:rsidR="00DE2400" w:rsidRPr="00295248" w:rsidRDefault="00DE2400" w:rsidP="00D07B6E">
            <w:pPr>
              <w:spacing w:before="0" w:after="0" w:line="276" w:lineRule="auto"/>
              <w:rPr>
                <w:b/>
                <w:sz w:val="20"/>
                <w:szCs w:val="20"/>
                <w:lang w:val="fi-FI"/>
              </w:rPr>
            </w:pPr>
            <w:r w:rsidRPr="00295248">
              <w:rPr>
                <w:b/>
                <w:sz w:val="20"/>
                <w:szCs w:val="20"/>
                <w:lang w:val="fi-FI"/>
              </w:rPr>
              <w:t>D</w:t>
            </w:r>
            <w:r w:rsidR="006C197A" w:rsidRPr="00295248">
              <w:rPr>
                <w:b/>
                <w:sz w:val="20"/>
                <w:szCs w:val="20"/>
                <w:lang w:val="fi-FI"/>
              </w:rPr>
              <w:t>irec</w:t>
            </w:r>
            <w:r w:rsidRPr="00295248">
              <w:rPr>
                <w:b/>
                <w:sz w:val="20"/>
                <w:szCs w:val="20"/>
                <w:lang w:val="fi-FI"/>
              </w:rPr>
              <w:t xml:space="preserve">tor </w:t>
            </w:r>
            <w:r w:rsidR="00742204" w:rsidRPr="00295248">
              <w:rPr>
                <w:b/>
                <w:sz w:val="20"/>
                <w:szCs w:val="20"/>
                <w:lang w:val="fi-FI"/>
              </w:rPr>
              <w:t>Katarzyna Walkowska</w:t>
            </w:r>
            <w:r w:rsidR="00B24F3C" w:rsidRPr="00295248">
              <w:rPr>
                <w:b/>
                <w:sz w:val="20"/>
                <w:szCs w:val="20"/>
                <w:lang w:val="fi-FI"/>
              </w:rPr>
              <w:t>-Macias</w:t>
            </w:r>
          </w:p>
          <w:p w14:paraId="321FA342" w14:textId="77777777" w:rsidR="00DE2400" w:rsidRPr="00AB24E4" w:rsidRDefault="006C197A" w:rsidP="003D74B5">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00DE2400" w:rsidRPr="008F3638">
              <w:rPr>
                <w:rFonts w:ascii="Fira Sans" w:hAnsi="Fira Sans" w:cs="Arial"/>
                <w:color w:val="000000" w:themeColor="text1"/>
                <w:sz w:val="20"/>
                <w:lang w:val="fi-FI"/>
              </w:rPr>
              <w:t xml:space="preserve">: </w:t>
            </w:r>
            <w:r w:rsidR="00156F04">
              <w:rPr>
                <w:rFonts w:ascii="Fira Sans" w:hAnsi="Fira Sans" w:cs="Arial"/>
                <w:color w:val="000000" w:themeColor="text1"/>
                <w:sz w:val="20"/>
                <w:lang w:val="fi-FI"/>
              </w:rPr>
              <w:t>(</w:t>
            </w:r>
            <w:r>
              <w:rPr>
                <w:rFonts w:ascii="Fira Sans" w:hAnsi="Fira Sans" w:cs="Arial"/>
                <w:color w:val="000000" w:themeColor="text1"/>
                <w:sz w:val="20"/>
                <w:lang w:val="fi-FI"/>
              </w:rPr>
              <w:t xml:space="preserve">+48 </w:t>
            </w:r>
            <w:r w:rsidR="00DE2400" w:rsidRPr="008F3638">
              <w:rPr>
                <w:rFonts w:ascii="Fira Sans" w:hAnsi="Fira Sans" w:cs="Arial"/>
                <w:color w:val="000000" w:themeColor="text1"/>
                <w:sz w:val="20"/>
                <w:lang w:val="fi-FI"/>
              </w:rPr>
              <w:t>22</w:t>
            </w:r>
            <w:r w:rsidR="00156F04">
              <w:rPr>
                <w:rFonts w:ascii="Fira Sans" w:hAnsi="Fira Sans" w:cs="Arial"/>
                <w:color w:val="000000" w:themeColor="text1"/>
                <w:sz w:val="20"/>
                <w:lang w:val="fi-FI"/>
              </w:rPr>
              <w:t>)</w:t>
            </w:r>
            <w:r w:rsidR="00DE2400" w:rsidRPr="008F3638">
              <w:rPr>
                <w:rFonts w:ascii="Fira Sans" w:hAnsi="Fira Sans" w:cs="Arial"/>
                <w:color w:val="000000" w:themeColor="text1"/>
                <w:sz w:val="20"/>
                <w:lang w:val="fi-FI"/>
              </w:rPr>
              <w:t> </w:t>
            </w:r>
            <w:r w:rsidR="002157D3">
              <w:rPr>
                <w:rFonts w:ascii="Fira Sans" w:hAnsi="Fira Sans" w:cs="Arial"/>
                <w:color w:val="000000" w:themeColor="text1"/>
                <w:sz w:val="20"/>
                <w:lang w:val="fi-FI"/>
              </w:rPr>
              <w:t>608 31 25</w:t>
            </w:r>
          </w:p>
        </w:tc>
        <w:tc>
          <w:tcPr>
            <w:tcW w:w="4927" w:type="dxa"/>
          </w:tcPr>
          <w:p w14:paraId="02C6F7D1" w14:textId="77777777" w:rsidR="00CD0C00" w:rsidRPr="005653EE" w:rsidRDefault="006C197A" w:rsidP="003D74B5">
            <w:pPr>
              <w:spacing w:line="276" w:lineRule="auto"/>
              <w:rPr>
                <w:b/>
                <w:lang w:val="en-GB"/>
              </w:rPr>
            </w:pPr>
            <w:r w:rsidRPr="00BE16FB">
              <w:rPr>
                <w:rFonts w:cs="Arial"/>
                <w:sz w:val="20"/>
                <w:lang w:val="en-US"/>
              </w:rPr>
              <w:t>Issued by</w:t>
            </w:r>
            <w:r w:rsidR="00DE2400" w:rsidRPr="00BE16FB">
              <w:rPr>
                <w:rFonts w:cs="Arial"/>
                <w:sz w:val="20"/>
                <w:lang w:val="en-US"/>
              </w:rPr>
              <w:t>:</w:t>
            </w:r>
            <w:r w:rsidR="00DE2400" w:rsidRPr="00BE16FB">
              <w:rPr>
                <w:rFonts w:cs="Arial"/>
                <w:sz w:val="20"/>
                <w:lang w:val="en-US"/>
              </w:rPr>
              <w:br/>
            </w:r>
            <w:r w:rsidR="00CD0C00" w:rsidRPr="00531C40">
              <w:rPr>
                <w:b/>
                <w:sz w:val="20"/>
                <w:szCs w:val="20"/>
                <w:lang w:val="en-GB"/>
              </w:rPr>
              <w:t>Press Office</w:t>
            </w:r>
          </w:p>
          <w:p w14:paraId="261DC26D" w14:textId="77777777" w:rsidR="00CD0C00" w:rsidRPr="00531C40" w:rsidRDefault="00CD0C00" w:rsidP="003D74B5">
            <w:pPr>
              <w:spacing w:before="0" w:line="276" w:lineRule="auto"/>
              <w:rPr>
                <w:sz w:val="20"/>
                <w:szCs w:val="20"/>
                <w:lang w:val="en-GB"/>
              </w:rPr>
            </w:pPr>
            <w:r w:rsidRPr="00531C40">
              <w:rPr>
                <w:sz w:val="20"/>
                <w:szCs w:val="20"/>
                <w:lang w:val="en-GB"/>
              </w:rPr>
              <w:t>Mobile: (+48) 695 255 032</w:t>
            </w:r>
          </w:p>
          <w:p w14:paraId="5EB89D99" w14:textId="77777777" w:rsidR="00CD0C00" w:rsidRPr="00531C40" w:rsidRDefault="00CD0C00" w:rsidP="003D74B5">
            <w:pPr>
              <w:spacing w:before="0" w:line="276" w:lineRule="auto"/>
              <w:rPr>
                <w:sz w:val="20"/>
                <w:szCs w:val="20"/>
                <w:lang w:val="en-GB"/>
              </w:rPr>
            </w:pPr>
            <w:r w:rsidRPr="00531C40">
              <w:rPr>
                <w:sz w:val="20"/>
                <w:szCs w:val="20"/>
                <w:lang w:val="en-GB"/>
              </w:rPr>
              <w:t xml:space="preserve">Phone: (+48 22) 608 38 04, (+48 22) 449 41 45, </w:t>
            </w:r>
          </w:p>
          <w:p w14:paraId="6B82EACB" w14:textId="77777777" w:rsidR="00CD0C00" w:rsidRPr="00531C40" w:rsidRDefault="00CD0C00" w:rsidP="003D74B5">
            <w:pPr>
              <w:spacing w:before="0" w:line="276" w:lineRule="auto"/>
              <w:rPr>
                <w:sz w:val="20"/>
                <w:szCs w:val="20"/>
                <w:lang w:val="en-GB"/>
              </w:rPr>
            </w:pPr>
            <w:r w:rsidRPr="00531C40">
              <w:rPr>
                <w:sz w:val="20"/>
                <w:szCs w:val="20"/>
                <w:lang w:val="en-GB"/>
              </w:rPr>
              <w:t xml:space="preserve">             (+48 22) 608 30 09</w:t>
            </w:r>
          </w:p>
          <w:p w14:paraId="10CF8756" w14:textId="20FAB69C" w:rsidR="00CD0C00" w:rsidRPr="00903407" w:rsidRDefault="009243F4" w:rsidP="00CD0C00">
            <w:pPr>
              <w:pStyle w:val="Nagwek3"/>
              <w:spacing w:before="0" w:after="120" w:line="276" w:lineRule="auto"/>
              <w:outlineLvl w:val="2"/>
              <w:rPr>
                <w:rFonts w:ascii="Fira Sans" w:hAnsi="Fira Sans" w:cs="Arial"/>
                <w:color w:val="000000" w:themeColor="text1"/>
                <w:sz w:val="20"/>
                <w:lang w:val="en-GB"/>
              </w:rPr>
            </w:pPr>
            <w:r w:rsidRPr="009243F4">
              <w:rPr>
                <w:b/>
                <w:sz w:val="20"/>
                <w:lang w:val="en-GB"/>
              </w:rPr>
              <w:t>e-mail:</w:t>
            </w:r>
            <w:r w:rsidRPr="009243F4">
              <w:rPr>
                <w:sz w:val="20"/>
                <w:lang w:val="en-GB"/>
              </w:rPr>
              <w:t xml:space="preserve"> </w:t>
            </w:r>
            <w:hyperlink r:id="rId18" w:history="1">
              <w:r w:rsidR="00903407" w:rsidRPr="000609FA">
                <w:rPr>
                  <w:rStyle w:val="Hipercze"/>
                  <w:rFonts w:ascii="Fira Sans" w:eastAsiaTheme="minorHAnsi" w:hAnsi="Fira Sans" w:cstheme="minorBidi"/>
                  <w:sz w:val="19"/>
                  <w:szCs w:val="22"/>
                  <w:lang w:val="en-GB"/>
                </w:rPr>
                <w:t>obslugaprasowa@stat.gov.pl</w:t>
              </w:r>
            </w:hyperlink>
            <w:r w:rsidR="00903407">
              <w:rPr>
                <w:rFonts w:ascii="Fira Sans" w:eastAsiaTheme="minorHAnsi" w:hAnsi="Fira Sans" w:cstheme="minorBidi"/>
                <w:color w:val="auto"/>
                <w:sz w:val="19"/>
                <w:szCs w:val="22"/>
                <w:lang w:val="en-GB"/>
              </w:rPr>
              <w:t xml:space="preserve"> </w:t>
            </w:r>
          </w:p>
          <w:p w14:paraId="0487B4D4" w14:textId="77777777" w:rsidR="00DE2400" w:rsidRPr="00CD0C00" w:rsidRDefault="00DE2400" w:rsidP="00CD0C00">
            <w:pPr>
              <w:spacing w:before="0" w:line="276" w:lineRule="auto"/>
              <w:rPr>
                <w:sz w:val="18"/>
                <w:lang w:val="fi-FI"/>
              </w:rPr>
            </w:pPr>
          </w:p>
        </w:tc>
      </w:tr>
      <w:tr w:rsidR="00DE2400" w:rsidRPr="00CA0E6D" w14:paraId="5256E502" w14:textId="77777777" w:rsidTr="009E7D31">
        <w:trPr>
          <w:trHeight w:val="418"/>
        </w:trPr>
        <w:tc>
          <w:tcPr>
            <w:tcW w:w="4926" w:type="dxa"/>
            <w:vMerge w:val="restart"/>
          </w:tcPr>
          <w:p w14:paraId="1F22D877" w14:textId="77777777" w:rsidR="00DE2400" w:rsidRPr="00F05FC7" w:rsidRDefault="00DE2400" w:rsidP="00CD0C00">
            <w:pPr>
              <w:rPr>
                <w:sz w:val="18"/>
                <w:lang w:val="en-US"/>
              </w:rPr>
            </w:pPr>
          </w:p>
        </w:tc>
        <w:tc>
          <w:tcPr>
            <w:tcW w:w="4927" w:type="dxa"/>
            <w:vAlign w:val="center"/>
          </w:tcPr>
          <w:p w14:paraId="16D707E7" w14:textId="77777777" w:rsidR="00DE2400" w:rsidRPr="00BE16FB" w:rsidRDefault="00DE2400" w:rsidP="00D07B6E">
            <w:pPr>
              <w:ind w:firstLine="680"/>
              <w:rPr>
                <w:sz w:val="18"/>
                <w:lang w:val="en-US"/>
              </w:rPr>
            </w:pPr>
            <w:r>
              <w:rPr>
                <w:noProof/>
                <w:sz w:val="20"/>
                <w:lang w:eastAsia="pl-PL"/>
              </w:rPr>
              <w:drawing>
                <wp:anchor distT="0" distB="0" distL="114300" distR="114300" simplePos="0" relativeHeight="251744256" behindDoc="0" locked="0" layoutInCell="1" allowOverlap="1" wp14:anchorId="76FC9C17" wp14:editId="53FD1724">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E16FB">
              <w:rPr>
                <w:sz w:val="20"/>
                <w:lang w:val="en-US"/>
              </w:rPr>
              <w:t>stat.gov.pl</w:t>
            </w:r>
            <w:r w:rsidR="002021A6" w:rsidRPr="00BE16FB">
              <w:rPr>
                <w:sz w:val="20"/>
                <w:lang w:val="en-US"/>
              </w:rPr>
              <w:t>/</w:t>
            </w:r>
            <w:proofErr w:type="spellStart"/>
            <w:r w:rsidR="002021A6" w:rsidRPr="00BE16FB">
              <w:rPr>
                <w:sz w:val="20"/>
                <w:lang w:val="en-US"/>
              </w:rPr>
              <w:t>en</w:t>
            </w:r>
            <w:proofErr w:type="spellEnd"/>
            <w:r w:rsidR="002021A6" w:rsidRPr="00BE16FB">
              <w:rPr>
                <w:sz w:val="20"/>
                <w:lang w:val="en-US"/>
              </w:rPr>
              <w:t>/</w:t>
            </w:r>
          </w:p>
        </w:tc>
      </w:tr>
      <w:tr w:rsidR="00A66DE2" w14:paraId="2C9578E4" w14:textId="77777777" w:rsidTr="009E7D31">
        <w:trPr>
          <w:trHeight w:val="418"/>
        </w:trPr>
        <w:tc>
          <w:tcPr>
            <w:tcW w:w="4926" w:type="dxa"/>
            <w:vMerge/>
          </w:tcPr>
          <w:p w14:paraId="6A9C717D" w14:textId="77777777" w:rsidR="00A66DE2" w:rsidRPr="00BE16FB" w:rsidRDefault="00A66DE2" w:rsidP="00A66DE2">
            <w:pPr>
              <w:rPr>
                <w:b/>
                <w:sz w:val="20"/>
                <w:lang w:val="en-US"/>
              </w:rPr>
            </w:pPr>
          </w:p>
        </w:tc>
        <w:tc>
          <w:tcPr>
            <w:tcW w:w="4927" w:type="dxa"/>
            <w:vAlign w:val="center"/>
          </w:tcPr>
          <w:p w14:paraId="0EBABA9B" w14:textId="77777777" w:rsidR="00A66DE2" w:rsidRDefault="00A66DE2" w:rsidP="00A66DE2">
            <w:pPr>
              <w:ind w:firstLine="680"/>
              <w:rPr>
                <w:sz w:val="18"/>
              </w:rPr>
            </w:pPr>
            <w:r>
              <w:rPr>
                <w:noProof/>
                <w:sz w:val="20"/>
                <w:lang w:eastAsia="pl-PL"/>
              </w:rPr>
              <w:drawing>
                <wp:anchor distT="0" distB="0" distL="114300" distR="114300" simplePos="0" relativeHeight="251785216" behindDoc="0" locked="0" layoutInCell="1" allowOverlap="1" wp14:anchorId="2F6D926D" wp14:editId="5ABE0369">
                  <wp:simplePos x="0" y="0"/>
                  <wp:positionH relativeFrom="column">
                    <wp:posOffset>76200</wp:posOffset>
                  </wp:positionH>
                  <wp:positionV relativeFrom="paragraph">
                    <wp:posOffset>21590</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A66DE2" w14:paraId="102BEFF3" w14:textId="77777777" w:rsidTr="009E7D31">
        <w:trPr>
          <w:trHeight w:val="480"/>
        </w:trPr>
        <w:tc>
          <w:tcPr>
            <w:tcW w:w="4926" w:type="dxa"/>
            <w:vMerge/>
          </w:tcPr>
          <w:p w14:paraId="7D4B9F96" w14:textId="77777777" w:rsidR="00A66DE2" w:rsidRPr="00C91687" w:rsidRDefault="00A66DE2" w:rsidP="00A66DE2">
            <w:pPr>
              <w:rPr>
                <w:b/>
                <w:sz w:val="20"/>
              </w:rPr>
            </w:pPr>
          </w:p>
        </w:tc>
        <w:tc>
          <w:tcPr>
            <w:tcW w:w="4927" w:type="dxa"/>
          </w:tcPr>
          <w:p w14:paraId="593638BF" w14:textId="77777777" w:rsidR="00A66DE2" w:rsidRDefault="00A66DE2" w:rsidP="00A66DE2">
            <w:pPr>
              <w:ind w:firstLine="680"/>
              <w:rPr>
                <w:sz w:val="18"/>
              </w:rPr>
            </w:pPr>
            <w:r>
              <w:rPr>
                <w:noProof/>
                <w:sz w:val="20"/>
                <w:lang w:eastAsia="pl-PL"/>
              </w:rPr>
              <w:drawing>
                <wp:anchor distT="0" distB="0" distL="114300" distR="114300" simplePos="0" relativeHeight="251786240" behindDoc="0" locked="0" layoutInCell="1" allowOverlap="1" wp14:anchorId="57588851" wp14:editId="7A7280E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DE1D0A" w14:paraId="558414DE" w14:textId="77777777" w:rsidTr="009E7D31">
        <w:trPr>
          <w:trHeight w:val="480"/>
        </w:trPr>
        <w:tc>
          <w:tcPr>
            <w:tcW w:w="4926" w:type="dxa"/>
          </w:tcPr>
          <w:p w14:paraId="00A0FAB9" w14:textId="77777777" w:rsidR="00DE1D0A" w:rsidRPr="00C91687" w:rsidRDefault="00DE1D0A" w:rsidP="00DE1D0A">
            <w:pPr>
              <w:rPr>
                <w:b/>
                <w:sz w:val="20"/>
              </w:rPr>
            </w:pPr>
          </w:p>
        </w:tc>
        <w:tc>
          <w:tcPr>
            <w:tcW w:w="4927" w:type="dxa"/>
          </w:tcPr>
          <w:p w14:paraId="3ABF3C96" w14:textId="77777777" w:rsidR="00DE1D0A" w:rsidRPr="003D5F42" w:rsidRDefault="00DE1D0A" w:rsidP="00DE1D0A">
            <w:pPr>
              <w:ind w:firstLine="680"/>
              <w:rPr>
                <w:sz w:val="20"/>
              </w:rPr>
            </w:pPr>
            <w:r>
              <w:rPr>
                <w:noProof/>
                <w:sz w:val="20"/>
                <w:lang w:eastAsia="pl-PL"/>
              </w:rPr>
              <w:drawing>
                <wp:anchor distT="0" distB="0" distL="114300" distR="114300" simplePos="0" relativeHeight="251755520" behindDoc="0" locked="0" layoutInCell="1" allowOverlap="1" wp14:anchorId="15C863A8" wp14:editId="43A3E4FF">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DE1D0A" w14:paraId="4C8C9F82" w14:textId="77777777" w:rsidTr="009E7D31">
        <w:trPr>
          <w:trHeight w:val="480"/>
        </w:trPr>
        <w:tc>
          <w:tcPr>
            <w:tcW w:w="4926" w:type="dxa"/>
          </w:tcPr>
          <w:p w14:paraId="47216DCD" w14:textId="77777777" w:rsidR="00DE1D0A" w:rsidRPr="00C91687" w:rsidRDefault="00DE1D0A" w:rsidP="00DE1D0A">
            <w:pPr>
              <w:rPr>
                <w:b/>
                <w:sz w:val="20"/>
              </w:rPr>
            </w:pPr>
          </w:p>
        </w:tc>
        <w:tc>
          <w:tcPr>
            <w:tcW w:w="4927" w:type="dxa"/>
          </w:tcPr>
          <w:p w14:paraId="687E338D" w14:textId="77777777" w:rsidR="00DE1D0A" w:rsidRPr="003D5F42" w:rsidRDefault="00DE1D0A" w:rsidP="00DE1D0A">
            <w:pPr>
              <w:ind w:firstLine="680"/>
              <w:rPr>
                <w:sz w:val="20"/>
              </w:rPr>
            </w:pPr>
            <w:r>
              <w:rPr>
                <w:noProof/>
                <w:sz w:val="20"/>
                <w:lang w:eastAsia="pl-PL"/>
              </w:rPr>
              <w:drawing>
                <wp:anchor distT="0" distB="0" distL="114300" distR="114300" simplePos="0" relativeHeight="251756544" behindDoc="0" locked="0" layoutInCell="1" allowOverlap="1" wp14:anchorId="0194D0A0" wp14:editId="45143043">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DE1D0A" w14:paraId="1DDF659A" w14:textId="77777777" w:rsidTr="009E7D31">
        <w:trPr>
          <w:trHeight w:val="953"/>
        </w:trPr>
        <w:tc>
          <w:tcPr>
            <w:tcW w:w="4926" w:type="dxa"/>
          </w:tcPr>
          <w:p w14:paraId="49D01EA9" w14:textId="77777777" w:rsidR="00DE1D0A" w:rsidRPr="00C91687" w:rsidRDefault="00DE1D0A" w:rsidP="00DE1D0A">
            <w:pPr>
              <w:rPr>
                <w:b/>
                <w:sz w:val="20"/>
              </w:rPr>
            </w:pPr>
          </w:p>
        </w:tc>
        <w:tc>
          <w:tcPr>
            <w:tcW w:w="4927" w:type="dxa"/>
          </w:tcPr>
          <w:p w14:paraId="50350A77" w14:textId="77777777" w:rsidR="00DE1D0A" w:rsidRPr="003D5F42" w:rsidRDefault="00DE1D0A" w:rsidP="00DE1D0A">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57568" behindDoc="0" locked="0" layoutInCell="1" allowOverlap="1" wp14:anchorId="328C65A4" wp14:editId="4F2407B7">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0F73C9" w:rsidRPr="008A0B8C" w14:paraId="192DC368" w14:textId="77777777" w:rsidTr="00D07B6E">
        <w:trPr>
          <w:trHeight w:val="4114"/>
        </w:trPr>
        <w:tc>
          <w:tcPr>
            <w:tcW w:w="9853" w:type="dxa"/>
            <w:gridSpan w:val="2"/>
            <w:shd w:val="clear" w:color="auto" w:fill="D9D9D9" w:themeFill="background1" w:themeFillShade="D9"/>
          </w:tcPr>
          <w:p w14:paraId="1E498DC7" w14:textId="77777777" w:rsidR="000F73C9" w:rsidRPr="00BE16FB" w:rsidRDefault="000F73C9" w:rsidP="00D07B6E">
            <w:pPr>
              <w:shd w:val="clear" w:color="auto" w:fill="D9D9D9" w:themeFill="background1" w:themeFillShade="D9"/>
              <w:rPr>
                <w:b/>
                <w:lang w:val="en-US"/>
              </w:rPr>
            </w:pPr>
            <w:r w:rsidRPr="00BE16FB">
              <w:rPr>
                <w:b/>
                <w:lang w:val="en-US"/>
              </w:rPr>
              <w:t>Related information</w:t>
            </w:r>
          </w:p>
          <w:p w14:paraId="03D1465B" w14:textId="7336255E" w:rsidR="00A95D52" w:rsidRPr="00531C40" w:rsidRDefault="008A0B8C" w:rsidP="00A95D52">
            <w:pPr>
              <w:rPr>
                <w:szCs w:val="19"/>
                <w:lang w:val="en-US"/>
              </w:rPr>
            </w:pPr>
            <w:hyperlink r:id="rId25" w:history="1">
              <w:r w:rsidR="00A95D52" w:rsidRPr="00531C40">
                <w:rPr>
                  <w:rStyle w:val="Hipercze"/>
                  <w:szCs w:val="19"/>
                  <w:lang w:val="en-US"/>
                </w:rPr>
                <w:t>Statistical Bulletin</w:t>
              </w:r>
            </w:hyperlink>
          </w:p>
          <w:p w14:paraId="1463B883" w14:textId="2F7FCF4A" w:rsidR="000F73C9" w:rsidRPr="00531C40" w:rsidRDefault="00964A32" w:rsidP="00D07B6E">
            <w:pPr>
              <w:rPr>
                <w:rStyle w:val="Hipercze"/>
                <w:rFonts w:cstheme="minorBidi"/>
                <w:szCs w:val="19"/>
                <w:lang w:val="en-US"/>
              </w:rPr>
            </w:pPr>
            <w:r w:rsidRPr="00531C40">
              <w:rPr>
                <w:rFonts w:cs="Times New Roman"/>
                <w:szCs w:val="19"/>
                <w:lang w:val="en-US"/>
              </w:rPr>
              <w:fldChar w:fldCharType="begin"/>
            </w:r>
            <w:r w:rsidRPr="00531C40">
              <w:rPr>
                <w:rFonts w:cs="Times New Roman"/>
                <w:szCs w:val="19"/>
                <w:lang w:val="en-US"/>
              </w:rPr>
              <w:instrText xml:space="preserve"> HYPERLINK "https://ssgk.stat.gov.pl/index_en.html" </w:instrText>
            </w:r>
            <w:r w:rsidRPr="00531C40">
              <w:rPr>
                <w:rFonts w:cs="Times New Roman"/>
                <w:szCs w:val="19"/>
                <w:lang w:val="en-US"/>
              </w:rPr>
              <w:fldChar w:fldCharType="separate"/>
            </w:r>
            <w:r w:rsidR="000F73C9" w:rsidRPr="00531C40">
              <w:rPr>
                <w:rStyle w:val="Hipercze"/>
                <w:szCs w:val="19"/>
                <w:lang w:val="en-US"/>
              </w:rPr>
              <w:t>Information on the socio-economic situation of the country</w:t>
            </w:r>
          </w:p>
          <w:p w14:paraId="50AA3F7F" w14:textId="2BD5972F" w:rsidR="000F73C9" w:rsidRPr="00531C40" w:rsidRDefault="00964A32" w:rsidP="00D07B6E">
            <w:pPr>
              <w:rPr>
                <w:szCs w:val="19"/>
                <w:lang w:val="en-US"/>
              </w:rPr>
            </w:pPr>
            <w:r w:rsidRPr="00531C40">
              <w:rPr>
                <w:rFonts w:cs="Times New Roman"/>
                <w:szCs w:val="19"/>
                <w:lang w:val="en-US"/>
              </w:rPr>
              <w:fldChar w:fldCharType="end"/>
            </w:r>
            <w:hyperlink r:id="rId26" w:history="1">
              <w:r w:rsidR="000F73C9" w:rsidRPr="00531C40">
                <w:rPr>
                  <w:rStyle w:val="Hipercze"/>
                  <w:szCs w:val="19"/>
                  <w:lang w:val="en-US"/>
                </w:rPr>
                <w:t>News releases. Financial results of non-financial enterprises</w:t>
              </w:r>
            </w:hyperlink>
          </w:p>
          <w:p w14:paraId="2E52D709" w14:textId="77777777" w:rsidR="000F73C9" w:rsidRPr="00531C40" w:rsidRDefault="008A0B8C" w:rsidP="00D07B6E">
            <w:pPr>
              <w:rPr>
                <w:szCs w:val="19"/>
                <w:lang w:val="en-US"/>
              </w:rPr>
            </w:pPr>
            <w:hyperlink r:id="rId27" w:history="1">
              <w:r w:rsidR="000F73C9" w:rsidRPr="00531C40">
                <w:rPr>
                  <w:rStyle w:val="Hipercze"/>
                  <w:szCs w:val="19"/>
                  <w:lang w:val="en-US"/>
                </w:rPr>
                <w:t>Methodological report. Non-financial enterprises surveys</w:t>
              </w:r>
            </w:hyperlink>
            <w:r w:rsidR="000F73C9" w:rsidRPr="00531C40">
              <w:rPr>
                <w:szCs w:val="19"/>
                <w:lang w:val="en-US"/>
              </w:rPr>
              <w:t xml:space="preserve"> </w:t>
            </w:r>
          </w:p>
          <w:p w14:paraId="3B103D53" w14:textId="77777777" w:rsidR="000F73C9" w:rsidRPr="008545A0" w:rsidRDefault="000F73C9" w:rsidP="00D07B6E">
            <w:pPr>
              <w:shd w:val="clear" w:color="auto" w:fill="D9D9D9" w:themeFill="background1" w:themeFillShade="D9"/>
              <w:spacing w:before="360"/>
              <w:rPr>
                <w:lang w:val="en-US"/>
              </w:rPr>
            </w:pPr>
            <w:r w:rsidRPr="001D108A">
              <w:rPr>
                <w:b/>
                <w:color w:val="000000" w:themeColor="text1"/>
                <w:szCs w:val="24"/>
                <w:lang w:val="en-US"/>
              </w:rPr>
              <w:t>Data available in databases</w:t>
            </w:r>
          </w:p>
          <w:p w14:paraId="790D76CF" w14:textId="77777777" w:rsidR="000F73C9" w:rsidRPr="00531C40" w:rsidRDefault="008A0B8C" w:rsidP="00D07B6E">
            <w:pPr>
              <w:rPr>
                <w:szCs w:val="19"/>
                <w:lang w:val="en-US"/>
              </w:rPr>
            </w:pPr>
            <w:hyperlink r:id="rId28" w:history="1">
              <w:r w:rsidR="000F73C9" w:rsidRPr="00531C40">
                <w:rPr>
                  <w:rStyle w:val="Hipercze"/>
                  <w:szCs w:val="19"/>
                  <w:lang w:val="en-US"/>
                </w:rPr>
                <w:t>Local Data Bank</w:t>
              </w:r>
            </w:hyperlink>
          </w:p>
          <w:p w14:paraId="1493E55A" w14:textId="77777777" w:rsidR="000F73C9" w:rsidRPr="00531C40" w:rsidRDefault="008A0B8C" w:rsidP="00D07B6E">
            <w:pPr>
              <w:rPr>
                <w:szCs w:val="19"/>
                <w:lang w:val="en-US"/>
              </w:rPr>
            </w:pPr>
            <w:hyperlink r:id="rId29" w:history="1">
              <w:r w:rsidR="000F73C9" w:rsidRPr="00531C40">
                <w:rPr>
                  <w:rStyle w:val="Hipercze"/>
                  <w:szCs w:val="19"/>
                  <w:lang w:val="en-US"/>
                </w:rPr>
                <w:t>Knowledge Database Non-financial Enterprises</w:t>
              </w:r>
            </w:hyperlink>
          </w:p>
          <w:p w14:paraId="08D274CE" w14:textId="3F4F6549" w:rsidR="000F73C9" w:rsidRPr="00531C40" w:rsidRDefault="008A0B8C" w:rsidP="00D07B6E">
            <w:pPr>
              <w:rPr>
                <w:szCs w:val="19"/>
                <w:lang w:val="en-US"/>
              </w:rPr>
            </w:pPr>
            <w:hyperlink r:id="rId30" w:history="1">
              <w:r w:rsidR="000F73C9" w:rsidRPr="00531C40">
                <w:rPr>
                  <w:rStyle w:val="Hipercze"/>
                  <w:szCs w:val="19"/>
                  <w:lang w:val="en-US"/>
                </w:rPr>
                <w:t>Macroeconomic Data Bank</w:t>
              </w:r>
            </w:hyperlink>
            <w:r w:rsidR="000F73C9" w:rsidRPr="00531C40">
              <w:rPr>
                <w:szCs w:val="19"/>
                <w:lang w:val="en-US"/>
              </w:rPr>
              <w:t xml:space="preserve"> </w:t>
            </w:r>
          </w:p>
          <w:p w14:paraId="0CD7C4C7" w14:textId="77777777" w:rsidR="000F73C9" w:rsidRPr="001D108A" w:rsidRDefault="000F73C9" w:rsidP="00D07B6E">
            <w:pPr>
              <w:shd w:val="clear" w:color="auto" w:fill="D9D9D9" w:themeFill="background1" w:themeFillShade="D9"/>
              <w:spacing w:before="360"/>
              <w:rPr>
                <w:rStyle w:val="Hipercze"/>
                <w:rFonts w:cstheme="minorBidi"/>
                <w:color w:val="auto"/>
                <w:u w:val="none"/>
                <w:lang w:val="en-US"/>
              </w:rPr>
            </w:pPr>
            <w:r>
              <w:rPr>
                <w:b/>
                <w:color w:val="000000" w:themeColor="text1"/>
                <w:szCs w:val="24"/>
                <w:lang w:val="en-US"/>
              </w:rPr>
              <w:t>Terms used i</w:t>
            </w:r>
            <w:r w:rsidRPr="001D108A">
              <w:rPr>
                <w:b/>
                <w:color w:val="000000" w:themeColor="text1"/>
                <w:szCs w:val="24"/>
                <w:lang w:val="en-US"/>
              </w:rPr>
              <w:t>n official statistics</w:t>
            </w:r>
          </w:p>
          <w:p w14:paraId="4CA4B3C6" w14:textId="77777777" w:rsidR="000F73C9" w:rsidRPr="00531C40" w:rsidRDefault="008A0B8C" w:rsidP="00D07B6E">
            <w:pPr>
              <w:rPr>
                <w:szCs w:val="19"/>
                <w:lang w:val="en-US"/>
              </w:rPr>
            </w:pPr>
            <w:hyperlink r:id="rId31" w:history="1">
              <w:r w:rsidR="000F73C9" w:rsidRPr="00531C40">
                <w:rPr>
                  <w:rStyle w:val="Hipercze"/>
                  <w:szCs w:val="19"/>
                  <w:lang w:val="en-US"/>
                </w:rPr>
                <w:t>Total revenues</w:t>
              </w:r>
            </w:hyperlink>
          </w:p>
          <w:p w14:paraId="65919695" w14:textId="77777777" w:rsidR="000F73C9" w:rsidRPr="00531C40" w:rsidRDefault="008A0B8C" w:rsidP="00D07B6E">
            <w:pPr>
              <w:rPr>
                <w:szCs w:val="19"/>
                <w:lang w:val="en-US"/>
              </w:rPr>
            </w:pPr>
            <w:hyperlink r:id="rId32" w:history="1">
              <w:r w:rsidR="000F73C9" w:rsidRPr="00531C40">
                <w:rPr>
                  <w:rStyle w:val="Hipercze"/>
                  <w:szCs w:val="19"/>
                  <w:lang w:val="en-US"/>
                </w:rPr>
                <w:t>Total costs</w:t>
              </w:r>
            </w:hyperlink>
          </w:p>
          <w:p w14:paraId="1D4AC24D" w14:textId="77777777" w:rsidR="000F73C9" w:rsidRPr="00531C40" w:rsidRDefault="008A0B8C" w:rsidP="00D07B6E">
            <w:pPr>
              <w:rPr>
                <w:szCs w:val="19"/>
                <w:lang w:val="en-US"/>
              </w:rPr>
            </w:pPr>
            <w:hyperlink r:id="rId33" w:history="1">
              <w:r w:rsidR="000F73C9" w:rsidRPr="00531C40">
                <w:rPr>
                  <w:rStyle w:val="Hipercze"/>
                  <w:szCs w:val="19"/>
                  <w:lang w:val="en-US"/>
                </w:rPr>
                <w:t>Gross financial result</w:t>
              </w:r>
            </w:hyperlink>
          </w:p>
          <w:p w14:paraId="580CB43A" w14:textId="77777777" w:rsidR="000F73C9" w:rsidRPr="00531C40" w:rsidRDefault="008A0B8C" w:rsidP="00D07B6E">
            <w:pPr>
              <w:rPr>
                <w:szCs w:val="19"/>
                <w:lang w:val="en-US"/>
              </w:rPr>
            </w:pPr>
            <w:hyperlink r:id="rId34" w:history="1">
              <w:r w:rsidR="000F73C9" w:rsidRPr="00531C40">
                <w:rPr>
                  <w:rStyle w:val="Hipercze"/>
                  <w:szCs w:val="19"/>
                  <w:lang w:val="en-US"/>
                </w:rPr>
                <w:t>Net financial result</w:t>
              </w:r>
            </w:hyperlink>
          </w:p>
          <w:p w14:paraId="7A6AEE02" w14:textId="77777777" w:rsidR="000F73C9" w:rsidRPr="00531C40" w:rsidRDefault="008A0B8C" w:rsidP="00D07B6E">
            <w:pPr>
              <w:rPr>
                <w:szCs w:val="19"/>
                <w:lang w:val="en-US"/>
              </w:rPr>
            </w:pPr>
            <w:hyperlink r:id="rId35" w:history="1">
              <w:r w:rsidR="000F73C9" w:rsidRPr="00531C40">
                <w:rPr>
                  <w:rStyle w:val="Hipercze"/>
                  <w:szCs w:val="19"/>
                  <w:lang w:val="en-US"/>
                </w:rPr>
                <w:t>Cost level indicator</w:t>
              </w:r>
            </w:hyperlink>
          </w:p>
          <w:p w14:paraId="7339B3DE" w14:textId="77777777" w:rsidR="000F73C9" w:rsidRPr="00531C40" w:rsidRDefault="008A0B8C" w:rsidP="00D07B6E">
            <w:pPr>
              <w:rPr>
                <w:szCs w:val="19"/>
                <w:lang w:val="en-US"/>
              </w:rPr>
            </w:pPr>
            <w:hyperlink r:id="rId36" w:history="1">
              <w:r w:rsidR="000F73C9" w:rsidRPr="00531C40">
                <w:rPr>
                  <w:rStyle w:val="Hipercze"/>
                  <w:szCs w:val="19"/>
                  <w:lang w:val="en-US"/>
                </w:rPr>
                <w:t>Gross turnover profitability indicator</w:t>
              </w:r>
            </w:hyperlink>
          </w:p>
          <w:p w14:paraId="07B63048" w14:textId="77777777" w:rsidR="000F73C9" w:rsidRPr="00531C40" w:rsidRDefault="008A0B8C" w:rsidP="00D07B6E">
            <w:pPr>
              <w:rPr>
                <w:szCs w:val="19"/>
                <w:lang w:val="en-US"/>
              </w:rPr>
            </w:pPr>
            <w:hyperlink r:id="rId37" w:history="1">
              <w:r w:rsidR="000F73C9" w:rsidRPr="00531C40">
                <w:rPr>
                  <w:rStyle w:val="Hipercze"/>
                  <w:szCs w:val="19"/>
                  <w:lang w:val="en-US"/>
                </w:rPr>
                <w:t>Net turnover profitability indicator</w:t>
              </w:r>
            </w:hyperlink>
          </w:p>
          <w:p w14:paraId="7366EB88" w14:textId="77777777" w:rsidR="000F73C9" w:rsidRPr="00531C40" w:rsidRDefault="008A0B8C" w:rsidP="00D07B6E">
            <w:pPr>
              <w:rPr>
                <w:szCs w:val="19"/>
                <w:lang w:val="en-US"/>
              </w:rPr>
            </w:pPr>
            <w:hyperlink r:id="rId38" w:history="1">
              <w:r w:rsidR="000F73C9" w:rsidRPr="00531C40">
                <w:rPr>
                  <w:rStyle w:val="Hipercze"/>
                  <w:szCs w:val="19"/>
                  <w:lang w:val="en-US"/>
                </w:rPr>
                <w:t>First degree financial liquidity indicator</w:t>
              </w:r>
            </w:hyperlink>
          </w:p>
          <w:p w14:paraId="4E66B525" w14:textId="77777777" w:rsidR="000F73C9" w:rsidRPr="00531C40" w:rsidRDefault="008A0B8C" w:rsidP="00D07B6E">
            <w:pPr>
              <w:rPr>
                <w:szCs w:val="19"/>
                <w:lang w:val="en-US"/>
              </w:rPr>
            </w:pPr>
            <w:hyperlink r:id="rId39" w:history="1">
              <w:r w:rsidR="000F73C9" w:rsidRPr="00531C40">
                <w:rPr>
                  <w:rStyle w:val="Hipercze"/>
                  <w:szCs w:val="19"/>
                  <w:lang w:val="en-US"/>
                </w:rPr>
                <w:t>Second degree financial liquidity indicator</w:t>
              </w:r>
            </w:hyperlink>
          </w:p>
          <w:p w14:paraId="55402648" w14:textId="77777777" w:rsidR="000F73C9" w:rsidRPr="00531C40" w:rsidRDefault="008A0B8C" w:rsidP="00D07B6E">
            <w:pPr>
              <w:rPr>
                <w:szCs w:val="19"/>
                <w:lang w:val="en-US"/>
              </w:rPr>
            </w:pPr>
            <w:hyperlink r:id="rId40" w:history="1">
              <w:r w:rsidR="000F73C9" w:rsidRPr="00531C40">
                <w:rPr>
                  <w:rStyle w:val="Hipercze"/>
                  <w:szCs w:val="19"/>
                  <w:lang w:val="en-US"/>
                </w:rPr>
                <w:t>Investment outlays</w:t>
              </w:r>
            </w:hyperlink>
          </w:p>
          <w:p w14:paraId="190969D5" w14:textId="77777777" w:rsidR="000F73C9" w:rsidRPr="00876479" w:rsidRDefault="000F73C9" w:rsidP="00D07B6E">
            <w:pPr>
              <w:rPr>
                <w:b/>
                <w:color w:val="000000" w:themeColor="text1"/>
                <w:szCs w:val="24"/>
                <w:lang w:val="en-GB"/>
              </w:rPr>
            </w:pPr>
          </w:p>
        </w:tc>
      </w:tr>
    </w:tbl>
    <w:p w14:paraId="0BAE3B03" w14:textId="48D5CB47" w:rsidR="00D261A2" w:rsidRPr="000F73C9" w:rsidRDefault="00D261A2" w:rsidP="00AD0E56">
      <w:pPr>
        <w:rPr>
          <w:sz w:val="18"/>
          <w:lang w:val="en-GB"/>
        </w:rPr>
      </w:pPr>
    </w:p>
    <w:sectPr w:rsidR="00D261A2" w:rsidRPr="000F73C9" w:rsidSect="003B18B6">
      <w:headerReference w:type="default" r:id="rId41"/>
      <w:footerReference w:type="default" r:id="rId4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7B708" w14:textId="77777777" w:rsidR="00D07B6E" w:rsidRDefault="00D07B6E" w:rsidP="000662E2">
      <w:pPr>
        <w:spacing w:after="0" w:line="240" w:lineRule="auto"/>
      </w:pPr>
      <w:r>
        <w:separator/>
      </w:r>
    </w:p>
  </w:endnote>
  <w:endnote w:type="continuationSeparator" w:id="0">
    <w:p w14:paraId="56316771" w14:textId="77777777" w:rsidR="00D07B6E" w:rsidRDefault="00D07B6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07B1D585" w14:textId="77777777" w:rsidR="00D07B6E" w:rsidRDefault="00D07B6E" w:rsidP="003B18B6">
        <w:pPr>
          <w:pStyle w:val="Stopka"/>
          <w:jc w:val="center"/>
        </w:pPr>
        <w:r>
          <w:fldChar w:fldCharType="begin"/>
        </w:r>
        <w:r>
          <w:instrText>PAGE   \* MERGEFORMAT</w:instrText>
        </w:r>
        <w:r>
          <w:fldChar w:fldCharType="separate"/>
        </w:r>
        <w:r w:rsidR="00864BC0">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03DDE374" w14:textId="77777777" w:rsidR="00D07B6E" w:rsidRDefault="00D07B6E" w:rsidP="003B18B6">
        <w:pPr>
          <w:pStyle w:val="Stopka"/>
          <w:jc w:val="center"/>
        </w:pPr>
        <w:r>
          <w:fldChar w:fldCharType="begin"/>
        </w:r>
        <w:r>
          <w:instrText>PAGE   \* MERGEFORMAT</w:instrText>
        </w:r>
        <w:r>
          <w:fldChar w:fldCharType="separate"/>
        </w:r>
        <w:r w:rsidR="00864BC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1E40645D" w14:textId="77777777" w:rsidR="00D07B6E" w:rsidRDefault="00D07B6E" w:rsidP="003B18B6">
        <w:pPr>
          <w:pStyle w:val="Stopka"/>
          <w:jc w:val="center"/>
        </w:pPr>
        <w:r>
          <w:fldChar w:fldCharType="begin"/>
        </w:r>
        <w:r>
          <w:instrText>PAGE   \* MERGEFORMAT</w:instrText>
        </w:r>
        <w:r>
          <w:fldChar w:fldCharType="separate"/>
        </w:r>
        <w:r w:rsidR="00864BC0">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7997A" w14:textId="77777777" w:rsidR="00D07B6E" w:rsidRDefault="00D07B6E" w:rsidP="000662E2">
      <w:pPr>
        <w:spacing w:after="0" w:line="240" w:lineRule="auto"/>
      </w:pPr>
      <w:r>
        <w:separator/>
      </w:r>
    </w:p>
  </w:footnote>
  <w:footnote w:type="continuationSeparator" w:id="0">
    <w:p w14:paraId="66CADD64" w14:textId="77777777" w:rsidR="00D07B6E" w:rsidRDefault="00D07B6E" w:rsidP="000662E2">
      <w:pPr>
        <w:spacing w:after="0" w:line="240" w:lineRule="auto"/>
      </w:pPr>
      <w:r>
        <w:continuationSeparator/>
      </w:r>
    </w:p>
  </w:footnote>
  <w:footnote w:id="1">
    <w:p w14:paraId="11591756" w14:textId="1DD61BE9" w:rsidR="00BE633E" w:rsidRPr="000A6B4D" w:rsidRDefault="00BE633E">
      <w:pPr>
        <w:pStyle w:val="Tekstprzypisudolnego"/>
        <w:rPr>
          <w:lang w:val="en-GB"/>
        </w:rPr>
      </w:pPr>
      <w:r>
        <w:rPr>
          <w:rStyle w:val="Odwoanieprzypisudolnego"/>
        </w:rPr>
        <w:footnoteRef/>
      </w:r>
      <w:r w:rsidRPr="000A6B4D">
        <w:rPr>
          <w:lang w:val="en-GB"/>
        </w:rPr>
        <w:t xml:space="preserve">   </w:t>
      </w:r>
      <w:r w:rsidRPr="000A6B4D">
        <w:rPr>
          <w:sz w:val="19"/>
          <w:szCs w:val="19"/>
          <w:lang w:val="en-GB"/>
        </w:rPr>
        <w:t>Machinery, technical equipment and tools as well as transport 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A4AA" w14:textId="77777777" w:rsidR="00D07B6E" w:rsidRDefault="00D07B6E">
    <w:pPr>
      <w:pStyle w:val="Nagwek"/>
    </w:pPr>
    <w:r>
      <w:rPr>
        <w:noProof/>
        <w:lang w:eastAsia="pl-PL"/>
      </w:rPr>
      <mc:AlternateContent>
        <mc:Choice Requires="wps">
          <w:drawing>
            <wp:anchor distT="0" distB="0" distL="114300" distR="114300" simplePos="0" relativeHeight="251673600" behindDoc="1" locked="0" layoutInCell="1" allowOverlap="1" wp14:anchorId="4B27848C" wp14:editId="4614BC2F">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E422E"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3F98E5E0" w14:textId="77777777" w:rsidR="00D07B6E" w:rsidRDefault="00D07B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49820" w14:textId="77777777" w:rsidR="00D07B6E" w:rsidRDefault="00D07B6E">
    <w:pPr>
      <w:pStyle w:val="Nagwek"/>
      <w:rPr>
        <w:noProof/>
        <w:lang w:eastAsia="pl-PL"/>
      </w:rPr>
    </w:pPr>
    <w:r>
      <w:rPr>
        <w:noProof/>
        <w:shd w:val="clear" w:color="auto" w:fill="FFFFFF"/>
        <w:lang w:eastAsia="pl-PL"/>
      </w:rPr>
      <w:drawing>
        <wp:anchor distT="0" distB="0" distL="114300" distR="114300" simplePos="0" relativeHeight="251671552" behindDoc="0" locked="0" layoutInCell="1" allowOverlap="1" wp14:anchorId="2484424C" wp14:editId="00F034AE">
          <wp:simplePos x="0" y="0"/>
          <wp:positionH relativeFrom="column">
            <wp:posOffset>8890</wp:posOffset>
          </wp:positionH>
          <wp:positionV relativeFrom="paragraph">
            <wp:posOffset>42545</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68480" behindDoc="0" locked="0" layoutInCell="1" allowOverlap="1" wp14:anchorId="1A21AD3D" wp14:editId="18FFAF37">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8BF7E" w14:textId="77777777" w:rsidR="00D07B6E" w:rsidRPr="003C6C8D" w:rsidRDefault="00D07B6E"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1AD3D" id="Schemat blokowy: opóźnienie 6" o:spid="_x0000_s1030"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oTwYAACA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WDJXK4outr0DIyqkWevMleF4yLM8zFO8xA+wesAKWqeAsfeUnhNoTbTY08tKHs05e+l+tB&#10;bAmzHtqCSnTp8T8uMSMeKn+uQYaZBlOQESKhLqZxEsIFM2dW5kx9Wb2kwAzop7A7NZTrRdkNc0ar&#10;DyBoPZWoMIXrDLChbwvoKPripYBrmAJJbEZOT9UYpKRAz7P6vMk6fWUDkb/ffcCsQXK49ASoK9/Q&#10;TlF6I5sEOt+slaWp6emloHkhNZWKkjqv7QXIUBWHWsms1Lma12rVjbD35B8A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inAl6E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DF8BF7E" w14:textId="77777777" w:rsidR="00D07B6E" w:rsidRPr="003C6C8D" w:rsidRDefault="00D07B6E"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F19CD9" wp14:editId="071AF415">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88704"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49CCB6CD" w14:textId="77777777" w:rsidR="00D07B6E" w:rsidRDefault="00D07B6E">
    <w:pPr>
      <w:pStyle w:val="Nagwek"/>
      <w:rPr>
        <w:noProof/>
        <w:lang w:eastAsia="pl-PL"/>
      </w:rPr>
    </w:pPr>
  </w:p>
  <w:p w14:paraId="4D8DB2A2" w14:textId="77777777" w:rsidR="00D07B6E" w:rsidRDefault="00D07B6E" w:rsidP="00A4618E">
    <w:pPr>
      <w:pStyle w:val="Nagwek"/>
      <w:jc w:val="center"/>
      <w:rPr>
        <w:noProof/>
        <w:lang w:eastAsia="pl-PL"/>
      </w:rPr>
    </w:pPr>
  </w:p>
  <w:p w14:paraId="500ADAB9" w14:textId="77777777" w:rsidR="00D07B6E" w:rsidRDefault="00D07B6E">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30129126" wp14:editId="535733E3">
              <wp:simplePos x="0" y="0"/>
              <wp:positionH relativeFrom="column">
                <wp:posOffset>5287976</wp:posOffset>
              </wp:positionH>
              <wp:positionV relativeFrom="paragraph">
                <wp:posOffset>266065</wp:posOffset>
              </wp:positionV>
              <wp:extent cx="1432293" cy="336589"/>
              <wp:effectExtent l="0" t="0" r="0" b="6350"/>
              <wp:wrapNone/>
              <wp:docPr id="8" name="Pole tekstowe 2" descr="24 March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A8D3566" w14:textId="420FF854" w:rsidR="00D07B6E" w:rsidRDefault="00D07B6E" w:rsidP="00F049AB">
                          <w:pPr>
                            <w:pStyle w:val="Datainformacjisygnalnej"/>
                          </w:pPr>
                          <w:r w:rsidRPr="00E236E6">
                            <w:t>2</w:t>
                          </w:r>
                          <w:r w:rsidR="000B4223">
                            <w:t>3</w:t>
                          </w:r>
                          <w:r w:rsidR="00567304">
                            <w:t>.</w:t>
                          </w:r>
                          <w:r w:rsidR="000B4223">
                            <w:t>03</w:t>
                          </w:r>
                          <w:r w:rsidR="00567304">
                            <w:t>.</w:t>
                          </w:r>
                          <w:r w:rsidRPr="00E236E6">
                            <w:t>202</w:t>
                          </w:r>
                          <w:r w:rsidR="000B4223">
                            <w:t>6</w:t>
                          </w:r>
                        </w:p>
                        <w:p w14:paraId="79B6808F" w14:textId="77777777" w:rsidR="000B4223" w:rsidRPr="00E236E6" w:rsidRDefault="000B4223" w:rsidP="00F049AB">
                          <w:pPr>
                            <w:pStyle w:val="Datainformacjisygnalnej"/>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29126" id="_x0000_t202" coordsize="21600,21600" o:spt="202" path="m,l,21600r21600,l21600,xe">
              <v:stroke joinstyle="miter"/>
              <v:path gradientshapeok="t" o:connecttype="rect"/>
            </v:shapetype>
            <v:shape id="_x0000_s1031" type="#_x0000_t202" alt="24 March 2024"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" filled="f" stroked="f">
              <v:textbox>
                <w:txbxContent>
                  <w:p w14:paraId="0A8D3566" w14:textId="420FF854" w:rsidR="00D07B6E" w:rsidRDefault="00D07B6E" w:rsidP="00F049AB">
                    <w:pPr>
                      <w:pStyle w:val="Datainformacjisygnalnej"/>
                    </w:pPr>
                    <w:r w:rsidRPr="00E236E6">
                      <w:t>2</w:t>
                    </w:r>
                    <w:r w:rsidR="000B4223">
                      <w:t>3</w:t>
                    </w:r>
                    <w:r w:rsidR="00567304">
                      <w:t>.</w:t>
                    </w:r>
                    <w:r w:rsidR="000B4223">
                      <w:t>03</w:t>
                    </w:r>
                    <w:r w:rsidR="00567304">
                      <w:t>.</w:t>
                    </w:r>
                    <w:r w:rsidRPr="00E236E6">
                      <w:t>202</w:t>
                    </w:r>
                    <w:r w:rsidR="000B4223">
                      <w:t>6</w:t>
                    </w:r>
                  </w:p>
                  <w:p w14:paraId="79B6808F" w14:textId="77777777" w:rsidR="000B4223" w:rsidRPr="00E236E6" w:rsidRDefault="000B4223" w:rsidP="00F049AB">
                    <w:pPr>
                      <w:pStyle w:val="Datainformacjisygnalnej"/>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5092B" w14:textId="77777777" w:rsidR="00D07B6E" w:rsidRDefault="00D07B6E">
    <w:pPr>
      <w:pStyle w:val="Nagwek"/>
    </w:pPr>
  </w:p>
  <w:p w14:paraId="1EFD84EC" w14:textId="77777777" w:rsidR="00D07B6E" w:rsidRDefault="00D07B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85pt;height:126.15pt;visibility:visible;mso-wrap-style:square" o:bullet="t">
        <v:imagedata r:id="rId1" o:title=""/>
      </v:shape>
    </w:pict>
  </w:numPicBullet>
  <w:numPicBullet w:numPicBulletId="1">
    <w:pict>
      <v:shape id="_x0000_i1035" type="#_x0000_t75" style="width:123.85pt;height:126.1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8DB"/>
    <w:rsid w:val="00001862"/>
    <w:rsid w:val="00001C5B"/>
    <w:rsid w:val="00003437"/>
    <w:rsid w:val="000035CC"/>
    <w:rsid w:val="0000709F"/>
    <w:rsid w:val="0000772B"/>
    <w:rsid w:val="00007B33"/>
    <w:rsid w:val="000108B8"/>
    <w:rsid w:val="0001278A"/>
    <w:rsid w:val="000134FA"/>
    <w:rsid w:val="00013CCA"/>
    <w:rsid w:val="00014CF2"/>
    <w:rsid w:val="000152F5"/>
    <w:rsid w:val="00016094"/>
    <w:rsid w:val="00016C07"/>
    <w:rsid w:val="00020513"/>
    <w:rsid w:val="00020B93"/>
    <w:rsid w:val="00021CD0"/>
    <w:rsid w:val="0002510A"/>
    <w:rsid w:val="00025BFB"/>
    <w:rsid w:val="0003127F"/>
    <w:rsid w:val="000329FB"/>
    <w:rsid w:val="00032E5B"/>
    <w:rsid w:val="00034649"/>
    <w:rsid w:val="00041A84"/>
    <w:rsid w:val="0004200D"/>
    <w:rsid w:val="0004238A"/>
    <w:rsid w:val="00042884"/>
    <w:rsid w:val="00044A91"/>
    <w:rsid w:val="00044E8A"/>
    <w:rsid w:val="0004582E"/>
    <w:rsid w:val="00045D14"/>
    <w:rsid w:val="000460CF"/>
    <w:rsid w:val="000470AA"/>
    <w:rsid w:val="000500B3"/>
    <w:rsid w:val="00050362"/>
    <w:rsid w:val="00051C02"/>
    <w:rsid w:val="00052A45"/>
    <w:rsid w:val="00052DFF"/>
    <w:rsid w:val="00055090"/>
    <w:rsid w:val="00056AB1"/>
    <w:rsid w:val="00057CA1"/>
    <w:rsid w:val="00060855"/>
    <w:rsid w:val="0006393F"/>
    <w:rsid w:val="000647A9"/>
    <w:rsid w:val="00064A68"/>
    <w:rsid w:val="000662E2"/>
    <w:rsid w:val="00066883"/>
    <w:rsid w:val="000673D6"/>
    <w:rsid w:val="00070780"/>
    <w:rsid w:val="00070F40"/>
    <w:rsid w:val="00071B39"/>
    <w:rsid w:val="0007241E"/>
    <w:rsid w:val="0007393F"/>
    <w:rsid w:val="00074DD8"/>
    <w:rsid w:val="00075759"/>
    <w:rsid w:val="000806F7"/>
    <w:rsid w:val="00087DFD"/>
    <w:rsid w:val="00090E14"/>
    <w:rsid w:val="00094F98"/>
    <w:rsid w:val="000966AA"/>
    <w:rsid w:val="00097840"/>
    <w:rsid w:val="000A24BB"/>
    <w:rsid w:val="000A3869"/>
    <w:rsid w:val="000A4B6B"/>
    <w:rsid w:val="000A6B4D"/>
    <w:rsid w:val="000A704D"/>
    <w:rsid w:val="000B0727"/>
    <w:rsid w:val="000B186A"/>
    <w:rsid w:val="000B221C"/>
    <w:rsid w:val="000B3144"/>
    <w:rsid w:val="000B4223"/>
    <w:rsid w:val="000C135D"/>
    <w:rsid w:val="000C3309"/>
    <w:rsid w:val="000C4481"/>
    <w:rsid w:val="000C53FB"/>
    <w:rsid w:val="000C7B1D"/>
    <w:rsid w:val="000D1371"/>
    <w:rsid w:val="000D1D43"/>
    <w:rsid w:val="000D225C"/>
    <w:rsid w:val="000D2A5C"/>
    <w:rsid w:val="000D39F0"/>
    <w:rsid w:val="000D4C83"/>
    <w:rsid w:val="000D4D9A"/>
    <w:rsid w:val="000D6B79"/>
    <w:rsid w:val="000D7F05"/>
    <w:rsid w:val="000E0918"/>
    <w:rsid w:val="000E111B"/>
    <w:rsid w:val="000E1DE1"/>
    <w:rsid w:val="000E1F53"/>
    <w:rsid w:val="000E5115"/>
    <w:rsid w:val="000E79A9"/>
    <w:rsid w:val="000F098A"/>
    <w:rsid w:val="000F0BBF"/>
    <w:rsid w:val="000F3DBE"/>
    <w:rsid w:val="000F4FFC"/>
    <w:rsid w:val="000F569C"/>
    <w:rsid w:val="000F73C9"/>
    <w:rsid w:val="001011C3"/>
    <w:rsid w:val="00101BDF"/>
    <w:rsid w:val="00102335"/>
    <w:rsid w:val="001032FE"/>
    <w:rsid w:val="00103497"/>
    <w:rsid w:val="00103C1F"/>
    <w:rsid w:val="00104B41"/>
    <w:rsid w:val="00105413"/>
    <w:rsid w:val="00105D72"/>
    <w:rsid w:val="00106DA3"/>
    <w:rsid w:val="00110214"/>
    <w:rsid w:val="001103CE"/>
    <w:rsid w:val="0011066C"/>
    <w:rsid w:val="00110D87"/>
    <w:rsid w:val="00112399"/>
    <w:rsid w:val="00114DB9"/>
    <w:rsid w:val="0011505F"/>
    <w:rsid w:val="00116087"/>
    <w:rsid w:val="0011687B"/>
    <w:rsid w:val="00117711"/>
    <w:rsid w:val="0012073D"/>
    <w:rsid w:val="00124A93"/>
    <w:rsid w:val="001256E4"/>
    <w:rsid w:val="001260F9"/>
    <w:rsid w:val="00126B24"/>
    <w:rsid w:val="00127387"/>
    <w:rsid w:val="0013019A"/>
    <w:rsid w:val="00130296"/>
    <w:rsid w:val="001308BC"/>
    <w:rsid w:val="001316F3"/>
    <w:rsid w:val="00134145"/>
    <w:rsid w:val="00134287"/>
    <w:rsid w:val="00135973"/>
    <w:rsid w:val="00135AD5"/>
    <w:rsid w:val="00136736"/>
    <w:rsid w:val="00136740"/>
    <w:rsid w:val="00136D67"/>
    <w:rsid w:val="0014062E"/>
    <w:rsid w:val="001423B6"/>
    <w:rsid w:val="001448A7"/>
    <w:rsid w:val="0014577D"/>
    <w:rsid w:val="00146621"/>
    <w:rsid w:val="00151ACF"/>
    <w:rsid w:val="00152DA7"/>
    <w:rsid w:val="00152F9B"/>
    <w:rsid w:val="00153D6F"/>
    <w:rsid w:val="0015483D"/>
    <w:rsid w:val="00154E02"/>
    <w:rsid w:val="001554F0"/>
    <w:rsid w:val="00156F04"/>
    <w:rsid w:val="001617E3"/>
    <w:rsid w:val="00162325"/>
    <w:rsid w:val="00163EB3"/>
    <w:rsid w:val="001674FB"/>
    <w:rsid w:val="001754B7"/>
    <w:rsid w:val="00180FCF"/>
    <w:rsid w:val="001810EC"/>
    <w:rsid w:val="00181389"/>
    <w:rsid w:val="00183F5E"/>
    <w:rsid w:val="00185330"/>
    <w:rsid w:val="0018695A"/>
    <w:rsid w:val="0018717E"/>
    <w:rsid w:val="001917EC"/>
    <w:rsid w:val="00192784"/>
    <w:rsid w:val="00194B3B"/>
    <w:rsid w:val="001951DA"/>
    <w:rsid w:val="001A1F31"/>
    <w:rsid w:val="001A3929"/>
    <w:rsid w:val="001A4BEB"/>
    <w:rsid w:val="001A52B2"/>
    <w:rsid w:val="001A694D"/>
    <w:rsid w:val="001A7445"/>
    <w:rsid w:val="001B0077"/>
    <w:rsid w:val="001B053D"/>
    <w:rsid w:val="001C3269"/>
    <w:rsid w:val="001C3BF6"/>
    <w:rsid w:val="001D19B6"/>
    <w:rsid w:val="001D1DB4"/>
    <w:rsid w:val="001D23F1"/>
    <w:rsid w:val="001D25F9"/>
    <w:rsid w:val="001D4A47"/>
    <w:rsid w:val="001D4CFA"/>
    <w:rsid w:val="001D52B5"/>
    <w:rsid w:val="001D61ED"/>
    <w:rsid w:val="001D7293"/>
    <w:rsid w:val="001E17D8"/>
    <w:rsid w:val="001E461E"/>
    <w:rsid w:val="001E4C01"/>
    <w:rsid w:val="001E5B2D"/>
    <w:rsid w:val="001E6421"/>
    <w:rsid w:val="001F1031"/>
    <w:rsid w:val="001F2A4B"/>
    <w:rsid w:val="001F2DD4"/>
    <w:rsid w:val="001F3139"/>
    <w:rsid w:val="001F35F9"/>
    <w:rsid w:val="001F5147"/>
    <w:rsid w:val="001F52BE"/>
    <w:rsid w:val="002010C0"/>
    <w:rsid w:val="00201344"/>
    <w:rsid w:val="0020156C"/>
    <w:rsid w:val="002016A0"/>
    <w:rsid w:val="002021A6"/>
    <w:rsid w:val="00205604"/>
    <w:rsid w:val="00206ACB"/>
    <w:rsid w:val="00210330"/>
    <w:rsid w:val="00211A37"/>
    <w:rsid w:val="0021211E"/>
    <w:rsid w:val="00212CAD"/>
    <w:rsid w:val="002135BF"/>
    <w:rsid w:val="00214023"/>
    <w:rsid w:val="002157D3"/>
    <w:rsid w:val="00216634"/>
    <w:rsid w:val="0021678F"/>
    <w:rsid w:val="00217DFF"/>
    <w:rsid w:val="002229F7"/>
    <w:rsid w:val="00222B00"/>
    <w:rsid w:val="00231E97"/>
    <w:rsid w:val="00240BDE"/>
    <w:rsid w:val="00242D31"/>
    <w:rsid w:val="00242D4D"/>
    <w:rsid w:val="00243CF9"/>
    <w:rsid w:val="0024534E"/>
    <w:rsid w:val="002460E2"/>
    <w:rsid w:val="002464C7"/>
    <w:rsid w:val="00253868"/>
    <w:rsid w:val="0025481E"/>
    <w:rsid w:val="002574F9"/>
    <w:rsid w:val="00260F7D"/>
    <w:rsid w:val="002628A8"/>
    <w:rsid w:val="002629E5"/>
    <w:rsid w:val="00262B61"/>
    <w:rsid w:val="00262CC6"/>
    <w:rsid w:val="00263E08"/>
    <w:rsid w:val="002659FF"/>
    <w:rsid w:val="00267DD6"/>
    <w:rsid w:val="00270B75"/>
    <w:rsid w:val="00271CB1"/>
    <w:rsid w:val="00272B75"/>
    <w:rsid w:val="00274BB3"/>
    <w:rsid w:val="00276722"/>
    <w:rsid w:val="00276811"/>
    <w:rsid w:val="002779CE"/>
    <w:rsid w:val="00277E49"/>
    <w:rsid w:val="00282699"/>
    <w:rsid w:val="002850FC"/>
    <w:rsid w:val="00285571"/>
    <w:rsid w:val="002909D3"/>
    <w:rsid w:val="002917FC"/>
    <w:rsid w:val="00291828"/>
    <w:rsid w:val="0029200D"/>
    <w:rsid w:val="00292307"/>
    <w:rsid w:val="002926DF"/>
    <w:rsid w:val="00292ED0"/>
    <w:rsid w:val="00293571"/>
    <w:rsid w:val="0029487A"/>
    <w:rsid w:val="00295248"/>
    <w:rsid w:val="00296697"/>
    <w:rsid w:val="002A148E"/>
    <w:rsid w:val="002A184F"/>
    <w:rsid w:val="002A1BCC"/>
    <w:rsid w:val="002A322D"/>
    <w:rsid w:val="002A3A25"/>
    <w:rsid w:val="002A4195"/>
    <w:rsid w:val="002A5266"/>
    <w:rsid w:val="002A7A13"/>
    <w:rsid w:val="002B0472"/>
    <w:rsid w:val="002B3DE2"/>
    <w:rsid w:val="002B43B1"/>
    <w:rsid w:val="002B45FD"/>
    <w:rsid w:val="002B4EEE"/>
    <w:rsid w:val="002B55E7"/>
    <w:rsid w:val="002B6A6F"/>
    <w:rsid w:val="002B6B12"/>
    <w:rsid w:val="002C1868"/>
    <w:rsid w:val="002C21F0"/>
    <w:rsid w:val="002C78DB"/>
    <w:rsid w:val="002D01DF"/>
    <w:rsid w:val="002D0BDC"/>
    <w:rsid w:val="002D3569"/>
    <w:rsid w:val="002D41D9"/>
    <w:rsid w:val="002E01C4"/>
    <w:rsid w:val="002E2973"/>
    <w:rsid w:val="002E3EB3"/>
    <w:rsid w:val="002E5334"/>
    <w:rsid w:val="002E6140"/>
    <w:rsid w:val="002E6985"/>
    <w:rsid w:val="002E71B6"/>
    <w:rsid w:val="002F1A7C"/>
    <w:rsid w:val="002F35F6"/>
    <w:rsid w:val="002F40EE"/>
    <w:rsid w:val="002F66A0"/>
    <w:rsid w:val="002F77C8"/>
    <w:rsid w:val="00304F22"/>
    <w:rsid w:val="00305726"/>
    <w:rsid w:val="00305BF9"/>
    <w:rsid w:val="00306C7C"/>
    <w:rsid w:val="00307568"/>
    <w:rsid w:val="00313AF8"/>
    <w:rsid w:val="00314F86"/>
    <w:rsid w:val="00315658"/>
    <w:rsid w:val="003167BB"/>
    <w:rsid w:val="003167F9"/>
    <w:rsid w:val="00316BD7"/>
    <w:rsid w:val="00317F4D"/>
    <w:rsid w:val="00322EDD"/>
    <w:rsid w:val="00323B73"/>
    <w:rsid w:val="00324815"/>
    <w:rsid w:val="003266F6"/>
    <w:rsid w:val="0032733A"/>
    <w:rsid w:val="00330238"/>
    <w:rsid w:val="003309FA"/>
    <w:rsid w:val="00330C1D"/>
    <w:rsid w:val="00332320"/>
    <w:rsid w:val="0033552B"/>
    <w:rsid w:val="00337E03"/>
    <w:rsid w:val="00343AC0"/>
    <w:rsid w:val="0034551B"/>
    <w:rsid w:val="00345BEC"/>
    <w:rsid w:val="0034697C"/>
    <w:rsid w:val="0034734F"/>
    <w:rsid w:val="00347D72"/>
    <w:rsid w:val="00353F45"/>
    <w:rsid w:val="00355824"/>
    <w:rsid w:val="00355FC7"/>
    <w:rsid w:val="003560D5"/>
    <w:rsid w:val="003560DD"/>
    <w:rsid w:val="00357611"/>
    <w:rsid w:val="0036432A"/>
    <w:rsid w:val="0036441F"/>
    <w:rsid w:val="00364AF9"/>
    <w:rsid w:val="0036649C"/>
    <w:rsid w:val="0036669D"/>
    <w:rsid w:val="00366EAE"/>
    <w:rsid w:val="00367237"/>
    <w:rsid w:val="0037077F"/>
    <w:rsid w:val="0037213D"/>
    <w:rsid w:val="00372411"/>
    <w:rsid w:val="00372A08"/>
    <w:rsid w:val="00373882"/>
    <w:rsid w:val="00376654"/>
    <w:rsid w:val="00376AA1"/>
    <w:rsid w:val="00380091"/>
    <w:rsid w:val="0038321E"/>
    <w:rsid w:val="003843DB"/>
    <w:rsid w:val="00384453"/>
    <w:rsid w:val="00384936"/>
    <w:rsid w:val="00385CAC"/>
    <w:rsid w:val="003907BE"/>
    <w:rsid w:val="003919D0"/>
    <w:rsid w:val="00393761"/>
    <w:rsid w:val="00394972"/>
    <w:rsid w:val="003949F3"/>
    <w:rsid w:val="00394E26"/>
    <w:rsid w:val="00395F56"/>
    <w:rsid w:val="00396691"/>
    <w:rsid w:val="00397285"/>
    <w:rsid w:val="00397D18"/>
    <w:rsid w:val="003A1B36"/>
    <w:rsid w:val="003A322D"/>
    <w:rsid w:val="003A435D"/>
    <w:rsid w:val="003A49F3"/>
    <w:rsid w:val="003A5AEE"/>
    <w:rsid w:val="003A7976"/>
    <w:rsid w:val="003B1454"/>
    <w:rsid w:val="003B18B6"/>
    <w:rsid w:val="003B3805"/>
    <w:rsid w:val="003B6DE2"/>
    <w:rsid w:val="003B7711"/>
    <w:rsid w:val="003C04C8"/>
    <w:rsid w:val="003C161B"/>
    <w:rsid w:val="003C1829"/>
    <w:rsid w:val="003C484F"/>
    <w:rsid w:val="003C4884"/>
    <w:rsid w:val="003C594E"/>
    <w:rsid w:val="003C59E0"/>
    <w:rsid w:val="003C6C8D"/>
    <w:rsid w:val="003D1555"/>
    <w:rsid w:val="003D2165"/>
    <w:rsid w:val="003D2656"/>
    <w:rsid w:val="003D38C8"/>
    <w:rsid w:val="003D3AD2"/>
    <w:rsid w:val="003D3E45"/>
    <w:rsid w:val="003D4F95"/>
    <w:rsid w:val="003D5F42"/>
    <w:rsid w:val="003D60A9"/>
    <w:rsid w:val="003D74B5"/>
    <w:rsid w:val="003E02E4"/>
    <w:rsid w:val="003E0450"/>
    <w:rsid w:val="003E1412"/>
    <w:rsid w:val="003E1D0A"/>
    <w:rsid w:val="003E2819"/>
    <w:rsid w:val="003E5C5D"/>
    <w:rsid w:val="003F0383"/>
    <w:rsid w:val="003F0B19"/>
    <w:rsid w:val="003F299D"/>
    <w:rsid w:val="003F4C97"/>
    <w:rsid w:val="003F64B4"/>
    <w:rsid w:val="003F666D"/>
    <w:rsid w:val="003F7FE6"/>
    <w:rsid w:val="00400193"/>
    <w:rsid w:val="00402134"/>
    <w:rsid w:val="00402418"/>
    <w:rsid w:val="00402B55"/>
    <w:rsid w:val="00404BE5"/>
    <w:rsid w:val="004070B9"/>
    <w:rsid w:val="00407124"/>
    <w:rsid w:val="0040738A"/>
    <w:rsid w:val="00411874"/>
    <w:rsid w:val="00414812"/>
    <w:rsid w:val="00414BB9"/>
    <w:rsid w:val="004168AD"/>
    <w:rsid w:val="00416EAF"/>
    <w:rsid w:val="0041737C"/>
    <w:rsid w:val="0042073D"/>
    <w:rsid w:val="004212E7"/>
    <w:rsid w:val="00422D7F"/>
    <w:rsid w:val="00423C88"/>
    <w:rsid w:val="0042446D"/>
    <w:rsid w:val="00424FF0"/>
    <w:rsid w:val="0042536A"/>
    <w:rsid w:val="00425D08"/>
    <w:rsid w:val="00426075"/>
    <w:rsid w:val="00427BF8"/>
    <w:rsid w:val="00427D20"/>
    <w:rsid w:val="00431C02"/>
    <w:rsid w:val="004320B7"/>
    <w:rsid w:val="00433406"/>
    <w:rsid w:val="00435994"/>
    <w:rsid w:val="00435E82"/>
    <w:rsid w:val="004360A0"/>
    <w:rsid w:val="00437198"/>
    <w:rsid w:val="00437395"/>
    <w:rsid w:val="004373A5"/>
    <w:rsid w:val="004374E5"/>
    <w:rsid w:val="00441949"/>
    <w:rsid w:val="004436B6"/>
    <w:rsid w:val="00443965"/>
    <w:rsid w:val="00444C60"/>
    <w:rsid w:val="00445047"/>
    <w:rsid w:val="00446749"/>
    <w:rsid w:val="00451ED0"/>
    <w:rsid w:val="00453EB7"/>
    <w:rsid w:val="00461993"/>
    <w:rsid w:val="004624A1"/>
    <w:rsid w:val="00463E39"/>
    <w:rsid w:val="004657FC"/>
    <w:rsid w:val="00465E17"/>
    <w:rsid w:val="00465FAA"/>
    <w:rsid w:val="00467D6C"/>
    <w:rsid w:val="00470554"/>
    <w:rsid w:val="004733F6"/>
    <w:rsid w:val="004739AE"/>
    <w:rsid w:val="00473CCE"/>
    <w:rsid w:val="00474E69"/>
    <w:rsid w:val="004760C0"/>
    <w:rsid w:val="00482173"/>
    <w:rsid w:val="00482DFF"/>
    <w:rsid w:val="00483015"/>
    <w:rsid w:val="00483E9F"/>
    <w:rsid w:val="00484982"/>
    <w:rsid w:val="00485A2C"/>
    <w:rsid w:val="00486611"/>
    <w:rsid w:val="00487913"/>
    <w:rsid w:val="00487B1D"/>
    <w:rsid w:val="004907EA"/>
    <w:rsid w:val="00492107"/>
    <w:rsid w:val="00492900"/>
    <w:rsid w:val="0049621B"/>
    <w:rsid w:val="004A1C9A"/>
    <w:rsid w:val="004A1D19"/>
    <w:rsid w:val="004A3DC9"/>
    <w:rsid w:val="004A6760"/>
    <w:rsid w:val="004B2A2C"/>
    <w:rsid w:val="004B512B"/>
    <w:rsid w:val="004B6CC5"/>
    <w:rsid w:val="004B72C8"/>
    <w:rsid w:val="004C1895"/>
    <w:rsid w:val="004C38CE"/>
    <w:rsid w:val="004C5B26"/>
    <w:rsid w:val="004C6D40"/>
    <w:rsid w:val="004D024E"/>
    <w:rsid w:val="004D25FD"/>
    <w:rsid w:val="004D285F"/>
    <w:rsid w:val="004D42AB"/>
    <w:rsid w:val="004D6768"/>
    <w:rsid w:val="004E0A2D"/>
    <w:rsid w:val="004E2D98"/>
    <w:rsid w:val="004E6585"/>
    <w:rsid w:val="004E6AA8"/>
    <w:rsid w:val="004F00CF"/>
    <w:rsid w:val="004F0C3C"/>
    <w:rsid w:val="004F1022"/>
    <w:rsid w:val="004F2280"/>
    <w:rsid w:val="004F23BB"/>
    <w:rsid w:val="004F63FC"/>
    <w:rsid w:val="00502D43"/>
    <w:rsid w:val="00503DBD"/>
    <w:rsid w:val="00505622"/>
    <w:rsid w:val="00505A92"/>
    <w:rsid w:val="0050636B"/>
    <w:rsid w:val="00507F41"/>
    <w:rsid w:val="00511084"/>
    <w:rsid w:val="00512E1E"/>
    <w:rsid w:val="00512EBD"/>
    <w:rsid w:val="0051392B"/>
    <w:rsid w:val="005203F1"/>
    <w:rsid w:val="005205EF"/>
    <w:rsid w:val="0052065E"/>
    <w:rsid w:val="00521BC3"/>
    <w:rsid w:val="00524DC1"/>
    <w:rsid w:val="0052519F"/>
    <w:rsid w:val="00525714"/>
    <w:rsid w:val="005264A3"/>
    <w:rsid w:val="00531C40"/>
    <w:rsid w:val="00533632"/>
    <w:rsid w:val="00534013"/>
    <w:rsid w:val="00535095"/>
    <w:rsid w:val="00535F6B"/>
    <w:rsid w:val="00536944"/>
    <w:rsid w:val="00537B5C"/>
    <w:rsid w:val="00540C5C"/>
    <w:rsid w:val="00541CA8"/>
    <w:rsid w:val="00541E6E"/>
    <w:rsid w:val="0054251F"/>
    <w:rsid w:val="00542A35"/>
    <w:rsid w:val="0054431D"/>
    <w:rsid w:val="00544B94"/>
    <w:rsid w:val="00547504"/>
    <w:rsid w:val="00547865"/>
    <w:rsid w:val="00547CE0"/>
    <w:rsid w:val="00551198"/>
    <w:rsid w:val="005520D8"/>
    <w:rsid w:val="0055280A"/>
    <w:rsid w:val="005546B8"/>
    <w:rsid w:val="00554DFB"/>
    <w:rsid w:val="00555354"/>
    <w:rsid w:val="00555CFB"/>
    <w:rsid w:val="00556CF1"/>
    <w:rsid w:val="00557641"/>
    <w:rsid w:val="0056350D"/>
    <w:rsid w:val="00564C18"/>
    <w:rsid w:val="00565BBA"/>
    <w:rsid w:val="00566CE5"/>
    <w:rsid w:val="00567304"/>
    <w:rsid w:val="00570282"/>
    <w:rsid w:val="00571CEB"/>
    <w:rsid w:val="00572646"/>
    <w:rsid w:val="00572B59"/>
    <w:rsid w:val="00573E17"/>
    <w:rsid w:val="005762A7"/>
    <w:rsid w:val="00577388"/>
    <w:rsid w:val="00581303"/>
    <w:rsid w:val="005819DE"/>
    <w:rsid w:val="00583DE8"/>
    <w:rsid w:val="00584F22"/>
    <w:rsid w:val="0058647C"/>
    <w:rsid w:val="00587CEE"/>
    <w:rsid w:val="00591207"/>
    <w:rsid w:val="005916D7"/>
    <w:rsid w:val="005924D8"/>
    <w:rsid w:val="0059427F"/>
    <w:rsid w:val="005961D3"/>
    <w:rsid w:val="005A07CF"/>
    <w:rsid w:val="005A2C10"/>
    <w:rsid w:val="005A4067"/>
    <w:rsid w:val="005A46DC"/>
    <w:rsid w:val="005A5446"/>
    <w:rsid w:val="005A61A5"/>
    <w:rsid w:val="005A6282"/>
    <w:rsid w:val="005A698C"/>
    <w:rsid w:val="005A7E82"/>
    <w:rsid w:val="005B1612"/>
    <w:rsid w:val="005B5596"/>
    <w:rsid w:val="005B58CC"/>
    <w:rsid w:val="005B5FE7"/>
    <w:rsid w:val="005C09D7"/>
    <w:rsid w:val="005C0CAC"/>
    <w:rsid w:val="005C1C3C"/>
    <w:rsid w:val="005C1F47"/>
    <w:rsid w:val="005C219A"/>
    <w:rsid w:val="005C34D1"/>
    <w:rsid w:val="005C4593"/>
    <w:rsid w:val="005C5AE9"/>
    <w:rsid w:val="005C661A"/>
    <w:rsid w:val="005D062E"/>
    <w:rsid w:val="005D0B71"/>
    <w:rsid w:val="005D5688"/>
    <w:rsid w:val="005D62D7"/>
    <w:rsid w:val="005E0799"/>
    <w:rsid w:val="005E10F9"/>
    <w:rsid w:val="005E1200"/>
    <w:rsid w:val="005E2FD1"/>
    <w:rsid w:val="005E53A7"/>
    <w:rsid w:val="005E610B"/>
    <w:rsid w:val="005F093C"/>
    <w:rsid w:val="005F0A04"/>
    <w:rsid w:val="005F0FE0"/>
    <w:rsid w:val="005F2C9B"/>
    <w:rsid w:val="005F368B"/>
    <w:rsid w:val="005F42C9"/>
    <w:rsid w:val="005F45EE"/>
    <w:rsid w:val="005F5A80"/>
    <w:rsid w:val="00600CEF"/>
    <w:rsid w:val="00601C0C"/>
    <w:rsid w:val="006044FF"/>
    <w:rsid w:val="0060713B"/>
    <w:rsid w:val="00607CC5"/>
    <w:rsid w:val="0061179B"/>
    <w:rsid w:val="006125F9"/>
    <w:rsid w:val="0061419E"/>
    <w:rsid w:val="00614F47"/>
    <w:rsid w:val="00617B81"/>
    <w:rsid w:val="006234F0"/>
    <w:rsid w:val="006256EE"/>
    <w:rsid w:val="00625A2F"/>
    <w:rsid w:val="0063106A"/>
    <w:rsid w:val="006322E0"/>
    <w:rsid w:val="00633014"/>
    <w:rsid w:val="0063437B"/>
    <w:rsid w:val="0064017E"/>
    <w:rsid w:val="006430E8"/>
    <w:rsid w:val="00645C71"/>
    <w:rsid w:val="00647EAC"/>
    <w:rsid w:val="0065193B"/>
    <w:rsid w:val="00651DBD"/>
    <w:rsid w:val="00653353"/>
    <w:rsid w:val="00653624"/>
    <w:rsid w:val="00653CD8"/>
    <w:rsid w:val="00653DC3"/>
    <w:rsid w:val="00654BB6"/>
    <w:rsid w:val="00662BAA"/>
    <w:rsid w:val="00662F88"/>
    <w:rsid w:val="00666A75"/>
    <w:rsid w:val="00666CAE"/>
    <w:rsid w:val="006673CA"/>
    <w:rsid w:val="006678B2"/>
    <w:rsid w:val="0066791D"/>
    <w:rsid w:val="00667B83"/>
    <w:rsid w:val="00673C26"/>
    <w:rsid w:val="00673D11"/>
    <w:rsid w:val="00674DE5"/>
    <w:rsid w:val="006751B6"/>
    <w:rsid w:val="006759C4"/>
    <w:rsid w:val="00677ACA"/>
    <w:rsid w:val="00680981"/>
    <w:rsid w:val="00680AFC"/>
    <w:rsid w:val="006812AF"/>
    <w:rsid w:val="0068234C"/>
    <w:rsid w:val="0068327D"/>
    <w:rsid w:val="0068498F"/>
    <w:rsid w:val="00685A49"/>
    <w:rsid w:val="00691278"/>
    <w:rsid w:val="00691534"/>
    <w:rsid w:val="00693880"/>
    <w:rsid w:val="006938F9"/>
    <w:rsid w:val="0069427F"/>
    <w:rsid w:val="00694AF0"/>
    <w:rsid w:val="006A00AD"/>
    <w:rsid w:val="006A06CE"/>
    <w:rsid w:val="006A11ED"/>
    <w:rsid w:val="006A127E"/>
    <w:rsid w:val="006A24EF"/>
    <w:rsid w:val="006A2792"/>
    <w:rsid w:val="006A39FF"/>
    <w:rsid w:val="006A3A0F"/>
    <w:rsid w:val="006A42BB"/>
    <w:rsid w:val="006A4686"/>
    <w:rsid w:val="006B017D"/>
    <w:rsid w:val="006B0E9E"/>
    <w:rsid w:val="006B1BB5"/>
    <w:rsid w:val="006B38EF"/>
    <w:rsid w:val="006B486D"/>
    <w:rsid w:val="006B5AE4"/>
    <w:rsid w:val="006B5FED"/>
    <w:rsid w:val="006B618D"/>
    <w:rsid w:val="006B6AE3"/>
    <w:rsid w:val="006B6ED4"/>
    <w:rsid w:val="006C1126"/>
    <w:rsid w:val="006C197A"/>
    <w:rsid w:val="006C2517"/>
    <w:rsid w:val="006C469F"/>
    <w:rsid w:val="006C5016"/>
    <w:rsid w:val="006C6363"/>
    <w:rsid w:val="006C6656"/>
    <w:rsid w:val="006D1507"/>
    <w:rsid w:val="006D3021"/>
    <w:rsid w:val="006D4054"/>
    <w:rsid w:val="006D4245"/>
    <w:rsid w:val="006D51C3"/>
    <w:rsid w:val="006D7459"/>
    <w:rsid w:val="006E02EC"/>
    <w:rsid w:val="006E0661"/>
    <w:rsid w:val="006E149D"/>
    <w:rsid w:val="006E1D67"/>
    <w:rsid w:val="006E2C57"/>
    <w:rsid w:val="006E3C4F"/>
    <w:rsid w:val="006E47C0"/>
    <w:rsid w:val="006E6F41"/>
    <w:rsid w:val="006E73E6"/>
    <w:rsid w:val="006F32DD"/>
    <w:rsid w:val="006F616B"/>
    <w:rsid w:val="006F644F"/>
    <w:rsid w:val="006F6954"/>
    <w:rsid w:val="0070015B"/>
    <w:rsid w:val="00701169"/>
    <w:rsid w:val="00702C95"/>
    <w:rsid w:val="0070334D"/>
    <w:rsid w:val="007033F8"/>
    <w:rsid w:val="0070437E"/>
    <w:rsid w:val="00705D01"/>
    <w:rsid w:val="00706F0E"/>
    <w:rsid w:val="00710BE5"/>
    <w:rsid w:val="0071142B"/>
    <w:rsid w:val="00712B90"/>
    <w:rsid w:val="00716184"/>
    <w:rsid w:val="0071657A"/>
    <w:rsid w:val="007209D9"/>
    <w:rsid w:val="007211B1"/>
    <w:rsid w:val="00723141"/>
    <w:rsid w:val="00723D03"/>
    <w:rsid w:val="007267B0"/>
    <w:rsid w:val="007277DA"/>
    <w:rsid w:val="00731D27"/>
    <w:rsid w:val="0073580A"/>
    <w:rsid w:val="007374AC"/>
    <w:rsid w:val="00741E46"/>
    <w:rsid w:val="00742204"/>
    <w:rsid w:val="00742234"/>
    <w:rsid w:val="0074336F"/>
    <w:rsid w:val="00743A2B"/>
    <w:rsid w:val="00746187"/>
    <w:rsid w:val="00746825"/>
    <w:rsid w:val="0075381D"/>
    <w:rsid w:val="00753FE8"/>
    <w:rsid w:val="00755E23"/>
    <w:rsid w:val="00755FFF"/>
    <w:rsid w:val="007562C7"/>
    <w:rsid w:val="00757997"/>
    <w:rsid w:val="00760B94"/>
    <w:rsid w:val="00761816"/>
    <w:rsid w:val="0076254F"/>
    <w:rsid w:val="007671F1"/>
    <w:rsid w:val="00767EAE"/>
    <w:rsid w:val="00771B1F"/>
    <w:rsid w:val="00771F5D"/>
    <w:rsid w:val="0077201D"/>
    <w:rsid w:val="00773A10"/>
    <w:rsid w:val="00773CA4"/>
    <w:rsid w:val="00774AA3"/>
    <w:rsid w:val="00775C1C"/>
    <w:rsid w:val="007801F5"/>
    <w:rsid w:val="0078097A"/>
    <w:rsid w:val="0078106C"/>
    <w:rsid w:val="0078354A"/>
    <w:rsid w:val="00783B9C"/>
    <w:rsid w:val="00783CA4"/>
    <w:rsid w:val="007842FB"/>
    <w:rsid w:val="00785FDD"/>
    <w:rsid w:val="00786124"/>
    <w:rsid w:val="00790059"/>
    <w:rsid w:val="00794071"/>
    <w:rsid w:val="0079514B"/>
    <w:rsid w:val="00795252"/>
    <w:rsid w:val="0079708E"/>
    <w:rsid w:val="007A021C"/>
    <w:rsid w:val="007A0435"/>
    <w:rsid w:val="007A0FD6"/>
    <w:rsid w:val="007A1242"/>
    <w:rsid w:val="007A2DC1"/>
    <w:rsid w:val="007A52AE"/>
    <w:rsid w:val="007B3447"/>
    <w:rsid w:val="007B3800"/>
    <w:rsid w:val="007B413E"/>
    <w:rsid w:val="007B6308"/>
    <w:rsid w:val="007B7D7A"/>
    <w:rsid w:val="007C1AA4"/>
    <w:rsid w:val="007C6DE6"/>
    <w:rsid w:val="007C736D"/>
    <w:rsid w:val="007D0869"/>
    <w:rsid w:val="007D144E"/>
    <w:rsid w:val="007D14C4"/>
    <w:rsid w:val="007D1549"/>
    <w:rsid w:val="007D3319"/>
    <w:rsid w:val="007D335D"/>
    <w:rsid w:val="007D491E"/>
    <w:rsid w:val="007D4A1B"/>
    <w:rsid w:val="007D50CD"/>
    <w:rsid w:val="007D530C"/>
    <w:rsid w:val="007D605C"/>
    <w:rsid w:val="007E056B"/>
    <w:rsid w:val="007E1C26"/>
    <w:rsid w:val="007E3314"/>
    <w:rsid w:val="007E3514"/>
    <w:rsid w:val="007E4B03"/>
    <w:rsid w:val="007E5FD3"/>
    <w:rsid w:val="007E6B8B"/>
    <w:rsid w:val="007F0F41"/>
    <w:rsid w:val="007F239D"/>
    <w:rsid w:val="007F324B"/>
    <w:rsid w:val="007F364A"/>
    <w:rsid w:val="00803031"/>
    <w:rsid w:val="0080354F"/>
    <w:rsid w:val="0080412E"/>
    <w:rsid w:val="0080553C"/>
    <w:rsid w:val="00805B46"/>
    <w:rsid w:val="00805DB4"/>
    <w:rsid w:val="008123AA"/>
    <w:rsid w:val="00812AD6"/>
    <w:rsid w:val="008130BB"/>
    <w:rsid w:val="0081409B"/>
    <w:rsid w:val="00815216"/>
    <w:rsid w:val="00815254"/>
    <w:rsid w:val="008225AD"/>
    <w:rsid w:val="0082262B"/>
    <w:rsid w:val="00822FF3"/>
    <w:rsid w:val="00823593"/>
    <w:rsid w:val="00825DC2"/>
    <w:rsid w:val="00831E2B"/>
    <w:rsid w:val="00832A64"/>
    <w:rsid w:val="00833348"/>
    <w:rsid w:val="00833FE5"/>
    <w:rsid w:val="0083412D"/>
    <w:rsid w:val="0083439D"/>
    <w:rsid w:val="00834AD3"/>
    <w:rsid w:val="00841249"/>
    <w:rsid w:val="0084342E"/>
    <w:rsid w:val="00843795"/>
    <w:rsid w:val="00845034"/>
    <w:rsid w:val="00847F0F"/>
    <w:rsid w:val="00850B7B"/>
    <w:rsid w:val="00850EE4"/>
    <w:rsid w:val="00852448"/>
    <w:rsid w:val="00853232"/>
    <w:rsid w:val="008545A0"/>
    <w:rsid w:val="00854825"/>
    <w:rsid w:val="00855887"/>
    <w:rsid w:val="0085725B"/>
    <w:rsid w:val="00857292"/>
    <w:rsid w:val="008576F7"/>
    <w:rsid w:val="00862E86"/>
    <w:rsid w:val="00864BC0"/>
    <w:rsid w:val="00871074"/>
    <w:rsid w:val="00872C6E"/>
    <w:rsid w:val="00872F39"/>
    <w:rsid w:val="00873FB0"/>
    <w:rsid w:val="00877F6C"/>
    <w:rsid w:val="00880777"/>
    <w:rsid w:val="00880C7F"/>
    <w:rsid w:val="00881DF5"/>
    <w:rsid w:val="0088258A"/>
    <w:rsid w:val="00883133"/>
    <w:rsid w:val="008841BE"/>
    <w:rsid w:val="00886332"/>
    <w:rsid w:val="00890E04"/>
    <w:rsid w:val="008925F0"/>
    <w:rsid w:val="00893150"/>
    <w:rsid w:val="00893C6C"/>
    <w:rsid w:val="0089448A"/>
    <w:rsid w:val="00894C23"/>
    <w:rsid w:val="008972E7"/>
    <w:rsid w:val="00897877"/>
    <w:rsid w:val="008A0B8C"/>
    <w:rsid w:val="008A0D96"/>
    <w:rsid w:val="008A0F3B"/>
    <w:rsid w:val="008A26D9"/>
    <w:rsid w:val="008A3947"/>
    <w:rsid w:val="008A6A00"/>
    <w:rsid w:val="008A7B5B"/>
    <w:rsid w:val="008A7C79"/>
    <w:rsid w:val="008A7E99"/>
    <w:rsid w:val="008B12D2"/>
    <w:rsid w:val="008B3CDD"/>
    <w:rsid w:val="008B5A0A"/>
    <w:rsid w:val="008C0C29"/>
    <w:rsid w:val="008C14E0"/>
    <w:rsid w:val="008C2C0B"/>
    <w:rsid w:val="008C33CC"/>
    <w:rsid w:val="008C496F"/>
    <w:rsid w:val="008C6440"/>
    <w:rsid w:val="008C7011"/>
    <w:rsid w:val="008C7569"/>
    <w:rsid w:val="008D02DA"/>
    <w:rsid w:val="008D237D"/>
    <w:rsid w:val="008D2D65"/>
    <w:rsid w:val="008D34D6"/>
    <w:rsid w:val="008D74AD"/>
    <w:rsid w:val="008D76BC"/>
    <w:rsid w:val="008E122F"/>
    <w:rsid w:val="008E29DB"/>
    <w:rsid w:val="008E5D84"/>
    <w:rsid w:val="008E6CC3"/>
    <w:rsid w:val="008E7435"/>
    <w:rsid w:val="008E7DBA"/>
    <w:rsid w:val="008F0829"/>
    <w:rsid w:val="008F0EAE"/>
    <w:rsid w:val="008F3638"/>
    <w:rsid w:val="008F4441"/>
    <w:rsid w:val="008F4F01"/>
    <w:rsid w:val="008F571B"/>
    <w:rsid w:val="008F5A20"/>
    <w:rsid w:val="008F6B20"/>
    <w:rsid w:val="008F6F31"/>
    <w:rsid w:val="008F74DF"/>
    <w:rsid w:val="00902274"/>
    <w:rsid w:val="00902E8A"/>
    <w:rsid w:val="00903407"/>
    <w:rsid w:val="00903CE7"/>
    <w:rsid w:val="009056E8"/>
    <w:rsid w:val="00905F31"/>
    <w:rsid w:val="009067E7"/>
    <w:rsid w:val="009127BA"/>
    <w:rsid w:val="0091349A"/>
    <w:rsid w:val="00914530"/>
    <w:rsid w:val="00914CD4"/>
    <w:rsid w:val="00915316"/>
    <w:rsid w:val="00920336"/>
    <w:rsid w:val="00920AAE"/>
    <w:rsid w:val="00921D2C"/>
    <w:rsid w:val="00921F96"/>
    <w:rsid w:val="009227A6"/>
    <w:rsid w:val="009243F4"/>
    <w:rsid w:val="00925168"/>
    <w:rsid w:val="009262BC"/>
    <w:rsid w:val="009302BA"/>
    <w:rsid w:val="009312F1"/>
    <w:rsid w:val="00933539"/>
    <w:rsid w:val="00933EC1"/>
    <w:rsid w:val="0093570B"/>
    <w:rsid w:val="009377DC"/>
    <w:rsid w:val="00940F14"/>
    <w:rsid w:val="009446AD"/>
    <w:rsid w:val="009467EF"/>
    <w:rsid w:val="0094736C"/>
    <w:rsid w:val="0094765F"/>
    <w:rsid w:val="009523C7"/>
    <w:rsid w:val="009530DB"/>
    <w:rsid w:val="00953676"/>
    <w:rsid w:val="00955BE0"/>
    <w:rsid w:val="00956404"/>
    <w:rsid w:val="00956840"/>
    <w:rsid w:val="00956F30"/>
    <w:rsid w:val="00962B00"/>
    <w:rsid w:val="009630E3"/>
    <w:rsid w:val="009631F4"/>
    <w:rsid w:val="00964A32"/>
    <w:rsid w:val="00966C9A"/>
    <w:rsid w:val="00970514"/>
    <w:rsid w:val="009705EE"/>
    <w:rsid w:val="00972A0F"/>
    <w:rsid w:val="009744B8"/>
    <w:rsid w:val="00974C65"/>
    <w:rsid w:val="00977927"/>
    <w:rsid w:val="009779E6"/>
    <w:rsid w:val="00977DDD"/>
    <w:rsid w:val="00980C18"/>
    <w:rsid w:val="0098135C"/>
    <w:rsid w:val="0098156A"/>
    <w:rsid w:val="009820C8"/>
    <w:rsid w:val="00983660"/>
    <w:rsid w:val="009852C8"/>
    <w:rsid w:val="00987BA1"/>
    <w:rsid w:val="00991BAC"/>
    <w:rsid w:val="00993E1F"/>
    <w:rsid w:val="00994EE6"/>
    <w:rsid w:val="009950CB"/>
    <w:rsid w:val="00995408"/>
    <w:rsid w:val="00996AF7"/>
    <w:rsid w:val="009A1EBB"/>
    <w:rsid w:val="009A500D"/>
    <w:rsid w:val="009A6EA0"/>
    <w:rsid w:val="009B4923"/>
    <w:rsid w:val="009B5280"/>
    <w:rsid w:val="009B71DD"/>
    <w:rsid w:val="009B7228"/>
    <w:rsid w:val="009B742E"/>
    <w:rsid w:val="009C11BC"/>
    <w:rsid w:val="009C1335"/>
    <w:rsid w:val="009C18FC"/>
    <w:rsid w:val="009C1AB2"/>
    <w:rsid w:val="009C326B"/>
    <w:rsid w:val="009C374C"/>
    <w:rsid w:val="009C4596"/>
    <w:rsid w:val="009C56B7"/>
    <w:rsid w:val="009C7251"/>
    <w:rsid w:val="009D25F6"/>
    <w:rsid w:val="009D7BE8"/>
    <w:rsid w:val="009E2827"/>
    <w:rsid w:val="009E2E91"/>
    <w:rsid w:val="009E542E"/>
    <w:rsid w:val="009E5FC1"/>
    <w:rsid w:val="009E6183"/>
    <w:rsid w:val="009E7D31"/>
    <w:rsid w:val="009F0A66"/>
    <w:rsid w:val="009F20A3"/>
    <w:rsid w:val="009F2E7F"/>
    <w:rsid w:val="009F52E2"/>
    <w:rsid w:val="009F62AE"/>
    <w:rsid w:val="00A00D74"/>
    <w:rsid w:val="00A01B40"/>
    <w:rsid w:val="00A023AB"/>
    <w:rsid w:val="00A03361"/>
    <w:rsid w:val="00A04645"/>
    <w:rsid w:val="00A048C0"/>
    <w:rsid w:val="00A055B8"/>
    <w:rsid w:val="00A0614D"/>
    <w:rsid w:val="00A07DF1"/>
    <w:rsid w:val="00A11AA9"/>
    <w:rsid w:val="00A121B0"/>
    <w:rsid w:val="00A12968"/>
    <w:rsid w:val="00A1298E"/>
    <w:rsid w:val="00A1329F"/>
    <w:rsid w:val="00A139F5"/>
    <w:rsid w:val="00A14CDF"/>
    <w:rsid w:val="00A15122"/>
    <w:rsid w:val="00A15C8F"/>
    <w:rsid w:val="00A178E3"/>
    <w:rsid w:val="00A22031"/>
    <w:rsid w:val="00A23032"/>
    <w:rsid w:val="00A24BE0"/>
    <w:rsid w:val="00A26C9B"/>
    <w:rsid w:val="00A27E41"/>
    <w:rsid w:val="00A3058B"/>
    <w:rsid w:val="00A30ACA"/>
    <w:rsid w:val="00A32E16"/>
    <w:rsid w:val="00A34EF8"/>
    <w:rsid w:val="00A35EE8"/>
    <w:rsid w:val="00A365F4"/>
    <w:rsid w:val="00A36992"/>
    <w:rsid w:val="00A414F7"/>
    <w:rsid w:val="00A41DDD"/>
    <w:rsid w:val="00A444D3"/>
    <w:rsid w:val="00A45DA8"/>
    <w:rsid w:val="00A4618E"/>
    <w:rsid w:val="00A46F47"/>
    <w:rsid w:val="00A47D80"/>
    <w:rsid w:val="00A521B8"/>
    <w:rsid w:val="00A52E2A"/>
    <w:rsid w:val="00A53132"/>
    <w:rsid w:val="00A563F2"/>
    <w:rsid w:val="00A566E8"/>
    <w:rsid w:val="00A57033"/>
    <w:rsid w:val="00A57375"/>
    <w:rsid w:val="00A57E0B"/>
    <w:rsid w:val="00A629D0"/>
    <w:rsid w:val="00A64134"/>
    <w:rsid w:val="00A65690"/>
    <w:rsid w:val="00A66347"/>
    <w:rsid w:val="00A66DE2"/>
    <w:rsid w:val="00A67049"/>
    <w:rsid w:val="00A7392B"/>
    <w:rsid w:val="00A77317"/>
    <w:rsid w:val="00A77343"/>
    <w:rsid w:val="00A800CD"/>
    <w:rsid w:val="00A810F9"/>
    <w:rsid w:val="00A817B3"/>
    <w:rsid w:val="00A8295F"/>
    <w:rsid w:val="00A82D31"/>
    <w:rsid w:val="00A83539"/>
    <w:rsid w:val="00A85E7E"/>
    <w:rsid w:val="00A86ECC"/>
    <w:rsid w:val="00A86FCC"/>
    <w:rsid w:val="00A90A6D"/>
    <w:rsid w:val="00A914EC"/>
    <w:rsid w:val="00A91617"/>
    <w:rsid w:val="00A925A7"/>
    <w:rsid w:val="00A93229"/>
    <w:rsid w:val="00A933DC"/>
    <w:rsid w:val="00A93FF3"/>
    <w:rsid w:val="00A944EE"/>
    <w:rsid w:val="00A95D52"/>
    <w:rsid w:val="00A971E5"/>
    <w:rsid w:val="00A975A7"/>
    <w:rsid w:val="00AA119F"/>
    <w:rsid w:val="00AA15EA"/>
    <w:rsid w:val="00AA2C72"/>
    <w:rsid w:val="00AA31B2"/>
    <w:rsid w:val="00AA5899"/>
    <w:rsid w:val="00AA6C44"/>
    <w:rsid w:val="00AA710D"/>
    <w:rsid w:val="00AA74FF"/>
    <w:rsid w:val="00AB105D"/>
    <w:rsid w:val="00AB314C"/>
    <w:rsid w:val="00AB344B"/>
    <w:rsid w:val="00AB455A"/>
    <w:rsid w:val="00AB46E8"/>
    <w:rsid w:val="00AB4932"/>
    <w:rsid w:val="00AB64F3"/>
    <w:rsid w:val="00AB6D25"/>
    <w:rsid w:val="00AB7121"/>
    <w:rsid w:val="00AC56F7"/>
    <w:rsid w:val="00AC787C"/>
    <w:rsid w:val="00AD0E56"/>
    <w:rsid w:val="00AD1EB8"/>
    <w:rsid w:val="00AD5ECB"/>
    <w:rsid w:val="00AD7B8F"/>
    <w:rsid w:val="00AE0EBA"/>
    <w:rsid w:val="00AE1D19"/>
    <w:rsid w:val="00AE229B"/>
    <w:rsid w:val="00AE2A59"/>
    <w:rsid w:val="00AE2D4B"/>
    <w:rsid w:val="00AE42C6"/>
    <w:rsid w:val="00AE4F99"/>
    <w:rsid w:val="00AE5660"/>
    <w:rsid w:val="00AE7158"/>
    <w:rsid w:val="00AF00C1"/>
    <w:rsid w:val="00AF09D5"/>
    <w:rsid w:val="00AF1109"/>
    <w:rsid w:val="00AF1966"/>
    <w:rsid w:val="00AF4C0B"/>
    <w:rsid w:val="00AF580D"/>
    <w:rsid w:val="00AF6DF1"/>
    <w:rsid w:val="00B02A22"/>
    <w:rsid w:val="00B02EE5"/>
    <w:rsid w:val="00B03387"/>
    <w:rsid w:val="00B05EFD"/>
    <w:rsid w:val="00B07AA4"/>
    <w:rsid w:val="00B11B69"/>
    <w:rsid w:val="00B129EE"/>
    <w:rsid w:val="00B14952"/>
    <w:rsid w:val="00B16871"/>
    <w:rsid w:val="00B21A2B"/>
    <w:rsid w:val="00B21BA3"/>
    <w:rsid w:val="00B24F3C"/>
    <w:rsid w:val="00B25B45"/>
    <w:rsid w:val="00B3094A"/>
    <w:rsid w:val="00B31E5A"/>
    <w:rsid w:val="00B32B76"/>
    <w:rsid w:val="00B32BA1"/>
    <w:rsid w:val="00B42E05"/>
    <w:rsid w:val="00B44168"/>
    <w:rsid w:val="00B45241"/>
    <w:rsid w:val="00B46195"/>
    <w:rsid w:val="00B47359"/>
    <w:rsid w:val="00B475CF"/>
    <w:rsid w:val="00B5345C"/>
    <w:rsid w:val="00B53AA7"/>
    <w:rsid w:val="00B541B2"/>
    <w:rsid w:val="00B6052A"/>
    <w:rsid w:val="00B60EE5"/>
    <w:rsid w:val="00B627FB"/>
    <w:rsid w:val="00B653AB"/>
    <w:rsid w:val="00B65404"/>
    <w:rsid w:val="00B65F9E"/>
    <w:rsid w:val="00B66B19"/>
    <w:rsid w:val="00B67401"/>
    <w:rsid w:val="00B67BDD"/>
    <w:rsid w:val="00B715FB"/>
    <w:rsid w:val="00B72F77"/>
    <w:rsid w:val="00B736C9"/>
    <w:rsid w:val="00B74A26"/>
    <w:rsid w:val="00B75C62"/>
    <w:rsid w:val="00B75D47"/>
    <w:rsid w:val="00B76881"/>
    <w:rsid w:val="00B80C64"/>
    <w:rsid w:val="00B81B03"/>
    <w:rsid w:val="00B832BB"/>
    <w:rsid w:val="00B84552"/>
    <w:rsid w:val="00B85FAB"/>
    <w:rsid w:val="00B87F40"/>
    <w:rsid w:val="00B914E9"/>
    <w:rsid w:val="00B956EE"/>
    <w:rsid w:val="00B97BB7"/>
    <w:rsid w:val="00B97F3A"/>
    <w:rsid w:val="00BA03D9"/>
    <w:rsid w:val="00BA2B2D"/>
    <w:rsid w:val="00BA2BA1"/>
    <w:rsid w:val="00BA3447"/>
    <w:rsid w:val="00BA3562"/>
    <w:rsid w:val="00BA40FE"/>
    <w:rsid w:val="00BA630C"/>
    <w:rsid w:val="00BB391F"/>
    <w:rsid w:val="00BB430A"/>
    <w:rsid w:val="00BB4F09"/>
    <w:rsid w:val="00BB54B5"/>
    <w:rsid w:val="00BB6135"/>
    <w:rsid w:val="00BC0479"/>
    <w:rsid w:val="00BC1689"/>
    <w:rsid w:val="00BC34B7"/>
    <w:rsid w:val="00BD0663"/>
    <w:rsid w:val="00BD126A"/>
    <w:rsid w:val="00BD3A00"/>
    <w:rsid w:val="00BD4E33"/>
    <w:rsid w:val="00BD5193"/>
    <w:rsid w:val="00BD5E4F"/>
    <w:rsid w:val="00BD6228"/>
    <w:rsid w:val="00BD76F7"/>
    <w:rsid w:val="00BE16FB"/>
    <w:rsid w:val="00BE294D"/>
    <w:rsid w:val="00BE4E14"/>
    <w:rsid w:val="00BE56BB"/>
    <w:rsid w:val="00BE633E"/>
    <w:rsid w:val="00BF0182"/>
    <w:rsid w:val="00BF08A5"/>
    <w:rsid w:val="00BF3AEF"/>
    <w:rsid w:val="00BF471C"/>
    <w:rsid w:val="00BF6B66"/>
    <w:rsid w:val="00C01DF4"/>
    <w:rsid w:val="00C030DE"/>
    <w:rsid w:val="00C03755"/>
    <w:rsid w:val="00C051A8"/>
    <w:rsid w:val="00C1152D"/>
    <w:rsid w:val="00C14FAE"/>
    <w:rsid w:val="00C1547C"/>
    <w:rsid w:val="00C21E6F"/>
    <w:rsid w:val="00C21ED3"/>
    <w:rsid w:val="00C22105"/>
    <w:rsid w:val="00C23203"/>
    <w:rsid w:val="00C244B6"/>
    <w:rsid w:val="00C250BE"/>
    <w:rsid w:val="00C263E2"/>
    <w:rsid w:val="00C27BF1"/>
    <w:rsid w:val="00C27E08"/>
    <w:rsid w:val="00C324A2"/>
    <w:rsid w:val="00C324F5"/>
    <w:rsid w:val="00C32C55"/>
    <w:rsid w:val="00C33AD7"/>
    <w:rsid w:val="00C3702F"/>
    <w:rsid w:val="00C40D64"/>
    <w:rsid w:val="00C40DA3"/>
    <w:rsid w:val="00C411E9"/>
    <w:rsid w:val="00C42AD2"/>
    <w:rsid w:val="00C43ED5"/>
    <w:rsid w:val="00C44A65"/>
    <w:rsid w:val="00C4500A"/>
    <w:rsid w:val="00C46F5C"/>
    <w:rsid w:val="00C47E0D"/>
    <w:rsid w:val="00C50055"/>
    <w:rsid w:val="00C51D11"/>
    <w:rsid w:val="00C52B2C"/>
    <w:rsid w:val="00C54407"/>
    <w:rsid w:val="00C54A8D"/>
    <w:rsid w:val="00C55C5A"/>
    <w:rsid w:val="00C60504"/>
    <w:rsid w:val="00C60B05"/>
    <w:rsid w:val="00C62238"/>
    <w:rsid w:val="00C64A37"/>
    <w:rsid w:val="00C71122"/>
    <w:rsid w:val="00C7158E"/>
    <w:rsid w:val="00C72032"/>
    <w:rsid w:val="00C7250B"/>
    <w:rsid w:val="00C7346B"/>
    <w:rsid w:val="00C7526A"/>
    <w:rsid w:val="00C77C0E"/>
    <w:rsid w:val="00C81678"/>
    <w:rsid w:val="00C83051"/>
    <w:rsid w:val="00C84078"/>
    <w:rsid w:val="00C84635"/>
    <w:rsid w:val="00C87980"/>
    <w:rsid w:val="00C90730"/>
    <w:rsid w:val="00C90D27"/>
    <w:rsid w:val="00C91687"/>
    <w:rsid w:val="00C91BCA"/>
    <w:rsid w:val="00C924A8"/>
    <w:rsid w:val="00C93522"/>
    <w:rsid w:val="00C945FE"/>
    <w:rsid w:val="00C950E1"/>
    <w:rsid w:val="00C96FAA"/>
    <w:rsid w:val="00C97A04"/>
    <w:rsid w:val="00CA0E6D"/>
    <w:rsid w:val="00CA107B"/>
    <w:rsid w:val="00CA439C"/>
    <w:rsid w:val="00CA484D"/>
    <w:rsid w:val="00CA4FB6"/>
    <w:rsid w:val="00CA53C3"/>
    <w:rsid w:val="00CA57AE"/>
    <w:rsid w:val="00CA784C"/>
    <w:rsid w:val="00CB0116"/>
    <w:rsid w:val="00CB1606"/>
    <w:rsid w:val="00CB22B9"/>
    <w:rsid w:val="00CB2F90"/>
    <w:rsid w:val="00CB66DF"/>
    <w:rsid w:val="00CB6AD4"/>
    <w:rsid w:val="00CB7D78"/>
    <w:rsid w:val="00CC09A4"/>
    <w:rsid w:val="00CC0A38"/>
    <w:rsid w:val="00CC1E68"/>
    <w:rsid w:val="00CC3133"/>
    <w:rsid w:val="00CC36A6"/>
    <w:rsid w:val="00CC3FD2"/>
    <w:rsid w:val="00CC451E"/>
    <w:rsid w:val="00CC4DAC"/>
    <w:rsid w:val="00CC739E"/>
    <w:rsid w:val="00CC7FE9"/>
    <w:rsid w:val="00CD04AE"/>
    <w:rsid w:val="00CD0C00"/>
    <w:rsid w:val="00CD173F"/>
    <w:rsid w:val="00CD1EBB"/>
    <w:rsid w:val="00CD21DB"/>
    <w:rsid w:val="00CD28CF"/>
    <w:rsid w:val="00CD4091"/>
    <w:rsid w:val="00CD564F"/>
    <w:rsid w:val="00CD58B7"/>
    <w:rsid w:val="00CD7967"/>
    <w:rsid w:val="00CE03B9"/>
    <w:rsid w:val="00CE3424"/>
    <w:rsid w:val="00CE5A44"/>
    <w:rsid w:val="00CF0C69"/>
    <w:rsid w:val="00CF18EE"/>
    <w:rsid w:val="00CF30BD"/>
    <w:rsid w:val="00CF4099"/>
    <w:rsid w:val="00D00796"/>
    <w:rsid w:val="00D02861"/>
    <w:rsid w:val="00D02C1B"/>
    <w:rsid w:val="00D03813"/>
    <w:rsid w:val="00D06B25"/>
    <w:rsid w:val="00D06CA9"/>
    <w:rsid w:val="00D07B6E"/>
    <w:rsid w:val="00D113D4"/>
    <w:rsid w:val="00D115BF"/>
    <w:rsid w:val="00D12021"/>
    <w:rsid w:val="00D1369B"/>
    <w:rsid w:val="00D15EC5"/>
    <w:rsid w:val="00D16131"/>
    <w:rsid w:val="00D17002"/>
    <w:rsid w:val="00D17DA3"/>
    <w:rsid w:val="00D22385"/>
    <w:rsid w:val="00D23DD3"/>
    <w:rsid w:val="00D261A2"/>
    <w:rsid w:val="00D274E4"/>
    <w:rsid w:val="00D3180F"/>
    <w:rsid w:val="00D4066D"/>
    <w:rsid w:val="00D40968"/>
    <w:rsid w:val="00D41384"/>
    <w:rsid w:val="00D41C24"/>
    <w:rsid w:val="00D42955"/>
    <w:rsid w:val="00D43CD5"/>
    <w:rsid w:val="00D4786A"/>
    <w:rsid w:val="00D50A3A"/>
    <w:rsid w:val="00D51B63"/>
    <w:rsid w:val="00D54C31"/>
    <w:rsid w:val="00D57C6F"/>
    <w:rsid w:val="00D616D2"/>
    <w:rsid w:val="00D616E2"/>
    <w:rsid w:val="00D62B32"/>
    <w:rsid w:val="00D63B5F"/>
    <w:rsid w:val="00D64E79"/>
    <w:rsid w:val="00D65C1D"/>
    <w:rsid w:val="00D704D8"/>
    <w:rsid w:val="00D70C05"/>
    <w:rsid w:val="00D70EF7"/>
    <w:rsid w:val="00D722CE"/>
    <w:rsid w:val="00D723E6"/>
    <w:rsid w:val="00D75968"/>
    <w:rsid w:val="00D77461"/>
    <w:rsid w:val="00D80B4B"/>
    <w:rsid w:val="00D8397C"/>
    <w:rsid w:val="00D84EA8"/>
    <w:rsid w:val="00D9068F"/>
    <w:rsid w:val="00D90F8A"/>
    <w:rsid w:val="00D927A4"/>
    <w:rsid w:val="00D93A23"/>
    <w:rsid w:val="00D94C45"/>
    <w:rsid w:val="00D94EED"/>
    <w:rsid w:val="00D95BB4"/>
    <w:rsid w:val="00D96026"/>
    <w:rsid w:val="00D972F6"/>
    <w:rsid w:val="00DA2857"/>
    <w:rsid w:val="00DA331D"/>
    <w:rsid w:val="00DA3547"/>
    <w:rsid w:val="00DA3F4F"/>
    <w:rsid w:val="00DA41CA"/>
    <w:rsid w:val="00DA5726"/>
    <w:rsid w:val="00DA6412"/>
    <w:rsid w:val="00DA7213"/>
    <w:rsid w:val="00DA7C1C"/>
    <w:rsid w:val="00DB147A"/>
    <w:rsid w:val="00DB1826"/>
    <w:rsid w:val="00DB1B7A"/>
    <w:rsid w:val="00DB27E7"/>
    <w:rsid w:val="00DB3E32"/>
    <w:rsid w:val="00DB56EC"/>
    <w:rsid w:val="00DB706E"/>
    <w:rsid w:val="00DB781C"/>
    <w:rsid w:val="00DC0AA6"/>
    <w:rsid w:val="00DC1CEA"/>
    <w:rsid w:val="00DC1F1A"/>
    <w:rsid w:val="00DC6708"/>
    <w:rsid w:val="00DC7C9B"/>
    <w:rsid w:val="00DD011A"/>
    <w:rsid w:val="00DD04C3"/>
    <w:rsid w:val="00DD09FE"/>
    <w:rsid w:val="00DD24E0"/>
    <w:rsid w:val="00DD27A1"/>
    <w:rsid w:val="00DD2A25"/>
    <w:rsid w:val="00DE0771"/>
    <w:rsid w:val="00DE1D0A"/>
    <w:rsid w:val="00DE2400"/>
    <w:rsid w:val="00DE275D"/>
    <w:rsid w:val="00DE2819"/>
    <w:rsid w:val="00DE3C3F"/>
    <w:rsid w:val="00DE4EDE"/>
    <w:rsid w:val="00DE58F1"/>
    <w:rsid w:val="00DE6B58"/>
    <w:rsid w:val="00DF016D"/>
    <w:rsid w:val="00DF0886"/>
    <w:rsid w:val="00DF1521"/>
    <w:rsid w:val="00DF4C7D"/>
    <w:rsid w:val="00DF5E32"/>
    <w:rsid w:val="00DF661A"/>
    <w:rsid w:val="00E01436"/>
    <w:rsid w:val="00E01799"/>
    <w:rsid w:val="00E022E6"/>
    <w:rsid w:val="00E0288C"/>
    <w:rsid w:val="00E0346C"/>
    <w:rsid w:val="00E03B26"/>
    <w:rsid w:val="00E03E1C"/>
    <w:rsid w:val="00E03E79"/>
    <w:rsid w:val="00E042BC"/>
    <w:rsid w:val="00E045BD"/>
    <w:rsid w:val="00E0492C"/>
    <w:rsid w:val="00E04D6C"/>
    <w:rsid w:val="00E04F7C"/>
    <w:rsid w:val="00E06854"/>
    <w:rsid w:val="00E0686D"/>
    <w:rsid w:val="00E17B77"/>
    <w:rsid w:val="00E21378"/>
    <w:rsid w:val="00E224F3"/>
    <w:rsid w:val="00E231AB"/>
    <w:rsid w:val="00E23337"/>
    <w:rsid w:val="00E236E6"/>
    <w:rsid w:val="00E2565B"/>
    <w:rsid w:val="00E259EA"/>
    <w:rsid w:val="00E25D33"/>
    <w:rsid w:val="00E276CE"/>
    <w:rsid w:val="00E3050D"/>
    <w:rsid w:val="00E30AD7"/>
    <w:rsid w:val="00E31B21"/>
    <w:rsid w:val="00E32061"/>
    <w:rsid w:val="00E32FB5"/>
    <w:rsid w:val="00E33F48"/>
    <w:rsid w:val="00E358AB"/>
    <w:rsid w:val="00E35EEC"/>
    <w:rsid w:val="00E37545"/>
    <w:rsid w:val="00E42614"/>
    <w:rsid w:val="00E42FF9"/>
    <w:rsid w:val="00E44790"/>
    <w:rsid w:val="00E45A79"/>
    <w:rsid w:val="00E466FD"/>
    <w:rsid w:val="00E4714C"/>
    <w:rsid w:val="00E5178D"/>
    <w:rsid w:val="00E51AEB"/>
    <w:rsid w:val="00E522A7"/>
    <w:rsid w:val="00E5349E"/>
    <w:rsid w:val="00E54236"/>
    <w:rsid w:val="00E543FE"/>
    <w:rsid w:val="00E54452"/>
    <w:rsid w:val="00E57256"/>
    <w:rsid w:val="00E5767C"/>
    <w:rsid w:val="00E57B2D"/>
    <w:rsid w:val="00E57CBF"/>
    <w:rsid w:val="00E60A80"/>
    <w:rsid w:val="00E61867"/>
    <w:rsid w:val="00E63B0C"/>
    <w:rsid w:val="00E6493A"/>
    <w:rsid w:val="00E664C5"/>
    <w:rsid w:val="00E671A2"/>
    <w:rsid w:val="00E67F9B"/>
    <w:rsid w:val="00E731EF"/>
    <w:rsid w:val="00E75257"/>
    <w:rsid w:val="00E76D26"/>
    <w:rsid w:val="00E76EE5"/>
    <w:rsid w:val="00E77709"/>
    <w:rsid w:val="00E81D6E"/>
    <w:rsid w:val="00E81EB3"/>
    <w:rsid w:val="00E83CBB"/>
    <w:rsid w:val="00E8476F"/>
    <w:rsid w:val="00E922B5"/>
    <w:rsid w:val="00E924C6"/>
    <w:rsid w:val="00E95036"/>
    <w:rsid w:val="00E955F7"/>
    <w:rsid w:val="00E9588F"/>
    <w:rsid w:val="00E95B8E"/>
    <w:rsid w:val="00E96BB8"/>
    <w:rsid w:val="00EA0034"/>
    <w:rsid w:val="00EA14F9"/>
    <w:rsid w:val="00EA2FB2"/>
    <w:rsid w:val="00EA3C7F"/>
    <w:rsid w:val="00EA51DE"/>
    <w:rsid w:val="00EB1390"/>
    <w:rsid w:val="00EB2B78"/>
    <w:rsid w:val="00EB2C71"/>
    <w:rsid w:val="00EB3333"/>
    <w:rsid w:val="00EB3649"/>
    <w:rsid w:val="00EB4340"/>
    <w:rsid w:val="00EB556D"/>
    <w:rsid w:val="00EB5A7D"/>
    <w:rsid w:val="00EC1124"/>
    <w:rsid w:val="00EC6B79"/>
    <w:rsid w:val="00ED11B2"/>
    <w:rsid w:val="00ED55C0"/>
    <w:rsid w:val="00ED5FDC"/>
    <w:rsid w:val="00ED682B"/>
    <w:rsid w:val="00ED69A1"/>
    <w:rsid w:val="00EE12E6"/>
    <w:rsid w:val="00EE16F2"/>
    <w:rsid w:val="00EE3135"/>
    <w:rsid w:val="00EE3E96"/>
    <w:rsid w:val="00EE41D5"/>
    <w:rsid w:val="00EE4378"/>
    <w:rsid w:val="00EE65D8"/>
    <w:rsid w:val="00EE752A"/>
    <w:rsid w:val="00EF1164"/>
    <w:rsid w:val="00EF3129"/>
    <w:rsid w:val="00EF3957"/>
    <w:rsid w:val="00EF5837"/>
    <w:rsid w:val="00EF5F9B"/>
    <w:rsid w:val="00EF7283"/>
    <w:rsid w:val="00F0166F"/>
    <w:rsid w:val="00F037A4"/>
    <w:rsid w:val="00F049AB"/>
    <w:rsid w:val="00F051F1"/>
    <w:rsid w:val="00F0633D"/>
    <w:rsid w:val="00F131D6"/>
    <w:rsid w:val="00F142DB"/>
    <w:rsid w:val="00F154B5"/>
    <w:rsid w:val="00F16D83"/>
    <w:rsid w:val="00F16DA1"/>
    <w:rsid w:val="00F17FF2"/>
    <w:rsid w:val="00F219EA"/>
    <w:rsid w:val="00F25599"/>
    <w:rsid w:val="00F25ABB"/>
    <w:rsid w:val="00F27890"/>
    <w:rsid w:val="00F27C8F"/>
    <w:rsid w:val="00F32749"/>
    <w:rsid w:val="00F37172"/>
    <w:rsid w:val="00F4309D"/>
    <w:rsid w:val="00F43810"/>
    <w:rsid w:val="00F4477E"/>
    <w:rsid w:val="00F45D9A"/>
    <w:rsid w:val="00F46269"/>
    <w:rsid w:val="00F4766C"/>
    <w:rsid w:val="00F50578"/>
    <w:rsid w:val="00F50852"/>
    <w:rsid w:val="00F512A3"/>
    <w:rsid w:val="00F51D9C"/>
    <w:rsid w:val="00F52488"/>
    <w:rsid w:val="00F5271A"/>
    <w:rsid w:val="00F532E0"/>
    <w:rsid w:val="00F560B5"/>
    <w:rsid w:val="00F60BA8"/>
    <w:rsid w:val="00F651F5"/>
    <w:rsid w:val="00F6527E"/>
    <w:rsid w:val="00F65C7A"/>
    <w:rsid w:val="00F65D27"/>
    <w:rsid w:val="00F670E2"/>
    <w:rsid w:val="00F67D8F"/>
    <w:rsid w:val="00F72F94"/>
    <w:rsid w:val="00F75174"/>
    <w:rsid w:val="00F802BE"/>
    <w:rsid w:val="00F80E93"/>
    <w:rsid w:val="00F86024"/>
    <w:rsid w:val="00F8611A"/>
    <w:rsid w:val="00F86763"/>
    <w:rsid w:val="00F87744"/>
    <w:rsid w:val="00F90DB9"/>
    <w:rsid w:val="00F91F95"/>
    <w:rsid w:val="00F920FB"/>
    <w:rsid w:val="00F92781"/>
    <w:rsid w:val="00F92DDC"/>
    <w:rsid w:val="00F92F69"/>
    <w:rsid w:val="00F94E82"/>
    <w:rsid w:val="00F95951"/>
    <w:rsid w:val="00F97E85"/>
    <w:rsid w:val="00FA4D6D"/>
    <w:rsid w:val="00FA4E2A"/>
    <w:rsid w:val="00FA5128"/>
    <w:rsid w:val="00FA73C4"/>
    <w:rsid w:val="00FA76C6"/>
    <w:rsid w:val="00FA7F1B"/>
    <w:rsid w:val="00FB0AFB"/>
    <w:rsid w:val="00FB0C7C"/>
    <w:rsid w:val="00FB163D"/>
    <w:rsid w:val="00FB42D4"/>
    <w:rsid w:val="00FB5906"/>
    <w:rsid w:val="00FB762F"/>
    <w:rsid w:val="00FC242D"/>
    <w:rsid w:val="00FC2AED"/>
    <w:rsid w:val="00FC7A34"/>
    <w:rsid w:val="00FD332C"/>
    <w:rsid w:val="00FD5287"/>
    <w:rsid w:val="00FD5EA7"/>
    <w:rsid w:val="00FD7008"/>
    <w:rsid w:val="00FD7523"/>
    <w:rsid w:val="00FD7D41"/>
    <w:rsid w:val="00FE1B92"/>
    <w:rsid w:val="00FE36CF"/>
    <w:rsid w:val="00FE5B55"/>
    <w:rsid w:val="00FE69BE"/>
    <w:rsid w:val="00FF006E"/>
    <w:rsid w:val="00FF0246"/>
    <w:rsid w:val="00FF06C3"/>
    <w:rsid w:val="00FF19A6"/>
    <w:rsid w:val="00FF2217"/>
    <w:rsid w:val="00FF393F"/>
    <w:rsid w:val="00FF3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1FE8E"/>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A629D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character" w:styleId="UyteHipercze">
    <w:name w:val="FollowedHyperlink"/>
    <w:basedOn w:val="Domylnaczcionkaakapitu"/>
    <w:uiPriority w:val="99"/>
    <w:semiHidden/>
    <w:unhideWhenUsed/>
    <w:rsid w:val="009631F4"/>
    <w:rPr>
      <w:color w:val="954F72" w:themeColor="followedHyperlink"/>
      <w:u w:val="single"/>
    </w:rPr>
  </w:style>
  <w:style w:type="character" w:styleId="Nierozpoznanawzmianka">
    <w:name w:val="Unresolved Mention"/>
    <w:basedOn w:val="Domylnaczcionkaakapitu"/>
    <w:uiPriority w:val="99"/>
    <w:semiHidden/>
    <w:unhideWhenUsed/>
    <w:rsid w:val="00903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692029881">
      <w:bodyDiv w:val="1"/>
      <w:marLeft w:val="0"/>
      <w:marRight w:val="0"/>
      <w:marTop w:val="0"/>
      <w:marBottom w:val="0"/>
      <w:divBdr>
        <w:top w:val="none" w:sz="0" w:space="0" w:color="auto"/>
        <w:left w:val="none" w:sz="0" w:space="0" w:color="auto"/>
        <w:bottom w:val="none" w:sz="0" w:space="0" w:color="auto"/>
        <w:right w:val="none" w:sz="0" w:space="0" w:color="auto"/>
      </w:divBdr>
    </w:div>
    <w:div w:id="1746033019">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mailto:obslugaprasowa@stat.gov.pl" TargetMode="External"/><Relationship Id="rId26" Type="http://schemas.openxmlformats.org/officeDocument/2006/relationships/hyperlink" Target="https://stat.gov.pl/en/topics/economic-activities-finances/activity-of-enterprises-activity-of-companies/financial-results-of-non-financial-enterprises-in-the-3rd-quarter-of-2025,5,58.html" TargetMode="External"/><Relationship Id="rId39" Type="http://schemas.openxmlformats.org/officeDocument/2006/relationships/hyperlink" Target="https://stat.gov.pl/en/metainformation/glossary/terms-used-in-official-statistics/585,term.html" TargetMode="External"/><Relationship Id="rId21" Type="http://schemas.openxmlformats.org/officeDocument/2006/relationships/image" Target="media/image10.png"/><Relationship Id="rId34" Type="http://schemas.openxmlformats.org/officeDocument/2006/relationships/hyperlink" Target="https://stat.gov.pl/en/metainformation/glossary/terms-used-in-official-statistics/615,term.html" TargetMode="External"/><Relationship Id="rId42"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9.png"/><Relationship Id="rId29" Type="http://schemas.openxmlformats.org/officeDocument/2006/relationships/hyperlink" Target="https://dbw.stat.gov.pl/en/dashboard/111"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hyperlink" Target="https://stat.gov.pl/en/metainformation/glossary/terms-used-in-official-statistics/158,term.html" TargetMode="External"/><Relationship Id="rId37" Type="http://schemas.openxmlformats.org/officeDocument/2006/relationships/hyperlink" Target="https://stat.gov.pl/en/metainformation/glossary/terms-used-in-official-statistics/588,term.html" TargetMode="External"/><Relationship Id="rId40" Type="http://schemas.openxmlformats.org/officeDocument/2006/relationships/hyperlink" Target="https://stat.gov.pl/en/metainformation/glossary/terms-used-in-official-statistics/223,term.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2.png"/><Relationship Id="rId28" Type="http://schemas.openxmlformats.org/officeDocument/2006/relationships/hyperlink" Target="https://bdl.stat.gov.pl/BDL/start" TargetMode="External"/><Relationship Id="rId36" Type="http://schemas.openxmlformats.org/officeDocument/2006/relationships/hyperlink" Target="https://stat.gov.pl/en/metainformation/glossary/terms-used-in-official-statistics/587,term.html" TargetMode="Externa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hyperlink" Target="https://stat.gov.pl/en/metainformation/glossary/terms-used-in-official-statistics/395,term.html"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1.png"/><Relationship Id="rId27" Type="http://schemas.openxmlformats.org/officeDocument/2006/relationships/hyperlink" Target="https://stat.gov.pl/en/topics/economic-activities-finances/activity-of-enterprises-activity-of-companies/methodological-report-non-financial-enterprises-surveys-2019,13,2.html" TargetMode="External"/><Relationship Id="rId30" Type="http://schemas.openxmlformats.org/officeDocument/2006/relationships/hyperlink" Target="https://bdm.stat.gov.pl/" TargetMode="External"/><Relationship Id="rId35" Type="http://schemas.openxmlformats.org/officeDocument/2006/relationships/hyperlink" Target="https://stat.gov.pl/en/metainformation/glossary/terms-used-in-official-statistics/583,term.html"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stat.gov.pl/en/topics/other-studies/informations-on-socio-economic-situation/statistical-bulletin-no-12026,4,183.html" TargetMode="External"/><Relationship Id="rId33" Type="http://schemas.openxmlformats.org/officeDocument/2006/relationships/hyperlink" Target="https://stat.gov.pl/en/metainformation/glossary/terms-used-in-official-statistics/613,term.html" TargetMode="External"/><Relationship Id="rId38" Type="http://schemas.openxmlformats.org/officeDocument/2006/relationships/hyperlink" Target="https://stat.gov.pl/en/metainformation/glossary/terms-used-in-official-statistics/584,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Wzór sygnalna_GUS_eng.docx.docx</NazwaPliku>
    <_SourceUrl xmlns="http://schemas.microsoft.com/sharepoint/v3" xsi:nil="true"/>
    <Odbiorcy2 xmlns="8C029B3F-2CC4-4A59-AF0D-A90575FA3373" xsi:nil="true"/>
    <xd_ProgID xmlns="http://schemas.microsoft.com/sharepoint/v3" xsi:nil="true"/>
    <Osoba xmlns="8C029B3F-2CC4-4A59-AF0D-A90575FA3373">STAT\BOLESLAWSKAE</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3936-6643-45DB-8AD4-649BDAB67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openxmlformats.org/package/2006/metadata/core-properties"/>
    <ds:schemaRef ds:uri="http://purl.org/dc/dcmitype/"/>
    <ds:schemaRef ds:uri="http://www.w3.org/XML/1998/namespace"/>
    <ds:schemaRef ds:uri="http://purl.org/dc/elements/1.1/"/>
    <ds:schemaRef ds:uri="8C029B3F-2CC4-4A59-AF0D-A90575FA3373"/>
    <ds:schemaRef ds:uri="http://purl.org/dc/term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CF1FD93F-986B-4A20-AAB9-3E5A0777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6</Pages>
  <Words>1700</Words>
  <Characters>10201</Characters>
  <DocSecurity>0</DocSecurity>
  <Lines>85</Lines>
  <Paragraphs>23</Paragraphs>
  <ScaleCrop>false</ScaleCrop>
  <HeadingPairs>
    <vt:vector size="2" baseType="variant">
      <vt:variant>
        <vt:lpstr>Tytuł</vt:lpstr>
      </vt:variant>
      <vt:variant>
        <vt:i4>1</vt:i4>
      </vt:variant>
    </vt:vector>
  </HeadingPairs>
  <TitlesOfParts>
    <vt:vector size="1" baseType="lpstr">
      <vt:lpstr>Financial results of non financial enterprises in the third quarter of 2025</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results of non-financial enterprises in 2025</dc:title>
  <dc:subject/>
  <dc:creator>Statistics Poland</dc:creator>
  <dc:description/>
  <cp:lastPrinted>2025-05-23T07:17:00Z</cp:lastPrinted>
  <dcterms:created xsi:type="dcterms:W3CDTF">2025-05-25T20:36:00Z</dcterms:created>
  <dcterms:modified xsi:type="dcterms:W3CDTF">2026-03-20T13:08:00Z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