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B0E5E" w14:textId="23A7A40B" w:rsidR="00DD400B" w:rsidRPr="00A83645" w:rsidRDefault="00A83645" w:rsidP="00A27C0D">
      <w:pPr>
        <w:pStyle w:val="tytuinformacji"/>
        <w:spacing w:after="120"/>
        <w:rPr>
          <w:spacing w:val="-6"/>
          <w:shd w:val="clear" w:color="auto" w:fill="FFFFFF"/>
          <w:lang w:val="en-US"/>
        </w:rPr>
      </w:pPr>
      <w:bookmarkStart w:id="0" w:name="_Hlk186191352"/>
      <w:r w:rsidRPr="00A83645">
        <w:rPr>
          <w:spacing w:val="-6"/>
          <w:shd w:val="clear" w:color="auto" w:fill="FFFFFF"/>
          <w:lang w:val="en-US"/>
        </w:rPr>
        <w:t xml:space="preserve">Living conditions – material and social deprivation </w:t>
      </w:r>
      <w:r w:rsidR="00A27C0D">
        <w:rPr>
          <w:spacing w:val="-6"/>
          <w:shd w:val="clear" w:color="auto" w:fill="FFFFFF"/>
          <w:lang w:val="en-US"/>
        </w:rPr>
        <w:t>in</w:t>
      </w:r>
      <w:r w:rsidR="003723DC">
        <w:rPr>
          <w:spacing w:val="-6"/>
          <w:shd w:val="clear" w:color="auto" w:fill="FFFFFF"/>
          <w:lang w:val="en-US"/>
        </w:rPr>
        <w:t> </w:t>
      </w:r>
      <w:r w:rsidR="00A27C0D">
        <w:rPr>
          <w:spacing w:val="-6"/>
          <w:shd w:val="clear" w:color="auto" w:fill="FFFFFF"/>
          <w:lang w:val="en-US"/>
        </w:rPr>
        <w:t>year 2025</w:t>
      </w:r>
    </w:p>
    <w:bookmarkEnd w:id="0"/>
    <w:p w14:paraId="132527DA" w14:textId="5DB375A5" w:rsidR="00FC1EF7" w:rsidRPr="00A83645" w:rsidRDefault="00A83645" w:rsidP="00A27C0D">
      <w:pPr>
        <w:pStyle w:val="LID"/>
        <w:spacing w:before="360" w:after="1920"/>
        <w:ind w:right="130"/>
        <w:rPr>
          <w:color w:val="000000" w:themeColor="text1"/>
          <w:lang w:val="en-US"/>
        </w:rPr>
      </w:pPr>
      <w:r w:rsidRPr="00A83645">
        <w:rPr>
          <w:lang w:val="en-US"/>
        </w:rPr>
        <w:t>In 2025, 2.0% of people living in Poland declared that they were unable to meet at least 7 out of 13 material and social needs due to financial reasons. This percentage decreased slightly compared to the previous year (2.3% in 2024).</w:t>
      </w:r>
      <w:r w:rsidR="00003437" w:rsidRPr="00D708BA">
        <w:rPr>
          <w:color w:val="000000" w:themeColor="text1"/>
        </w:rPr>
        <mc:AlternateContent>
          <mc:Choice Requires="wps">
            <w:drawing>
              <wp:anchor distT="45720" distB="45720" distL="114300" distR="114300" simplePos="0" relativeHeight="251632640" behindDoc="0" locked="0" layoutInCell="1" allowOverlap="1" wp14:anchorId="2FBDE7F5" wp14:editId="2552C59D">
                <wp:simplePos x="0" y="0"/>
                <wp:positionH relativeFrom="margin">
                  <wp:align>left</wp:align>
                </wp:positionH>
                <wp:positionV relativeFrom="paragraph">
                  <wp:posOffset>6985</wp:posOffset>
                </wp:positionV>
                <wp:extent cx="2447925" cy="2016000"/>
                <wp:effectExtent l="0" t="0" r="9525" b="3810"/>
                <wp:wrapSquare wrapText="bothSides"/>
                <wp:docPr id="217" name="Pole tekstowe 2" descr="25,8% wzrost nakładów na ochronę środowiska i gospodarkę wodną w stosunku do 2022 r.&#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016000"/>
                        </a:xfrm>
                        <a:prstGeom prst="roundRect">
                          <a:avLst/>
                        </a:prstGeom>
                        <a:solidFill>
                          <a:srgbClr val="001D77"/>
                        </a:solidFill>
                        <a:ln w="9525">
                          <a:noFill/>
                          <a:miter lim="800000"/>
                          <a:headEnd/>
                          <a:tailEnd/>
                        </a:ln>
                        <a:effectLst>
                          <a:softEdge rad="0"/>
                        </a:effectLst>
                      </wps:spPr>
                      <wps:txbx>
                        <w:txbxContent>
                          <w:p w14:paraId="5527B14B" w14:textId="18819B07" w:rsidR="00D65AC3" w:rsidRPr="00A83645" w:rsidRDefault="00D65AC3" w:rsidP="006236F6">
                            <w:pPr>
                              <w:spacing w:before="0" w:after="0" w:line="240" w:lineRule="auto"/>
                              <w:jc w:val="center"/>
                              <w:rPr>
                                <w:rFonts w:ascii="Fira Sans SemiBold" w:hAnsi="Fira Sans SemiBold"/>
                                <w:color w:val="FFFFFF" w:themeColor="background1"/>
                                <w:sz w:val="20"/>
                                <w:szCs w:val="20"/>
                                <w:lang w:val="en-US"/>
                              </w:rPr>
                            </w:pPr>
                            <w:r w:rsidRPr="00A83645">
                              <w:rPr>
                                <w:rFonts w:ascii="Fira Sans SemiBold" w:hAnsi="Fira Sans SemiBold"/>
                                <w:color w:val="FFFFFF" w:themeColor="background1"/>
                                <w:sz w:val="72"/>
                                <w:lang w:val="en-US"/>
                              </w:rPr>
                              <w:t>2</w:t>
                            </w:r>
                            <w:r w:rsidR="009B7EEE">
                              <w:rPr>
                                <w:rFonts w:ascii="Fira Sans SemiBold" w:hAnsi="Fira Sans SemiBold"/>
                                <w:color w:val="FFFFFF" w:themeColor="background1"/>
                                <w:sz w:val="72"/>
                                <w:lang w:val="en-US"/>
                              </w:rPr>
                              <w:t>.</w:t>
                            </w:r>
                            <w:r w:rsidRPr="00A83645">
                              <w:rPr>
                                <w:rFonts w:ascii="Fira Sans SemiBold" w:hAnsi="Fira Sans SemiBold"/>
                                <w:color w:val="FFFFFF" w:themeColor="background1"/>
                                <w:sz w:val="72"/>
                                <w:lang w:val="en-US"/>
                              </w:rPr>
                              <w:t>0%</w:t>
                            </w:r>
                          </w:p>
                          <w:p w14:paraId="2B846D5A" w14:textId="62183481" w:rsidR="00D65AC3" w:rsidRPr="00A83645" w:rsidRDefault="00D65AC3" w:rsidP="00A83645">
                            <w:pPr>
                              <w:pStyle w:val="Tekstkomentarza"/>
                              <w:spacing w:after="0"/>
                              <w:rPr>
                                <w:color w:val="FFFFFF" w:themeColor="background1"/>
                                <w:lang w:val="en-US"/>
                              </w:rPr>
                            </w:pPr>
                            <w:r w:rsidRPr="00A83645">
                              <w:rPr>
                                <w:lang w:val="en-US"/>
                              </w:rPr>
                              <w:t xml:space="preserve">This part of Poland’s population </w:t>
                            </w:r>
                            <w:r w:rsidRPr="00BF6E3D">
                              <w:rPr>
                                <w:spacing w:val="-2"/>
                                <w:lang w:val="en-US"/>
                              </w:rPr>
                              <w:t>in</w:t>
                            </w:r>
                            <w:r w:rsidR="00BF6E3D" w:rsidRPr="00BF6E3D">
                              <w:rPr>
                                <w:spacing w:val="-2"/>
                                <w:lang w:val="en-US"/>
                              </w:rPr>
                              <w:t> </w:t>
                            </w:r>
                            <w:r w:rsidRPr="00BF6E3D">
                              <w:rPr>
                                <w:spacing w:val="-2"/>
                                <w:lang w:val="en-US"/>
                              </w:rPr>
                              <w:t xml:space="preserve"> 2025 was unable, due to financial</w:t>
                            </w:r>
                            <w:r w:rsidRPr="00A83645">
                              <w:rPr>
                                <w:lang w:val="en-US"/>
                              </w:rPr>
                              <w:t xml:space="preserve"> constraints, to meet basic material and social needs that are regarded by the majority of people as essential for a dignified standard of living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FBDE7F5" id="Pole tekstowe 2" o:spid="_x0000_s1026" alt="25,8% wzrost nakładów na ochronę środowiska i gospodarkę wodną w stosunku do 2022 r.&#10;" style="position:absolute;margin-left:0;margin-top:.55pt;width:192.75pt;height:158.75pt;z-index:2516326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" fillcolor="#001d77" stroked="f">
                <v:stroke joinstyle="miter"/>
                <v:textbox>
                  <w:txbxContent>
                    <w:p w14:paraId="5527B14B" w14:textId="18819B07" w:rsidR="00D65AC3" w:rsidRPr="00A83645" w:rsidRDefault="00D65AC3" w:rsidP="006236F6">
                      <w:pPr>
                        <w:spacing w:before="0" w:after="0" w:line="240" w:lineRule="auto"/>
                        <w:jc w:val="center"/>
                        <w:rPr>
                          <w:rFonts w:ascii="Fira Sans SemiBold" w:hAnsi="Fira Sans SemiBold"/>
                          <w:color w:val="FFFFFF" w:themeColor="background1"/>
                          <w:sz w:val="20"/>
                          <w:szCs w:val="20"/>
                          <w:lang w:val="en-US"/>
                        </w:rPr>
                      </w:pPr>
                      <w:r w:rsidRPr="00A83645">
                        <w:rPr>
                          <w:rFonts w:ascii="Fira Sans SemiBold" w:hAnsi="Fira Sans SemiBold"/>
                          <w:color w:val="FFFFFF" w:themeColor="background1"/>
                          <w:sz w:val="72"/>
                          <w:lang w:val="en-US"/>
                        </w:rPr>
                        <w:t>2</w:t>
                      </w:r>
                      <w:r w:rsidR="009B7EEE">
                        <w:rPr>
                          <w:rFonts w:ascii="Fira Sans SemiBold" w:hAnsi="Fira Sans SemiBold"/>
                          <w:color w:val="FFFFFF" w:themeColor="background1"/>
                          <w:sz w:val="72"/>
                          <w:lang w:val="en-US"/>
                        </w:rPr>
                        <w:t>.</w:t>
                      </w:r>
                      <w:r w:rsidRPr="00A83645">
                        <w:rPr>
                          <w:rFonts w:ascii="Fira Sans SemiBold" w:hAnsi="Fira Sans SemiBold"/>
                          <w:color w:val="FFFFFF" w:themeColor="background1"/>
                          <w:sz w:val="72"/>
                          <w:lang w:val="en-US"/>
                        </w:rPr>
                        <w:t>0%</w:t>
                      </w:r>
                    </w:p>
                    <w:p w14:paraId="2B846D5A" w14:textId="62183481" w:rsidR="00D65AC3" w:rsidRPr="00A83645" w:rsidRDefault="00D65AC3" w:rsidP="00A83645">
                      <w:pPr>
                        <w:pStyle w:val="Tekstkomentarza"/>
                        <w:spacing w:after="0"/>
                        <w:rPr>
                          <w:color w:val="FFFFFF" w:themeColor="background1"/>
                          <w:lang w:val="en-US"/>
                        </w:rPr>
                      </w:pPr>
                      <w:r w:rsidRPr="00A83645">
                        <w:rPr>
                          <w:lang w:val="en-US"/>
                        </w:rPr>
                        <w:t xml:space="preserve">This part of Poland’s population </w:t>
                      </w:r>
                      <w:r w:rsidRPr="00BF6E3D">
                        <w:rPr>
                          <w:spacing w:val="-2"/>
                          <w:lang w:val="en-US"/>
                        </w:rPr>
                        <w:t>in</w:t>
                      </w:r>
                      <w:r w:rsidR="00BF6E3D" w:rsidRPr="00BF6E3D">
                        <w:rPr>
                          <w:spacing w:val="-2"/>
                          <w:lang w:val="en-US"/>
                        </w:rPr>
                        <w:t> </w:t>
                      </w:r>
                      <w:r w:rsidRPr="00BF6E3D">
                        <w:rPr>
                          <w:spacing w:val="-2"/>
                          <w:lang w:val="en-US"/>
                        </w:rPr>
                        <w:t xml:space="preserve"> 2025 was unable, due to financial</w:t>
                      </w:r>
                      <w:r w:rsidRPr="00A83645">
                        <w:rPr>
                          <w:lang w:val="en-US"/>
                        </w:rPr>
                        <w:t xml:space="preserve"> constraints, to meet basic material and social needs that are regarded by the majority of people as essential for a dignified standard of living</w:t>
                      </w:r>
                    </w:p>
                  </w:txbxContent>
                </v:textbox>
                <w10:wrap type="square" anchorx="margin"/>
              </v:roundrect>
            </w:pict>
          </mc:Fallback>
        </mc:AlternateContent>
      </w:r>
      <w:r w:rsidR="00F82943" w:rsidRPr="00A83645">
        <w:rPr>
          <w:lang w:val="en-US"/>
        </w:rPr>
        <w:t xml:space="preserve"> </w:t>
      </w:r>
    </w:p>
    <w:p w14:paraId="2A4DD886" w14:textId="77777777" w:rsidR="00A83645" w:rsidRPr="0024139C" w:rsidRDefault="00A83645" w:rsidP="00A27C0D">
      <w:pPr>
        <w:spacing w:before="240"/>
        <w:rPr>
          <w:rFonts w:eastAsia="Times New Roman" w:cs="Times New Roman"/>
          <w:b/>
          <w:bCs/>
          <w:color w:val="001D77"/>
          <w:szCs w:val="19"/>
          <w:lang w:val="en-US" w:eastAsia="pl-PL"/>
        </w:rPr>
      </w:pPr>
      <w:r w:rsidRPr="00A83645">
        <w:rPr>
          <w:rFonts w:eastAsia="Times New Roman" w:cs="Times New Roman"/>
          <w:b/>
          <w:bCs/>
          <w:color w:val="001D77"/>
          <w:szCs w:val="19"/>
          <w:lang w:val="en-US" w:eastAsia="pl-PL"/>
        </w:rPr>
        <w:t xml:space="preserve">Severe material and social deprivation </w:t>
      </w:r>
      <w:r w:rsidRPr="0024139C">
        <w:rPr>
          <w:color w:val="001D77"/>
          <w:vertAlign w:val="superscript"/>
        </w:rPr>
        <w:footnoteReference w:id="2"/>
      </w:r>
    </w:p>
    <w:p w14:paraId="436AC5AD" w14:textId="073AE95E" w:rsidR="00A83645" w:rsidRPr="00A83645" w:rsidRDefault="00A83645" w:rsidP="00A26A52">
      <w:pPr>
        <w:spacing w:line="288" w:lineRule="auto"/>
        <w:rPr>
          <w:rFonts w:eastAsia="Times New Roman" w:cs="Times New Roman"/>
          <w:szCs w:val="19"/>
          <w:lang w:val="en-US" w:eastAsia="pl-PL"/>
        </w:rPr>
      </w:pPr>
      <w:r w:rsidRPr="00A83645">
        <w:rPr>
          <w:rFonts w:eastAsia="Times New Roman" w:cs="Times New Roman"/>
          <w:szCs w:val="19"/>
          <w:lang w:val="en-US" w:eastAsia="pl-PL"/>
        </w:rPr>
        <w:t>Material deprivation is the inability to meet basic needs due to financial reasons, while social deprivation refers to the inability to participate in social and cultural life, leading to isolation and social exclusion. Both cases describe a multidimensional poverty in which part of society with limited financial resources may experience social marginalization.</w:t>
      </w:r>
    </w:p>
    <w:p w14:paraId="7FB7BD5B" w14:textId="31ACEC7A" w:rsidR="00E070BD" w:rsidRDefault="00E070BD" w:rsidP="00A26A52">
      <w:pPr>
        <w:spacing w:before="360" w:line="240" w:lineRule="auto"/>
        <w:rPr>
          <w:rFonts w:eastAsia="Times New Roman" w:cs="Times New Roman"/>
          <w:b/>
          <w:color w:val="000000" w:themeColor="text1"/>
          <w:szCs w:val="19"/>
          <w:lang w:val="en-US" w:eastAsia="pl-PL"/>
        </w:rPr>
      </w:pPr>
      <w:r w:rsidRPr="00823593">
        <w:rPr>
          <w:b/>
          <w:noProof/>
          <w:spacing w:val="-2"/>
          <w:szCs w:val="19"/>
          <w:lang w:eastAsia="pl-PL"/>
        </w:rPr>
        <mc:AlternateContent>
          <mc:Choice Requires="wps">
            <w:drawing>
              <wp:anchor distT="45720" distB="45720" distL="114300" distR="114300" simplePos="0" relativeHeight="251675648" behindDoc="1" locked="0" layoutInCell="1" allowOverlap="1" wp14:anchorId="46E854F4" wp14:editId="773DFD4F">
                <wp:simplePos x="0" y="0"/>
                <wp:positionH relativeFrom="column">
                  <wp:posOffset>5339080</wp:posOffset>
                </wp:positionH>
                <wp:positionV relativeFrom="paragraph">
                  <wp:posOffset>918845</wp:posOffset>
                </wp:positionV>
                <wp:extent cx="1619885" cy="1192530"/>
                <wp:effectExtent l="0" t="0" r="0" b="0"/>
                <wp:wrapTight wrapText="bothSides">
                  <wp:wrapPolygon edited="0">
                    <wp:start x="762" y="0"/>
                    <wp:lineTo x="762" y="21048"/>
                    <wp:lineTo x="20575" y="21048"/>
                    <wp:lineTo x="20575" y="0"/>
                    <wp:lineTo x="762" y="0"/>
                  </wp:wrapPolygon>
                </wp:wrapTight>
                <wp:docPr id="2" name="Pole tekstowe 2" descr="Lorem ipsum dolor sit amet, consectetur adipiscing eli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1192530"/>
                        </a:xfrm>
                        <a:prstGeom prst="rect">
                          <a:avLst/>
                        </a:prstGeom>
                        <a:noFill/>
                        <a:ln w="9525">
                          <a:noFill/>
                          <a:miter lim="800000"/>
                          <a:headEnd/>
                          <a:tailEnd/>
                        </a:ln>
                      </wps:spPr>
                      <wps:txbx>
                        <w:txbxContent>
                          <w:p w14:paraId="5CB75153" w14:textId="2158A24C" w:rsidR="00E070BD" w:rsidRPr="00E070BD" w:rsidRDefault="00E070BD" w:rsidP="00E070BD">
                            <w:pPr>
                              <w:pStyle w:val="tekstzboku"/>
                              <w:spacing w:before="0"/>
                              <w:rPr>
                                <w:bCs w:val="0"/>
                                <w:lang w:val="en-US"/>
                              </w:rPr>
                            </w:pPr>
                            <w:r w:rsidRPr="00E070BD">
                              <w:rPr>
                                <w:lang w:val="en-US"/>
                              </w:rPr>
                              <w:t>Between 2015 and 2025, the</w:t>
                            </w:r>
                            <w:r>
                              <w:rPr>
                                <w:lang w:val="en-US"/>
                              </w:rPr>
                              <w:t> </w:t>
                            </w:r>
                            <w:r w:rsidRPr="00E070BD">
                              <w:rPr>
                                <w:lang w:val="en-US"/>
                              </w:rPr>
                              <w:t>proportion of persons experiencing severe material and social deprivation decreased from 7.8% to 2.0%, i.e.,</w:t>
                            </w:r>
                            <w:r w:rsidR="008D77EC">
                              <w:rPr>
                                <w:lang w:val="en-US"/>
                              </w:rPr>
                              <w:t> </w:t>
                            </w:r>
                            <w:r w:rsidRPr="00E070BD">
                              <w:rPr>
                                <w:lang w:val="en-US"/>
                              </w:rPr>
                              <w:t>a</w:t>
                            </w:r>
                            <w:r>
                              <w:rPr>
                                <w:lang w:val="en-US"/>
                              </w:rPr>
                              <w:t> </w:t>
                            </w:r>
                            <w:r w:rsidRPr="00E070BD">
                              <w:rPr>
                                <w:lang w:val="en-US"/>
                              </w:rPr>
                              <w:t>drop of 5.8 pp.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E854F4" id="_x0000_t202" coordsize="21600,21600" o:spt="202" path="m,l,21600r21600,l21600,xe">
                <v:stroke joinstyle="miter"/>
                <v:path gradientshapeok="t" o:connecttype="rect"/>
              </v:shapetype>
              <v:shape id="_x0000_s1027" type="#_x0000_t202" alt="Lorem ipsum dolor sit amet, consectetur adipiscing elit" style="position:absolute;margin-left:420.4pt;margin-top:72.35pt;width:127.55pt;height:93.9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" filled="f" stroked="f">
                <v:textbox>
                  <w:txbxContent>
                    <w:p w14:paraId="5CB75153" w14:textId="2158A24C" w:rsidR="00E070BD" w:rsidRPr="00E070BD" w:rsidRDefault="00E070BD" w:rsidP="00E070BD">
                      <w:pPr>
                        <w:pStyle w:val="tekstzboku"/>
                        <w:spacing w:before="0"/>
                        <w:rPr>
                          <w:bCs w:val="0"/>
                          <w:lang w:val="en-US"/>
                        </w:rPr>
                      </w:pPr>
                      <w:r w:rsidRPr="00E070BD">
                        <w:rPr>
                          <w:lang w:val="en-US"/>
                        </w:rPr>
                        <w:t>Between 2015 and 2025, the</w:t>
                      </w:r>
                      <w:r>
                        <w:rPr>
                          <w:lang w:val="en-US"/>
                        </w:rPr>
                        <w:t> </w:t>
                      </w:r>
                      <w:r w:rsidRPr="00E070BD">
                        <w:rPr>
                          <w:lang w:val="en-US"/>
                        </w:rPr>
                        <w:t>proportion of persons experiencing severe material and social deprivation decreased from 7.8% to 2.0%, i.e.,</w:t>
                      </w:r>
                      <w:r w:rsidR="008D77EC">
                        <w:rPr>
                          <w:lang w:val="en-US"/>
                        </w:rPr>
                        <w:t> </w:t>
                      </w:r>
                      <w:r w:rsidRPr="00E070BD">
                        <w:rPr>
                          <w:lang w:val="en-US"/>
                        </w:rPr>
                        <w:t>a</w:t>
                      </w:r>
                      <w:r>
                        <w:rPr>
                          <w:lang w:val="en-US"/>
                        </w:rPr>
                        <w:t> </w:t>
                      </w:r>
                      <w:r w:rsidRPr="00E070BD">
                        <w:rPr>
                          <w:lang w:val="en-US"/>
                        </w:rPr>
                        <w:t>drop of 5.8 pp.</w:t>
                      </w:r>
                    </w:p>
                  </w:txbxContent>
                </v:textbox>
                <w10:wrap type="tight"/>
              </v:shape>
            </w:pict>
          </mc:Fallback>
        </mc:AlternateContent>
      </w:r>
      <w:r w:rsidRPr="00E070BD">
        <w:rPr>
          <w:rFonts w:eastAsia="Times New Roman" w:cs="Times New Roman"/>
          <w:b/>
          <w:color w:val="000000" w:themeColor="text1"/>
          <w:szCs w:val="19"/>
          <w:lang w:val="en-US" w:eastAsia="pl-PL"/>
        </w:rPr>
        <w:t>Graph 1. Severe material and social deprivation rate in Poland in years 2015-2025</w:t>
      </w:r>
    </w:p>
    <w:p w14:paraId="58AAD73D" w14:textId="24C4900F" w:rsidR="00B92C0C" w:rsidRDefault="00B92C0C" w:rsidP="00A26A52">
      <w:pPr>
        <w:spacing w:before="360" w:line="240" w:lineRule="auto"/>
        <w:rPr>
          <w:rFonts w:eastAsia="Times New Roman" w:cs="Times New Roman"/>
          <w:b/>
          <w:color w:val="000000" w:themeColor="text1"/>
          <w:szCs w:val="19"/>
          <w:lang w:val="en-US" w:eastAsia="pl-PL"/>
        </w:rPr>
      </w:pPr>
      <w:r>
        <w:rPr>
          <w:rFonts w:eastAsia="Times New Roman" w:cs="Times New Roman"/>
          <w:b/>
          <w:noProof/>
          <w:color w:val="000000" w:themeColor="text1"/>
          <w:szCs w:val="19"/>
          <w:lang w:eastAsia="pl-PL"/>
        </w:rPr>
        <w:drawing>
          <wp:inline distT="0" distB="0" distL="0" distR="0" wp14:anchorId="43124C27" wp14:editId="5EF56CA7">
            <wp:extent cx="5041900" cy="2212975"/>
            <wp:effectExtent l="0" t="0" r="635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1900" cy="2212975"/>
                    </a:xfrm>
                    <a:prstGeom prst="rect">
                      <a:avLst/>
                    </a:prstGeom>
                    <a:noFill/>
                    <a:ln>
                      <a:noFill/>
                    </a:ln>
                  </pic:spPr>
                </pic:pic>
              </a:graphicData>
            </a:graphic>
          </wp:inline>
        </w:drawing>
      </w:r>
    </w:p>
    <w:p w14:paraId="5C2B9BDC" w14:textId="1ED15B82" w:rsidR="00A83645" w:rsidRPr="00A83645" w:rsidRDefault="00A83645" w:rsidP="00A26A52">
      <w:pPr>
        <w:spacing w:before="360" w:line="288" w:lineRule="auto"/>
        <w:rPr>
          <w:rFonts w:eastAsia="Times New Roman" w:cs="Arial"/>
          <w:bCs/>
          <w:color w:val="0A0A0A"/>
          <w:spacing w:val="-4"/>
          <w:szCs w:val="19"/>
          <w:shd w:val="clear" w:color="auto" w:fill="FFFFFF"/>
          <w:lang w:val="en-US" w:eastAsia="pl-PL"/>
        </w:rPr>
      </w:pPr>
      <w:r w:rsidRPr="00D65AC3">
        <w:rPr>
          <w:rFonts w:eastAsia="Times New Roman" w:cs="Arial"/>
          <w:bCs/>
          <w:color w:val="0A0A0A"/>
          <w:spacing w:val="-4"/>
          <w:szCs w:val="19"/>
          <w:shd w:val="clear" w:color="auto" w:fill="FFFFFF"/>
          <w:lang w:val="en-US" w:eastAsia="pl-PL"/>
        </w:rPr>
        <w:t xml:space="preserve">Data presented in Graph 1 show a significant improvement in the indicator of severe material and social deprivation in Poland over the past 10 years. </w:t>
      </w:r>
      <w:r w:rsidRPr="00A83645">
        <w:rPr>
          <w:rFonts w:eastAsia="Times New Roman" w:cs="Arial"/>
          <w:bCs/>
          <w:color w:val="0A0A0A"/>
          <w:spacing w:val="-4"/>
          <w:szCs w:val="19"/>
          <w:shd w:val="clear" w:color="auto" w:fill="FFFFFF"/>
          <w:lang w:val="en-US" w:eastAsia="pl-PL"/>
        </w:rPr>
        <w:t>The decrease of 5.8 pp. in the proportion of people unable to meet (at least 7 out of 13) basic needs in the years 2015–2025 (the largest decrease between 2015 and 2020) suggests a reduction in the scale of this matter.</w:t>
      </w:r>
    </w:p>
    <w:p w14:paraId="25A63CD4" w14:textId="49F4ED5A" w:rsidR="00A83645" w:rsidRPr="00A83645" w:rsidRDefault="00A83645" w:rsidP="00A26A52">
      <w:pPr>
        <w:spacing w:line="288" w:lineRule="auto"/>
        <w:rPr>
          <w:rFonts w:eastAsia="Times New Roman" w:cs="Arial"/>
          <w:bCs/>
          <w:color w:val="0A0A0A"/>
          <w:spacing w:val="-4"/>
          <w:szCs w:val="19"/>
          <w:shd w:val="clear" w:color="auto" w:fill="FFFFFF"/>
          <w:lang w:val="en-US" w:eastAsia="pl-PL"/>
        </w:rPr>
      </w:pPr>
      <w:r w:rsidRPr="00A83645">
        <w:rPr>
          <w:rFonts w:eastAsia="Times New Roman" w:cs="Arial"/>
          <w:bCs/>
          <w:color w:val="0A0A0A"/>
          <w:spacing w:val="-4"/>
          <w:szCs w:val="19"/>
          <w:shd w:val="clear" w:color="auto" w:fill="FFFFFF"/>
          <w:lang w:val="en-US" w:eastAsia="pl-PL"/>
        </w:rPr>
        <w:t>After a period of significant decrease in the value of the indicator until 2020, this trend stopped in the years 2021–2023, resulting from the accumulation of negative factors, including high inflation caused by the pandemic and the war in Ukraine. However, the deprivation rate in</w:t>
      </w:r>
      <w:r w:rsidR="00CC4C7E">
        <w:rPr>
          <w:rFonts w:eastAsia="Times New Roman" w:cs="Arial"/>
          <w:bCs/>
          <w:color w:val="0A0A0A"/>
          <w:spacing w:val="-4"/>
          <w:szCs w:val="19"/>
          <w:shd w:val="clear" w:color="auto" w:fill="FFFFFF"/>
          <w:lang w:val="en-US" w:eastAsia="pl-PL"/>
        </w:rPr>
        <w:t> </w:t>
      </w:r>
      <w:r w:rsidRPr="00A83645">
        <w:rPr>
          <w:rFonts w:eastAsia="Times New Roman" w:cs="Arial"/>
          <w:bCs/>
          <w:color w:val="0A0A0A"/>
          <w:spacing w:val="-4"/>
          <w:szCs w:val="19"/>
          <w:shd w:val="clear" w:color="auto" w:fill="FFFFFF"/>
          <w:lang w:val="en-US" w:eastAsia="pl-PL"/>
        </w:rPr>
        <w:t>2024</w:t>
      </w:r>
      <w:r w:rsidR="00CC4C7E">
        <w:rPr>
          <w:rFonts w:eastAsia="Times New Roman" w:cs="Arial"/>
          <w:bCs/>
          <w:color w:val="0A0A0A"/>
          <w:spacing w:val="-4"/>
          <w:szCs w:val="19"/>
          <w:shd w:val="clear" w:color="auto" w:fill="FFFFFF"/>
          <w:lang w:val="en-US" w:eastAsia="pl-PL"/>
        </w:rPr>
        <w:noBreakHyphen/>
      </w:r>
      <w:r w:rsidRPr="00A83645">
        <w:rPr>
          <w:rFonts w:eastAsia="Times New Roman" w:cs="Arial"/>
          <w:bCs/>
          <w:color w:val="0A0A0A"/>
          <w:spacing w:val="-4"/>
          <w:szCs w:val="19"/>
          <w:shd w:val="clear" w:color="auto" w:fill="FFFFFF"/>
          <w:lang w:val="en-US" w:eastAsia="pl-PL"/>
        </w:rPr>
        <w:t>2025 indicates a return to a downward trend.</w:t>
      </w:r>
    </w:p>
    <w:p w14:paraId="77469A42" w14:textId="5AA96CA6" w:rsidR="00A7195D" w:rsidRPr="00CC4C7E" w:rsidRDefault="00CC4C7E" w:rsidP="00CC4C7E">
      <w:pPr>
        <w:pStyle w:val="Nagwek1"/>
        <w:keepNext w:val="0"/>
        <w:spacing w:before="360"/>
        <w:rPr>
          <w:rFonts w:ascii="Fira Sans" w:hAnsi="Fira Sans"/>
          <w:b/>
          <w:szCs w:val="19"/>
          <w:lang w:val="en-US"/>
        </w:rPr>
      </w:pPr>
      <w:r w:rsidRPr="00CC4C7E">
        <w:rPr>
          <w:rFonts w:ascii="Fira Sans" w:hAnsi="Fira Sans"/>
          <w:b/>
          <w:szCs w:val="19"/>
          <w:lang w:val="en-US"/>
        </w:rPr>
        <w:lastRenderedPageBreak/>
        <w:t>Items of severe material and social deprivation indicator</w:t>
      </w:r>
    </w:p>
    <w:p w14:paraId="657D3C7C" w14:textId="445B1AA8" w:rsidR="00CC4C7E" w:rsidRDefault="00CC4C7E" w:rsidP="00A26A52">
      <w:pPr>
        <w:pStyle w:val="Tytutablicy"/>
        <w:keepNext w:val="0"/>
        <w:spacing w:before="120" w:line="288" w:lineRule="auto"/>
        <w:rPr>
          <w:b w:val="0"/>
          <w:lang w:val="en-US"/>
        </w:rPr>
      </w:pPr>
      <w:r w:rsidRPr="00CC4C7E">
        <w:rPr>
          <w:b w:val="0"/>
          <w:lang w:val="en-US"/>
        </w:rPr>
        <w:t>Below there are the percentages of people who in the years 2015–2025 were unable to meet the listed needs (which are items of the severe material and social deprivation indicator)</w:t>
      </w:r>
      <w:r>
        <w:rPr>
          <w:b w:val="0"/>
          <w:lang w:val="en-US"/>
        </w:rPr>
        <w:t>.</w:t>
      </w:r>
    </w:p>
    <w:p w14:paraId="05042CF6" w14:textId="74B8871A" w:rsidR="00A7195D" w:rsidRPr="00D65AC3" w:rsidRDefault="00CC4C7E" w:rsidP="00A26A52">
      <w:pPr>
        <w:pStyle w:val="Tytutablicy"/>
        <w:keepNext w:val="0"/>
        <w:ind w:left="709" w:hanging="709"/>
        <w:rPr>
          <w:rStyle w:val="vkekvd"/>
          <w:rFonts w:eastAsiaTheme="majorEastAsia" w:cs="Arial"/>
          <w:color w:val="0A0A0A"/>
          <w:shd w:val="clear" w:color="auto" w:fill="FFFFFF"/>
          <w:lang w:val="en-US"/>
        </w:rPr>
      </w:pPr>
      <w:r w:rsidRPr="00CC4C7E">
        <w:rPr>
          <w:rStyle w:val="vkekvd"/>
          <w:rFonts w:eastAsiaTheme="majorEastAsia" w:cs="Arial"/>
          <w:color w:val="0A0A0A"/>
          <w:shd w:val="clear" w:color="auto" w:fill="FFFFFF"/>
          <w:lang w:val="en-US"/>
        </w:rPr>
        <w:t xml:space="preserve">Table 1. Items of severe material and social deprivation indicator in Poland in years </w:t>
      </w:r>
      <w:r w:rsidRPr="00CC4C7E">
        <w:rPr>
          <w:rStyle w:val="vkekvd"/>
          <w:rFonts w:eastAsiaTheme="majorEastAsia" w:cs="Arial"/>
          <w:color w:val="0A0A0A"/>
          <w:shd w:val="clear" w:color="auto" w:fill="FFFFFF"/>
          <w:lang w:val="en-US"/>
        </w:rPr>
        <w:br/>
        <w:t>2015 – 2025</w:t>
      </w:r>
    </w:p>
    <w:tbl>
      <w:tblPr>
        <w:tblW w:w="7937" w:type="dxa"/>
        <w:tblBorders>
          <w:top w:val="single" w:sz="4" w:space="0" w:color="001D77"/>
          <w:insideH w:val="single" w:sz="4" w:space="0" w:color="001D77"/>
          <w:insideV w:val="single" w:sz="4" w:space="0" w:color="001D77"/>
        </w:tblBorders>
        <w:tblLayout w:type="fixed"/>
        <w:tblLook w:val="04A0" w:firstRow="1" w:lastRow="0" w:firstColumn="1" w:lastColumn="0" w:noHBand="0" w:noVBand="1"/>
      </w:tblPr>
      <w:tblGrid>
        <w:gridCol w:w="2281"/>
        <w:gridCol w:w="15"/>
        <w:gridCol w:w="10"/>
        <w:gridCol w:w="13"/>
        <w:gridCol w:w="475"/>
        <w:gridCol w:w="11"/>
        <w:gridCol w:w="11"/>
        <w:gridCol w:w="13"/>
        <w:gridCol w:w="474"/>
        <w:gridCol w:w="12"/>
        <w:gridCol w:w="11"/>
        <w:gridCol w:w="13"/>
        <w:gridCol w:w="473"/>
        <w:gridCol w:w="13"/>
        <w:gridCol w:w="11"/>
        <w:gridCol w:w="13"/>
        <w:gridCol w:w="473"/>
        <w:gridCol w:w="13"/>
        <w:gridCol w:w="11"/>
        <w:gridCol w:w="13"/>
        <w:gridCol w:w="473"/>
        <w:gridCol w:w="13"/>
        <w:gridCol w:w="11"/>
        <w:gridCol w:w="13"/>
        <w:gridCol w:w="473"/>
        <w:gridCol w:w="13"/>
        <w:gridCol w:w="11"/>
        <w:gridCol w:w="13"/>
        <w:gridCol w:w="473"/>
        <w:gridCol w:w="13"/>
        <w:gridCol w:w="11"/>
        <w:gridCol w:w="13"/>
        <w:gridCol w:w="473"/>
        <w:gridCol w:w="13"/>
        <w:gridCol w:w="11"/>
        <w:gridCol w:w="13"/>
        <w:gridCol w:w="473"/>
        <w:gridCol w:w="13"/>
        <w:gridCol w:w="11"/>
        <w:gridCol w:w="13"/>
        <w:gridCol w:w="475"/>
        <w:gridCol w:w="13"/>
        <w:gridCol w:w="9"/>
        <w:gridCol w:w="13"/>
        <w:gridCol w:w="480"/>
        <w:gridCol w:w="38"/>
      </w:tblGrid>
      <w:tr w:rsidR="00E707DE" w:rsidRPr="006507B9" w14:paraId="7F162BD5" w14:textId="77777777" w:rsidTr="00C07EB3">
        <w:trPr>
          <w:trHeight w:val="20"/>
        </w:trPr>
        <w:tc>
          <w:tcPr>
            <w:tcW w:w="2296" w:type="dxa"/>
            <w:gridSpan w:val="2"/>
            <w:vMerge w:val="restart"/>
            <w:shd w:val="clear" w:color="auto" w:fill="auto"/>
            <w:noWrap/>
            <w:vAlign w:val="center"/>
            <w:hideMark/>
          </w:tcPr>
          <w:p w14:paraId="6D7C8A0C" w14:textId="7CD01429" w:rsidR="00E707DE" w:rsidRPr="00D74D8D" w:rsidRDefault="00CC4C7E" w:rsidP="00C07EB3">
            <w:pPr>
              <w:spacing w:before="80" w:after="80" w:line="200" w:lineRule="exact"/>
              <w:jc w:val="center"/>
              <w:rPr>
                <w:rFonts w:eastAsia="Times New Roman" w:cs="Calibri"/>
                <w:color w:val="000000"/>
                <w:sz w:val="18"/>
                <w:szCs w:val="18"/>
              </w:rPr>
            </w:pPr>
            <w:proofErr w:type="spellStart"/>
            <w:r>
              <w:rPr>
                <w:rFonts w:eastAsia="Times New Roman" w:cs="Calibri"/>
                <w:color w:val="000000"/>
                <w:sz w:val="18"/>
                <w:szCs w:val="18"/>
              </w:rPr>
              <w:t>Needs</w:t>
            </w:r>
            <w:proofErr w:type="spellEnd"/>
            <w:r>
              <w:rPr>
                <w:rFonts w:eastAsia="Times New Roman" w:cs="Calibri"/>
                <w:color w:val="000000"/>
                <w:sz w:val="18"/>
                <w:szCs w:val="18"/>
              </w:rPr>
              <w:t xml:space="preserve"> (</w:t>
            </w:r>
            <w:proofErr w:type="spellStart"/>
            <w:r>
              <w:rPr>
                <w:rFonts w:eastAsia="Times New Roman" w:cs="Calibri"/>
                <w:color w:val="000000"/>
                <w:sz w:val="18"/>
                <w:szCs w:val="18"/>
              </w:rPr>
              <w:t>items</w:t>
            </w:r>
            <w:proofErr w:type="spellEnd"/>
            <w:r>
              <w:rPr>
                <w:rFonts w:eastAsia="Times New Roman" w:cs="Calibri"/>
                <w:color w:val="000000"/>
                <w:sz w:val="18"/>
                <w:szCs w:val="18"/>
              </w:rPr>
              <w:t>)</w:t>
            </w:r>
          </w:p>
        </w:tc>
        <w:tc>
          <w:tcPr>
            <w:tcW w:w="5641" w:type="dxa"/>
            <w:gridSpan w:val="44"/>
            <w:shd w:val="clear" w:color="auto" w:fill="auto"/>
            <w:noWrap/>
            <w:vAlign w:val="center"/>
            <w:hideMark/>
          </w:tcPr>
          <w:p w14:paraId="5DC8E56B" w14:textId="02A96F3A" w:rsidR="00E707DE" w:rsidRPr="00CC4C7E" w:rsidRDefault="00CC4C7E" w:rsidP="00C07EB3">
            <w:pPr>
              <w:spacing w:before="80" w:after="80" w:line="200" w:lineRule="exact"/>
              <w:jc w:val="center"/>
              <w:rPr>
                <w:rFonts w:eastAsia="Times New Roman" w:cs="Calibri"/>
                <w:color w:val="000000"/>
                <w:sz w:val="18"/>
                <w:szCs w:val="18"/>
                <w:lang w:val="en-US"/>
              </w:rPr>
            </w:pPr>
            <w:r w:rsidRPr="00CC4C7E">
              <w:rPr>
                <w:rFonts w:eastAsia="Times New Roman" w:cs="Calibri"/>
                <w:color w:val="000000"/>
                <w:sz w:val="18"/>
                <w:szCs w:val="18"/>
                <w:lang w:val="en-US"/>
              </w:rPr>
              <w:t xml:space="preserve">Percentage of people unable to meet specific needs </w:t>
            </w:r>
            <w:r w:rsidRPr="00CC4C7E">
              <w:rPr>
                <w:rFonts w:eastAsia="Times New Roman" w:cs="Calibri"/>
                <w:color w:val="000000"/>
                <w:sz w:val="18"/>
                <w:szCs w:val="18"/>
                <w:lang w:val="en-US"/>
              </w:rPr>
              <w:br/>
              <w:t>due to financial reasons</w:t>
            </w:r>
          </w:p>
        </w:tc>
      </w:tr>
      <w:tr w:rsidR="00E707DE" w:rsidRPr="00D74D8D" w14:paraId="7E00AF71" w14:textId="77777777" w:rsidTr="00C07EB3">
        <w:trPr>
          <w:trHeight w:val="20"/>
        </w:trPr>
        <w:tc>
          <w:tcPr>
            <w:tcW w:w="2296" w:type="dxa"/>
            <w:gridSpan w:val="2"/>
            <w:vMerge/>
            <w:vAlign w:val="center"/>
            <w:hideMark/>
          </w:tcPr>
          <w:p w14:paraId="109C9526" w14:textId="77777777" w:rsidR="00E707DE" w:rsidRPr="00CC4C7E" w:rsidRDefault="00E707DE" w:rsidP="00C07EB3">
            <w:pPr>
              <w:spacing w:before="80" w:after="80" w:line="200" w:lineRule="exact"/>
              <w:jc w:val="center"/>
              <w:rPr>
                <w:rFonts w:eastAsia="Times New Roman" w:cs="Calibri"/>
                <w:color w:val="000000"/>
                <w:sz w:val="18"/>
                <w:szCs w:val="18"/>
                <w:lang w:val="en-US"/>
              </w:rPr>
            </w:pPr>
          </w:p>
        </w:tc>
        <w:tc>
          <w:tcPr>
            <w:tcW w:w="5641" w:type="dxa"/>
            <w:gridSpan w:val="44"/>
            <w:shd w:val="clear" w:color="auto" w:fill="auto"/>
            <w:vAlign w:val="center"/>
            <w:hideMark/>
          </w:tcPr>
          <w:p w14:paraId="62129590" w14:textId="6757DCA2" w:rsidR="00E707DE" w:rsidRPr="00D74D8D" w:rsidRDefault="00CC4C7E" w:rsidP="00C07EB3">
            <w:pPr>
              <w:spacing w:before="80" w:after="80" w:line="200" w:lineRule="exact"/>
              <w:jc w:val="center"/>
              <w:rPr>
                <w:rFonts w:eastAsia="Times New Roman" w:cs="Calibri"/>
                <w:color w:val="000000"/>
                <w:sz w:val="18"/>
                <w:szCs w:val="18"/>
              </w:rPr>
            </w:pPr>
            <w:proofErr w:type="spellStart"/>
            <w:r w:rsidRPr="009508C4">
              <w:rPr>
                <w:rFonts w:eastAsia="Times New Roman" w:cs="Calibri"/>
                <w:color w:val="000000"/>
                <w:sz w:val="18"/>
                <w:szCs w:val="18"/>
              </w:rPr>
              <w:t>year</w:t>
            </w:r>
            <w:proofErr w:type="spellEnd"/>
            <w:r w:rsidRPr="009508C4">
              <w:rPr>
                <w:rFonts w:eastAsia="Times New Roman" w:cs="Calibri"/>
                <w:color w:val="000000"/>
                <w:sz w:val="18"/>
                <w:szCs w:val="18"/>
              </w:rPr>
              <w:t xml:space="preserve"> of </w:t>
            </w:r>
            <w:proofErr w:type="spellStart"/>
            <w:r w:rsidRPr="009508C4">
              <w:rPr>
                <w:rFonts w:eastAsia="Times New Roman" w:cs="Calibri"/>
                <w:color w:val="000000"/>
                <w:sz w:val="18"/>
                <w:szCs w:val="18"/>
              </w:rPr>
              <w:t>survey</w:t>
            </w:r>
            <w:proofErr w:type="spellEnd"/>
          </w:p>
        </w:tc>
      </w:tr>
      <w:tr w:rsidR="00E707DE" w:rsidRPr="00D74D8D" w14:paraId="4C4A1EDB" w14:textId="77777777" w:rsidTr="00C07EB3">
        <w:trPr>
          <w:trHeight w:val="20"/>
        </w:trPr>
        <w:tc>
          <w:tcPr>
            <w:tcW w:w="2296" w:type="dxa"/>
            <w:gridSpan w:val="2"/>
            <w:vMerge/>
            <w:shd w:val="clear" w:color="auto" w:fill="auto"/>
            <w:noWrap/>
            <w:vAlign w:val="center"/>
            <w:hideMark/>
          </w:tcPr>
          <w:p w14:paraId="7B578519" w14:textId="77777777" w:rsidR="00E707DE" w:rsidRPr="00D74D8D" w:rsidRDefault="00E707DE" w:rsidP="00C07EB3">
            <w:pPr>
              <w:spacing w:before="80" w:after="80" w:line="200" w:lineRule="exact"/>
              <w:ind w:left="-57" w:right="-57"/>
              <w:jc w:val="center"/>
              <w:rPr>
                <w:rFonts w:eastAsia="Times New Roman" w:cs="Calibri"/>
                <w:color w:val="000000"/>
                <w:sz w:val="18"/>
                <w:szCs w:val="18"/>
              </w:rPr>
            </w:pPr>
          </w:p>
        </w:tc>
        <w:tc>
          <w:tcPr>
            <w:tcW w:w="509" w:type="dxa"/>
            <w:gridSpan w:val="4"/>
            <w:shd w:val="clear" w:color="auto" w:fill="auto"/>
            <w:noWrap/>
            <w:vAlign w:val="center"/>
            <w:hideMark/>
          </w:tcPr>
          <w:p w14:paraId="679A0472" w14:textId="77777777" w:rsidR="00E707DE" w:rsidRPr="00D74D8D" w:rsidRDefault="00E707DE" w:rsidP="00C07EB3">
            <w:pPr>
              <w:spacing w:before="80" w:after="80" w:line="200" w:lineRule="exact"/>
              <w:ind w:left="-57" w:right="-57"/>
              <w:jc w:val="center"/>
              <w:rPr>
                <w:rFonts w:eastAsia="Times New Roman" w:cs="Calibri"/>
                <w:bCs/>
                <w:color w:val="000000" w:themeColor="text1"/>
                <w:sz w:val="18"/>
                <w:szCs w:val="18"/>
              </w:rPr>
            </w:pPr>
            <w:r w:rsidRPr="00D74D8D">
              <w:rPr>
                <w:rFonts w:eastAsia="Times New Roman" w:cs="Calibri"/>
                <w:bCs/>
                <w:color w:val="000000" w:themeColor="text1"/>
                <w:sz w:val="18"/>
                <w:szCs w:val="18"/>
              </w:rPr>
              <w:t>2015</w:t>
            </w:r>
          </w:p>
        </w:tc>
        <w:tc>
          <w:tcPr>
            <w:tcW w:w="510" w:type="dxa"/>
            <w:gridSpan w:val="4"/>
            <w:shd w:val="clear" w:color="auto" w:fill="auto"/>
            <w:noWrap/>
            <w:vAlign w:val="center"/>
            <w:hideMark/>
          </w:tcPr>
          <w:p w14:paraId="1AA966B4" w14:textId="77777777" w:rsidR="00E707DE" w:rsidRPr="00D74D8D" w:rsidRDefault="00E707DE" w:rsidP="00C07EB3">
            <w:pPr>
              <w:spacing w:before="80" w:after="80" w:line="200" w:lineRule="exact"/>
              <w:ind w:left="-57" w:right="-57"/>
              <w:jc w:val="center"/>
              <w:rPr>
                <w:rFonts w:eastAsia="Times New Roman" w:cs="Calibri"/>
                <w:bCs/>
                <w:color w:val="000000" w:themeColor="text1"/>
                <w:sz w:val="18"/>
                <w:szCs w:val="18"/>
              </w:rPr>
            </w:pPr>
            <w:r w:rsidRPr="00D74D8D">
              <w:rPr>
                <w:rFonts w:eastAsia="Times New Roman" w:cs="Calibri"/>
                <w:bCs/>
                <w:color w:val="000000" w:themeColor="text1"/>
                <w:sz w:val="18"/>
                <w:szCs w:val="18"/>
              </w:rPr>
              <w:t>2016</w:t>
            </w:r>
          </w:p>
        </w:tc>
        <w:tc>
          <w:tcPr>
            <w:tcW w:w="510" w:type="dxa"/>
            <w:gridSpan w:val="4"/>
            <w:shd w:val="clear" w:color="auto" w:fill="auto"/>
            <w:noWrap/>
            <w:vAlign w:val="center"/>
            <w:hideMark/>
          </w:tcPr>
          <w:p w14:paraId="6FD5C055" w14:textId="77777777" w:rsidR="00E707DE" w:rsidRPr="00D74D8D" w:rsidRDefault="00E707DE" w:rsidP="00C07EB3">
            <w:pPr>
              <w:spacing w:before="80" w:after="80" w:line="200" w:lineRule="exact"/>
              <w:ind w:left="-57" w:right="-57"/>
              <w:jc w:val="center"/>
              <w:rPr>
                <w:rFonts w:eastAsia="Times New Roman" w:cs="Calibri"/>
                <w:bCs/>
                <w:color w:val="000000" w:themeColor="text1"/>
                <w:sz w:val="18"/>
                <w:szCs w:val="18"/>
              </w:rPr>
            </w:pPr>
            <w:r w:rsidRPr="00D74D8D">
              <w:rPr>
                <w:rFonts w:eastAsia="Times New Roman" w:cs="Calibri"/>
                <w:bCs/>
                <w:color w:val="000000" w:themeColor="text1"/>
                <w:sz w:val="18"/>
                <w:szCs w:val="18"/>
              </w:rPr>
              <w:t>2017</w:t>
            </w:r>
          </w:p>
        </w:tc>
        <w:tc>
          <w:tcPr>
            <w:tcW w:w="510" w:type="dxa"/>
            <w:gridSpan w:val="4"/>
            <w:shd w:val="clear" w:color="auto" w:fill="auto"/>
            <w:vAlign w:val="center"/>
            <w:hideMark/>
          </w:tcPr>
          <w:p w14:paraId="76407EE0" w14:textId="77777777" w:rsidR="00E707DE" w:rsidRPr="00D74D8D" w:rsidRDefault="00E707DE" w:rsidP="00C07EB3">
            <w:pPr>
              <w:spacing w:before="80" w:after="80" w:line="200" w:lineRule="exact"/>
              <w:ind w:left="-57" w:right="-57"/>
              <w:jc w:val="center"/>
              <w:rPr>
                <w:rFonts w:eastAsia="Times New Roman" w:cs="Calibri"/>
                <w:bCs/>
                <w:color w:val="000000" w:themeColor="text1"/>
                <w:sz w:val="18"/>
                <w:szCs w:val="18"/>
              </w:rPr>
            </w:pPr>
            <w:r w:rsidRPr="00D74D8D">
              <w:rPr>
                <w:rFonts w:eastAsia="Times New Roman" w:cs="Calibri"/>
                <w:bCs/>
                <w:color w:val="000000" w:themeColor="text1"/>
                <w:sz w:val="18"/>
                <w:szCs w:val="18"/>
              </w:rPr>
              <w:t>2018</w:t>
            </w:r>
          </w:p>
        </w:tc>
        <w:tc>
          <w:tcPr>
            <w:tcW w:w="510" w:type="dxa"/>
            <w:gridSpan w:val="4"/>
            <w:shd w:val="clear" w:color="auto" w:fill="auto"/>
            <w:noWrap/>
            <w:vAlign w:val="center"/>
            <w:hideMark/>
          </w:tcPr>
          <w:p w14:paraId="23505D46" w14:textId="77777777" w:rsidR="00E707DE" w:rsidRPr="00D74D8D" w:rsidRDefault="00E707DE" w:rsidP="00C07EB3">
            <w:pPr>
              <w:spacing w:before="80" w:after="80" w:line="200" w:lineRule="exact"/>
              <w:ind w:left="-57" w:right="-57"/>
              <w:jc w:val="center"/>
              <w:rPr>
                <w:rFonts w:eastAsia="Times New Roman" w:cs="Calibri"/>
                <w:bCs/>
                <w:color w:val="000000" w:themeColor="text1"/>
                <w:sz w:val="18"/>
                <w:szCs w:val="18"/>
              </w:rPr>
            </w:pPr>
            <w:r w:rsidRPr="00D74D8D">
              <w:rPr>
                <w:rFonts w:eastAsia="Times New Roman" w:cs="Calibri"/>
                <w:bCs/>
                <w:color w:val="000000" w:themeColor="text1"/>
                <w:sz w:val="18"/>
                <w:szCs w:val="18"/>
              </w:rPr>
              <w:t>2019</w:t>
            </w:r>
          </w:p>
        </w:tc>
        <w:tc>
          <w:tcPr>
            <w:tcW w:w="510" w:type="dxa"/>
            <w:gridSpan w:val="4"/>
            <w:shd w:val="clear" w:color="auto" w:fill="auto"/>
            <w:noWrap/>
            <w:vAlign w:val="center"/>
            <w:hideMark/>
          </w:tcPr>
          <w:p w14:paraId="5D1710AF" w14:textId="77777777" w:rsidR="00E707DE" w:rsidRPr="00D74D8D" w:rsidRDefault="00E707DE" w:rsidP="00C07EB3">
            <w:pPr>
              <w:spacing w:before="80" w:after="80" w:line="200" w:lineRule="exact"/>
              <w:ind w:left="-57" w:right="-57"/>
              <w:jc w:val="center"/>
              <w:rPr>
                <w:rFonts w:eastAsia="Times New Roman" w:cs="Calibri"/>
                <w:bCs/>
                <w:color w:val="000000" w:themeColor="text1"/>
                <w:sz w:val="18"/>
                <w:szCs w:val="18"/>
              </w:rPr>
            </w:pPr>
            <w:r w:rsidRPr="00D74D8D">
              <w:rPr>
                <w:rFonts w:eastAsia="Times New Roman" w:cs="Calibri"/>
                <w:bCs/>
                <w:color w:val="000000" w:themeColor="text1"/>
                <w:sz w:val="18"/>
                <w:szCs w:val="18"/>
              </w:rPr>
              <w:t>2020</w:t>
            </w:r>
          </w:p>
        </w:tc>
        <w:tc>
          <w:tcPr>
            <w:tcW w:w="510" w:type="dxa"/>
            <w:gridSpan w:val="4"/>
            <w:shd w:val="clear" w:color="auto" w:fill="auto"/>
            <w:noWrap/>
            <w:vAlign w:val="center"/>
            <w:hideMark/>
          </w:tcPr>
          <w:p w14:paraId="58E7E3A3" w14:textId="77777777" w:rsidR="00E707DE" w:rsidRPr="00D74D8D" w:rsidRDefault="00E707DE" w:rsidP="00C07EB3">
            <w:pPr>
              <w:spacing w:before="80" w:after="80" w:line="200" w:lineRule="exact"/>
              <w:ind w:left="-57" w:right="-57"/>
              <w:jc w:val="center"/>
              <w:rPr>
                <w:rFonts w:eastAsia="Times New Roman" w:cs="Calibri"/>
                <w:bCs/>
                <w:color w:val="000000" w:themeColor="text1"/>
                <w:sz w:val="18"/>
                <w:szCs w:val="18"/>
              </w:rPr>
            </w:pPr>
            <w:r w:rsidRPr="00D74D8D">
              <w:rPr>
                <w:rFonts w:eastAsia="Times New Roman" w:cs="Calibri"/>
                <w:bCs/>
                <w:color w:val="000000" w:themeColor="text1"/>
                <w:sz w:val="18"/>
                <w:szCs w:val="18"/>
              </w:rPr>
              <w:t>2021</w:t>
            </w:r>
          </w:p>
        </w:tc>
        <w:tc>
          <w:tcPr>
            <w:tcW w:w="510" w:type="dxa"/>
            <w:gridSpan w:val="4"/>
            <w:shd w:val="clear" w:color="auto" w:fill="auto"/>
            <w:vAlign w:val="center"/>
            <w:hideMark/>
          </w:tcPr>
          <w:p w14:paraId="5314CACA" w14:textId="77777777" w:rsidR="00E707DE" w:rsidRPr="00D74D8D" w:rsidRDefault="00E707DE" w:rsidP="00C07EB3">
            <w:pPr>
              <w:spacing w:before="80" w:after="80" w:line="200" w:lineRule="exact"/>
              <w:ind w:left="-57" w:right="-57"/>
              <w:jc w:val="center"/>
              <w:rPr>
                <w:rFonts w:eastAsia="Times New Roman" w:cs="Calibri"/>
                <w:bCs/>
                <w:color w:val="000000" w:themeColor="text1"/>
                <w:sz w:val="18"/>
                <w:szCs w:val="18"/>
              </w:rPr>
            </w:pPr>
            <w:r w:rsidRPr="00D74D8D">
              <w:rPr>
                <w:rFonts w:eastAsia="Times New Roman" w:cs="Calibri"/>
                <w:bCs/>
                <w:color w:val="000000" w:themeColor="text1"/>
                <w:sz w:val="18"/>
                <w:szCs w:val="18"/>
              </w:rPr>
              <w:t>2022</w:t>
            </w:r>
          </w:p>
        </w:tc>
        <w:tc>
          <w:tcPr>
            <w:tcW w:w="510" w:type="dxa"/>
            <w:gridSpan w:val="4"/>
            <w:shd w:val="clear" w:color="auto" w:fill="auto"/>
            <w:noWrap/>
            <w:vAlign w:val="center"/>
            <w:hideMark/>
          </w:tcPr>
          <w:p w14:paraId="5FB49AC5" w14:textId="77777777" w:rsidR="00E707DE" w:rsidRPr="00D74D8D" w:rsidRDefault="00E707DE" w:rsidP="00C07EB3">
            <w:pPr>
              <w:spacing w:before="80" w:after="80" w:line="200" w:lineRule="exact"/>
              <w:ind w:left="-57" w:right="-57"/>
              <w:jc w:val="center"/>
              <w:rPr>
                <w:rFonts w:eastAsia="Times New Roman" w:cs="Calibri"/>
                <w:bCs/>
                <w:color w:val="000000" w:themeColor="text1"/>
                <w:sz w:val="18"/>
                <w:szCs w:val="18"/>
              </w:rPr>
            </w:pPr>
            <w:r w:rsidRPr="00D74D8D">
              <w:rPr>
                <w:rFonts w:eastAsia="Times New Roman" w:cs="Calibri"/>
                <w:bCs/>
                <w:color w:val="000000" w:themeColor="text1"/>
                <w:sz w:val="18"/>
                <w:szCs w:val="18"/>
              </w:rPr>
              <w:t>2023</w:t>
            </w:r>
          </w:p>
        </w:tc>
        <w:tc>
          <w:tcPr>
            <w:tcW w:w="512" w:type="dxa"/>
            <w:gridSpan w:val="4"/>
            <w:shd w:val="clear" w:color="auto" w:fill="auto"/>
            <w:noWrap/>
            <w:vAlign w:val="center"/>
            <w:hideMark/>
          </w:tcPr>
          <w:p w14:paraId="2EA26D48" w14:textId="77777777" w:rsidR="00E707DE" w:rsidRPr="00D74D8D" w:rsidRDefault="00E707DE" w:rsidP="00C07EB3">
            <w:pPr>
              <w:spacing w:before="80" w:after="80" w:line="200" w:lineRule="exact"/>
              <w:ind w:left="-57" w:right="-57"/>
              <w:jc w:val="center"/>
              <w:rPr>
                <w:rFonts w:eastAsia="Times New Roman" w:cs="Calibri"/>
                <w:bCs/>
                <w:color w:val="000000" w:themeColor="text1"/>
                <w:sz w:val="18"/>
                <w:szCs w:val="18"/>
              </w:rPr>
            </w:pPr>
            <w:r w:rsidRPr="00D74D8D">
              <w:rPr>
                <w:rFonts w:eastAsia="Times New Roman" w:cs="Calibri"/>
                <w:bCs/>
                <w:color w:val="000000" w:themeColor="text1"/>
                <w:sz w:val="18"/>
                <w:szCs w:val="18"/>
              </w:rPr>
              <w:t>2024</w:t>
            </w:r>
          </w:p>
        </w:tc>
        <w:tc>
          <w:tcPr>
            <w:tcW w:w="540" w:type="dxa"/>
            <w:gridSpan w:val="4"/>
            <w:shd w:val="clear" w:color="auto" w:fill="auto"/>
            <w:noWrap/>
            <w:vAlign w:val="center"/>
            <w:hideMark/>
          </w:tcPr>
          <w:p w14:paraId="28472458" w14:textId="77777777" w:rsidR="00E707DE" w:rsidRPr="00D74D8D" w:rsidRDefault="00E707DE" w:rsidP="00C07EB3">
            <w:pPr>
              <w:spacing w:before="80" w:after="80" w:line="200" w:lineRule="exact"/>
              <w:ind w:left="-57" w:right="-57"/>
              <w:jc w:val="center"/>
              <w:rPr>
                <w:rFonts w:eastAsia="Times New Roman" w:cs="Calibri"/>
                <w:bCs/>
                <w:color w:val="000000" w:themeColor="text1"/>
                <w:sz w:val="18"/>
                <w:szCs w:val="18"/>
              </w:rPr>
            </w:pPr>
            <w:r w:rsidRPr="00D74D8D">
              <w:rPr>
                <w:rFonts w:eastAsia="Times New Roman" w:cs="Calibri"/>
                <w:bCs/>
                <w:color w:val="000000" w:themeColor="text1"/>
                <w:sz w:val="18"/>
                <w:szCs w:val="18"/>
              </w:rPr>
              <w:t>2025</w:t>
            </w:r>
          </w:p>
        </w:tc>
      </w:tr>
      <w:tr w:rsidR="00BD27C2" w:rsidRPr="00BD27C2" w14:paraId="445291DF" w14:textId="77777777" w:rsidTr="00C07EB3">
        <w:trPr>
          <w:trHeight w:val="20"/>
        </w:trPr>
        <w:tc>
          <w:tcPr>
            <w:tcW w:w="7937" w:type="dxa"/>
            <w:gridSpan w:val="46"/>
            <w:shd w:val="clear" w:color="auto" w:fill="auto"/>
            <w:vAlign w:val="center"/>
          </w:tcPr>
          <w:p w14:paraId="528E9E0F" w14:textId="72F8202A" w:rsidR="00A7195D" w:rsidRPr="00BD27C2" w:rsidRDefault="00CC4C7E" w:rsidP="00CC4C7E">
            <w:pPr>
              <w:spacing w:before="80" w:after="80" w:line="200" w:lineRule="exact"/>
              <w:jc w:val="center"/>
              <w:rPr>
                <w:rFonts w:eastAsia="Times New Roman" w:cs="Calibri"/>
                <w:color w:val="000000" w:themeColor="text1"/>
                <w:sz w:val="18"/>
                <w:szCs w:val="18"/>
              </w:rPr>
            </w:pPr>
            <w:r>
              <w:rPr>
                <w:rFonts w:eastAsia="Times New Roman" w:cs="Arial"/>
                <w:b/>
                <w:bCs/>
                <w:color w:val="000000" w:themeColor="text1"/>
                <w:sz w:val="18"/>
                <w:szCs w:val="18"/>
              </w:rPr>
              <w:t>L</w:t>
            </w:r>
            <w:r w:rsidRPr="006269AD">
              <w:rPr>
                <w:rFonts w:eastAsia="Times New Roman" w:cs="Arial"/>
                <w:b/>
                <w:bCs/>
                <w:color w:val="000000" w:themeColor="text1"/>
                <w:sz w:val="18"/>
                <w:szCs w:val="18"/>
              </w:rPr>
              <w:t xml:space="preserve">ife </w:t>
            </w:r>
            <w:proofErr w:type="spellStart"/>
            <w:r w:rsidRPr="006269AD">
              <w:rPr>
                <w:rFonts w:eastAsia="Times New Roman" w:cs="Arial"/>
                <w:b/>
                <w:bCs/>
                <w:color w:val="000000" w:themeColor="text1"/>
                <w:sz w:val="18"/>
                <w:szCs w:val="18"/>
              </w:rPr>
              <w:t>needs</w:t>
            </w:r>
            <w:proofErr w:type="spellEnd"/>
          </w:p>
        </w:tc>
      </w:tr>
      <w:tr w:rsidR="00E707DE" w:rsidRPr="00D74D8D" w14:paraId="51A7159C" w14:textId="77777777" w:rsidTr="00C07EB3">
        <w:trPr>
          <w:gridAfter w:val="1"/>
          <w:wAfter w:w="38" w:type="dxa"/>
          <w:trHeight w:val="20"/>
        </w:trPr>
        <w:tc>
          <w:tcPr>
            <w:tcW w:w="2281" w:type="dxa"/>
            <w:shd w:val="clear" w:color="auto" w:fill="auto"/>
            <w:vAlign w:val="center"/>
            <w:hideMark/>
          </w:tcPr>
          <w:p w14:paraId="2EB2EB7C" w14:textId="7B507F35" w:rsidR="00A7195D" w:rsidRPr="00CC4C7E" w:rsidRDefault="00CC4C7E" w:rsidP="00EE4AE5">
            <w:pPr>
              <w:spacing w:before="60" w:after="60" w:line="200" w:lineRule="exact"/>
              <w:ind w:left="-57" w:right="-57"/>
              <w:rPr>
                <w:rFonts w:eastAsia="Times New Roman" w:cs="Calibri"/>
                <w:color w:val="000000"/>
                <w:spacing w:val="-4"/>
                <w:sz w:val="18"/>
                <w:szCs w:val="18"/>
                <w:lang w:val="en-US"/>
              </w:rPr>
            </w:pPr>
            <w:r w:rsidRPr="00CC4C7E">
              <w:rPr>
                <w:rFonts w:eastAsia="Times New Roman" w:cs="Calibri"/>
                <w:color w:val="000000"/>
                <w:spacing w:val="-4"/>
                <w:sz w:val="18"/>
                <w:szCs w:val="18"/>
                <w:lang w:val="en-US"/>
              </w:rPr>
              <w:t xml:space="preserve">Ability to afford a meal including meat, fish or </w:t>
            </w:r>
            <w:r w:rsidRPr="00CC4C7E">
              <w:rPr>
                <w:rFonts w:eastAsia="Times New Roman" w:cs="Calibri"/>
                <w:color w:val="000000"/>
                <w:spacing w:val="-4"/>
                <w:sz w:val="18"/>
                <w:szCs w:val="18"/>
                <w:lang w:val="en-US"/>
              </w:rPr>
              <w:br/>
              <w:t>a vegetarian equivalent every second day</w:t>
            </w:r>
          </w:p>
        </w:tc>
        <w:tc>
          <w:tcPr>
            <w:tcW w:w="513" w:type="dxa"/>
            <w:gridSpan w:val="4"/>
            <w:shd w:val="clear" w:color="auto" w:fill="auto"/>
            <w:noWrap/>
            <w:vAlign w:val="center"/>
            <w:hideMark/>
          </w:tcPr>
          <w:p w14:paraId="2100B4DD" w14:textId="6BD1B6A2"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8</w:t>
            </w:r>
            <w:r w:rsidR="00513957">
              <w:rPr>
                <w:rFonts w:eastAsia="Times New Roman" w:cs="Calibri"/>
                <w:sz w:val="18"/>
                <w:szCs w:val="18"/>
              </w:rPr>
              <w:t>.</w:t>
            </w:r>
            <w:r w:rsidRPr="00D74D8D">
              <w:rPr>
                <w:rFonts w:eastAsia="Times New Roman" w:cs="Calibri"/>
                <w:sz w:val="18"/>
                <w:szCs w:val="18"/>
              </w:rPr>
              <w:t>2</w:t>
            </w:r>
          </w:p>
        </w:tc>
        <w:tc>
          <w:tcPr>
            <w:tcW w:w="509" w:type="dxa"/>
            <w:gridSpan w:val="4"/>
            <w:shd w:val="clear" w:color="auto" w:fill="auto"/>
            <w:noWrap/>
            <w:vAlign w:val="center"/>
            <w:hideMark/>
          </w:tcPr>
          <w:p w14:paraId="33273A55" w14:textId="44CAC02D"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6</w:t>
            </w:r>
            <w:r w:rsidR="00513957">
              <w:rPr>
                <w:rFonts w:eastAsia="Times New Roman" w:cs="Calibri"/>
                <w:sz w:val="18"/>
                <w:szCs w:val="18"/>
              </w:rPr>
              <w:t>.</w:t>
            </w:r>
            <w:r w:rsidRPr="00D74D8D">
              <w:rPr>
                <w:rFonts w:eastAsia="Times New Roman" w:cs="Calibri"/>
                <w:sz w:val="18"/>
                <w:szCs w:val="18"/>
              </w:rPr>
              <w:t>4</w:t>
            </w:r>
          </w:p>
        </w:tc>
        <w:tc>
          <w:tcPr>
            <w:tcW w:w="509" w:type="dxa"/>
            <w:gridSpan w:val="4"/>
            <w:shd w:val="clear" w:color="auto" w:fill="auto"/>
            <w:noWrap/>
            <w:vAlign w:val="center"/>
            <w:hideMark/>
          </w:tcPr>
          <w:p w14:paraId="02F5A3A0" w14:textId="4C1AA1F7"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6</w:t>
            </w:r>
            <w:r w:rsidR="00513957">
              <w:rPr>
                <w:rFonts w:eastAsia="Times New Roman" w:cs="Calibri"/>
                <w:sz w:val="18"/>
                <w:szCs w:val="18"/>
              </w:rPr>
              <w:t>.</w:t>
            </w:r>
            <w:r w:rsidRPr="00D74D8D">
              <w:rPr>
                <w:rFonts w:eastAsia="Times New Roman" w:cs="Calibri"/>
                <w:sz w:val="18"/>
                <w:szCs w:val="18"/>
              </w:rPr>
              <w:t>3</w:t>
            </w:r>
          </w:p>
        </w:tc>
        <w:tc>
          <w:tcPr>
            <w:tcW w:w="510" w:type="dxa"/>
            <w:gridSpan w:val="4"/>
            <w:shd w:val="clear" w:color="auto" w:fill="auto"/>
            <w:noWrap/>
            <w:vAlign w:val="center"/>
            <w:hideMark/>
          </w:tcPr>
          <w:p w14:paraId="2492F550" w14:textId="69FED9CA"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4</w:t>
            </w:r>
            <w:r w:rsidR="00513957">
              <w:rPr>
                <w:rFonts w:eastAsia="Times New Roman" w:cs="Calibri"/>
                <w:sz w:val="18"/>
                <w:szCs w:val="18"/>
              </w:rPr>
              <w:t>.</w:t>
            </w:r>
            <w:r w:rsidRPr="00D74D8D">
              <w:rPr>
                <w:rFonts w:eastAsia="Times New Roman" w:cs="Calibri"/>
                <w:sz w:val="18"/>
                <w:szCs w:val="18"/>
              </w:rPr>
              <w:t>9</w:t>
            </w:r>
          </w:p>
        </w:tc>
        <w:tc>
          <w:tcPr>
            <w:tcW w:w="510" w:type="dxa"/>
            <w:gridSpan w:val="4"/>
            <w:shd w:val="clear" w:color="auto" w:fill="auto"/>
            <w:noWrap/>
            <w:vAlign w:val="center"/>
            <w:hideMark/>
          </w:tcPr>
          <w:p w14:paraId="34D9BCC8" w14:textId="2983FF67"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4</w:t>
            </w:r>
            <w:r w:rsidR="00513957">
              <w:rPr>
                <w:rFonts w:eastAsia="Times New Roman" w:cs="Calibri"/>
                <w:sz w:val="18"/>
                <w:szCs w:val="18"/>
              </w:rPr>
              <w:t>.</w:t>
            </w:r>
            <w:r w:rsidRPr="00D74D8D">
              <w:rPr>
                <w:rFonts w:eastAsia="Times New Roman" w:cs="Calibri"/>
                <w:sz w:val="18"/>
                <w:szCs w:val="18"/>
              </w:rPr>
              <w:t>1</w:t>
            </w:r>
          </w:p>
        </w:tc>
        <w:tc>
          <w:tcPr>
            <w:tcW w:w="510" w:type="dxa"/>
            <w:gridSpan w:val="4"/>
            <w:shd w:val="clear" w:color="auto" w:fill="auto"/>
            <w:noWrap/>
            <w:vAlign w:val="center"/>
            <w:hideMark/>
          </w:tcPr>
          <w:p w14:paraId="202C1069" w14:textId="71C94C49"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3</w:t>
            </w:r>
            <w:r w:rsidR="00513957">
              <w:rPr>
                <w:rFonts w:eastAsia="Times New Roman" w:cs="Calibri"/>
                <w:sz w:val="18"/>
                <w:szCs w:val="18"/>
              </w:rPr>
              <w:t>.</w:t>
            </w:r>
            <w:r w:rsidRPr="00D74D8D">
              <w:rPr>
                <w:rFonts w:eastAsia="Times New Roman" w:cs="Calibri"/>
                <w:sz w:val="18"/>
                <w:szCs w:val="18"/>
              </w:rPr>
              <w:t>6</w:t>
            </w:r>
          </w:p>
        </w:tc>
        <w:tc>
          <w:tcPr>
            <w:tcW w:w="510" w:type="dxa"/>
            <w:gridSpan w:val="4"/>
            <w:shd w:val="clear" w:color="auto" w:fill="auto"/>
            <w:noWrap/>
            <w:vAlign w:val="center"/>
            <w:hideMark/>
          </w:tcPr>
          <w:p w14:paraId="557E581F" w14:textId="294FDF32"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3</w:t>
            </w:r>
            <w:r w:rsidR="00513957">
              <w:rPr>
                <w:rFonts w:eastAsia="Times New Roman" w:cs="Calibri"/>
                <w:sz w:val="18"/>
                <w:szCs w:val="18"/>
              </w:rPr>
              <w:t>.</w:t>
            </w:r>
            <w:r w:rsidRPr="00D74D8D">
              <w:rPr>
                <w:rFonts w:eastAsia="Times New Roman" w:cs="Calibri"/>
                <w:sz w:val="18"/>
                <w:szCs w:val="18"/>
              </w:rPr>
              <w:t>6</w:t>
            </w:r>
          </w:p>
        </w:tc>
        <w:tc>
          <w:tcPr>
            <w:tcW w:w="510" w:type="dxa"/>
            <w:gridSpan w:val="4"/>
            <w:shd w:val="clear" w:color="auto" w:fill="auto"/>
            <w:noWrap/>
            <w:vAlign w:val="center"/>
            <w:hideMark/>
          </w:tcPr>
          <w:p w14:paraId="6B077E24" w14:textId="3D44B945"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4</w:t>
            </w:r>
            <w:r w:rsidR="00513957">
              <w:rPr>
                <w:rFonts w:eastAsia="Times New Roman" w:cs="Calibri"/>
                <w:sz w:val="18"/>
                <w:szCs w:val="18"/>
              </w:rPr>
              <w:t>.</w:t>
            </w:r>
            <w:r w:rsidRPr="00D74D8D">
              <w:rPr>
                <w:rFonts w:eastAsia="Times New Roman" w:cs="Calibri"/>
                <w:sz w:val="18"/>
                <w:szCs w:val="18"/>
              </w:rPr>
              <w:t>1</w:t>
            </w:r>
          </w:p>
        </w:tc>
        <w:tc>
          <w:tcPr>
            <w:tcW w:w="510" w:type="dxa"/>
            <w:gridSpan w:val="4"/>
            <w:shd w:val="clear" w:color="auto" w:fill="auto"/>
            <w:noWrap/>
            <w:vAlign w:val="center"/>
            <w:hideMark/>
          </w:tcPr>
          <w:p w14:paraId="197F25F7" w14:textId="430F7DE7"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3</w:t>
            </w:r>
            <w:r w:rsidR="00513957">
              <w:rPr>
                <w:rFonts w:eastAsia="Times New Roman" w:cs="Calibri"/>
                <w:sz w:val="18"/>
                <w:szCs w:val="18"/>
              </w:rPr>
              <w:t>.</w:t>
            </w:r>
            <w:r w:rsidRPr="00D74D8D">
              <w:rPr>
                <w:rFonts w:eastAsia="Times New Roman" w:cs="Calibri"/>
                <w:sz w:val="18"/>
                <w:szCs w:val="18"/>
              </w:rPr>
              <w:t>5</w:t>
            </w:r>
          </w:p>
        </w:tc>
        <w:tc>
          <w:tcPr>
            <w:tcW w:w="512" w:type="dxa"/>
            <w:gridSpan w:val="4"/>
            <w:shd w:val="clear" w:color="auto" w:fill="auto"/>
            <w:noWrap/>
            <w:vAlign w:val="center"/>
            <w:hideMark/>
          </w:tcPr>
          <w:p w14:paraId="3DE02403" w14:textId="5D766753"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2</w:t>
            </w:r>
            <w:r w:rsidR="00513957">
              <w:rPr>
                <w:rFonts w:eastAsia="Times New Roman" w:cs="Calibri"/>
                <w:sz w:val="18"/>
                <w:szCs w:val="18"/>
              </w:rPr>
              <w:t>.</w:t>
            </w:r>
            <w:r w:rsidRPr="00D74D8D">
              <w:rPr>
                <w:rFonts w:eastAsia="Times New Roman" w:cs="Calibri"/>
                <w:sz w:val="18"/>
                <w:szCs w:val="18"/>
              </w:rPr>
              <w:t>8</w:t>
            </w:r>
          </w:p>
        </w:tc>
        <w:tc>
          <w:tcPr>
            <w:tcW w:w="515" w:type="dxa"/>
            <w:gridSpan w:val="4"/>
            <w:shd w:val="clear" w:color="auto" w:fill="auto"/>
            <w:noWrap/>
            <w:vAlign w:val="center"/>
            <w:hideMark/>
          </w:tcPr>
          <w:p w14:paraId="5AD2522B" w14:textId="5A6AF83C"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3</w:t>
            </w:r>
            <w:r w:rsidR="00513957">
              <w:rPr>
                <w:rFonts w:eastAsia="Times New Roman" w:cs="Calibri"/>
                <w:sz w:val="18"/>
                <w:szCs w:val="18"/>
              </w:rPr>
              <w:t>.</w:t>
            </w:r>
            <w:r w:rsidRPr="00D74D8D">
              <w:rPr>
                <w:rFonts w:eastAsia="Times New Roman" w:cs="Calibri"/>
                <w:sz w:val="18"/>
                <w:szCs w:val="18"/>
              </w:rPr>
              <w:t>0</w:t>
            </w:r>
          </w:p>
        </w:tc>
      </w:tr>
      <w:tr w:rsidR="00E707DE" w:rsidRPr="00D74D8D" w14:paraId="4AEA955B" w14:textId="77777777" w:rsidTr="00C07EB3">
        <w:trPr>
          <w:gridAfter w:val="1"/>
          <w:wAfter w:w="38" w:type="dxa"/>
          <w:trHeight w:val="20"/>
        </w:trPr>
        <w:tc>
          <w:tcPr>
            <w:tcW w:w="2281" w:type="dxa"/>
            <w:shd w:val="clear" w:color="auto" w:fill="auto"/>
            <w:vAlign w:val="center"/>
            <w:hideMark/>
          </w:tcPr>
          <w:p w14:paraId="11F4E149" w14:textId="114DA151" w:rsidR="00A7195D" w:rsidRPr="00CC4C7E" w:rsidRDefault="00CC4C7E" w:rsidP="00B42820">
            <w:pPr>
              <w:spacing w:before="60" w:after="60" w:line="200" w:lineRule="exact"/>
              <w:ind w:left="-57" w:right="-57"/>
              <w:rPr>
                <w:rFonts w:eastAsia="Times New Roman" w:cs="Calibri"/>
                <w:color w:val="000000"/>
                <w:spacing w:val="-4"/>
                <w:sz w:val="18"/>
                <w:szCs w:val="18"/>
                <w:lang w:val="en-US"/>
              </w:rPr>
            </w:pPr>
            <w:r w:rsidRPr="00CC4C7E">
              <w:rPr>
                <w:rFonts w:eastAsia="Times New Roman" w:cs="Calibri"/>
                <w:color w:val="000000"/>
                <w:spacing w:val="-4"/>
                <w:sz w:val="18"/>
                <w:szCs w:val="18"/>
                <w:lang w:val="en-US"/>
              </w:rPr>
              <w:t xml:space="preserve">Afford to keep home </w:t>
            </w:r>
            <w:r w:rsidRPr="00CC4C7E">
              <w:rPr>
                <w:rFonts w:eastAsia="Times New Roman" w:cs="Calibri"/>
                <w:color w:val="000000"/>
                <w:spacing w:val="-4"/>
                <w:sz w:val="18"/>
                <w:szCs w:val="18"/>
                <w:lang w:val="en-US"/>
              </w:rPr>
              <w:br/>
              <w:t>adequately warm</w:t>
            </w:r>
            <w:r w:rsidR="00A7195D" w:rsidRPr="00CC4C7E">
              <w:rPr>
                <w:rFonts w:eastAsia="Times New Roman" w:cs="Calibri"/>
                <w:color w:val="000000"/>
                <w:spacing w:val="-4"/>
                <w:sz w:val="18"/>
                <w:szCs w:val="18"/>
                <w:lang w:val="en-US"/>
              </w:rPr>
              <w:t xml:space="preserve"> </w:t>
            </w:r>
          </w:p>
        </w:tc>
        <w:tc>
          <w:tcPr>
            <w:tcW w:w="513" w:type="dxa"/>
            <w:gridSpan w:val="4"/>
            <w:shd w:val="clear" w:color="auto" w:fill="auto"/>
            <w:noWrap/>
            <w:vAlign w:val="center"/>
            <w:hideMark/>
          </w:tcPr>
          <w:p w14:paraId="7A73584D" w14:textId="32886A0E"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7</w:t>
            </w:r>
            <w:r w:rsidR="00513957">
              <w:rPr>
                <w:rFonts w:eastAsia="Times New Roman" w:cs="Calibri"/>
                <w:sz w:val="18"/>
                <w:szCs w:val="18"/>
              </w:rPr>
              <w:t>.</w:t>
            </w:r>
            <w:r w:rsidRPr="00D74D8D">
              <w:rPr>
                <w:rFonts w:eastAsia="Times New Roman" w:cs="Calibri"/>
                <w:sz w:val="18"/>
                <w:szCs w:val="18"/>
              </w:rPr>
              <w:t>5</w:t>
            </w:r>
          </w:p>
        </w:tc>
        <w:tc>
          <w:tcPr>
            <w:tcW w:w="509" w:type="dxa"/>
            <w:gridSpan w:val="4"/>
            <w:shd w:val="clear" w:color="auto" w:fill="auto"/>
            <w:noWrap/>
            <w:vAlign w:val="center"/>
            <w:hideMark/>
          </w:tcPr>
          <w:p w14:paraId="360F7750" w14:textId="2057C03D"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7</w:t>
            </w:r>
            <w:r w:rsidR="00513957">
              <w:rPr>
                <w:rFonts w:eastAsia="Times New Roman" w:cs="Calibri"/>
                <w:sz w:val="18"/>
                <w:szCs w:val="18"/>
              </w:rPr>
              <w:t>.</w:t>
            </w:r>
            <w:r w:rsidRPr="00D74D8D">
              <w:rPr>
                <w:rFonts w:eastAsia="Times New Roman" w:cs="Calibri"/>
                <w:sz w:val="18"/>
                <w:szCs w:val="18"/>
              </w:rPr>
              <w:t>1</w:t>
            </w:r>
          </w:p>
        </w:tc>
        <w:tc>
          <w:tcPr>
            <w:tcW w:w="509" w:type="dxa"/>
            <w:gridSpan w:val="4"/>
            <w:shd w:val="clear" w:color="auto" w:fill="auto"/>
            <w:noWrap/>
            <w:vAlign w:val="center"/>
            <w:hideMark/>
          </w:tcPr>
          <w:p w14:paraId="0A60FCED" w14:textId="1FB50218"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6</w:t>
            </w:r>
            <w:r w:rsidR="00513957">
              <w:rPr>
                <w:rFonts w:eastAsia="Times New Roman" w:cs="Calibri"/>
                <w:sz w:val="18"/>
                <w:szCs w:val="18"/>
              </w:rPr>
              <w:t>.</w:t>
            </w:r>
            <w:r w:rsidRPr="00D74D8D">
              <w:rPr>
                <w:rFonts w:eastAsia="Times New Roman" w:cs="Calibri"/>
                <w:sz w:val="18"/>
                <w:szCs w:val="18"/>
              </w:rPr>
              <w:t>0</w:t>
            </w:r>
          </w:p>
        </w:tc>
        <w:tc>
          <w:tcPr>
            <w:tcW w:w="510" w:type="dxa"/>
            <w:gridSpan w:val="4"/>
            <w:shd w:val="clear" w:color="auto" w:fill="auto"/>
            <w:noWrap/>
            <w:vAlign w:val="center"/>
            <w:hideMark/>
          </w:tcPr>
          <w:p w14:paraId="45D3C0CD" w14:textId="62282F17"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5</w:t>
            </w:r>
            <w:r w:rsidR="00513957">
              <w:rPr>
                <w:rFonts w:eastAsia="Times New Roman" w:cs="Calibri"/>
                <w:sz w:val="18"/>
                <w:szCs w:val="18"/>
              </w:rPr>
              <w:t>.</w:t>
            </w:r>
            <w:r w:rsidRPr="00D74D8D">
              <w:rPr>
                <w:rFonts w:eastAsia="Times New Roman" w:cs="Calibri"/>
                <w:sz w:val="18"/>
                <w:szCs w:val="18"/>
              </w:rPr>
              <w:t>1</w:t>
            </w:r>
          </w:p>
        </w:tc>
        <w:tc>
          <w:tcPr>
            <w:tcW w:w="510" w:type="dxa"/>
            <w:gridSpan w:val="4"/>
            <w:shd w:val="clear" w:color="auto" w:fill="auto"/>
            <w:noWrap/>
            <w:vAlign w:val="center"/>
            <w:hideMark/>
          </w:tcPr>
          <w:p w14:paraId="679854DB" w14:textId="2CCC21B2"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4</w:t>
            </w:r>
            <w:r w:rsidR="00513957">
              <w:rPr>
                <w:rFonts w:eastAsia="Times New Roman" w:cs="Calibri"/>
                <w:sz w:val="18"/>
                <w:szCs w:val="18"/>
              </w:rPr>
              <w:t>.</w:t>
            </w:r>
            <w:r w:rsidRPr="00D74D8D">
              <w:rPr>
                <w:rFonts w:eastAsia="Times New Roman" w:cs="Calibri"/>
                <w:sz w:val="18"/>
                <w:szCs w:val="18"/>
              </w:rPr>
              <w:t>2</w:t>
            </w:r>
          </w:p>
        </w:tc>
        <w:tc>
          <w:tcPr>
            <w:tcW w:w="510" w:type="dxa"/>
            <w:gridSpan w:val="4"/>
            <w:shd w:val="clear" w:color="auto" w:fill="auto"/>
            <w:noWrap/>
            <w:vAlign w:val="center"/>
            <w:hideMark/>
          </w:tcPr>
          <w:p w14:paraId="59FC5456" w14:textId="513A34A1"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3</w:t>
            </w:r>
            <w:r w:rsidR="00513957">
              <w:rPr>
                <w:rFonts w:eastAsia="Times New Roman" w:cs="Calibri"/>
                <w:sz w:val="18"/>
                <w:szCs w:val="18"/>
              </w:rPr>
              <w:t>.</w:t>
            </w:r>
            <w:r w:rsidRPr="00D74D8D">
              <w:rPr>
                <w:rFonts w:eastAsia="Times New Roman" w:cs="Calibri"/>
                <w:sz w:val="18"/>
                <w:szCs w:val="18"/>
              </w:rPr>
              <w:t>2</w:t>
            </w:r>
          </w:p>
        </w:tc>
        <w:tc>
          <w:tcPr>
            <w:tcW w:w="510" w:type="dxa"/>
            <w:gridSpan w:val="4"/>
            <w:shd w:val="clear" w:color="auto" w:fill="auto"/>
            <w:noWrap/>
            <w:vAlign w:val="center"/>
            <w:hideMark/>
          </w:tcPr>
          <w:p w14:paraId="403C4DF8" w14:textId="7E4B1EBD"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3</w:t>
            </w:r>
            <w:r w:rsidR="00513957">
              <w:rPr>
                <w:rFonts w:eastAsia="Times New Roman" w:cs="Calibri"/>
                <w:sz w:val="18"/>
                <w:szCs w:val="18"/>
              </w:rPr>
              <w:t>.</w:t>
            </w:r>
            <w:r w:rsidRPr="00D74D8D">
              <w:rPr>
                <w:rFonts w:eastAsia="Times New Roman" w:cs="Calibri"/>
                <w:sz w:val="18"/>
                <w:szCs w:val="18"/>
              </w:rPr>
              <w:t>2</w:t>
            </w:r>
          </w:p>
        </w:tc>
        <w:tc>
          <w:tcPr>
            <w:tcW w:w="510" w:type="dxa"/>
            <w:gridSpan w:val="4"/>
            <w:shd w:val="clear" w:color="auto" w:fill="auto"/>
            <w:noWrap/>
            <w:vAlign w:val="center"/>
            <w:hideMark/>
          </w:tcPr>
          <w:p w14:paraId="6487FE0E" w14:textId="19FC195D"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4</w:t>
            </w:r>
            <w:r w:rsidR="00513957">
              <w:rPr>
                <w:rFonts w:eastAsia="Times New Roman" w:cs="Calibri"/>
                <w:sz w:val="18"/>
                <w:szCs w:val="18"/>
              </w:rPr>
              <w:t>.</w:t>
            </w:r>
            <w:r w:rsidRPr="00D74D8D">
              <w:rPr>
                <w:rFonts w:eastAsia="Times New Roman" w:cs="Calibri"/>
                <w:sz w:val="18"/>
                <w:szCs w:val="18"/>
              </w:rPr>
              <w:t>9</w:t>
            </w:r>
          </w:p>
        </w:tc>
        <w:tc>
          <w:tcPr>
            <w:tcW w:w="510" w:type="dxa"/>
            <w:gridSpan w:val="4"/>
            <w:shd w:val="clear" w:color="auto" w:fill="auto"/>
            <w:noWrap/>
            <w:vAlign w:val="center"/>
            <w:hideMark/>
          </w:tcPr>
          <w:p w14:paraId="502A4C8E" w14:textId="17996EA4"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4</w:t>
            </w:r>
            <w:r w:rsidR="00513957">
              <w:rPr>
                <w:rFonts w:eastAsia="Times New Roman" w:cs="Calibri"/>
                <w:sz w:val="18"/>
                <w:szCs w:val="18"/>
              </w:rPr>
              <w:t>.</w:t>
            </w:r>
            <w:r w:rsidRPr="00D74D8D">
              <w:rPr>
                <w:rFonts w:eastAsia="Times New Roman" w:cs="Calibri"/>
                <w:sz w:val="18"/>
                <w:szCs w:val="18"/>
              </w:rPr>
              <w:t>7</w:t>
            </w:r>
          </w:p>
        </w:tc>
        <w:tc>
          <w:tcPr>
            <w:tcW w:w="512" w:type="dxa"/>
            <w:gridSpan w:val="4"/>
            <w:shd w:val="clear" w:color="auto" w:fill="auto"/>
            <w:noWrap/>
            <w:vAlign w:val="center"/>
            <w:hideMark/>
          </w:tcPr>
          <w:p w14:paraId="01C7CBE4" w14:textId="3F4387F7"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3</w:t>
            </w:r>
            <w:r w:rsidR="00513957">
              <w:rPr>
                <w:rFonts w:eastAsia="Times New Roman" w:cs="Calibri"/>
                <w:sz w:val="18"/>
                <w:szCs w:val="18"/>
              </w:rPr>
              <w:t>.</w:t>
            </w:r>
            <w:r w:rsidRPr="00D74D8D">
              <w:rPr>
                <w:rFonts w:eastAsia="Times New Roman" w:cs="Calibri"/>
                <w:sz w:val="18"/>
                <w:szCs w:val="18"/>
              </w:rPr>
              <w:t>3</w:t>
            </w:r>
          </w:p>
        </w:tc>
        <w:tc>
          <w:tcPr>
            <w:tcW w:w="515" w:type="dxa"/>
            <w:gridSpan w:val="4"/>
            <w:shd w:val="clear" w:color="auto" w:fill="auto"/>
            <w:noWrap/>
            <w:vAlign w:val="center"/>
            <w:hideMark/>
          </w:tcPr>
          <w:p w14:paraId="68E5974F" w14:textId="1FD57C35"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3</w:t>
            </w:r>
            <w:r w:rsidR="00513957">
              <w:rPr>
                <w:rFonts w:eastAsia="Times New Roman" w:cs="Calibri"/>
                <w:sz w:val="18"/>
                <w:szCs w:val="18"/>
              </w:rPr>
              <w:t>.</w:t>
            </w:r>
            <w:r w:rsidRPr="00D74D8D">
              <w:rPr>
                <w:rFonts w:eastAsia="Times New Roman" w:cs="Calibri"/>
                <w:sz w:val="18"/>
                <w:szCs w:val="18"/>
              </w:rPr>
              <w:t>4</w:t>
            </w:r>
          </w:p>
        </w:tc>
      </w:tr>
      <w:tr w:rsidR="00E707DE" w:rsidRPr="00D74D8D" w14:paraId="1071A634" w14:textId="77777777" w:rsidTr="00C07EB3">
        <w:trPr>
          <w:trHeight w:val="20"/>
        </w:trPr>
        <w:tc>
          <w:tcPr>
            <w:tcW w:w="7937" w:type="dxa"/>
            <w:gridSpan w:val="46"/>
            <w:shd w:val="clear" w:color="auto" w:fill="auto"/>
            <w:vAlign w:val="center"/>
          </w:tcPr>
          <w:p w14:paraId="2470A4DE" w14:textId="6E88FCCD" w:rsidR="00A7195D" w:rsidRPr="00D74D8D" w:rsidRDefault="00CC4C7E" w:rsidP="00CC4C7E">
            <w:pPr>
              <w:spacing w:before="80" w:after="80" w:line="200" w:lineRule="exact"/>
              <w:jc w:val="center"/>
              <w:rPr>
                <w:rFonts w:eastAsia="Times New Roman" w:cs="Calibri"/>
                <w:b/>
                <w:color w:val="000000"/>
                <w:sz w:val="18"/>
                <w:szCs w:val="18"/>
              </w:rPr>
            </w:pPr>
            <w:r w:rsidRPr="00E90231">
              <w:rPr>
                <w:rFonts w:eastAsia="Times New Roman" w:cs="Calibri"/>
                <w:b/>
                <w:color w:val="000000"/>
                <w:sz w:val="18"/>
                <w:szCs w:val="18"/>
              </w:rPr>
              <w:t xml:space="preserve">Financial </w:t>
            </w:r>
            <w:proofErr w:type="spellStart"/>
            <w:r w:rsidRPr="00E90231">
              <w:rPr>
                <w:rFonts w:eastAsia="Times New Roman" w:cs="Calibri"/>
                <w:b/>
                <w:color w:val="000000"/>
                <w:sz w:val="18"/>
                <w:szCs w:val="18"/>
              </w:rPr>
              <w:t>security</w:t>
            </w:r>
            <w:proofErr w:type="spellEnd"/>
          </w:p>
        </w:tc>
      </w:tr>
      <w:tr w:rsidR="00A92B50" w:rsidRPr="00D74D8D" w14:paraId="62C92672" w14:textId="77777777" w:rsidTr="00C07EB3">
        <w:trPr>
          <w:trHeight w:val="20"/>
        </w:trPr>
        <w:tc>
          <w:tcPr>
            <w:tcW w:w="2306" w:type="dxa"/>
            <w:gridSpan w:val="3"/>
            <w:shd w:val="clear" w:color="auto" w:fill="auto"/>
            <w:vAlign w:val="center"/>
          </w:tcPr>
          <w:p w14:paraId="7301CC4A" w14:textId="17C0AE63" w:rsidR="00A7195D" w:rsidRPr="00CC4C7E" w:rsidRDefault="00CC4C7E" w:rsidP="00CC4C7E">
            <w:pPr>
              <w:spacing w:before="60" w:after="60" w:line="200" w:lineRule="exact"/>
              <w:ind w:left="-57" w:right="-57"/>
              <w:rPr>
                <w:rFonts w:eastAsia="Times New Roman" w:cs="Calibri"/>
                <w:color w:val="000000"/>
                <w:sz w:val="18"/>
                <w:szCs w:val="18"/>
                <w:lang w:val="en-US"/>
              </w:rPr>
            </w:pPr>
            <w:r w:rsidRPr="00CC4C7E">
              <w:rPr>
                <w:rFonts w:eastAsia="Times New Roman" w:cs="Calibri"/>
                <w:color w:val="000000"/>
                <w:sz w:val="18"/>
                <w:szCs w:val="18"/>
                <w:lang w:val="en-US"/>
              </w:rPr>
              <w:t xml:space="preserve">Ability to meet </w:t>
            </w:r>
            <w:r w:rsidRPr="00CC4C7E">
              <w:rPr>
                <w:rFonts w:eastAsia="Times New Roman" w:cs="Calibri"/>
                <w:color w:val="000000"/>
                <w:sz w:val="18"/>
                <w:szCs w:val="18"/>
                <w:lang w:val="en-US"/>
              </w:rPr>
              <w:br/>
              <w:t>unexpected expense</w:t>
            </w:r>
            <w:r w:rsidR="0020423A">
              <w:rPr>
                <w:rFonts w:eastAsia="Times New Roman" w:cs="Calibri"/>
                <w:color w:val="000000"/>
                <w:sz w:val="18"/>
                <w:szCs w:val="18"/>
                <w:lang w:val="en-US"/>
              </w:rPr>
              <w:t>s</w:t>
            </w:r>
            <w:r w:rsidRPr="00CC4C7E" w:rsidDel="00DD7CB2">
              <w:rPr>
                <w:rFonts w:eastAsia="Times New Roman" w:cs="Calibri"/>
                <w:color w:val="000000"/>
                <w:sz w:val="18"/>
                <w:szCs w:val="18"/>
                <w:lang w:val="en-US"/>
              </w:rPr>
              <w:t xml:space="preserve"> </w:t>
            </w:r>
            <w:r w:rsidRPr="00CC4C7E">
              <w:rPr>
                <w:rFonts w:eastAsia="Times New Roman" w:cs="Calibri"/>
                <w:color w:val="000000"/>
                <w:spacing w:val="-6"/>
                <w:sz w:val="18"/>
                <w:szCs w:val="18"/>
                <w:lang w:val="en-US"/>
              </w:rPr>
              <w:t xml:space="preserve">(60.0% of the national median of yearly </w:t>
            </w:r>
            <w:proofErr w:type="spellStart"/>
            <w:r w:rsidRPr="00CC4C7E">
              <w:rPr>
                <w:rFonts w:eastAsia="Times New Roman" w:cs="Calibri"/>
                <w:color w:val="000000"/>
                <w:spacing w:val="-6"/>
                <w:sz w:val="18"/>
                <w:szCs w:val="18"/>
                <w:lang w:val="en-US"/>
              </w:rPr>
              <w:t>equivalised</w:t>
            </w:r>
            <w:proofErr w:type="spellEnd"/>
            <w:r w:rsidRPr="00CC4C7E">
              <w:rPr>
                <w:rFonts w:eastAsia="Times New Roman" w:cs="Calibri"/>
                <w:color w:val="000000"/>
                <w:spacing w:val="-6"/>
                <w:sz w:val="18"/>
                <w:szCs w:val="18"/>
                <w:lang w:val="en-US"/>
              </w:rPr>
              <w:t xml:space="preserve"> disposable income)</w:t>
            </w:r>
          </w:p>
        </w:tc>
        <w:tc>
          <w:tcPr>
            <w:tcW w:w="510" w:type="dxa"/>
            <w:gridSpan w:val="4"/>
            <w:shd w:val="clear" w:color="auto" w:fill="auto"/>
            <w:noWrap/>
            <w:vAlign w:val="center"/>
          </w:tcPr>
          <w:p w14:paraId="270723F4" w14:textId="25D3B1F0"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42</w:t>
            </w:r>
            <w:r w:rsidR="00513957">
              <w:rPr>
                <w:rFonts w:eastAsia="Times New Roman" w:cs="Calibri"/>
                <w:sz w:val="18"/>
                <w:szCs w:val="18"/>
              </w:rPr>
              <w:t>.</w:t>
            </w:r>
            <w:r w:rsidRPr="00D74D8D">
              <w:rPr>
                <w:rFonts w:eastAsia="Times New Roman" w:cs="Calibri"/>
                <w:sz w:val="18"/>
                <w:szCs w:val="18"/>
              </w:rPr>
              <w:t>3</w:t>
            </w:r>
          </w:p>
        </w:tc>
        <w:tc>
          <w:tcPr>
            <w:tcW w:w="510" w:type="dxa"/>
            <w:gridSpan w:val="4"/>
            <w:shd w:val="clear" w:color="auto" w:fill="auto"/>
            <w:noWrap/>
            <w:vAlign w:val="center"/>
          </w:tcPr>
          <w:p w14:paraId="57FAFEDD" w14:textId="434BCB67"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37</w:t>
            </w:r>
            <w:r w:rsidR="00513957">
              <w:rPr>
                <w:rFonts w:eastAsia="Times New Roman" w:cs="Calibri"/>
                <w:sz w:val="18"/>
                <w:szCs w:val="18"/>
              </w:rPr>
              <w:t>.</w:t>
            </w:r>
            <w:r w:rsidRPr="00D74D8D">
              <w:rPr>
                <w:rFonts w:eastAsia="Times New Roman" w:cs="Calibri"/>
                <w:sz w:val="18"/>
                <w:szCs w:val="18"/>
              </w:rPr>
              <w:t>9</w:t>
            </w:r>
          </w:p>
        </w:tc>
        <w:tc>
          <w:tcPr>
            <w:tcW w:w="510" w:type="dxa"/>
            <w:gridSpan w:val="4"/>
            <w:shd w:val="clear" w:color="auto" w:fill="auto"/>
            <w:noWrap/>
            <w:vAlign w:val="center"/>
          </w:tcPr>
          <w:p w14:paraId="5310391A" w14:textId="64EB5C4C"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34</w:t>
            </w:r>
            <w:r w:rsidR="00513957">
              <w:rPr>
                <w:rFonts w:eastAsia="Times New Roman" w:cs="Calibri"/>
                <w:sz w:val="18"/>
                <w:szCs w:val="18"/>
              </w:rPr>
              <w:t>.</w:t>
            </w:r>
            <w:r w:rsidRPr="00D74D8D">
              <w:rPr>
                <w:rFonts w:eastAsia="Times New Roman" w:cs="Calibri"/>
                <w:sz w:val="18"/>
                <w:szCs w:val="18"/>
              </w:rPr>
              <w:t>8</w:t>
            </w:r>
          </w:p>
        </w:tc>
        <w:tc>
          <w:tcPr>
            <w:tcW w:w="510" w:type="dxa"/>
            <w:gridSpan w:val="4"/>
            <w:shd w:val="clear" w:color="auto" w:fill="auto"/>
            <w:noWrap/>
            <w:vAlign w:val="center"/>
          </w:tcPr>
          <w:p w14:paraId="306B8BF7" w14:textId="3243B4D6"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31</w:t>
            </w:r>
            <w:r w:rsidR="00513957">
              <w:rPr>
                <w:rFonts w:eastAsia="Times New Roman" w:cs="Calibri"/>
                <w:sz w:val="18"/>
                <w:szCs w:val="18"/>
              </w:rPr>
              <w:t>.</w:t>
            </w:r>
            <w:r w:rsidRPr="00D74D8D">
              <w:rPr>
                <w:rFonts w:eastAsia="Times New Roman" w:cs="Calibri"/>
                <w:sz w:val="18"/>
                <w:szCs w:val="18"/>
              </w:rPr>
              <w:t>7</w:t>
            </w:r>
          </w:p>
        </w:tc>
        <w:tc>
          <w:tcPr>
            <w:tcW w:w="510" w:type="dxa"/>
            <w:gridSpan w:val="4"/>
            <w:shd w:val="clear" w:color="auto" w:fill="auto"/>
            <w:noWrap/>
            <w:vAlign w:val="center"/>
          </w:tcPr>
          <w:p w14:paraId="28E53D53" w14:textId="60DF2147"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29</w:t>
            </w:r>
            <w:r w:rsidR="00513957">
              <w:rPr>
                <w:rFonts w:eastAsia="Times New Roman" w:cs="Calibri"/>
                <w:sz w:val="18"/>
                <w:szCs w:val="18"/>
              </w:rPr>
              <w:t>.</w:t>
            </w:r>
            <w:r w:rsidRPr="00D74D8D">
              <w:rPr>
                <w:rFonts w:eastAsia="Times New Roman" w:cs="Calibri"/>
                <w:sz w:val="18"/>
                <w:szCs w:val="18"/>
              </w:rPr>
              <w:t>3</w:t>
            </w:r>
          </w:p>
        </w:tc>
        <w:tc>
          <w:tcPr>
            <w:tcW w:w="510" w:type="dxa"/>
            <w:gridSpan w:val="4"/>
            <w:shd w:val="clear" w:color="auto" w:fill="auto"/>
            <w:noWrap/>
            <w:vAlign w:val="center"/>
          </w:tcPr>
          <w:p w14:paraId="7D6E74A3" w14:textId="5C4D220B"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25</w:t>
            </w:r>
            <w:r w:rsidR="00513957">
              <w:rPr>
                <w:rFonts w:eastAsia="Times New Roman" w:cs="Calibri"/>
                <w:sz w:val="18"/>
                <w:szCs w:val="18"/>
              </w:rPr>
              <w:t>.</w:t>
            </w:r>
            <w:r w:rsidRPr="00D74D8D">
              <w:rPr>
                <w:rFonts w:eastAsia="Times New Roman" w:cs="Calibri"/>
                <w:sz w:val="18"/>
                <w:szCs w:val="18"/>
              </w:rPr>
              <w:t>7</w:t>
            </w:r>
          </w:p>
        </w:tc>
        <w:tc>
          <w:tcPr>
            <w:tcW w:w="510" w:type="dxa"/>
            <w:gridSpan w:val="4"/>
            <w:shd w:val="clear" w:color="auto" w:fill="auto"/>
            <w:noWrap/>
            <w:vAlign w:val="center"/>
          </w:tcPr>
          <w:p w14:paraId="117D891A" w14:textId="61112019"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24</w:t>
            </w:r>
            <w:r w:rsidR="00513957">
              <w:rPr>
                <w:rFonts w:eastAsia="Times New Roman" w:cs="Calibri"/>
                <w:sz w:val="18"/>
                <w:szCs w:val="18"/>
              </w:rPr>
              <w:t>.</w:t>
            </w:r>
            <w:r w:rsidRPr="00D74D8D">
              <w:rPr>
                <w:rFonts w:eastAsia="Times New Roman" w:cs="Calibri"/>
                <w:sz w:val="18"/>
                <w:szCs w:val="18"/>
              </w:rPr>
              <w:t>5</w:t>
            </w:r>
          </w:p>
        </w:tc>
        <w:tc>
          <w:tcPr>
            <w:tcW w:w="510" w:type="dxa"/>
            <w:gridSpan w:val="4"/>
            <w:shd w:val="clear" w:color="auto" w:fill="auto"/>
            <w:noWrap/>
            <w:vAlign w:val="center"/>
          </w:tcPr>
          <w:p w14:paraId="180175E7" w14:textId="266892E7"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27</w:t>
            </w:r>
            <w:r w:rsidR="00513957">
              <w:rPr>
                <w:rFonts w:eastAsia="Times New Roman" w:cs="Calibri"/>
                <w:sz w:val="18"/>
                <w:szCs w:val="18"/>
              </w:rPr>
              <w:t>.</w:t>
            </w:r>
            <w:r w:rsidRPr="00D74D8D">
              <w:rPr>
                <w:rFonts w:eastAsia="Times New Roman" w:cs="Calibri"/>
                <w:sz w:val="18"/>
                <w:szCs w:val="18"/>
              </w:rPr>
              <w:t>1</w:t>
            </w:r>
          </w:p>
        </w:tc>
        <w:tc>
          <w:tcPr>
            <w:tcW w:w="510" w:type="dxa"/>
            <w:gridSpan w:val="4"/>
            <w:shd w:val="clear" w:color="auto" w:fill="auto"/>
            <w:noWrap/>
            <w:vAlign w:val="center"/>
          </w:tcPr>
          <w:p w14:paraId="0B14CF07" w14:textId="4D5EEA88"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25</w:t>
            </w:r>
            <w:r w:rsidR="00513957">
              <w:rPr>
                <w:rFonts w:eastAsia="Times New Roman" w:cs="Calibri"/>
                <w:sz w:val="18"/>
                <w:szCs w:val="18"/>
              </w:rPr>
              <w:t>.</w:t>
            </w:r>
            <w:r w:rsidRPr="00D74D8D">
              <w:rPr>
                <w:rFonts w:eastAsia="Times New Roman" w:cs="Calibri"/>
                <w:sz w:val="18"/>
                <w:szCs w:val="18"/>
              </w:rPr>
              <w:t>7</w:t>
            </w:r>
          </w:p>
        </w:tc>
        <w:tc>
          <w:tcPr>
            <w:tcW w:w="510" w:type="dxa"/>
            <w:gridSpan w:val="4"/>
            <w:shd w:val="clear" w:color="auto" w:fill="auto"/>
            <w:noWrap/>
            <w:vAlign w:val="center"/>
          </w:tcPr>
          <w:p w14:paraId="3856E42F" w14:textId="4F491381"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22</w:t>
            </w:r>
            <w:r w:rsidR="00513957">
              <w:rPr>
                <w:rFonts w:eastAsia="Times New Roman" w:cs="Calibri"/>
                <w:sz w:val="18"/>
                <w:szCs w:val="18"/>
              </w:rPr>
              <w:t>.</w:t>
            </w:r>
            <w:r w:rsidRPr="00D74D8D">
              <w:rPr>
                <w:rFonts w:eastAsia="Times New Roman" w:cs="Calibri"/>
                <w:sz w:val="18"/>
                <w:szCs w:val="18"/>
              </w:rPr>
              <w:t>8</w:t>
            </w:r>
          </w:p>
        </w:tc>
        <w:tc>
          <w:tcPr>
            <w:tcW w:w="531" w:type="dxa"/>
            <w:gridSpan w:val="3"/>
            <w:shd w:val="clear" w:color="auto" w:fill="auto"/>
            <w:noWrap/>
            <w:vAlign w:val="center"/>
          </w:tcPr>
          <w:p w14:paraId="787CB217" w14:textId="1D1EEB8C" w:rsidR="00A7195D" w:rsidRPr="00D74D8D" w:rsidRDefault="00A7195D" w:rsidP="00B42820">
            <w:pPr>
              <w:spacing w:before="60" w:after="60" w:line="200" w:lineRule="exact"/>
              <w:ind w:left="-57" w:right="-57"/>
              <w:jc w:val="right"/>
              <w:rPr>
                <w:rFonts w:eastAsia="Times New Roman" w:cs="Calibri"/>
                <w:color w:val="FF0000"/>
                <w:sz w:val="18"/>
                <w:szCs w:val="18"/>
              </w:rPr>
            </w:pPr>
            <w:r w:rsidRPr="00D74D8D">
              <w:rPr>
                <w:rFonts w:eastAsia="Times New Roman" w:cs="Calibri"/>
                <w:color w:val="000000" w:themeColor="text1"/>
                <w:sz w:val="18"/>
                <w:szCs w:val="18"/>
              </w:rPr>
              <w:t>22</w:t>
            </w:r>
            <w:r w:rsidR="00513957">
              <w:rPr>
                <w:rFonts w:eastAsia="Times New Roman" w:cs="Calibri"/>
                <w:color w:val="000000" w:themeColor="text1"/>
                <w:sz w:val="18"/>
                <w:szCs w:val="18"/>
              </w:rPr>
              <w:t>.</w:t>
            </w:r>
            <w:r w:rsidRPr="00D74D8D">
              <w:rPr>
                <w:rFonts w:eastAsia="Times New Roman" w:cs="Calibri"/>
                <w:color w:val="000000" w:themeColor="text1"/>
                <w:sz w:val="18"/>
                <w:szCs w:val="18"/>
              </w:rPr>
              <w:t>0</w:t>
            </w:r>
          </w:p>
        </w:tc>
      </w:tr>
      <w:tr w:rsidR="00A92B50" w:rsidRPr="00D74D8D" w14:paraId="229BBE78" w14:textId="77777777" w:rsidTr="00C07EB3">
        <w:trPr>
          <w:trHeight w:val="20"/>
        </w:trPr>
        <w:tc>
          <w:tcPr>
            <w:tcW w:w="2306" w:type="dxa"/>
            <w:gridSpan w:val="3"/>
            <w:shd w:val="clear" w:color="auto" w:fill="auto"/>
            <w:vAlign w:val="center"/>
            <w:hideMark/>
          </w:tcPr>
          <w:p w14:paraId="59D4DAA0" w14:textId="3444E91F" w:rsidR="00A7195D" w:rsidRPr="00513957" w:rsidRDefault="00513957" w:rsidP="00D74D8D">
            <w:pPr>
              <w:spacing w:before="60" w:after="60" w:line="200" w:lineRule="exact"/>
              <w:ind w:left="-57" w:right="-57"/>
              <w:rPr>
                <w:rFonts w:eastAsia="Times New Roman" w:cs="Calibri"/>
                <w:color w:val="000000"/>
                <w:spacing w:val="-4"/>
                <w:sz w:val="18"/>
                <w:szCs w:val="18"/>
                <w:lang w:val="en-US"/>
              </w:rPr>
            </w:pPr>
            <w:r w:rsidRPr="00513957">
              <w:rPr>
                <w:rFonts w:eastAsia="Times New Roman" w:cs="Calibri"/>
                <w:color w:val="000000"/>
                <w:spacing w:val="-4"/>
                <w:sz w:val="18"/>
                <w:szCs w:val="18"/>
                <w:lang w:val="en-US"/>
              </w:rPr>
              <w:t>Avoid arrears (in mortgage rent, utility bills and/or hire purchase instalments)</w:t>
            </w:r>
          </w:p>
        </w:tc>
        <w:tc>
          <w:tcPr>
            <w:tcW w:w="510" w:type="dxa"/>
            <w:gridSpan w:val="4"/>
            <w:shd w:val="clear" w:color="auto" w:fill="auto"/>
            <w:noWrap/>
            <w:vAlign w:val="center"/>
            <w:hideMark/>
          </w:tcPr>
          <w:p w14:paraId="55D40597" w14:textId="7F2588EC"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11</w:t>
            </w:r>
            <w:r w:rsidR="00513957">
              <w:rPr>
                <w:rFonts w:eastAsia="Times New Roman" w:cs="Calibri"/>
                <w:sz w:val="18"/>
                <w:szCs w:val="18"/>
              </w:rPr>
              <w:t>.</w:t>
            </w:r>
            <w:r w:rsidRPr="00D74D8D">
              <w:rPr>
                <w:rFonts w:eastAsia="Times New Roman" w:cs="Calibri"/>
                <w:sz w:val="18"/>
                <w:szCs w:val="18"/>
              </w:rPr>
              <w:t>0</w:t>
            </w:r>
          </w:p>
        </w:tc>
        <w:tc>
          <w:tcPr>
            <w:tcW w:w="510" w:type="dxa"/>
            <w:gridSpan w:val="4"/>
            <w:shd w:val="clear" w:color="auto" w:fill="auto"/>
            <w:noWrap/>
            <w:vAlign w:val="center"/>
            <w:hideMark/>
          </w:tcPr>
          <w:p w14:paraId="41E7470D" w14:textId="2CF74859"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11</w:t>
            </w:r>
            <w:r w:rsidR="00513957">
              <w:rPr>
                <w:rFonts w:eastAsia="Times New Roman" w:cs="Calibri"/>
                <w:sz w:val="18"/>
                <w:szCs w:val="18"/>
              </w:rPr>
              <w:t>.</w:t>
            </w:r>
            <w:r w:rsidRPr="00D74D8D">
              <w:rPr>
                <w:rFonts w:eastAsia="Times New Roman" w:cs="Calibri"/>
                <w:sz w:val="18"/>
                <w:szCs w:val="18"/>
              </w:rPr>
              <w:t>0</w:t>
            </w:r>
          </w:p>
        </w:tc>
        <w:tc>
          <w:tcPr>
            <w:tcW w:w="510" w:type="dxa"/>
            <w:gridSpan w:val="4"/>
            <w:shd w:val="clear" w:color="auto" w:fill="auto"/>
            <w:noWrap/>
            <w:vAlign w:val="center"/>
            <w:hideMark/>
          </w:tcPr>
          <w:p w14:paraId="609D855A" w14:textId="6A7F9EC1"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10</w:t>
            </w:r>
            <w:r w:rsidR="00513957">
              <w:rPr>
                <w:rFonts w:eastAsia="Times New Roman" w:cs="Calibri"/>
                <w:sz w:val="18"/>
                <w:szCs w:val="18"/>
              </w:rPr>
              <w:t>.</w:t>
            </w:r>
            <w:r w:rsidRPr="00D74D8D">
              <w:rPr>
                <w:rFonts w:eastAsia="Times New Roman" w:cs="Calibri"/>
                <w:sz w:val="18"/>
                <w:szCs w:val="18"/>
              </w:rPr>
              <w:t>3</w:t>
            </w:r>
          </w:p>
        </w:tc>
        <w:tc>
          <w:tcPr>
            <w:tcW w:w="510" w:type="dxa"/>
            <w:gridSpan w:val="4"/>
            <w:shd w:val="clear" w:color="auto" w:fill="auto"/>
            <w:noWrap/>
            <w:vAlign w:val="center"/>
            <w:hideMark/>
          </w:tcPr>
          <w:p w14:paraId="1611C06A" w14:textId="655DD6D6"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7</w:t>
            </w:r>
            <w:r w:rsidR="00513957">
              <w:rPr>
                <w:rFonts w:eastAsia="Times New Roman" w:cs="Calibri"/>
                <w:sz w:val="18"/>
                <w:szCs w:val="18"/>
              </w:rPr>
              <w:t>.</w:t>
            </w:r>
            <w:r w:rsidRPr="00D74D8D">
              <w:rPr>
                <w:rFonts w:eastAsia="Times New Roman" w:cs="Calibri"/>
                <w:sz w:val="18"/>
                <w:szCs w:val="18"/>
              </w:rPr>
              <w:t>7</w:t>
            </w:r>
          </w:p>
        </w:tc>
        <w:tc>
          <w:tcPr>
            <w:tcW w:w="510" w:type="dxa"/>
            <w:gridSpan w:val="4"/>
            <w:shd w:val="clear" w:color="auto" w:fill="auto"/>
            <w:noWrap/>
            <w:vAlign w:val="center"/>
            <w:hideMark/>
          </w:tcPr>
          <w:p w14:paraId="420F5981" w14:textId="2EA817CB"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7</w:t>
            </w:r>
            <w:r w:rsidR="00513957">
              <w:rPr>
                <w:rFonts w:eastAsia="Times New Roman" w:cs="Calibri"/>
                <w:sz w:val="18"/>
                <w:szCs w:val="18"/>
              </w:rPr>
              <w:t>.</w:t>
            </w:r>
            <w:r w:rsidRPr="00D74D8D">
              <w:rPr>
                <w:rFonts w:eastAsia="Times New Roman" w:cs="Calibri"/>
                <w:sz w:val="18"/>
                <w:szCs w:val="18"/>
              </w:rPr>
              <w:t>4</w:t>
            </w:r>
          </w:p>
        </w:tc>
        <w:tc>
          <w:tcPr>
            <w:tcW w:w="510" w:type="dxa"/>
            <w:gridSpan w:val="4"/>
            <w:shd w:val="clear" w:color="auto" w:fill="auto"/>
            <w:noWrap/>
            <w:vAlign w:val="center"/>
            <w:hideMark/>
          </w:tcPr>
          <w:p w14:paraId="61E99023" w14:textId="45710151"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5</w:t>
            </w:r>
            <w:r w:rsidR="00513957">
              <w:rPr>
                <w:rFonts w:eastAsia="Times New Roman" w:cs="Calibri"/>
                <w:sz w:val="18"/>
                <w:szCs w:val="18"/>
              </w:rPr>
              <w:t>.</w:t>
            </w:r>
            <w:r w:rsidRPr="00D74D8D">
              <w:rPr>
                <w:rFonts w:eastAsia="Times New Roman" w:cs="Calibri"/>
                <w:sz w:val="18"/>
                <w:szCs w:val="18"/>
              </w:rPr>
              <w:t>5</w:t>
            </w:r>
          </w:p>
        </w:tc>
        <w:tc>
          <w:tcPr>
            <w:tcW w:w="510" w:type="dxa"/>
            <w:gridSpan w:val="4"/>
            <w:shd w:val="clear" w:color="auto" w:fill="auto"/>
            <w:noWrap/>
            <w:vAlign w:val="center"/>
            <w:hideMark/>
          </w:tcPr>
          <w:p w14:paraId="584B8C98" w14:textId="5BFBD6A8"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7</w:t>
            </w:r>
            <w:r w:rsidR="00513957">
              <w:rPr>
                <w:rFonts w:eastAsia="Times New Roman" w:cs="Calibri"/>
                <w:sz w:val="18"/>
                <w:szCs w:val="18"/>
              </w:rPr>
              <w:t>.</w:t>
            </w:r>
            <w:r w:rsidRPr="00D74D8D">
              <w:rPr>
                <w:rFonts w:eastAsia="Times New Roman" w:cs="Calibri"/>
                <w:sz w:val="18"/>
                <w:szCs w:val="18"/>
              </w:rPr>
              <w:t>0</w:t>
            </w:r>
          </w:p>
        </w:tc>
        <w:tc>
          <w:tcPr>
            <w:tcW w:w="510" w:type="dxa"/>
            <w:gridSpan w:val="4"/>
            <w:shd w:val="clear" w:color="auto" w:fill="auto"/>
            <w:noWrap/>
            <w:vAlign w:val="center"/>
            <w:hideMark/>
          </w:tcPr>
          <w:p w14:paraId="655D830D" w14:textId="6D7BA698"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6</w:t>
            </w:r>
            <w:r w:rsidR="00513957">
              <w:rPr>
                <w:rFonts w:eastAsia="Times New Roman" w:cs="Calibri"/>
                <w:sz w:val="18"/>
                <w:szCs w:val="18"/>
              </w:rPr>
              <w:t>.</w:t>
            </w:r>
            <w:r w:rsidRPr="00D74D8D">
              <w:rPr>
                <w:rFonts w:eastAsia="Times New Roman" w:cs="Calibri"/>
                <w:sz w:val="18"/>
                <w:szCs w:val="18"/>
              </w:rPr>
              <w:t>0</w:t>
            </w:r>
          </w:p>
        </w:tc>
        <w:tc>
          <w:tcPr>
            <w:tcW w:w="510" w:type="dxa"/>
            <w:gridSpan w:val="4"/>
            <w:shd w:val="clear" w:color="auto" w:fill="auto"/>
            <w:noWrap/>
            <w:vAlign w:val="center"/>
            <w:hideMark/>
          </w:tcPr>
          <w:p w14:paraId="4F796FC6" w14:textId="5E0ABBD8"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5</w:t>
            </w:r>
            <w:r w:rsidR="00513957">
              <w:rPr>
                <w:rFonts w:eastAsia="Times New Roman" w:cs="Calibri"/>
                <w:sz w:val="18"/>
                <w:szCs w:val="18"/>
              </w:rPr>
              <w:t>.</w:t>
            </w:r>
            <w:r w:rsidRPr="00D74D8D">
              <w:rPr>
                <w:rFonts w:eastAsia="Times New Roman" w:cs="Calibri"/>
                <w:sz w:val="18"/>
                <w:szCs w:val="18"/>
              </w:rPr>
              <w:t>1</w:t>
            </w:r>
          </w:p>
        </w:tc>
        <w:tc>
          <w:tcPr>
            <w:tcW w:w="510" w:type="dxa"/>
            <w:gridSpan w:val="4"/>
            <w:shd w:val="clear" w:color="auto" w:fill="auto"/>
            <w:noWrap/>
            <w:vAlign w:val="center"/>
            <w:hideMark/>
          </w:tcPr>
          <w:p w14:paraId="00C1E7E9" w14:textId="7C14C80B"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4</w:t>
            </w:r>
            <w:r w:rsidR="00513957">
              <w:rPr>
                <w:rFonts w:eastAsia="Times New Roman" w:cs="Calibri"/>
                <w:sz w:val="18"/>
                <w:szCs w:val="18"/>
              </w:rPr>
              <w:t>.</w:t>
            </w:r>
            <w:r w:rsidRPr="00D74D8D">
              <w:rPr>
                <w:rFonts w:eastAsia="Times New Roman" w:cs="Calibri"/>
                <w:sz w:val="18"/>
                <w:szCs w:val="18"/>
              </w:rPr>
              <w:t>2</w:t>
            </w:r>
          </w:p>
        </w:tc>
        <w:tc>
          <w:tcPr>
            <w:tcW w:w="531" w:type="dxa"/>
            <w:gridSpan w:val="3"/>
            <w:shd w:val="clear" w:color="auto" w:fill="auto"/>
            <w:noWrap/>
            <w:vAlign w:val="center"/>
            <w:hideMark/>
          </w:tcPr>
          <w:p w14:paraId="29EA751E" w14:textId="1806AC13" w:rsidR="00A7195D" w:rsidRPr="00D74D8D" w:rsidRDefault="00A7195D" w:rsidP="00B42820">
            <w:pPr>
              <w:spacing w:before="60" w:after="60" w:line="200" w:lineRule="exact"/>
              <w:ind w:left="-57" w:right="-57"/>
              <w:jc w:val="right"/>
              <w:rPr>
                <w:rFonts w:eastAsia="Times New Roman" w:cs="Calibri"/>
                <w:color w:val="000000"/>
                <w:sz w:val="18"/>
                <w:szCs w:val="18"/>
              </w:rPr>
            </w:pPr>
            <w:r w:rsidRPr="00D74D8D">
              <w:rPr>
                <w:rFonts w:eastAsia="Times New Roman" w:cs="Calibri"/>
                <w:color w:val="000000"/>
                <w:sz w:val="18"/>
                <w:szCs w:val="18"/>
              </w:rPr>
              <w:t> 2</w:t>
            </w:r>
            <w:r w:rsidR="00513957">
              <w:rPr>
                <w:rFonts w:eastAsia="Times New Roman" w:cs="Calibri"/>
                <w:color w:val="000000"/>
                <w:sz w:val="18"/>
                <w:szCs w:val="18"/>
              </w:rPr>
              <w:t>.</w:t>
            </w:r>
            <w:r w:rsidRPr="00D74D8D">
              <w:rPr>
                <w:rFonts w:eastAsia="Times New Roman" w:cs="Calibri"/>
                <w:color w:val="000000"/>
                <w:sz w:val="18"/>
                <w:szCs w:val="18"/>
              </w:rPr>
              <w:t>8</w:t>
            </w:r>
          </w:p>
        </w:tc>
      </w:tr>
      <w:tr w:rsidR="00E707DE" w:rsidRPr="00D74D8D" w14:paraId="6C90B737" w14:textId="77777777" w:rsidTr="00C07EB3">
        <w:trPr>
          <w:trHeight w:val="20"/>
        </w:trPr>
        <w:tc>
          <w:tcPr>
            <w:tcW w:w="7937" w:type="dxa"/>
            <w:gridSpan w:val="46"/>
            <w:shd w:val="clear" w:color="auto" w:fill="auto"/>
            <w:vAlign w:val="center"/>
          </w:tcPr>
          <w:p w14:paraId="4BE6B3E8" w14:textId="2543436D" w:rsidR="00A7195D" w:rsidRPr="00D74D8D" w:rsidRDefault="00513957" w:rsidP="00513957">
            <w:pPr>
              <w:spacing w:before="80" w:after="80" w:line="200" w:lineRule="exact"/>
              <w:jc w:val="center"/>
              <w:rPr>
                <w:rFonts w:eastAsia="Times New Roman" w:cs="Calibri"/>
                <w:sz w:val="18"/>
                <w:szCs w:val="18"/>
              </w:rPr>
            </w:pPr>
            <w:proofErr w:type="spellStart"/>
            <w:r>
              <w:rPr>
                <w:rFonts w:eastAsia="Times New Roman" w:cs="Arial"/>
                <w:b/>
                <w:bCs/>
                <w:color w:val="0A0A0A"/>
                <w:sz w:val="18"/>
                <w:szCs w:val="18"/>
              </w:rPr>
              <w:t>M</w:t>
            </w:r>
            <w:r w:rsidRPr="00D74D8D">
              <w:rPr>
                <w:rFonts w:eastAsia="Times New Roman" w:cs="Arial"/>
                <w:b/>
                <w:bCs/>
                <w:color w:val="0A0A0A"/>
                <w:sz w:val="18"/>
                <w:szCs w:val="18"/>
              </w:rPr>
              <w:t>aterial</w:t>
            </w:r>
            <w:proofErr w:type="spellEnd"/>
            <w:r w:rsidRPr="00D74D8D">
              <w:rPr>
                <w:rFonts w:eastAsia="Times New Roman" w:cs="Arial"/>
                <w:b/>
                <w:bCs/>
                <w:color w:val="0A0A0A"/>
                <w:sz w:val="18"/>
                <w:szCs w:val="18"/>
              </w:rPr>
              <w:t xml:space="preserve"> </w:t>
            </w:r>
            <w:proofErr w:type="spellStart"/>
            <w:r>
              <w:rPr>
                <w:rFonts w:eastAsia="Times New Roman" w:cs="Arial"/>
                <w:b/>
                <w:bCs/>
                <w:color w:val="0A0A0A"/>
                <w:sz w:val="18"/>
                <w:szCs w:val="18"/>
              </w:rPr>
              <w:t>needs</w:t>
            </w:r>
            <w:proofErr w:type="spellEnd"/>
            <w:r w:rsidR="00A7195D" w:rsidRPr="00D74D8D">
              <w:rPr>
                <w:rFonts w:eastAsia="Times New Roman" w:cs="Arial"/>
                <w:b/>
                <w:bCs/>
                <w:color w:val="0A0A0A"/>
                <w:sz w:val="18"/>
                <w:szCs w:val="18"/>
              </w:rPr>
              <w:t xml:space="preserve"> </w:t>
            </w:r>
          </w:p>
        </w:tc>
      </w:tr>
      <w:tr w:rsidR="00B42820" w:rsidRPr="00D74D8D" w14:paraId="4BF8B8B2" w14:textId="77777777" w:rsidTr="00C07EB3">
        <w:trPr>
          <w:trHeight w:val="20"/>
        </w:trPr>
        <w:tc>
          <w:tcPr>
            <w:tcW w:w="2319" w:type="dxa"/>
            <w:gridSpan w:val="4"/>
            <w:shd w:val="clear" w:color="auto" w:fill="auto"/>
            <w:vAlign w:val="center"/>
            <w:hideMark/>
          </w:tcPr>
          <w:p w14:paraId="06D198BE" w14:textId="7B5686A4" w:rsidR="00A7195D" w:rsidRPr="00513957" w:rsidRDefault="00513957" w:rsidP="00B42820">
            <w:pPr>
              <w:spacing w:before="60" w:after="60" w:line="200" w:lineRule="exact"/>
              <w:ind w:left="-57" w:right="-57"/>
              <w:rPr>
                <w:rFonts w:eastAsia="Times New Roman" w:cs="Calibri"/>
                <w:color w:val="000000"/>
                <w:spacing w:val="-4"/>
                <w:sz w:val="18"/>
                <w:szCs w:val="18"/>
                <w:lang w:val="en-US"/>
              </w:rPr>
            </w:pPr>
            <w:r w:rsidRPr="00513957">
              <w:rPr>
                <w:rFonts w:eastAsia="Times New Roman" w:cs="Calibri"/>
                <w:color w:val="000000"/>
                <w:spacing w:val="-4"/>
                <w:sz w:val="18"/>
                <w:szCs w:val="18"/>
                <w:lang w:val="en-US"/>
              </w:rPr>
              <w:t>Afford to replace worn-out furniture</w:t>
            </w:r>
            <w:r w:rsidR="00A7195D" w:rsidRPr="00513957">
              <w:rPr>
                <w:rFonts w:eastAsia="Times New Roman" w:cs="Calibri"/>
                <w:color w:val="000000"/>
                <w:spacing w:val="-4"/>
                <w:sz w:val="18"/>
                <w:szCs w:val="18"/>
                <w:lang w:val="en-US"/>
              </w:rPr>
              <w:t xml:space="preserve"> </w:t>
            </w:r>
          </w:p>
        </w:tc>
        <w:tc>
          <w:tcPr>
            <w:tcW w:w="510" w:type="dxa"/>
            <w:gridSpan w:val="4"/>
            <w:shd w:val="clear" w:color="auto" w:fill="auto"/>
            <w:noWrap/>
            <w:vAlign w:val="center"/>
            <w:hideMark/>
          </w:tcPr>
          <w:p w14:paraId="31DD69E5" w14:textId="5C12EACC"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27</w:t>
            </w:r>
            <w:r w:rsidR="00513957">
              <w:rPr>
                <w:rFonts w:eastAsia="Times New Roman" w:cs="Calibri"/>
                <w:sz w:val="18"/>
                <w:szCs w:val="18"/>
              </w:rPr>
              <w:t>.</w:t>
            </w:r>
            <w:r w:rsidRPr="00D74D8D">
              <w:rPr>
                <w:rFonts w:eastAsia="Times New Roman" w:cs="Calibri"/>
                <w:sz w:val="18"/>
                <w:szCs w:val="18"/>
              </w:rPr>
              <w:t>8</w:t>
            </w:r>
          </w:p>
        </w:tc>
        <w:tc>
          <w:tcPr>
            <w:tcW w:w="510" w:type="dxa"/>
            <w:gridSpan w:val="4"/>
            <w:shd w:val="clear" w:color="auto" w:fill="auto"/>
            <w:noWrap/>
            <w:vAlign w:val="center"/>
            <w:hideMark/>
          </w:tcPr>
          <w:p w14:paraId="16344ADD" w14:textId="46911120"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21</w:t>
            </w:r>
            <w:r w:rsidR="00513957">
              <w:rPr>
                <w:rFonts w:eastAsia="Times New Roman" w:cs="Calibri"/>
                <w:sz w:val="18"/>
                <w:szCs w:val="18"/>
              </w:rPr>
              <w:t>.</w:t>
            </w:r>
            <w:r w:rsidRPr="00D74D8D">
              <w:rPr>
                <w:rFonts w:eastAsia="Times New Roman" w:cs="Calibri"/>
                <w:sz w:val="18"/>
                <w:szCs w:val="18"/>
              </w:rPr>
              <w:t>7</w:t>
            </w:r>
          </w:p>
        </w:tc>
        <w:tc>
          <w:tcPr>
            <w:tcW w:w="510" w:type="dxa"/>
            <w:gridSpan w:val="4"/>
            <w:shd w:val="clear" w:color="auto" w:fill="auto"/>
            <w:noWrap/>
            <w:vAlign w:val="center"/>
            <w:hideMark/>
          </w:tcPr>
          <w:p w14:paraId="6F28BD80" w14:textId="40CF0183"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19</w:t>
            </w:r>
            <w:r w:rsidR="00513957">
              <w:rPr>
                <w:rFonts w:eastAsia="Times New Roman" w:cs="Calibri"/>
                <w:sz w:val="18"/>
                <w:szCs w:val="18"/>
              </w:rPr>
              <w:t>.</w:t>
            </w:r>
            <w:r w:rsidRPr="00D74D8D">
              <w:rPr>
                <w:rFonts w:eastAsia="Times New Roman" w:cs="Calibri"/>
                <w:sz w:val="18"/>
                <w:szCs w:val="18"/>
              </w:rPr>
              <w:t>1</w:t>
            </w:r>
          </w:p>
        </w:tc>
        <w:tc>
          <w:tcPr>
            <w:tcW w:w="510" w:type="dxa"/>
            <w:gridSpan w:val="4"/>
            <w:shd w:val="clear" w:color="auto" w:fill="auto"/>
            <w:noWrap/>
            <w:vAlign w:val="center"/>
            <w:hideMark/>
          </w:tcPr>
          <w:p w14:paraId="08FAC0B4" w14:textId="3E9E980E"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17</w:t>
            </w:r>
            <w:r w:rsidR="00513957">
              <w:rPr>
                <w:rFonts w:eastAsia="Times New Roman" w:cs="Calibri"/>
                <w:sz w:val="18"/>
                <w:szCs w:val="18"/>
              </w:rPr>
              <w:t>.</w:t>
            </w:r>
            <w:r w:rsidRPr="00D74D8D">
              <w:rPr>
                <w:rFonts w:eastAsia="Times New Roman" w:cs="Calibri"/>
                <w:sz w:val="18"/>
                <w:szCs w:val="18"/>
              </w:rPr>
              <w:t>2</w:t>
            </w:r>
          </w:p>
        </w:tc>
        <w:tc>
          <w:tcPr>
            <w:tcW w:w="510" w:type="dxa"/>
            <w:gridSpan w:val="4"/>
            <w:shd w:val="clear" w:color="auto" w:fill="auto"/>
            <w:noWrap/>
            <w:vAlign w:val="center"/>
            <w:hideMark/>
          </w:tcPr>
          <w:p w14:paraId="16BF6DC5" w14:textId="4E9B4B0A"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15</w:t>
            </w:r>
            <w:r w:rsidR="00513957">
              <w:rPr>
                <w:rFonts w:eastAsia="Times New Roman" w:cs="Calibri"/>
                <w:sz w:val="18"/>
                <w:szCs w:val="18"/>
              </w:rPr>
              <w:t>.</w:t>
            </w:r>
            <w:r w:rsidRPr="00D74D8D">
              <w:rPr>
                <w:rFonts w:eastAsia="Times New Roman" w:cs="Calibri"/>
                <w:sz w:val="18"/>
                <w:szCs w:val="18"/>
              </w:rPr>
              <w:t>0</w:t>
            </w:r>
          </w:p>
        </w:tc>
        <w:tc>
          <w:tcPr>
            <w:tcW w:w="510" w:type="dxa"/>
            <w:gridSpan w:val="4"/>
            <w:shd w:val="clear" w:color="auto" w:fill="auto"/>
            <w:noWrap/>
            <w:vAlign w:val="center"/>
            <w:hideMark/>
          </w:tcPr>
          <w:p w14:paraId="48E2D0C5" w14:textId="63CF8C04"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13</w:t>
            </w:r>
            <w:r w:rsidR="00513957">
              <w:rPr>
                <w:rFonts w:eastAsia="Times New Roman" w:cs="Calibri"/>
                <w:sz w:val="18"/>
                <w:szCs w:val="18"/>
              </w:rPr>
              <w:t>.</w:t>
            </w:r>
            <w:r w:rsidRPr="00D74D8D">
              <w:rPr>
                <w:rFonts w:eastAsia="Times New Roman" w:cs="Calibri"/>
                <w:sz w:val="18"/>
                <w:szCs w:val="18"/>
              </w:rPr>
              <w:t>2</w:t>
            </w:r>
          </w:p>
        </w:tc>
        <w:tc>
          <w:tcPr>
            <w:tcW w:w="510" w:type="dxa"/>
            <w:gridSpan w:val="4"/>
            <w:shd w:val="clear" w:color="auto" w:fill="auto"/>
            <w:noWrap/>
            <w:vAlign w:val="center"/>
            <w:hideMark/>
          </w:tcPr>
          <w:p w14:paraId="406FE3DE" w14:textId="7C26CD5A"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12</w:t>
            </w:r>
            <w:r w:rsidR="00513957">
              <w:rPr>
                <w:rFonts w:eastAsia="Times New Roman" w:cs="Calibri"/>
                <w:sz w:val="18"/>
                <w:szCs w:val="18"/>
              </w:rPr>
              <w:t>.</w:t>
            </w:r>
            <w:r w:rsidRPr="00D74D8D">
              <w:rPr>
                <w:rFonts w:eastAsia="Times New Roman" w:cs="Calibri"/>
                <w:sz w:val="18"/>
                <w:szCs w:val="18"/>
              </w:rPr>
              <w:t>0</w:t>
            </w:r>
          </w:p>
        </w:tc>
        <w:tc>
          <w:tcPr>
            <w:tcW w:w="510" w:type="dxa"/>
            <w:gridSpan w:val="4"/>
            <w:shd w:val="clear" w:color="auto" w:fill="auto"/>
            <w:noWrap/>
            <w:vAlign w:val="center"/>
            <w:hideMark/>
          </w:tcPr>
          <w:p w14:paraId="1F858E5F" w14:textId="747F304D"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12</w:t>
            </w:r>
            <w:r w:rsidR="00513957">
              <w:rPr>
                <w:rFonts w:eastAsia="Times New Roman" w:cs="Calibri"/>
                <w:sz w:val="18"/>
                <w:szCs w:val="18"/>
              </w:rPr>
              <w:t>.</w:t>
            </w:r>
            <w:r w:rsidRPr="00D74D8D">
              <w:rPr>
                <w:rFonts w:eastAsia="Times New Roman" w:cs="Calibri"/>
                <w:sz w:val="18"/>
                <w:szCs w:val="18"/>
              </w:rPr>
              <w:t>6</w:t>
            </w:r>
          </w:p>
        </w:tc>
        <w:tc>
          <w:tcPr>
            <w:tcW w:w="510" w:type="dxa"/>
            <w:gridSpan w:val="4"/>
            <w:shd w:val="clear" w:color="auto" w:fill="auto"/>
            <w:noWrap/>
            <w:vAlign w:val="center"/>
            <w:hideMark/>
          </w:tcPr>
          <w:p w14:paraId="61B39A5E" w14:textId="45FFDF82"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11</w:t>
            </w:r>
            <w:r w:rsidR="00513957">
              <w:rPr>
                <w:rFonts w:eastAsia="Times New Roman" w:cs="Calibri"/>
                <w:sz w:val="18"/>
                <w:szCs w:val="18"/>
              </w:rPr>
              <w:t>.</w:t>
            </w:r>
            <w:r w:rsidRPr="00D74D8D">
              <w:rPr>
                <w:rFonts w:eastAsia="Times New Roman" w:cs="Calibri"/>
                <w:sz w:val="18"/>
                <w:szCs w:val="18"/>
              </w:rPr>
              <w:t>5</w:t>
            </w:r>
          </w:p>
        </w:tc>
        <w:tc>
          <w:tcPr>
            <w:tcW w:w="510" w:type="dxa"/>
            <w:gridSpan w:val="4"/>
            <w:shd w:val="clear" w:color="auto" w:fill="auto"/>
            <w:noWrap/>
            <w:vAlign w:val="center"/>
            <w:hideMark/>
          </w:tcPr>
          <w:p w14:paraId="4235E968" w14:textId="0114F46E"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9</w:t>
            </w:r>
            <w:r w:rsidR="00513957">
              <w:rPr>
                <w:rFonts w:eastAsia="Times New Roman" w:cs="Calibri"/>
                <w:sz w:val="18"/>
                <w:szCs w:val="18"/>
              </w:rPr>
              <w:t>.</w:t>
            </w:r>
            <w:r w:rsidRPr="00D74D8D">
              <w:rPr>
                <w:rFonts w:eastAsia="Times New Roman" w:cs="Calibri"/>
                <w:sz w:val="18"/>
                <w:szCs w:val="18"/>
              </w:rPr>
              <w:t>6</w:t>
            </w:r>
          </w:p>
        </w:tc>
        <w:tc>
          <w:tcPr>
            <w:tcW w:w="518" w:type="dxa"/>
            <w:gridSpan w:val="2"/>
            <w:shd w:val="clear" w:color="auto" w:fill="auto"/>
            <w:noWrap/>
            <w:vAlign w:val="center"/>
            <w:hideMark/>
          </w:tcPr>
          <w:p w14:paraId="29480BC8" w14:textId="262CAE2A"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9</w:t>
            </w:r>
            <w:r w:rsidR="00513957">
              <w:rPr>
                <w:rFonts w:eastAsia="Times New Roman" w:cs="Calibri"/>
                <w:sz w:val="18"/>
                <w:szCs w:val="18"/>
              </w:rPr>
              <w:t>.</w:t>
            </w:r>
            <w:r w:rsidRPr="00D74D8D">
              <w:rPr>
                <w:rFonts w:eastAsia="Times New Roman" w:cs="Calibri"/>
                <w:sz w:val="18"/>
                <w:szCs w:val="18"/>
              </w:rPr>
              <w:t>9</w:t>
            </w:r>
          </w:p>
        </w:tc>
      </w:tr>
      <w:tr w:rsidR="00B42820" w:rsidRPr="00D74D8D" w14:paraId="055A148E" w14:textId="77777777" w:rsidTr="00C07EB3">
        <w:trPr>
          <w:trHeight w:val="20"/>
        </w:trPr>
        <w:tc>
          <w:tcPr>
            <w:tcW w:w="2319" w:type="dxa"/>
            <w:gridSpan w:val="4"/>
            <w:shd w:val="clear" w:color="auto" w:fill="auto"/>
            <w:noWrap/>
            <w:vAlign w:val="center"/>
            <w:hideMark/>
          </w:tcPr>
          <w:p w14:paraId="1FD2519E" w14:textId="18794199" w:rsidR="00A7195D" w:rsidRPr="00513957" w:rsidRDefault="00513957" w:rsidP="00CC4C7E">
            <w:pPr>
              <w:spacing w:before="60" w:after="60" w:line="200" w:lineRule="exact"/>
              <w:ind w:left="-57" w:right="-57"/>
              <w:rPr>
                <w:rFonts w:eastAsia="Times New Roman" w:cs="Calibri"/>
                <w:color w:val="000000"/>
                <w:spacing w:val="-4"/>
                <w:sz w:val="18"/>
                <w:szCs w:val="18"/>
                <w:lang w:val="en-US"/>
              </w:rPr>
            </w:pPr>
            <w:r w:rsidRPr="00513957">
              <w:rPr>
                <w:rFonts w:eastAsia="Times New Roman" w:cs="Calibri"/>
                <w:color w:val="000000"/>
                <w:spacing w:val="-4"/>
                <w:sz w:val="18"/>
                <w:szCs w:val="18"/>
                <w:lang w:val="en-US"/>
              </w:rPr>
              <w:t>Afford to replace worn-out clothes by some new ones</w:t>
            </w:r>
          </w:p>
        </w:tc>
        <w:tc>
          <w:tcPr>
            <w:tcW w:w="510" w:type="dxa"/>
            <w:gridSpan w:val="4"/>
            <w:shd w:val="clear" w:color="auto" w:fill="auto"/>
            <w:noWrap/>
            <w:vAlign w:val="center"/>
            <w:hideMark/>
          </w:tcPr>
          <w:p w14:paraId="6291E2C7" w14:textId="0F9C14DE"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10</w:t>
            </w:r>
            <w:r w:rsidR="00513957">
              <w:rPr>
                <w:rFonts w:eastAsia="Times New Roman" w:cs="Calibri"/>
                <w:sz w:val="18"/>
                <w:szCs w:val="18"/>
              </w:rPr>
              <w:t>.</w:t>
            </w:r>
            <w:r w:rsidRPr="00D74D8D">
              <w:rPr>
                <w:rFonts w:eastAsia="Times New Roman" w:cs="Calibri"/>
                <w:sz w:val="18"/>
                <w:szCs w:val="18"/>
              </w:rPr>
              <w:t>4</w:t>
            </w:r>
          </w:p>
        </w:tc>
        <w:tc>
          <w:tcPr>
            <w:tcW w:w="510" w:type="dxa"/>
            <w:gridSpan w:val="4"/>
            <w:shd w:val="clear" w:color="auto" w:fill="auto"/>
            <w:noWrap/>
            <w:vAlign w:val="center"/>
            <w:hideMark/>
          </w:tcPr>
          <w:p w14:paraId="11B5D7F8" w14:textId="34592B15"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7</w:t>
            </w:r>
            <w:r w:rsidR="00513957">
              <w:rPr>
                <w:rFonts w:eastAsia="Times New Roman" w:cs="Calibri"/>
                <w:sz w:val="18"/>
                <w:szCs w:val="18"/>
              </w:rPr>
              <w:t>.</w:t>
            </w:r>
            <w:r w:rsidRPr="00D74D8D">
              <w:rPr>
                <w:rFonts w:eastAsia="Times New Roman" w:cs="Calibri"/>
                <w:sz w:val="18"/>
                <w:szCs w:val="18"/>
              </w:rPr>
              <w:t>6</w:t>
            </w:r>
          </w:p>
        </w:tc>
        <w:tc>
          <w:tcPr>
            <w:tcW w:w="510" w:type="dxa"/>
            <w:gridSpan w:val="4"/>
            <w:shd w:val="clear" w:color="auto" w:fill="auto"/>
            <w:noWrap/>
            <w:vAlign w:val="center"/>
            <w:hideMark/>
          </w:tcPr>
          <w:p w14:paraId="082AF93F" w14:textId="4F4BA426"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8</w:t>
            </w:r>
            <w:r w:rsidR="00513957">
              <w:rPr>
                <w:rFonts w:eastAsia="Times New Roman" w:cs="Calibri"/>
                <w:sz w:val="18"/>
                <w:szCs w:val="18"/>
              </w:rPr>
              <w:t>.</w:t>
            </w:r>
            <w:r w:rsidRPr="00D74D8D">
              <w:rPr>
                <w:rFonts w:eastAsia="Times New Roman" w:cs="Calibri"/>
                <w:sz w:val="18"/>
                <w:szCs w:val="18"/>
              </w:rPr>
              <w:t>2</w:t>
            </w:r>
          </w:p>
        </w:tc>
        <w:tc>
          <w:tcPr>
            <w:tcW w:w="510" w:type="dxa"/>
            <w:gridSpan w:val="4"/>
            <w:shd w:val="clear" w:color="auto" w:fill="auto"/>
            <w:noWrap/>
            <w:vAlign w:val="center"/>
            <w:hideMark/>
          </w:tcPr>
          <w:p w14:paraId="73A8A98B" w14:textId="2B65A74D"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7</w:t>
            </w:r>
            <w:r w:rsidR="00513957">
              <w:rPr>
                <w:rFonts w:eastAsia="Times New Roman" w:cs="Calibri"/>
                <w:sz w:val="18"/>
                <w:szCs w:val="18"/>
              </w:rPr>
              <w:t>.</w:t>
            </w:r>
            <w:r w:rsidRPr="00D74D8D">
              <w:rPr>
                <w:rFonts w:eastAsia="Times New Roman" w:cs="Calibri"/>
                <w:sz w:val="18"/>
                <w:szCs w:val="18"/>
              </w:rPr>
              <w:t>2</w:t>
            </w:r>
          </w:p>
        </w:tc>
        <w:tc>
          <w:tcPr>
            <w:tcW w:w="510" w:type="dxa"/>
            <w:gridSpan w:val="4"/>
            <w:shd w:val="clear" w:color="auto" w:fill="auto"/>
            <w:noWrap/>
            <w:vAlign w:val="center"/>
            <w:hideMark/>
          </w:tcPr>
          <w:p w14:paraId="287D3A86" w14:textId="45FDFF77"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6</w:t>
            </w:r>
            <w:r w:rsidR="00513957">
              <w:rPr>
                <w:rFonts w:eastAsia="Times New Roman" w:cs="Calibri"/>
                <w:sz w:val="18"/>
                <w:szCs w:val="18"/>
              </w:rPr>
              <w:t>.</w:t>
            </w:r>
            <w:r w:rsidRPr="00D74D8D">
              <w:rPr>
                <w:rFonts w:eastAsia="Times New Roman" w:cs="Calibri"/>
                <w:sz w:val="18"/>
                <w:szCs w:val="18"/>
              </w:rPr>
              <w:t>4</w:t>
            </w:r>
          </w:p>
        </w:tc>
        <w:tc>
          <w:tcPr>
            <w:tcW w:w="510" w:type="dxa"/>
            <w:gridSpan w:val="4"/>
            <w:shd w:val="clear" w:color="auto" w:fill="auto"/>
            <w:noWrap/>
            <w:vAlign w:val="center"/>
            <w:hideMark/>
          </w:tcPr>
          <w:p w14:paraId="673AF86D" w14:textId="3C4CE051"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5</w:t>
            </w:r>
            <w:r w:rsidR="00513957">
              <w:rPr>
                <w:rFonts w:eastAsia="Times New Roman" w:cs="Calibri"/>
                <w:sz w:val="18"/>
                <w:szCs w:val="18"/>
              </w:rPr>
              <w:t>.</w:t>
            </w:r>
            <w:r w:rsidRPr="00D74D8D">
              <w:rPr>
                <w:rFonts w:eastAsia="Times New Roman" w:cs="Calibri"/>
                <w:sz w:val="18"/>
                <w:szCs w:val="18"/>
              </w:rPr>
              <w:t>0</w:t>
            </w:r>
          </w:p>
        </w:tc>
        <w:tc>
          <w:tcPr>
            <w:tcW w:w="510" w:type="dxa"/>
            <w:gridSpan w:val="4"/>
            <w:shd w:val="clear" w:color="auto" w:fill="auto"/>
            <w:noWrap/>
            <w:vAlign w:val="center"/>
            <w:hideMark/>
          </w:tcPr>
          <w:p w14:paraId="5C594DF4" w14:textId="629D0990"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5</w:t>
            </w:r>
            <w:r w:rsidR="00513957">
              <w:rPr>
                <w:rFonts w:eastAsia="Times New Roman" w:cs="Calibri"/>
                <w:sz w:val="18"/>
                <w:szCs w:val="18"/>
              </w:rPr>
              <w:t>.</w:t>
            </w:r>
            <w:r w:rsidRPr="00D74D8D">
              <w:rPr>
                <w:rFonts w:eastAsia="Times New Roman" w:cs="Calibri"/>
                <w:sz w:val="18"/>
                <w:szCs w:val="18"/>
              </w:rPr>
              <w:t>3</w:t>
            </w:r>
          </w:p>
        </w:tc>
        <w:tc>
          <w:tcPr>
            <w:tcW w:w="510" w:type="dxa"/>
            <w:gridSpan w:val="4"/>
            <w:shd w:val="clear" w:color="auto" w:fill="auto"/>
            <w:noWrap/>
            <w:vAlign w:val="center"/>
            <w:hideMark/>
          </w:tcPr>
          <w:p w14:paraId="69107A1B" w14:textId="29A290C5"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4</w:t>
            </w:r>
            <w:r w:rsidR="00513957">
              <w:rPr>
                <w:rFonts w:eastAsia="Times New Roman" w:cs="Calibri"/>
                <w:sz w:val="18"/>
                <w:szCs w:val="18"/>
              </w:rPr>
              <w:t>.</w:t>
            </w:r>
            <w:r w:rsidRPr="00D74D8D">
              <w:rPr>
                <w:rFonts w:eastAsia="Times New Roman" w:cs="Calibri"/>
                <w:sz w:val="18"/>
                <w:szCs w:val="18"/>
              </w:rPr>
              <w:t>7</w:t>
            </w:r>
          </w:p>
        </w:tc>
        <w:tc>
          <w:tcPr>
            <w:tcW w:w="510" w:type="dxa"/>
            <w:gridSpan w:val="4"/>
            <w:shd w:val="clear" w:color="auto" w:fill="auto"/>
            <w:noWrap/>
            <w:vAlign w:val="center"/>
            <w:hideMark/>
          </w:tcPr>
          <w:p w14:paraId="3829504D" w14:textId="64CDE5A5"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4</w:t>
            </w:r>
            <w:r w:rsidR="00513957">
              <w:rPr>
                <w:rFonts w:eastAsia="Times New Roman" w:cs="Calibri"/>
                <w:sz w:val="18"/>
                <w:szCs w:val="18"/>
              </w:rPr>
              <w:t>.</w:t>
            </w:r>
            <w:r w:rsidRPr="00D74D8D">
              <w:rPr>
                <w:rFonts w:eastAsia="Times New Roman" w:cs="Calibri"/>
                <w:sz w:val="18"/>
                <w:szCs w:val="18"/>
              </w:rPr>
              <w:t>4</w:t>
            </w:r>
          </w:p>
        </w:tc>
        <w:tc>
          <w:tcPr>
            <w:tcW w:w="510" w:type="dxa"/>
            <w:gridSpan w:val="4"/>
            <w:shd w:val="clear" w:color="auto" w:fill="auto"/>
            <w:noWrap/>
            <w:vAlign w:val="center"/>
            <w:hideMark/>
          </w:tcPr>
          <w:p w14:paraId="23FA626E" w14:textId="135944E9"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3</w:t>
            </w:r>
            <w:r w:rsidR="00513957">
              <w:rPr>
                <w:rFonts w:eastAsia="Times New Roman" w:cs="Calibri"/>
                <w:sz w:val="18"/>
                <w:szCs w:val="18"/>
              </w:rPr>
              <w:t>.</w:t>
            </w:r>
            <w:r w:rsidRPr="00D74D8D">
              <w:rPr>
                <w:rFonts w:eastAsia="Times New Roman" w:cs="Calibri"/>
                <w:sz w:val="18"/>
                <w:szCs w:val="18"/>
              </w:rPr>
              <w:t>7</w:t>
            </w:r>
          </w:p>
        </w:tc>
        <w:tc>
          <w:tcPr>
            <w:tcW w:w="518" w:type="dxa"/>
            <w:gridSpan w:val="2"/>
            <w:shd w:val="clear" w:color="auto" w:fill="auto"/>
            <w:noWrap/>
            <w:vAlign w:val="center"/>
            <w:hideMark/>
          </w:tcPr>
          <w:p w14:paraId="579EE23D" w14:textId="62CB6D88"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3</w:t>
            </w:r>
            <w:r w:rsidR="00513957">
              <w:rPr>
                <w:rFonts w:eastAsia="Times New Roman" w:cs="Calibri"/>
                <w:sz w:val="18"/>
                <w:szCs w:val="18"/>
              </w:rPr>
              <w:t>.</w:t>
            </w:r>
            <w:r w:rsidRPr="00D74D8D">
              <w:rPr>
                <w:rFonts w:eastAsia="Times New Roman" w:cs="Calibri"/>
                <w:sz w:val="18"/>
                <w:szCs w:val="18"/>
              </w:rPr>
              <w:t>7</w:t>
            </w:r>
          </w:p>
        </w:tc>
      </w:tr>
      <w:tr w:rsidR="00B42820" w:rsidRPr="00D74D8D" w14:paraId="51338158" w14:textId="77777777" w:rsidTr="00C07EB3">
        <w:trPr>
          <w:trHeight w:val="20"/>
        </w:trPr>
        <w:tc>
          <w:tcPr>
            <w:tcW w:w="2319" w:type="dxa"/>
            <w:gridSpan w:val="4"/>
            <w:shd w:val="clear" w:color="auto" w:fill="auto"/>
            <w:vAlign w:val="center"/>
            <w:hideMark/>
          </w:tcPr>
          <w:p w14:paraId="6BD34F9E" w14:textId="0A416089" w:rsidR="00A7195D" w:rsidRPr="00513957" w:rsidRDefault="00513957" w:rsidP="00B42820">
            <w:pPr>
              <w:spacing w:before="60" w:after="60" w:line="200" w:lineRule="exact"/>
              <w:ind w:left="-57" w:right="-57"/>
              <w:rPr>
                <w:rFonts w:eastAsia="Times New Roman" w:cs="Calibri"/>
                <w:color w:val="000000"/>
                <w:spacing w:val="-4"/>
                <w:sz w:val="18"/>
                <w:szCs w:val="18"/>
                <w:lang w:val="en-US"/>
              </w:rPr>
            </w:pPr>
            <w:r w:rsidRPr="00513957">
              <w:rPr>
                <w:rFonts w:eastAsia="Times New Roman" w:cs="Calibri"/>
                <w:color w:val="000000"/>
                <w:spacing w:val="-4"/>
                <w:sz w:val="18"/>
                <w:szCs w:val="18"/>
                <w:lang w:val="en-US"/>
              </w:rPr>
              <w:t xml:space="preserve">Afford to have two pairs </w:t>
            </w:r>
            <w:r w:rsidRPr="00513957">
              <w:rPr>
                <w:rFonts w:eastAsia="Times New Roman" w:cs="Calibri"/>
                <w:color w:val="000000"/>
                <w:spacing w:val="-4"/>
                <w:sz w:val="18"/>
                <w:szCs w:val="18"/>
                <w:lang w:val="en-US"/>
              </w:rPr>
              <w:br/>
              <w:t>of properly fitting shoes</w:t>
            </w:r>
          </w:p>
        </w:tc>
        <w:tc>
          <w:tcPr>
            <w:tcW w:w="510" w:type="dxa"/>
            <w:gridSpan w:val="4"/>
            <w:shd w:val="clear" w:color="auto" w:fill="auto"/>
            <w:noWrap/>
            <w:vAlign w:val="center"/>
            <w:hideMark/>
          </w:tcPr>
          <w:p w14:paraId="24A25DE8" w14:textId="7E240C9E" w:rsidR="00A7195D" w:rsidRPr="00D74D8D" w:rsidRDefault="00A7195D" w:rsidP="00B42820">
            <w:pPr>
              <w:spacing w:before="60" w:after="60" w:line="200" w:lineRule="exact"/>
              <w:ind w:left="-57" w:right="-57"/>
              <w:jc w:val="right"/>
              <w:rPr>
                <w:rFonts w:eastAsia="Times New Roman" w:cs="Calibri"/>
                <w:color w:val="000000"/>
                <w:sz w:val="18"/>
                <w:szCs w:val="18"/>
              </w:rPr>
            </w:pPr>
            <w:r w:rsidRPr="00D74D8D">
              <w:rPr>
                <w:rFonts w:eastAsia="Times New Roman" w:cs="Calibri"/>
                <w:color w:val="000000"/>
                <w:sz w:val="18"/>
                <w:szCs w:val="18"/>
              </w:rPr>
              <w:t>1</w:t>
            </w:r>
            <w:r w:rsidR="00513957">
              <w:rPr>
                <w:rFonts w:eastAsia="Times New Roman" w:cs="Calibri"/>
                <w:color w:val="000000"/>
                <w:sz w:val="18"/>
                <w:szCs w:val="18"/>
              </w:rPr>
              <w:t>.</w:t>
            </w:r>
            <w:r w:rsidRPr="00D74D8D">
              <w:rPr>
                <w:rFonts w:eastAsia="Times New Roman" w:cs="Calibri"/>
                <w:color w:val="000000"/>
                <w:sz w:val="18"/>
                <w:szCs w:val="18"/>
              </w:rPr>
              <w:t>3</w:t>
            </w:r>
          </w:p>
        </w:tc>
        <w:tc>
          <w:tcPr>
            <w:tcW w:w="510" w:type="dxa"/>
            <w:gridSpan w:val="4"/>
            <w:shd w:val="clear" w:color="auto" w:fill="auto"/>
            <w:noWrap/>
            <w:vAlign w:val="center"/>
            <w:hideMark/>
          </w:tcPr>
          <w:p w14:paraId="03F94A5A" w14:textId="0384F3C0" w:rsidR="00A7195D" w:rsidRPr="00D74D8D" w:rsidRDefault="00A7195D" w:rsidP="00B42820">
            <w:pPr>
              <w:spacing w:before="60" w:after="60" w:line="200" w:lineRule="exact"/>
              <w:ind w:left="-57" w:right="-57"/>
              <w:jc w:val="right"/>
              <w:rPr>
                <w:rFonts w:eastAsia="Times New Roman" w:cs="Calibri"/>
                <w:color w:val="000000"/>
                <w:sz w:val="18"/>
                <w:szCs w:val="18"/>
              </w:rPr>
            </w:pPr>
            <w:r w:rsidRPr="00D74D8D">
              <w:rPr>
                <w:rFonts w:eastAsia="Times New Roman" w:cs="Calibri"/>
                <w:color w:val="000000"/>
                <w:sz w:val="18"/>
                <w:szCs w:val="18"/>
              </w:rPr>
              <w:t>1</w:t>
            </w:r>
            <w:r w:rsidR="00513957">
              <w:rPr>
                <w:rFonts w:eastAsia="Times New Roman" w:cs="Calibri"/>
                <w:color w:val="000000"/>
                <w:sz w:val="18"/>
                <w:szCs w:val="18"/>
              </w:rPr>
              <w:t>.</w:t>
            </w:r>
            <w:r w:rsidRPr="00D74D8D">
              <w:rPr>
                <w:rFonts w:eastAsia="Times New Roman" w:cs="Calibri"/>
                <w:color w:val="000000"/>
                <w:sz w:val="18"/>
                <w:szCs w:val="18"/>
              </w:rPr>
              <w:t>2</w:t>
            </w:r>
          </w:p>
        </w:tc>
        <w:tc>
          <w:tcPr>
            <w:tcW w:w="510" w:type="dxa"/>
            <w:gridSpan w:val="4"/>
            <w:shd w:val="clear" w:color="auto" w:fill="auto"/>
            <w:noWrap/>
            <w:vAlign w:val="center"/>
            <w:hideMark/>
          </w:tcPr>
          <w:p w14:paraId="0DA61399" w14:textId="571D374E" w:rsidR="00A7195D" w:rsidRPr="00D74D8D" w:rsidRDefault="00A7195D" w:rsidP="00B42820">
            <w:pPr>
              <w:spacing w:before="60" w:after="60" w:line="200" w:lineRule="exact"/>
              <w:ind w:left="-57" w:right="-57"/>
              <w:jc w:val="right"/>
              <w:rPr>
                <w:rFonts w:eastAsia="Times New Roman" w:cs="Calibri"/>
                <w:color w:val="000000"/>
                <w:sz w:val="18"/>
                <w:szCs w:val="18"/>
              </w:rPr>
            </w:pPr>
            <w:r w:rsidRPr="00D74D8D">
              <w:rPr>
                <w:rFonts w:eastAsia="Times New Roman" w:cs="Calibri"/>
                <w:color w:val="000000"/>
                <w:sz w:val="18"/>
                <w:szCs w:val="18"/>
              </w:rPr>
              <w:t>1</w:t>
            </w:r>
            <w:r w:rsidR="00513957">
              <w:rPr>
                <w:rFonts w:eastAsia="Times New Roman" w:cs="Calibri"/>
                <w:color w:val="000000"/>
                <w:sz w:val="18"/>
                <w:szCs w:val="18"/>
              </w:rPr>
              <w:t>.</w:t>
            </w:r>
            <w:r w:rsidRPr="00D74D8D">
              <w:rPr>
                <w:rFonts w:eastAsia="Times New Roman" w:cs="Calibri"/>
                <w:color w:val="000000"/>
                <w:sz w:val="18"/>
                <w:szCs w:val="18"/>
              </w:rPr>
              <w:t>1</w:t>
            </w:r>
          </w:p>
        </w:tc>
        <w:tc>
          <w:tcPr>
            <w:tcW w:w="510" w:type="dxa"/>
            <w:gridSpan w:val="4"/>
            <w:shd w:val="clear" w:color="auto" w:fill="auto"/>
            <w:noWrap/>
            <w:vAlign w:val="center"/>
            <w:hideMark/>
          </w:tcPr>
          <w:p w14:paraId="374A9133" w14:textId="18697C7F" w:rsidR="00A7195D" w:rsidRPr="00D74D8D" w:rsidRDefault="00A7195D" w:rsidP="00B42820">
            <w:pPr>
              <w:spacing w:before="60" w:after="60" w:line="200" w:lineRule="exact"/>
              <w:ind w:left="-57" w:right="-57"/>
              <w:jc w:val="right"/>
              <w:rPr>
                <w:rFonts w:eastAsia="Times New Roman" w:cs="Calibri"/>
                <w:color w:val="000000"/>
                <w:sz w:val="18"/>
                <w:szCs w:val="18"/>
              </w:rPr>
            </w:pPr>
            <w:r w:rsidRPr="00D74D8D">
              <w:rPr>
                <w:rFonts w:eastAsia="Times New Roman" w:cs="Calibri"/>
                <w:color w:val="000000"/>
                <w:sz w:val="18"/>
                <w:szCs w:val="18"/>
              </w:rPr>
              <w:t>1</w:t>
            </w:r>
            <w:r w:rsidR="00513957">
              <w:rPr>
                <w:rFonts w:eastAsia="Times New Roman" w:cs="Calibri"/>
                <w:color w:val="000000"/>
                <w:sz w:val="18"/>
                <w:szCs w:val="18"/>
              </w:rPr>
              <w:t>.</w:t>
            </w:r>
            <w:r w:rsidRPr="00D74D8D">
              <w:rPr>
                <w:rFonts w:eastAsia="Times New Roman" w:cs="Calibri"/>
                <w:color w:val="000000"/>
                <w:sz w:val="18"/>
                <w:szCs w:val="18"/>
              </w:rPr>
              <w:t>1</w:t>
            </w:r>
          </w:p>
        </w:tc>
        <w:tc>
          <w:tcPr>
            <w:tcW w:w="510" w:type="dxa"/>
            <w:gridSpan w:val="4"/>
            <w:shd w:val="clear" w:color="auto" w:fill="auto"/>
            <w:noWrap/>
            <w:vAlign w:val="center"/>
            <w:hideMark/>
          </w:tcPr>
          <w:p w14:paraId="42B12958" w14:textId="3C1BF494" w:rsidR="00A7195D" w:rsidRPr="00D74D8D" w:rsidRDefault="00A7195D" w:rsidP="00B42820">
            <w:pPr>
              <w:spacing w:before="60" w:after="60" w:line="200" w:lineRule="exact"/>
              <w:ind w:left="-57" w:right="-57"/>
              <w:jc w:val="right"/>
              <w:rPr>
                <w:rFonts w:eastAsia="Times New Roman" w:cs="Calibri"/>
                <w:color w:val="000000"/>
                <w:sz w:val="18"/>
                <w:szCs w:val="18"/>
              </w:rPr>
            </w:pPr>
            <w:r w:rsidRPr="00D74D8D">
              <w:rPr>
                <w:rFonts w:eastAsia="Times New Roman" w:cs="Calibri"/>
                <w:color w:val="000000"/>
                <w:sz w:val="18"/>
                <w:szCs w:val="18"/>
              </w:rPr>
              <w:t>0</w:t>
            </w:r>
            <w:r w:rsidR="00513957">
              <w:rPr>
                <w:rFonts w:eastAsia="Times New Roman" w:cs="Calibri"/>
                <w:color w:val="000000"/>
                <w:sz w:val="18"/>
                <w:szCs w:val="18"/>
              </w:rPr>
              <w:t>.</w:t>
            </w:r>
            <w:r w:rsidRPr="00D74D8D">
              <w:rPr>
                <w:rFonts w:eastAsia="Times New Roman" w:cs="Calibri"/>
                <w:color w:val="000000"/>
                <w:sz w:val="18"/>
                <w:szCs w:val="18"/>
              </w:rPr>
              <w:t>9</w:t>
            </w:r>
          </w:p>
        </w:tc>
        <w:tc>
          <w:tcPr>
            <w:tcW w:w="510" w:type="dxa"/>
            <w:gridSpan w:val="4"/>
            <w:shd w:val="clear" w:color="auto" w:fill="auto"/>
            <w:noWrap/>
            <w:vAlign w:val="center"/>
            <w:hideMark/>
          </w:tcPr>
          <w:p w14:paraId="218BEA50" w14:textId="07A87165" w:rsidR="00A7195D" w:rsidRPr="00D74D8D" w:rsidRDefault="00A7195D" w:rsidP="00B42820">
            <w:pPr>
              <w:spacing w:before="60" w:after="60" w:line="200" w:lineRule="exact"/>
              <w:ind w:left="-57" w:right="-57"/>
              <w:jc w:val="right"/>
              <w:rPr>
                <w:rFonts w:eastAsia="Times New Roman" w:cs="Calibri"/>
                <w:color w:val="000000"/>
                <w:sz w:val="18"/>
                <w:szCs w:val="18"/>
              </w:rPr>
            </w:pPr>
            <w:r w:rsidRPr="00D74D8D">
              <w:rPr>
                <w:rFonts w:eastAsia="Times New Roman" w:cs="Calibri"/>
                <w:color w:val="000000"/>
                <w:sz w:val="18"/>
                <w:szCs w:val="18"/>
              </w:rPr>
              <w:t>0</w:t>
            </w:r>
            <w:r w:rsidR="00513957">
              <w:rPr>
                <w:rFonts w:eastAsia="Times New Roman" w:cs="Calibri"/>
                <w:color w:val="000000"/>
                <w:sz w:val="18"/>
                <w:szCs w:val="18"/>
              </w:rPr>
              <w:t>.</w:t>
            </w:r>
            <w:r w:rsidRPr="00D74D8D">
              <w:rPr>
                <w:rFonts w:eastAsia="Times New Roman" w:cs="Calibri"/>
                <w:color w:val="000000"/>
                <w:sz w:val="18"/>
                <w:szCs w:val="18"/>
              </w:rPr>
              <w:t>9</w:t>
            </w:r>
          </w:p>
        </w:tc>
        <w:tc>
          <w:tcPr>
            <w:tcW w:w="510" w:type="dxa"/>
            <w:gridSpan w:val="4"/>
            <w:shd w:val="clear" w:color="auto" w:fill="auto"/>
            <w:noWrap/>
            <w:vAlign w:val="center"/>
            <w:hideMark/>
          </w:tcPr>
          <w:p w14:paraId="0FA8D4A2" w14:textId="4303A168" w:rsidR="00A7195D" w:rsidRPr="00D74D8D" w:rsidRDefault="00A7195D" w:rsidP="00B42820">
            <w:pPr>
              <w:spacing w:before="60" w:after="60" w:line="200" w:lineRule="exact"/>
              <w:ind w:left="-57" w:right="-57"/>
              <w:jc w:val="right"/>
              <w:rPr>
                <w:rFonts w:eastAsia="Times New Roman" w:cs="Calibri"/>
                <w:color w:val="000000"/>
                <w:sz w:val="18"/>
                <w:szCs w:val="18"/>
              </w:rPr>
            </w:pPr>
            <w:r w:rsidRPr="00D74D8D">
              <w:rPr>
                <w:rFonts w:eastAsia="Times New Roman" w:cs="Calibri"/>
                <w:color w:val="000000"/>
                <w:sz w:val="18"/>
                <w:szCs w:val="18"/>
              </w:rPr>
              <w:t>1</w:t>
            </w:r>
            <w:r w:rsidR="00513957">
              <w:rPr>
                <w:rFonts w:eastAsia="Times New Roman" w:cs="Calibri"/>
                <w:color w:val="000000"/>
                <w:sz w:val="18"/>
                <w:szCs w:val="18"/>
              </w:rPr>
              <w:t>.</w:t>
            </w:r>
            <w:r w:rsidRPr="00D74D8D">
              <w:rPr>
                <w:rFonts w:eastAsia="Times New Roman" w:cs="Calibri"/>
                <w:color w:val="000000"/>
                <w:sz w:val="18"/>
                <w:szCs w:val="18"/>
              </w:rPr>
              <w:t>5</w:t>
            </w:r>
          </w:p>
        </w:tc>
        <w:tc>
          <w:tcPr>
            <w:tcW w:w="510" w:type="dxa"/>
            <w:gridSpan w:val="4"/>
            <w:shd w:val="clear" w:color="auto" w:fill="auto"/>
            <w:noWrap/>
            <w:vAlign w:val="center"/>
            <w:hideMark/>
          </w:tcPr>
          <w:p w14:paraId="5AF20EF6" w14:textId="1711084A" w:rsidR="00A7195D" w:rsidRPr="00D74D8D" w:rsidRDefault="00A7195D" w:rsidP="00B42820">
            <w:pPr>
              <w:spacing w:before="60" w:after="60" w:line="200" w:lineRule="exact"/>
              <w:ind w:left="-57" w:right="-57"/>
              <w:jc w:val="right"/>
              <w:rPr>
                <w:rFonts w:eastAsia="Times New Roman" w:cs="Calibri"/>
                <w:color w:val="000000"/>
                <w:sz w:val="18"/>
                <w:szCs w:val="18"/>
              </w:rPr>
            </w:pPr>
            <w:r w:rsidRPr="00D74D8D">
              <w:rPr>
                <w:rFonts w:eastAsia="Times New Roman" w:cs="Calibri"/>
                <w:color w:val="000000"/>
                <w:sz w:val="18"/>
                <w:szCs w:val="18"/>
              </w:rPr>
              <w:t>2</w:t>
            </w:r>
            <w:r w:rsidR="00513957">
              <w:rPr>
                <w:rFonts w:eastAsia="Times New Roman" w:cs="Calibri"/>
                <w:color w:val="000000"/>
                <w:sz w:val="18"/>
                <w:szCs w:val="18"/>
              </w:rPr>
              <w:t>.</w:t>
            </w:r>
            <w:r w:rsidRPr="00D74D8D">
              <w:rPr>
                <w:rFonts w:eastAsia="Times New Roman" w:cs="Calibri"/>
                <w:color w:val="000000"/>
                <w:sz w:val="18"/>
                <w:szCs w:val="18"/>
              </w:rPr>
              <w:t>0</w:t>
            </w:r>
          </w:p>
        </w:tc>
        <w:tc>
          <w:tcPr>
            <w:tcW w:w="510" w:type="dxa"/>
            <w:gridSpan w:val="4"/>
            <w:shd w:val="clear" w:color="auto" w:fill="auto"/>
            <w:noWrap/>
            <w:vAlign w:val="center"/>
            <w:hideMark/>
          </w:tcPr>
          <w:p w14:paraId="1334D17B" w14:textId="25F057D5"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1</w:t>
            </w:r>
            <w:r w:rsidR="00513957">
              <w:rPr>
                <w:rFonts w:eastAsia="Times New Roman" w:cs="Calibri"/>
                <w:sz w:val="18"/>
                <w:szCs w:val="18"/>
              </w:rPr>
              <w:t>.</w:t>
            </w:r>
            <w:r w:rsidRPr="00D74D8D">
              <w:rPr>
                <w:rFonts w:eastAsia="Times New Roman" w:cs="Calibri"/>
                <w:sz w:val="18"/>
                <w:szCs w:val="18"/>
              </w:rPr>
              <w:t>0</w:t>
            </w:r>
          </w:p>
        </w:tc>
        <w:tc>
          <w:tcPr>
            <w:tcW w:w="510" w:type="dxa"/>
            <w:gridSpan w:val="4"/>
            <w:shd w:val="clear" w:color="auto" w:fill="auto"/>
            <w:noWrap/>
            <w:vAlign w:val="center"/>
            <w:hideMark/>
          </w:tcPr>
          <w:p w14:paraId="6C55148D" w14:textId="3F053E5E"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0</w:t>
            </w:r>
            <w:r w:rsidR="00513957">
              <w:rPr>
                <w:rFonts w:eastAsia="Times New Roman" w:cs="Calibri"/>
                <w:sz w:val="18"/>
                <w:szCs w:val="18"/>
              </w:rPr>
              <w:t>.</w:t>
            </w:r>
            <w:r w:rsidRPr="00D74D8D">
              <w:rPr>
                <w:rFonts w:eastAsia="Times New Roman" w:cs="Calibri"/>
                <w:sz w:val="18"/>
                <w:szCs w:val="18"/>
              </w:rPr>
              <w:t>8</w:t>
            </w:r>
          </w:p>
        </w:tc>
        <w:tc>
          <w:tcPr>
            <w:tcW w:w="518" w:type="dxa"/>
            <w:gridSpan w:val="2"/>
            <w:shd w:val="clear" w:color="auto" w:fill="auto"/>
            <w:noWrap/>
            <w:vAlign w:val="center"/>
            <w:hideMark/>
          </w:tcPr>
          <w:p w14:paraId="17026042" w14:textId="0C7F1D6F"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0</w:t>
            </w:r>
            <w:r w:rsidR="00513957">
              <w:rPr>
                <w:rFonts w:eastAsia="Times New Roman" w:cs="Calibri"/>
                <w:sz w:val="18"/>
                <w:szCs w:val="18"/>
              </w:rPr>
              <w:t>.</w:t>
            </w:r>
            <w:r w:rsidRPr="00D74D8D">
              <w:rPr>
                <w:rFonts w:eastAsia="Times New Roman" w:cs="Calibri"/>
                <w:sz w:val="18"/>
                <w:szCs w:val="18"/>
              </w:rPr>
              <w:t>8</w:t>
            </w:r>
          </w:p>
        </w:tc>
      </w:tr>
      <w:tr w:rsidR="00B42820" w:rsidRPr="00D74D8D" w14:paraId="20EBBA18" w14:textId="77777777" w:rsidTr="00C07EB3">
        <w:trPr>
          <w:trHeight w:val="20"/>
        </w:trPr>
        <w:tc>
          <w:tcPr>
            <w:tcW w:w="2319" w:type="dxa"/>
            <w:gridSpan w:val="4"/>
            <w:shd w:val="clear" w:color="auto" w:fill="auto"/>
            <w:vAlign w:val="center"/>
            <w:hideMark/>
          </w:tcPr>
          <w:p w14:paraId="3FF5DDBE" w14:textId="5AD83E22" w:rsidR="00A7195D" w:rsidRPr="00513957" w:rsidRDefault="00513957" w:rsidP="00B42820">
            <w:pPr>
              <w:spacing w:before="60" w:after="60" w:line="200" w:lineRule="exact"/>
              <w:ind w:left="-57" w:right="-57"/>
              <w:rPr>
                <w:rFonts w:eastAsia="Times New Roman" w:cs="Calibri"/>
                <w:color w:val="000000"/>
                <w:spacing w:val="-4"/>
                <w:sz w:val="18"/>
                <w:szCs w:val="18"/>
                <w:lang w:val="en-US"/>
              </w:rPr>
            </w:pPr>
            <w:r w:rsidRPr="00513957">
              <w:rPr>
                <w:rFonts w:eastAsia="Times New Roman" w:cs="Calibri"/>
                <w:color w:val="000000"/>
                <w:spacing w:val="-4"/>
                <w:sz w:val="18"/>
                <w:szCs w:val="18"/>
                <w:lang w:val="en-US"/>
              </w:rPr>
              <w:t>Have access to a car for personal use</w:t>
            </w:r>
            <w:r w:rsidR="00A7195D" w:rsidRPr="00513957">
              <w:rPr>
                <w:rFonts w:eastAsia="Times New Roman" w:cs="Calibri"/>
                <w:color w:val="000000"/>
                <w:spacing w:val="-4"/>
                <w:sz w:val="18"/>
                <w:szCs w:val="18"/>
                <w:lang w:val="en-US"/>
              </w:rPr>
              <w:t xml:space="preserve"> </w:t>
            </w:r>
          </w:p>
        </w:tc>
        <w:tc>
          <w:tcPr>
            <w:tcW w:w="510" w:type="dxa"/>
            <w:gridSpan w:val="4"/>
            <w:shd w:val="clear" w:color="auto" w:fill="auto"/>
            <w:noWrap/>
            <w:vAlign w:val="center"/>
            <w:hideMark/>
          </w:tcPr>
          <w:p w14:paraId="56489485" w14:textId="1C3A9E0B"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9</w:t>
            </w:r>
            <w:r w:rsidR="00513957">
              <w:rPr>
                <w:rFonts w:eastAsia="Times New Roman" w:cs="Calibri"/>
                <w:sz w:val="18"/>
                <w:szCs w:val="18"/>
              </w:rPr>
              <w:t>.</w:t>
            </w:r>
            <w:r w:rsidRPr="00D74D8D">
              <w:rPr>
                <w:rFonts w:eastAsia="Times New Roman" w:cs="Calibri"/>
                <w:sz w:val="18"/>
                <w:szCs w:val="18"/>
              </w:rPr>
              <w:t>1</w:t>
            </w:r>
          </w:p>
        </w:tc>
        <w:tc>
          <w:tcPr>
            <w:tcW w:w="510" w:type="dxa"/>
            <w:gridSpan w:val="4"/>
            <w:shd w:val="clear" w:color="auto" w:fill="auto"/>
            <w:noWrap/>
            <w:vAlign w:val="center"/>
            <w:hideMark/>
          </w:tcPr>
          <w:p w14:paraId="39768BA2" w14:textId="62EC99FD"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7</w:t>
            </w:r>
            <w:r w:rsidR="00513957">
              <w:rPr>
                <w:rFonts w:eastAsia="Times New Roman" w:cs="Calibri"/>
                <w:sz w:val="18"/>
                <w:szCs w:val="18"/>
              </w:rPr>
              <w:t>.</w:t>
            </w:r>
            <w:r w:rsidRPr="00D74D8D">
              <w:rPr>
                <w:rFonts w:eastAsia="Times New Roman" w:cs="Calibri"/>
                <w:sz w:val="18"/>
                <w:szCs w:val="18"/>
              </w:rPr>
              <w:t>3</w:t>
            </w:r>
          </w:p>
        </w:tc>
        <w:tc>
          <w:tcPr>
            <w:tcW w:w="510" w:type="dxa"/>
            <w:gridSpan w:val="4"/>
            <w:shd w:val="clear" w:color="auto" w:fill="auto"/>
            <w:noWrap/>
            <w:vAlign w:val="center"/>
            <w:hideMark/>
          </w:tcPr>
          <w:p w14:paraId="13D78D1D" w14:textId="09C35BB2"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7</w:t>
            </w:r>
            <w:r w:rsidR="00513957">
              <w:rPr>
                <w:rFonts w:eastAsia="Times New Roman" w:cs="Calibri"/>
                <w:sz w:val="18"/>
                <w:szCs w:val="18"/>
              </w:rPr>
              <w:t>.</w:t>
            </w:r>
            <w:r w:rsidRPr="00D74D8D">
              <w:rPr>
                <w:rFonts w:eastAsia="Times New Roman" w:cs="Calibri"/>
                <w:sz w:val="18"/>
                <w:szCs w:val="18"/>
              </w:rPr>
              <w:t>0</w:t>
            </w:r>
          </w:p>
        </w:tc>
        <w:tc>
          <w:tcPr>
            <w:tcW w:w="510" w:type="dxa"/>
            <w:gridSpan w:val="4"/>
            <w:shd w:val="clear" w:color="auto" w:fill="auto"/>
            <w:noWrap/>
            <w:vAlign w:val="center"/>
            <w:hideMark/>
          </w:tcPr>
          <w:p w14:paraId="4F4D3B0B" w14:textId="1A4E4876"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6</w:t>
            </w:r>
            <w:r w:rsidR="00513957">
              <w:rPr>
                <w:rFonts w:eastAsia="Times New Roman" w:cs="Calibri"/>
                <w:sz w:val="18"/>
                <w:szCs w:val="18"/>
              </w:rPr>
              <w:t>.</w:t>
            </w:r>
            <w:r w:rsidRPr="00D74D8D">
              <w:rPr>
                <w:rFonts w:eastAsia="Times New Roman" w:cs="Calibri"/>
                <w:sz w:val="18"/>
                <w:szCs w:val="18"/>
              </w:rPr>
              <w:t>1</w:t>
            </w:r>
          </w:p>
        </w:tc>
        <w:tc>
          <w:tcPr>
            <w:tcW w:w="510" w:type="dxa"/>
            <w:gridSpan w:val="4"/>
            <w:shd w:val="clear" w:color="auto" w:fill="auto"/>
            <w:noWrap/>
            <w:vAlign w:val="center"/>
            <w:hideMark/>
          </w:tcPr>
          <w:p w14:paraId="60DF06F6" w14:textId="21CFA955"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5</w:t>
            </w:r>
            <w:r w:rsidR="00513957">
              <w:rPr>
                <w:rFonts w:eastAsia="Times New Roman" w:cs="Calibri"/>
                <w:sz w:val="18"/>
                <w:szCs w:val="18"/>
              </w:rPr>
              <w:t>.</w:t>
            </w:r>
            <w:r w:rsidRPr="00D74D8D">
              <w:rPr>
                <w:rFonts w:eastAsia="Times New Roman" w:cs="Calibri"/>
                <w:sz w:val="18"/>
                <w:szCs w:val="18"/>
              </w:rPr>
              <w:t>5</w:t>
            </w:r>
          </w:p>
        </w:tc>
        <w:tc>
          <w:tcPr>
            <w:tcW w:w="510" w:type="dxa"/>
            <w:gridSpan w:val="4"/>
            <w:shd w:val="clear" w:color="auto" w:fill="auto"/>
            <w:noWrap/>
            <w:vAlign w:val="center"/>
            <w:hideMark/>
          </w:tcPr>
          <w:p w14:paraId="671AEFC5" w14:textId="30E4E666"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3</w:t>
            </w:r>
            <w:r w:rsidR="00513957">
              <w:rPr>
                <w:rFonts w:eastAsia="Times New Roman" w:cs="Calibri"/>
                <w:sz w:val="18"/>
                <w:szCs w:val="18"/>
              </w:rPr>
              <w:t>.</w:t>
            </w:r>
            <w:r w:rsidRPr="00D74D8D">
              <w:rPr>
                <w:rFonts w:eastAsia="Times New Roman" w:cs="Calibri"/>
                <w:sz w:val="18"/>
                <w:szCs w:val="18"/>
              </w:rPr>
              <w:t>9</w:t>
            </w:r>
          </w:p>
        </w:tc>
        <w:tc>
          <w:tcPr>
            <w:tcW w:w="510" w:type="dxa"/>
            <w:gridSpan w:val="4"/>
            <w:shd w:val="clear" w:color="auto" w:fill="auto"/>
            <w:noWrap/>
            <w:vAlign w:val="center"/>
            <w:hideMark/>
          </w:tcPr>
          <w:p w14:paraId="0F6D41B2" w14:textId="1B172898"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3</w:t>
            </w:r>
            <w:r w:rsidR="00513957">
              <w:rPr>
                <w:rFonts w:eastAsia="Times New Roman" w:cs="Calibri"/>
                <w:sz w:val="18"/>
                <w:szCs w:val="18"/>
              </w:rPr>
              <w:t>.</w:t>
            </w:r>
            <w:r w:rsidRPr="00D74D8D">
              <w:rPr>
                <w:rFonts w:eastAsia="Times New Roman" w:cs="Calibri"/>
                <w:sz w:val="18"/>
                <w:szCs w:val="18"/>
              </w:rPr>
              <w:t>7</w:t>
            </w:r>
          </w:p>
        </w:tc>
        <w:tc>
          <w:tcPr>
            <w:tcW w:w="510" w:type="dxa"/>
            <w:gridSpan w:val="4"/>
            <w:shd w:val="clear" w:color="auto" w:fill="auto"/>
            <w:noWrap/>
            <w:vAlign w:val="center"/>
            <w:hideMark/>
          </w:tcPr>
          <w:p w14:paraId="6D7DF711" w14:textId="7110F601"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3</w:t>
            </w:r>
            <w:r w:rsidR="00513957">
              <w:rPr>
                <w:rFonts w:eastAsia="Times New Roman" w:cs="Calibri"/>
                <w:sz w:val="18"/>
                <w:szCs w:val="18"/>
              </w:rPr>
              <w:t>.</w:t>
            </w:r>
            <w:r w:rsidRPr="00D74D8D">
              <w:rPr>
                <w:rFonts w:eastAsia="Times New Roman" w:cs="Calibri"/>
                <w:sz w:val="18"/>
                <w:szCs w:val="18"/>
              </w:rPr>
              <w:t>5</w:t>
            </w:r>
          </w:p>
        </w:tc>
        <w:tc>
          <w:tcPr>
            <w:tcW w:w="510" w:type="dxa"/>
            <w:gridSpan w:val="4"/>
            <w:shd w:val="clear" w:color="auto" w:fill="auto"/>
            <w:noWrap/>
            <w:vAlign w:val="center"/>
            <w:hideMark/>
          </w:tcPr>
          <w:p w14:paraId="147C4A3A" w14:textId="38CCFCCD"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3</w:t>
            </w:r>
            <w:r w:rsidR="00513957">
              <w:rPr>
                <w:rFonts w:eastAsia="Times New Roman" w:cs="Calibri"/>
                <w:sz w:val="18"/>
                <w:szCs w:val="18"/>
              </w:rPr>
              <w:t>.</w:t>
            </w:r>
            <w:r w:rsidRPr="00D74D8D">
              <w:rPr>
                <w:rFonts w:eastAsia="Times New Roman" w:cs="Calibri"/>
                <w:sz w:val="18"/>
                <w:szCs w:val="18"/>
              </w:rPr>
              <w:t>6</w:t>
            </w:r>
          </w:p>
        </w:tc>
        <w:tc>
          <w:tcPr>
            <w:tcW w:w="510" w:type="dxa"/>
            <w:gridSpan w:val="4"/>
            <w:shd w:val="clear" w:color="auto" w:fill="auto"/>
            <w:noWrap/>
            <w:vAlign w:val="center"/>
            <w:hideMark/>
          </w:tcPr>
          <w:p w14:paraId="7F386111" w14:textId="65854A00"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3</w:t>
            </w:r>
            <w:r w:rsidR="00513957">
              <w:rPr>
                <w:rFonts w:eastAsia="Times New Roman" w:cs="Calibri"/>
                <w:sz w:val="18"/>
                <w:szCs w:val="18"/>
              </w:rPr>
              <w:t>.</w:t>
            </w:r>
            <w:r w:rsidRPr="00D74D8D">
              <w:rPr>
                <w:rFonts w:eastAsia="Times New Roman" w:cs="Calibri"/>
                <w:sz w:val="18"/>
                <w:szCs w:val="18"/>
              </w:rPr>
              <w:t>5</w:t>
            </w:r>
          </w:p>
        </w:tc>
        <w:tc>
          <w:tcPr>
            <w:tcW w:w="518" w:type="dxa"/>
            <w:gridSpan w:val="2"/>
            <w:shd w:val="clear" w:color="auto" w:fill="auto"/>
            <w:noWrap/>
            <w:vAlign w:val="center"/>
            <w:hideMark/>
          </w:tcPr>
          <w:p w14:paraId="30F0CCC0" w14:textId="2AC153FE"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3</w:t>
            </w:r>
            <w:r w:rsidR="00513957">
              <w:rPr>
                <w:rFonts w:eastAsia="Times New Roman" w:cs="Calibri"/>
                <w:sz w:val="18"/>
                <w:szCs w:val="18"/>
              </w:rPr>
              <w:t>.</w:t>
            </w:r>
            <w:r w:rsidRPr="00D74D8D">
              <w:rPr>
                <w:rFonts w:eastAsia="Times New Roman" w:cs="Calibri"/>
                <w:sz w:val="18"/>
                <w:szCs w:val="18"/>
              </w:rPr>
              <w:t>5</w:t>
            </w:r>
          </w:p>
        </w:tc>
      </w:tr>
      <w:tr w:rsidR="00B42820" w:rsidRPr="00D74D8D" w14:paraId="4CFE9B6F" w14:textId="77777777" w:rsidTr="00C07EB3">
        <w:trPr>
          <w:trHeight w:val="20"/>
        </w:trPr>
        <w:tc>
          <w:tcPr>
            <w:tcW w:w="2319" w:type="dxa"/>
            <w:gridSpan w:val="4"/>
            <w:shd w:val="clear" w:color="auto" w:fill="auto"/>
            <w:noWrap/>
            <w:vAlign w:val="center"/>
            <w:hideMark/>
          </w:tcPr>
          <w:p w14:paraId="0E4EE41E" w14:textId="46BC9AFC" w:rsidR="00A7195D" w:rsidRPr="00513957" w:rsidRDefault="00513957" w:rsidP="0020423A">
            <w:pPr>
              <w:spacing w:before="60" w:after="60" w:line="200" w:lineRule="exact"/>
              <w:ind w:left="-57" w:right="-57"/>
              <w:rPr>
                <w:rFonts w:eastAsia="Times New Roman" w:cs="Calibri"/>
                <w:color w:val="000000"/>
                <w:spacing w:val="-4"/>
                <w:sz w:val="18"/>
                <w:szCs w:val="18"/>
                <w:lang w:val="en-US"/>
              </w:rPr>
            </w:pPr>
            <w:r w:rsidRPr="00513957">
              <w:rPr>
                <w:rFonts w:eastAsia="Times New Roman" w:cs="Calibri"/>
                <w:color w:val="000000"/>
                <w:spacing w:val="-4"/>
                <w:sz w:val="18"/>
                <w:szCs w:val="18"/>
                <w:lang w:val="en-US"/>
              </w:rPr>
              <w:t xml:space="preserve">Have access to an </w:t>
            </w:r>
            <w:r w:rsidR="0020423A">
              <w:rPr>
                <w:rFonts w:eastAsia="Times New Roman" w:cs="Calibri"/>
                <w:color w:val="000000"/>
                <w:spacing w:val="-4"/>
                <w:sz w:val="18"/>
                <w:szCs w:val="18"/>
                <w:lang w:val="en-US"/>
              </w:rPr>
              <w:t>I</w:t>
            </w:r>
            <w:r w:rsidRPr="00513957">
              <w:rPr>
                <w:rFonts w:eastAsia="Times New Roman" w:cs="Calibri"/>
                <w:color w:val="000000"/>
                <w:spacing w:val="-4"/>
                <w:sz w:val="18"/>
                <w:szCs w:val="18"/>
                <w:lang w:val="en-US"/>
              </w:rPr>
              <w:t>nternet connection</w:t>
            </w:r>
            <w:r w:rsidR="00A7195D" w:rsidRPr="00513957">
              <w:rPr>
                <w:rFonts w:eastAsia="Times New Roman" w:cs="Calibri"/>
                <w:color w:val="000000"/>
                <w:spacing w:val="-4"/>
                <w:sz w:val="18"/>
                <w:szCs w:val="18"/>
                <w:lang w:val="en-US"/>
              </w:rPr>
              <w:t xml:space="preserve"> </w:t>
            </w:r>
          </w:p>
        </w:tc>
        <w:tc>
          <w:tcPr>
            <w:tcW w:w="510" w:type="dxa"/>
            <w:gridSpan w:val="4"/>
            <w:shd w:val="clear" w:color="auto" w:fill="auto"/>
            <w:noWrap/>
            <w:vAlign w:val="center"/>
            <w:hideMark/>
          </w:tcPr>
          <w:p w14:paraId="03920BA0" w14:textId="4471764D"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4</w:t>
            </w:r>
            <w:r w:rsidR="00513957">
              <w:rPr>
                <w:rFonts w:eastAsia="Times New Roman" w:cs="Calibri"/>
                <w:sz w:val="18"/>
                <w:szCs w:val="18"/>
              </w:rPr>
              <w:t>.</w:t>
            </w:r>
            <w:r w:rsidRPr="00D74D8D">
              <w:rPr>
                <w:rFonts w:eastAsia="Times New Roman" w:cs="Calibri"/>
                <w:sz w:val="18"/>
                <w:szCs w:val="18"/>
              </w:rPr>
              <w:t>1</w:t>
            </w:r>
          </w:p>
        </w:tc>
        <w:tc>
          <w:tcPr>
            <w:tcW w:w="510" w:type="dxa"/>
            <w:gridSpan w:val="4"/>
            <w:shd w:val="clear" w:color="auto" w:fill="auto"/>
            <w:noWrap/>
            <w:vAlign w:val="center"/>
            <w:hideMark/>
          </w:tcPr>
          <w:p w14:paraId="14D4997F" w14:textId="1E496A97"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2</w:t>
            </w:r>
            <w:r w:rsidR="00513957">
              <w:rPr>
                <w:rFonts w:eastAsia="Times New Roman" w:cs="Calibri"/>
                <w:sz w:val="18"/>
                <w:szCs w:val="18"/>
              </w:rPr>
              <w:t>.</w:t>
            </w:r>
            <w:r w:rsidRPr="00D74D8D">
              <w:rPr>
                <w:rFonts w:eastAsia="Times New Roman" w:cs="Calibri"/>
                <w:sz w:val="18"/>
                <w:szCs w:val="18"/>
              </w:rPr>
              <w:t>7</w:t>
            </w:r>
          </w:p>
        </w:tc>
        <w:tc>
          <w:tcPr>
            <w:tcW w:w="510" w:type="dxa"/>
            <w:gridSpan w:val="4"/>
            <w:shd w:val="clear" w:color="auto" w:fill="auto"/>
            <w:noWrap/>
            <w:vAlign w:val="center"/>
            <w:hideMark/>
          </w:tcPr>
          <w:p w14:paraId="3B116299" w14:textId="463EED33"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2</w:t>
            </w:r>
            <w:r w:rsidR="00513957">
              <w:rPr>
                <w:rFonts w:eastAsia="Times New Roman" w:cs="Calibri"/>
                <w:sz w:val="18"/>
                <w:szCs w:val="18"/>
              </w:rPr>
              <w:t>.</w:t>
            </w:r>
            <w:r w:rsidRPr="00D74D8D">
              <w:rPr>
                <w:rFonts w:eastAsia="Times New Roman" w:cs="Calibri"/>
                <w:sz w:val="18"/>
                <w:szCs w:val="18"/>
              </w:rPr>
              <w:t>2</w:t>
            </w:r>
          </w:p>
        </w:tc>
        <w:tc>
          <w:tcPr>
            <w:tcW w:w="510" w:type="dxa"/>
            <w:gridSpan w:val="4"/>
            <w:shd w:val="clear" w:color="auto" w:fill="auto"/>
            <w:noWrap/>
            <w:vAlign w:val="center"/>
            <w:hideMark/>
          </w:tcPr>
          <w:p w14:paraId="250049AC" w14:textId="68E74DB5"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2</w:t>
            </w:r>
            <w:r w:rsidR="00513957">
              <w:rPr>
                <w:rFonts w:eastAsia="Times New Roman" w:cs="Calibri"/>
                <w:sz w:val="18"/>
                <w:szCs w:val="18"/>
              </w:rPr>
              <w:t>.</w:t>
            </w:r>
            <w:r w:rsidRPr="00D74D8D">
              <w:rPr>
                <w:rFonts w:eastAsia="Times New Roman" w:cs="Calibri"/>
                <w:sz w:val="18"/>
                <w:szCs w:val="18"/>
              </w:rPr>
              <w:t>0</w:t>
            </w:r>
          </w:p>
        </w:tc>
        <w:tc>
          <w:tcPr>
            <w:tcW w:w="510" w:type="dxa"/>
            <w:gridSpan w:val="4"/>
            <w:shd w:val="clear" w:color="auto" w:fill="auto"/>
            <w:noWrap/>
            <w:vAlign w:val="center"/>
            <w:hideMark/>
          </w:tcPr>
          <w:p w14:paraId="171706E8" w14:textId="0126C871"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1</w:t>
            </w:r>
            <w:r w:rsidR="00513957">
              <w:rPr>
                <w:rFonts w:eastAsia="Times New Roman" w:cs="Calibri"/>
                <w:sz w:val="18"/>
                <w:szCs w:val="18"/>
              </w:rPr>
              <w:t>.</w:t>
            </w:r>
            <w:r w:rsidRPr="00D74D8D">
              <w:rPr>
                <w:rFonts w:eastAsia="Times New Roman" w:cs="Calibri"/>
                <w:sz w:val="18"/>
                <w:szCs w:val="18"/>
              </w:rPr>
              <w:t>6</w:t>
            </w:r>
          </w:p>
        </w:tc>
        <w:tc>
          <w:tcPr>
            <w:tcW w:w="510" w:type="dxa"/>
            <w:gridSpan w:val="4"/>
            <w:shd w:val="clear" w:color="auto" w:fill="auto"/>
            <w:noWrap/>
            <w:vAlign w:val="center"/>
            <w:hideMark/>
          </w:tcPr>
          <w:p w14:paraId="6970A754" w14:textId="18CA5439"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1</w:t>
            </w:r>
            <w:r w:rsidR="00513957">
              <w:rPr>
                <w:rFonts w:eastAsia="Times New Roman" w:cs="Calibri"/>
                <w:sz w:val="18"/>
                <w:szCs w:val="18"/>
              </w:rPr>
              <w:t>.</w:t>
            </w:r>
            <w:r w:rsidRPr="00D74D8D">
              <w:rPr>
                <w:rFonts w:eastAsia="Times New Roman" w:cs="Calibri"/>
                <w:sz w:val="18"/>
                <w:szCs w:val="18"/>
              </w:rPr>
              <w:t>0</w:t>
            </w:r>
          </w:p>
        </w:tc>
        <w:tc>
          <w:tcPr>
            <w:tcW w:w="510" w:type="dxa"/>
            <w:gridSpan w:val="4"/>
            <w:shd w:val="clear" w:color="auto" w:fill="auto"/>
            <w:noWrap/>
            <w:vAlign w:val="center"/>
            <w:hideMark/>
          </w:tcPr>
          <w:p w14:paraId="21D0326F" w14:textId="1E6619A6"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1</w:t>
            </w:r>
            <w:r w:rsidR="00513957">
              <w:rPr>
                <w:rFonts w:eastAsia="Times New Roman" w:cs="Calibri"/>
                <w:sz w:val="18"/>
                <w:szCs w:val="18"/>
              </w:rPr>
              <w:t>.</w:t>
            </w:r>
            <w:r w:rsidRPr="00D74D8D">
              <w:rPr>
                <w:rFonts w:eastAsia="Times New Roman" w:cs="Calibri"/>
                <w:sz w:val="18"/>
                <w:szCs w:val="18"/>
              </w:rPr>
              <w:t>0</w:t>
            </w:r>
          </w:p>
        </w:tc>
        <w:tc>
          <w:tcPr>
            <w:tcW w:w="510" w:type="dxa"/>
            <w:gridSpan w:val="4"/>
            <w:shd w:val="clear" w:color="auto" w:fill="auto"/>
            <w:noWrap/>
            <w:vAlign w:val="center"/>
            <w:hideMark/>
          </w:tcPr>
          <w:p w14:paraId="4B2B9BE6" w14:textId="75F63C23"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1</w:t>
            </w:r>
            <w:r w:rsidR="00513957">
              <w:rPr>
                <w:rFonts w:eastAsia="Times New Roman" w:cs="Calibri"/>
                <w:sz w:val="18"/>
                <w:szCs w:val="18"/>
              </w:rPr>
              <w:t>.</w:t>
            </w:r>
            <w:r w:rsidRPr="00D74D8D">
              <w:rPr>
                <w:rFonts w:eastAsia="Times New Roman" w:cs="Calibri"/>
                <w:sz w:val="18"/>
                <w:szCs w:val="18"/>
              </w:rPr>
              <w:t>0</w:t>
            </w:r>
          </w:p>
        </w:tc>
        <w:tc>
          <w:tcPr>
            <w:tcW w:w="510" w:type="dxa"/>
            <w:gridSpan w:val="4"/>
            <w:shd w:val="clear" w:color="auto" w:fill="auto"/>
            <w:noWrap/>
            <w:vAlign w:val="center"/>
            <w:hideMark/>
          </w:tcPr>
          <w:p w14:paraId="63089CA5" w14:textId="52860C77"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0</w:t>
            </w:r>
            <w:r w:rsidR="00513957">
              <w:rPr>
                <w:rFonts w:eastAsia="Times New Roman" w:cs="Calibri"/>
                <w:sz w:val="18"/>
                <w:szCs w:val="18"/>
              </w:rPr>
              <w:t>.</w:t>
            </w:r>
            <w:r w:rsidRPr="00D74D8D">
              <w:rPr>
                <w:rFonts w:eastAsia="Times New Roman" w:cs="Calibri"/>
                <w:sz w:val="18"/>
                <w:szCs w:val="18"/>
              </w:rPr>
              <w:t>8</w:t>
            </w:r>
          </w:p>
        </w:tc>
        <w:tc>
          <w:tcPr>
            <w:tcW w:w="510" w:type="dxa"/>
            <w:gridSpan w:val="4"/>
            <w:shd w:val="clear" w:color="auto" w:fill="auto"/>
            <w:noWrap/>
            <w:vAlign w:val="center"/>
            <w:hideMark/>
          </w:tcPr>
          <w:p w14:paraId="5C6E5AD4" w14:textId="3A44AEF7"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0</w:t>
            </w:r>
            <w:r w:rsidR="00513957">
              <w:rPr>
                <w:rFonts w:eastAsia="Times New Roman" w:cs="Calibri"/>
                <w:sz w:val="18"/>
                <w:szCs w:val="18"/>
              </w:rPr>
              <w:t>.</w:t>
            </w:r>
            <w:r w:rsidRPr="00D74D8D">
              <w:rPr>
                <w:rFonts w:eastAsia="Times New Roman" w:cs="Calibri"/>
                <w:sz w:val="18"/>
                <w:szCs w:val="18"/>
              </w:rPr>
              <w:t>8</w:t>
            </w:r>
          </w:p>
        </w:tc>
        <w:tc>
          <w:tcPr>
            <w:tcW w:w="518" w:type="dxa"/>
            <w:gridSpan w:val="2"/>
            <w:shd w:val="clear" w:color="auto" w:fill="auto"/>
            <w:noWrap/>
            <w:vAlign w:val="center"/>
            <w:hideMark/>
          </w:tcPr>
          <w:p w14:paraId="109F5EA5" w14:textId="2606C107"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0</w:t>
            </w:r>
            <w:r w:rsidR="00513957">
              <w:rPr>
                <w:rFonts w:eastAsia="Times New Roman" w:cs="Calibri"/>
                <w:sz w:val="18"/>
                <w:szCs w:val="18"/>
              </w:rPr>
              <w:t>.</w:t>
            </w:r>
            <w:r w:rsidRPr="00D74D8D">
              <w:rPr>
                <w:rFonts w:eastAsia="Times New Roman" w:cs="Calibri"/>
                <w:sz w:val="18"/>
                <w:szCs w:val="18"/>
              </w:rPr>
              <w:t>6</w:t>
            </w:r>
          </w:p>
        </w:tc>
      </w:tr>
      <w:tr w:rsidR="00E707DE" w:rsidRPr="00D74D8D" w14:paraId="67CF8D2F" w14:textId="77777777" w:rsidTr="00C07EB3">
        <w:trPr>
          <w:trHeight w:val="20"/>
        </w:trPr>
        <w:tc>
          <w:tcPr>
            <w:tcW w:w="7937" w:type="dxa"/>
            <w:gridSpan w:val="46"/>
            <w:shd w:val="clear" w:color="auto" w:fill="auto"/>
            <w:vAlign w:val="center"/>
          </w:tcPr>
          <w:p w14:paraId="5E9DD3B4" w14:textId="4C929528" w:rsidR="00A7195D" w:rsidRPr="00D74D8D" w:rsidRDefault="00513957" w:rsidP="0020423A">
            <w:pPr>
              <w:spacing w:before="80" w:after="80" w:line="200" w:lineRule="exact"/>
              <w:jc w:val="center"/>
              <w:rPr>
                <w:rFonts w:eastAsia="Times New Roman" w:cs="Arial"/>
                <w:b/>
                <w:bCs/>
                <w:color w:val="0A0A0A"/>
                <w:sz w:val="18"/>
                <w:szCs w:val="18"/>
              </w:rPr>
            </w:pPr>
            <w:proofErr w:type="spellStart"/>
            <w:r>
              <w:rPr>
                <w:rFonts w:eastAsia="Times New Roman" w:cs="Arial"/>
                <w:b/>
                <w:bCs/>
                <w:color w:val="0A0A0A"/>
                <w:sz w:val="18"/>
                <w:szCs w:val="18"/>
              </w:rPr>
              <w:t>Social</w:t>
            </w:r>
            <w:proofErr w:type="spellEnd"/>
            <w:r>
              <w:rPr>
                <w:rFonts w:eastAsia="Times New Roman" w:cs="Arial"/>
                <w:b/>
                <w:bCs/>
                <w:color w:val="0A0A0A"/>
                <w:sz w:val="18"/>
                <w:szCs w:val="18"/>
              </w:rPr>
              <w:t xml:space="preserve"> </w:t>
            </w:r>
            <w:proofErr w:type="spellStart"/>
            <w:r>
              <w:rPr>
                <w:rFonts w:eastAsia="Times New Roman" w:cs="Arial"/>
                <w:b/>
                <w:bCs/>
                <w:color w:val="0A0A0A"/>
                <w:sz w:val="18"/>
                <w:szCs w:val="18"/>
              </w:rPr>
              <w:t>needs</w:t>
            </w:r>
            <w:proofErr w:type="spellEnd"/>
          </w:p>
        </w:tc>
      </w:tr>
      <w:tr w:rsidR="00E707DE" w:rsidRPr="00D74D8D" w14:paraId="3D446AC0" w14:textId="77777777" w:rsidTr="00C07EB3">
        <w:trPr>
          <w:trHeight w:val="20"/>
        </w:trPr>
        <w:tc>
          <w:tcPr>
            <w:tcW w:w="2319" w:type="dxa"/>
            <w:gridSpan w:val="4"/>
            <w:shd w:val="clear" w:color="auto" w:fill="auto"/>
            <w:vAlign w:val="center"/>
            <w:hideMark/>
          </w:tcPr>
          <w:p w14:paraId="20683A63" w14:textId="4B410EEE" w:rsidR="00A7195D" w:rsidRPr="00513957" w:rsidRDefault="00513957" w:rsidP="00B42820">
            <w:pPr>
              <w:spacing w:before="60" w:after="60" w:line="200" w:lineRule="exact"/>
              <w:ind w:left="-57" w:right="-57"/>
              <w:rPr>
                <w:rFonts w:eastAsia="Times New Roman" w:cs="Calibri"/>
                <w:color w:val="000000"/>
                <w:spacing w:val="-4"/>
                <w:sz w:val="18"/>
                <w:szCs w:val="18"/>
                <w:lang w:val="en-US"/>
              </w:rPr>
            </w:pPr>
            <w:r w:rsidRPr="00513957">
              <w:rPr>
                <w:rFonts w:eastAsia="Times New Roman" w:cs="Calibri"/>
                <w:color w:val="000000"/>
                <w:spacing w:val="-4"/>
                <w:sz w:val="18"/>
                <w:szCs w:val="18"/>
                <w:lang w:val="en-US"/>
              </w:rPr>
              <w:t>Afford to spend a small amount of money each week on personal needs</w:t>
            </w:r>
          </w:p>
        </w:tc>
        <w:tc>
          <w:tcPr>
            <w:tcW w:w="510" w:type="dxa"/>
            <w:gridSpan w:val="4"/>
            <w:shd w:val="clear" w:color="auto" w:fill="auto"/>
            <w:noWrap/>
            <w:vAlign w:val="center"/>
            <w:hideMark/>
          </w:tcPr>
          <w:p w14:paraId="5994BA89" w14:textId="54112F8D"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12</w:t>
            </w:r>
            <w:r w:rsidR="00513957">
              <w:rPr>
                <w:rFonts w:eastAsia="Times New Roman" w:cs="Calibri"/>
                <w:sz w:val="18"/>
                <w:szCs w:val="18"/>
              </w:rPr>
              <w:t>.</w:t>
            </w:r>
            <w:r w:rsidRPr="00D74D8D">
              <w:rPr>
                <w:rFonts w:eastAsia="Times New Roman" w:cs="Calibri"/>
                <w:sz w:val="18"/>
                <w:szCs w:val="18"/>
              </w:rPr>
              <w:t>8</w:t>
            </w:r>
          </w:p>
        </w:tc>
        <w:tc>
          <w:tcPr>
            <w:tcW w:w="510" w:type="dxa"/>
            <w:gridSpan w:val="4"/>
            <w:shd w:val="clear" w:color="auto" w:fill="auto"/>
            <w:noWrap/>
            <w:vAlign w:val="center"/>
            <w:hideMark/>
          </w:tcPr>
          <w:p w14:paraId="39C4FA0E" w14:textId="45BD37C2"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9</w:t>
            </w:r>
            <w:r w:rsidR="00513957">
              <w:rPr>
                <w:rFonts w:eastAsia="Times New Roman" w:cs="Calibri"/>
                <w:sz w:val="18"/>
                <w:szCs w:val="18"/>
              </w:rPr>
              <w:t>.</w:t>
            </w:r>
            <w:r w:rsidRPr="00D74D8D">
              <w:rPr>
                <w:rFonts w:eastAsia="Times New Roman" w:cs="Calibri"/>
                <w:sz w:val="18"/>
                <w:szCs w:val="18"/>
              </w:rPr>
              <w:t>0</w:t>
            </w:r>
          </w:p>
        </w:tc>
        <w:tc>
          <w:tcPr>
            <w:tcW w:w="510" w:type="dxa"/>
            <w:gridSpan w:val="4"/>
            <w:shd w:val="clear" w:color="auto" w:fill="auto"/>
            <w:noWrap/>
            <w:vAlign w:val="center"/>
            <w:hideMark/>
          </w:tcPr>
          <w:p w14:paraId="54B9AE39" w14:textId="2E30A3FB"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11</w:t>
            </w:r>
            <w:r w:rsidR="00513957">
              <w:rPr>
                <w:rFonts w:eastAsia="Times New Roman" w:cs="Calibri"/>
                <w:sz w:val="18"/>
                <w:szCs w:val="18"/>
              </w:rPr>
              <w:t>.</w:t>
            </w:r>
            <w:r w:rsidRPr="00D74D8D">
              <w:rPr>
                <w:rFonts w:eastAsia="Times New Roman" w:cs="Calibri"/>
                <w:sz w:val="18"/>
                <w:szCs w:val="18"/>
              </w:rPr>
              <w:t>9</w:t>
            </w:r>
          </w:p>
        </w:tc>
        <w:tc>
          <w:tcPr>
            <w:tcW w:w="510" w:type="dxa"/>
            <w:gridSpan w:val="4"/>
            <w:shd w:val="clear" w:color="auto" w:fill="auto"/>
            <w:noWrap/>
            <w:vAlign w:val="center"/>
            <w:hideMark/>
          </w:tcPr>
          <w:p w14:paraId="725D90F4" w14:textId="3F0AA219"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11</w:t>
            </w:r>
            <w:r w:rsidR="00513957">
              <w:rPr>
                <w:rFonts w:eastAsia="Times New Roman" w:cs="Calibri"/>
                <w:sz w:val="18"/>
                <w:szCs w:val="18"/>
              </w:rPr>
              <w:t>.</w:t>
            </w:r>
            <w:r w:rsidRPr="00D74D8D">
              <w:rPr>
                <w:rFonts w:eastAsia="Times New Roman" w:cs="Calibri"/>
                <w:sz w:val="18"/>
                <w:szCs w:val="18"/>
              </w:rPr>
              <w:t>8</w:t>
            </w:r>
          </w:p>
        </w:tc>
        <w:tc>
          <w:tcPr>
            <w:tcW w:w="510" w:type="dxa"/>
            <w:gridSpan w:val="4"/>
            <w:shd w:val="clear" w:color="auto" w:fill="auto"/>
            <w:noWrap/>
            <w:vAlign w:val="center"/>
            <w:hideMark/>
          </w:tcPr>
          <w:p w14:paraId="0A8ECF17" w14:textId="1FF3BFCD"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10</w:t>
            </w:r>
            <w:r w:rsidR="00513957">
              <w:rPr>
                <w:rFonts w:eastAsia="Times New Roman" w:cs="Calibri"/>
                <w:sz w:val="18"/>
                <w:szCs w:val="18"/>
              </w:rPr>
              <w:t>.</w:t>
            </w:r>
            <w:r w:rsidRPr="00D74D8D">
              <w:rPr>
                <w:rFonts w:eastAsia="Times New Roman" w:cs="Calibri"/>
                <w:sz w:val="18"/>
                <w:szCs w:val="18"/>
              </w:rPr>
              <w:t>3</w:t>
            </w:r>
          </w:p>
        </w:tc>
        <w:tc>
          <w:tcPr>
            <w:tcW w:w="510" w:type="dxa"/>
            <w:gridSpan w:val="4"/>
            <w:shd w:val="clear" w:color="auto" w:fill="auto"/>
            <w:noWrap/>
            <w:vAlign w:val="center"/>
            <w:hideMark/>
          </w:tcPr>
          <w:p w14:paraId="23AB4EF1" w14:textId="7B5EE25B"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9</w:t>
            </w:r>
            <w:r w:rsidR="00513957">
              <w:rPr>
                <w:rFonts w:eastAsia="Times New Roman" w:cs="Calibri"/>
                <w:sz w:val="18"/>
                <w:szCs w:val="18"/>
              </w:rPr>
              <w:t>.</w:t>
            </w:r>
            <w:r w:rsidRPr="00D74D8D">
              <w:rPr>
                <w:rFonts w:eastAsia="Times New Roman" w:cs="Calibri"/>
                <w:sz w:val="18"/>
                <w:szCs w:val="18"/>
              </w:rPr>
              <w:t>0</w:t>
            </w:r>
          </w:p>
        </w:tc>
        <w:tc>
          <w:tcPr>
            <w:tcW w:w="510" w:type="dxa"/>
            <w:gridSpan w:val="4"/>
            <w:shd w:val="clear" w:color="auto" w:fill="auto"/>
            <w:noWrap/>
            <w:vAlign w:val="center"/>
            <w:hideMark/>
          </w:tcPr>
          <w:p w14:paraId="7E00461E" w14:textId="6D306909"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9</w:t>
            </w:r>
            <w:r w:rsidR="00513957">
              <w:rPr>
                <w:rFonts w:eastAsia="Times New Roman" w:cs="Calibri"/>
                <w:sz w:val="18"/>
                <w:szCs w:val="18"/>
              </w:rPr>
              <w:t>.</w:t>
            </w:r>
            <w:r w:rsidRPr="00D74D8D">
              <w:rPr>
                <w:rFonts w:eastAsia="Times New Roman" w:cs="Calibri"/>
                <w:sz w:val="18"/>
                <w:szCs w:val="18"/>
              </w:rPr>
              <w:t>4</w:t>
            </w:r>
          </w:p>
        </w:tc>
        <w:tc>
          <w:tcPr>
            <w:tcW w:w="510" w:type="dxa"/>
            <w:gridSpan w:val="4"/>
            <w:shd w:val="clear" w:color="auto" w:fill="auto"/>
            <w:noWrap/>
            <w:vAlign w:val="center"/>
            <w:hideMark/>
          </w:tcPr>
          <w:p w14:paraId="6B8EF38B" w14:textId="6043AE82"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8</w:t>
            </w:r>
            <w:r w:rsidR="00513957">
              <w:rPr>
                <w:rFonts w:eastAsia="Times New Roman" w:cs="Calibri"/>
                <w:sz w:val="18"/>
                <w:szCs w:val="18"/>
              </w:rPr>
              <w:t>.</w:t>
            </w:r>
            <w:r w:rsidRPr="00D74D8D">
              <w:rPr>
                <w:rFonts w:eastAsia="Times New Roman" w:cs="Calibri"/>
                <w:sz w:val="18"/>
                <w:szCs w:val="18"/>
              </w:rPr>
              <w:t>5</w:t>
            </w:r>
          </w:p>
        </w:tc>
        <w:tc>
          <w:tcPr>
            <w:tcW w:w="510" w:type="dxa"/>
            <w:gridSpan w:val="4"/>
            <w:shd w:val="clear" w:color="auto" w:fill="auto"/>
            <w:noWrap/>
            <w:vAlign w:val="center"/>
            <w:hideMark/>
          </w:tcPr>
          <w:p w14:paraId="66220511" w14:textId="21A6D59C"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9</w:t>
            </w:r>
            <w:r w:rsidR="00513957">
              <w:rPr>
                <w:rFonts w:eastAsia="Times New Roman" w:cs="Calibri"/>
                <w:sz w:val="18"/>
                <w:szCs w:val="18"/>
              </w:rPr>
              <w:t>.</w:t>
            </w:r>
            <w:r w:rsidRPr="00D74D8D">
              <w:rPr>
                <w:rFonts w:eastAsia="Times New Roman" w:cs="Calibri"/>
                <w:sz w:val="18"/>
                <w:szCs w:val="18"/>
              </w:rPr>
              <w:t>7</w:t>
            </w:r>
          </w:p>
        </w:tc>
        <w:tc>
          <w:tcPr>
            <w:tcW w:w="510" w:type="dxa"/>
            <w:gridSpan w:val="4"/>
            <w:shd w:val="clear" w:color="auto" w:fill="auto"/>
            <w:noWrap/>
            <w:vAlign w:val="center"/>
            <w:hideMark/>
          </w:tcPr>
          <w:p w14:paraId="42295AD5" w14:textId="543BC649"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8</w:t>
            </w:r>
            <w:r w:rsidR="00513957">
              <w:rPr>
                <w:rFonts w:eastAsia="Times New Roman" w:cs="Calibri"/>
                <w:sz w:val="18"/>
                <w:szCs w:val="18"/>
              </w:rPr>
              <w:t>.</w:t>
            </w:r>
            <w:r w:rsidRPr="00D74D8D">
              <w:rPr>
                <w:rFonts w:eastAsia="Times New Roman" w:cs="Calibri"/>
                <w:sz w:val="18"/>
                <w:szCs w:val="18"/>
              </w:rPr>
              <w:t>1</w:t>
            </w:r>
          </w:p>
        </w:tc>
        <w:tc>
          <w:tcPr>
            <w:tcW w:w="518" w:type="dxa"/>
            <w:gridSpan w:val="2"/>
            <w:shd w:val="clear" w:color="auto" w:fill="auto"/>
            <w:noWrap/>
            <w:vAlign w:val="center"/>
            <w:hideMark/>
          </w:tcPr>
          <w:p w14:paraId="478E684F" w14:textId="7BABD280"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6</w:t>
            </w:r>
            <w:r w:rsidR="00513957">
              <w:rPr>
                <w:rFonts w:eastAsia="Times New Roman" w:cs="Calibri"/>
                <w:sz w:val="18"/>
                <w:szCs w:val="18"/>
              </w:rPr>
              <w:t>.</w:t>
            </w:r>
            <w:r w:rsidRPr="00D74D8D">
              <w:rPr>
                <w:rFonts w:eastAsia="Times New Roman" w:cs="Calibri"/>
                <w:sz w:val="18"/>
                <w:szCs w:val="18"/>
              </w:rPr>
              <w:t>8</w:t>
            </w:r>
          </w:p>
        </w:tc>
      </w:tr>
      <w:tr w:rsidR="00E707DE" w:rsidRPr="00D74D8D" w14:paraId="1B19AB3A" w14:textId="77777777" w:rsidTr="00C07EB3">
        <w:trPr>
          <w:trHeight w:val="20"/>
        </w:trPr>
        <w:tc>
          <w:tcPr>
            <w:tcW w:w="2319" w:type="dxa"/>
            <w:gridSpan w:val="4"/>
            <w:shd w:val="clear" w:color="auto" w:fill="auto"/>
            <w:vAlign w:val="center"/>
            <w:hideMark/>
          </w:tcPr>
          <w:p w14:paraId="04C02F9B" w14:textId="29567CFC" w:rsidR="00A7195D" w:rsidRPr="00513957" w:rsidRDefault="00513957" w:rsidP="00D74D8D">
            <w:pPr>
              <w:spacing w:before="60" w:after="60" w:line="200" w:lineRule="exact"/>
              <w:ind w:left="-57" w:right="-57"/>
              <w:rPr>
                <w:rFonts w:eastAsia="Times New Roman" w:cs="Calibri"/>
                <w:color w:val="000000"/>
                <w:spacing w:val="-4"/>
                <w:sz w:val="18"/>
                <w:szCs w:val="18"/>
                <w:lang w:val="en-US"/>
              </w:rPr>
            </w:pPr>
            <w:r w:rsidRPr="00513957">
              <w:rPr>
                <w:rFonts w:eastAsia="Times New Roman" w:cs="Calibri"/>
                <w:color w:val="000000"/>
                <w:spacing w:val="-4"/>
                <w:sz w:val="18"/>
                <w:szCs w:val="18"/>
                <w:lang w:val="en-US"/>
              </w:rPr>
              <w:t xml:space="preserve">Afford to get together with friends/family for </w:t>
            </w:r>
            <w:r w:rsidRPr="00513957">
              <w:rPr>
                <w:rFonts w:eastAsia="Times New Roman" w:cs="Calibri"/>
                <w:color w:val="000000"/>
                <w:spacing w:val="-4"/>
                <w:sz w:val="18"/>
                <w:szCs w:val="18"/>
                <w:lang w:val="en-US"/>
              </w:rPr>
              <w:br/>
              <w:t xml:space="preserve">a drink/meal at least once </w:t>
            </w:r>
            <w:r w:rsidRPr="00513957">
              <w:rPr>
                <w:rFonts w:eastAsia="Times New Roman" w:cs="Calibri"/>
                <w:color w:val="000000"/>
                <w:spacing w:val="-4"/>
                <w:sz w:val="18"/>
                <w:szCs w:val="18"/>
                <w:lang w:val="en-US"/>
              </w:rPr>
              <w:br/>
              <w:t>a month</w:t>
            </w:r>
          </w:p>
        </w:tc>
        <w:tc>
          <w:tcPr>
            <w:tcW w:w="510" w:type="dxa"/>
            <w:gridSpan w:val="4"/>
            <w:shd w:val="clear" w:color="auto" w:fill="auto"/>
            <w:noWrap/>
            <w:vAlign w:val="center"/>
            <w:hideMark/>
          </w:tcPr>
          <w:p w14:paraId="5BEEF758" w14:textId="5E25A891"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10</w:t>
            </w:r>
            <w:r w:rsidR="00513957">
              <w:rPr>
                <w:rFonts w:eastAsia="Times New Roman" w:cs="Calibri"/>
                <w:sz w:val="18"/>
                <w:szCs w:val="18"/>
              </w:rPr>
              <w:t>.</w:t>
            </w:r>
            <w:r w:rsidRPr="00D74D8D">
              <w:rPr>
                <w:rFonts w:eastAsia="Times New Roman" w:cs="Calibri"/>
                <w:sz w:val="18"/>
                <w:szCs w:val="18"/>
              </w:rPr>
              <w:t>2</w:t>
            </w:r>
          </w:p>
        </w:tc>
        <w:tc>
          <w:tcPr>
            <w:tcW w:w="510" w:type="dxa"/>
            <w:gridSpan w:val="4"/>
            <w:shd w:val="clear" w:color="auto" w:fill="auto"/>
            <w:noWrap/>
            <w:vAlign w:val="center"/>
            <w:hideMark/>
          </w:tcPr>
          <w:p w14:paraId="7993C0FC" w14:textId="2D2C787E"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7</w:t>
            </w:r>
            <w:r w:rsidR="00513957">
              <w:rPr>
                <w:rFonts w:eastAsia="Times New Roman" w:cs="Calibri"/>
                <w:sz w:val="18"/>
                <w:szCs w:val="18"/>
              </w:rPr>
              <w:t>.</w:t>
            </w:r>
            <w:r w:rsidRPr="00D74D8D">
              <w:rPr>
                <w:rFonts w:eastAsia="Times New Roman" w:cs="Calibri"/>
                <w:sz w:val="18"/>
                <w:szCs w:val="18"/>
              </w:rPr>
              <w:t>2</w:t>
            </w:r>
          </w:p>
        </w:tc>
        <w:tc>
          <w:tcPr>
            <w:tcW w:w="510" w:type="dxa"/>
            <w:gridSpan w:val="4"/>
            <w:shd w:val="clear" w:color="auto" w:fill="auto"/>
            <w:noWrap/>
            <w:vAlign w:val="center"/>
            <w:hideMark/>
          </w:tcPr>
          <w:p w14:paraId="345F7178" w14:textId="7D0CC0F1"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6</w:t>
            </w:r>
            <w:r w:rsidR="00513957">
              <w:rPr>
                <w:rFonts w:eastAsia="Times New Roman" w:cs="Calibri"/>
                <w:sz w:val="18"/>
                <w:szCs w:val="18"/>
              </w:rPr>
              <w:t>.</w:t>
            </w:r>
            <w:r w:rsidRPr="00D74D8D">
              <w:rPr>
                <w:rFonts w:eastAsia="Times New Roman" w:cs="Calibri"/>
                <w:sz w:val="18"/>
                <w:szCs w:val="18"/>
              </w:rPr>
              <w:t>8</w:t>
            </w:r>
          </w:p>
        </w:tc>
        <w:tc>
          <w:tcPr>
            <w:tcW w:w="510" w:type="dxa"/>
            <w:gridSpan w:val="4"/>
            <w:shd w:val="clear" w:color="auto" w:fill="auto"/>
            <w:noWrap/>
            <w:vAlign w:val="center"/>
            <w:hideMark/>
          </w:tcPr>
          <w:p w14:paraId="4C90CE0D" w14:textId="1CBF018F"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6</w:t>
            </w:r>
            <w:r w:rsidR="00513957">
              <w:rPr>
                <w:rFonts w:eastAsia="Times New Roman" w:cs="Calibri"/>
                <w:sz w:val="18"/>
                <w:szCs w:val="18"/>
              </w:rPr>
              <w:t>.</w:t>
            </w:r>
            <w:r w:rsidRPr="00D74D8D">
              <w:rPr>
                <w:rFonts w:eastAsia="Times New Roman" w:cs="Calibri"/>
                <w:sz w:val="18"/>
                <w:szCs w:val="18"/>
              </w:rPr>
              <w:t>5</w:t>
            </w:r>
          </w:p>
        </w:tc>
        <w:tc>
          <w:tcPr>
            <w:tcW w:w="510" w:type="dxa"/>
            <w:gridSpan w:val="4"/>
            <w:shd w:val="clear" w:color="auto" w:fill="auto"/>
            <w:noWrap/>
            <w:vAlign w:val="center"/>
            <w:hideMark/>
          </w:tcPr>
          <w:p w14:paraId="6A3DB12C" w14:textId="5D6B5E44"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5</w:t>
            </w:r>
            <w:r w:rsidR="00513957">
              <w:rPr>
                <w:rFonts w:eastAsia="Times New Roman" w:cs="Calibri"/>
                <w:sz w:val="18"/>
                <w:szCs w:val="18"/>
              </w:rPr>
              <w:t>.</w:t>
            </w:r>
            <w:r w:rsidRPr="00D74D8D">
              <w:rPr>
                <w:rFonts w:eastAsia="Times New Roman" w:cs="Calibri"/>
                <w:sz w:val="18"/>
                <w:szCs w:val="18"/>
              </w:rPr>
              <w:t>3</w:t>
            </w:r>
          </w:p>
        </w:tc>
        <w:tc>
          <w:tcPr>
            <w:tcW w:w="510" w:type="dxa"/>
            <w:gridSpan w:val="4"/>
            <w:shd w:val="clear" w:color="auto" w:fill="auto"/>
            <w:noWrap/>
            <w:vAlign w:val="center"/>
            <w:hideMark/>
          </w:tcPr>
          <w:p w14:paraId="5BC2C6C4" w14:textId="20B73341"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4</w:t>
            </w:r>
            <w:r w:rsidR="00513957">
              <w:rPr>
                <w:rFonts w:eastAsia="Times New Roman" w:cs="Calibri"/>
                <w:sz w:val="18"/>
                <w:szCs w:val="18"/>
              </w:rPr>
              <w:t>.</w:t>
            </w:r>
            <w:r w:rsidRPr="00D74D8D">
              <w:rPr>
                <w:rFonts w:eastAsia="Times New Roman" w:cs="Calibri"/>
                <w:sz w:val="18"/>
                <w:szCs w:val="18"/>
              </w:rPr>
              <w:t>5</w:t>
            </w:r>
          </w:p>
        </w:tc>
        <w:tc>
          <w:tcPr>
            <w:tcW w:w="510" w:type="dxa"/>
            <w:gridSpan w:val="4"/>
            <w:shd w:val="clear" w:color="auto" w:fill="auto"/>
            <w:noWrap/>
            <w:vAlign w:val="center"/>
            <w:hideMark/>
          </w:tcPr>
          <w:p w14:paraId="5A50289D" w14:textId="44645D10"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4</w:t>
            </w:r>
            <w:r w:rsidR="00513957">
              <w:rPr>
                <w:rFonts w:eastAsia="Times New Roman" w:cs="Calibri"/>
                <w:sz w:val="18"/>
                <w:szCs w:val="18"/>
              </w:rPr>
              <w:t>.</w:t>
            </w:r>
            <w:r w:rsidRPr="00D74D8D">
              <w:rPr>
                <w:rFonts w:eastAsia="Times New Roman" w:cs="Calibri"/>
                <w:sz w:val="18"/>
                <w:szCs w:val="18"/>
              </w:rPr>
              <w:t>9</w:t>
            </w:r>
          </w:p>
        </w:tc>
        <w:tc>
          <w:tcPr>
            <w:tcW w:w="510" w:type="dxa"/>
            <w:gridSpan w:val="4"/>
            <w:shd w:val="clear" w:color="auto" w:fill="auto"/>
            <w:noWrap/>
            <w:vAlign w:val="center"/>
            <w:hideMark/>
          </w:tcPr>
          <w:p w14:paraId="5032FFF4" w14:textId="609F8A6D"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4</w:t>
            </w:r>
            <w:r w:rsidR="00513957">
              <w:rPr>
                <w:rFonts w:eastAsia="Times New Roman" w:cs="Calibri"/>
                <w:sz w:val="18"/>
                <w:szCs w:val="18"/>
              </w:rPr>
              <w:t>.</w:t>
            </w:r>
            <w:r w:rsidRPr="00D74D8D">
              <w:rPr>
                <w:rFonts w:eastAsia="Times New Roman" w:cs="Calibri"/>
                <w:sz w:val="18"/>
                <w:szCs w:val="18"/>
              </w:rPr>
              <w:t>8</w:t>
            </w:r>
          </w:p>
        </w:tc>
        <w:tc>
          <w:tcPr>
            <w:tcW w:w="510" w:type="dxa"/>
            <w:gridSpan w:val="4"/>
            <w:shd w:val="clear" w:color="auto" w:fill="auto"/>
            <w:noWrap/>
            <w:vAlign w:val="center"/>
            <w:hideMark/>
          </w:tcPr>
          <w:p w14:paraId="4F920337" w14:textId="67F36F0B"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4</w:t>
            </w:r>
            <w:r w:rsidR="00513957">
              <w:rPr>
                <w:rFonts w:eastAsia="Times New Roman" w:cs="Calibri"/>
                <w:sz w:val="18"/>
                <w:szCs w:val="18"/>
              </w:rPr>
              <w:t>.</w:t>
            </w:r>
            <w:r w:rsidRPr="00D74D8D">
              <w:rPr>
                <w:rFonts w:eastAsia="Times New Roman" w:cs="Calibri"/>
                <w:sz w:val="18"/>
                <w:szCs w:val="18"/>
              </w:rPr>
              <w:t>9</w:t>
            </w:r>
          </w:p>
        </w:tc>
        <w:tc>
          <w:tcPr>
            <w:tcW w:w="510" w:type="dxa"/>
            <w:gridSpan w:val="4"/>
            <w:shd w:val="clear" w:color="auto" w:fill="auto"/>
            <w:noWrap/>
            <w:vAlign w:val="center"/>
            <w:hideMark/>
          </w:tcPr>
          <w:p w14:paraId="2F922B13" w14:textId="42EF38E8"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4</w:t>
            </w:r>
            <w:r w:rsidR="00513957">
              <w:rPr>
                <w:rFonts w:eastAsia="Times New Roman" w:cs="Calibri"/>
                <w:sz w:val="18"/>
                <w:szCs w:val="18"/>
              </w:rPr>
              <w:t>.</w:t>
            </w:r>
            <w:r w:rsidRPr="00D74D8D">
              <w:rPr>
                <w:rFonts w:eastAsia="Times New Roman" w:cs="Calibri"/>
                <w:sz w:val="18"/>
                <w:szCs w:val="18"/>
              </w:rPr>
              <w:t>1</w:t>
            </w:r>
          </w:p>
        </w:tc>
        <w:tc>
          <w:tcPr>
            <w:tcW w:w="518" w:type="dxa"/>
            <w:gridSpan w:val="2"/>
            <w:shd w:val="clear" w:color="auto" w:fill="auto"/>
            <w:noWrap/>
            <w:vAlign w:val="center"/>
            <w:hideMark/>
          </w:tcPr>
          <w:p w14:paraId="158B466E" w14:textId="0124C792"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3</w:t>
            </w:r>
            <w:r w:rsidR="00513957">
              <w:rPr>
                <w:rFonts w:eastAsia="Times New Roman" w:cs="Calibri"/>
                <w:sz w:val="18"/>
                <w:szCs w:val="18"/>
              </w:rPr>
              <w:t>.</w:t>
            </w:r>
            <w:r w:rsidRPr="00D74D8D">
              <w:rPr>
                <w:rFonts w:eastAsia="Times New Roman" w:cs="Calibri"/>
                <w:sz w:val="18"/>
                <w:szCs w:val="18"/>
              </w:rPr>
              <w:t>4</w:t>
            </w:r>
          </w:p>
        </w:tc>
      </w:tr>
      <w:tr w:rsidR="00E707DE" w:rsidRPr="00D74D8D" w14:paraId="6F58F5B1" w14:textId="77777777" w:rsidTr="00C07EB3">
        <w:trPr>
          <w:trHeight w:val="20"/>
        </w:trPr>
        <w:tc>
          <w:tcPr>
            <w:tcW w:w="7937" w:type="dxa"/>
            <w:gridSpan w:val="46"/>
            <w:shd w:val="clear" w:color="auto" w:fill="auto"/>
            <w:vAlign w:val="center"/>
          </w:tcPr>
          <w:p w14:paraId="42CA8B90" w14:textId="4F40D93A" w:rsidR="00A7195D" w:rsidRPr="00D74D8D" w:rsidRDefault="00513957" w:rsidP="00513957">
            <w:pPr>
              <w:spacing w:before="80" w:after="80" w:line="200" w:lineRule="exact"/>
              <w:jc w:val="center"/>
              <w:rPr>
                <w:rFonts w:eastAsia="Times New Roman" w:cs="Calibri"/>
                <w:sz w:val="18"/>
                <w:szCs w:val="18"/>
              </w:rPr>
            </w:pPr>
            <w:proofErr w:type="spellStart"/>
            <w:r>
              <w:rPr>
                <w:rFonts w:eastAsia="Times New Roman" w:cs="Arial"/>
                <w:b/>
                <w:bCs/>
                <w:color w:val="0A0A0A"/>
                <w:sz w:val="18"/>
                <w:szCs w:val="18"/>
              </w:rPr>
              <w:t>L</w:t>
            </w:r>
            <w:r w:rsidRPr="00790191">
              <w:rPr>
                <w:rFonts w:eastAsia="Times New Roman" w:cs="Arial"/>
                <w:b/>
                <w:bCs/>
                <w:color w:val="0A0A0A"/>
                <w:sz w:val="18"/>
                <w:szCs w:val="18"/>
              </w:rPr>
              <w:t>eisure</w:t>
            </w:r>
            <w:proofErr w:type="spellEnd"/>
            <w:r w:rsidRPr="00790191">
              <w:rPr>
                <w:rFonts w:eastAsia="Times New Roman" w:cs="Arial"/>
                <w:b/>
                <w:bCs/>
                <w:color w:val="0A0A0A"/>
                <w:sz w:val="18"/>
                <w:szCs w:val="18"/>
              </w:rPr>
              <w:t xml:space="preserve"> </w:t>
            </w:r>
            <w:proofErr w:type="spellStart"/>
            <w:r w:rsidRPr="00790191">
              <w:rPr>
                <w:rFonts w:eastAsia="Times New Roman" w:cs="Arial"/>
                <w:b/>
                <w:bCs/>
                <w:color w:val="0A0A0A"/>
                <w:sz w:val="18"/>
                <w:szCs w:val="18"/>
              </w:rPr>
              <w:t>activities</w:t>
            </w:r>
            <w:proofErr w:type="spellEnd"/>
            <w:r w:rsidRPr="00D74D8D">
              <w:rPr>
                <w:rFonts w:eastAsia="Times New Roman" w:cs="Arial"/>
                <w:b/>
                <w:bCs/>
                <w:color w:val="0A0A0A"/>
                <w:sz w:val="18"/>
                <w:szCs w:val="18"/>
              </w:rPr>
              <w:t xml:space="preserve"> </w:t>
            </w:r>
          </w:p>
        </w:tc>
      </w:tr>
      <w:tr w:rsidR="006236F6" w:rsidRPr="006236F6" w14:paraId="7106F403" w14:textId="77777777" w:rsidTr="00C07EB3">
        <w:trPr>
          <w:trHeight w:val="20"/>
        </w:trPr>
        <w:tc>
          <w:tcPr>
            <w:tcW w:w="2319" w:type="dxa"/>
            <w:gridSpan w:val="4"/>
            <w:shd w:val="clear" w:color="auto" w:fill="auto"/>
            <w:vAlign w:val="center"/>
            <w:hideMark/>
          </w:tcPr>
          <w:p w14:paraId="42D67419" w14:textId="1FC20F5D" w:rsidR="00A7195D" w:rsidRPr="00513957" w:rsidRDefault="00513957" w:rsidP="00B42820">
            <w:pPr>
              <w:spacing w:before="60" w:after="60" w:line="200" w:lineRule="exact"/>
              <w:ind w:left="-57" w:right="-57"/>
              <w:rPr>
                <w:rFonts w:eastAsia="Times New Roman" w:cs="Calibri"/>
                <w:color w:val="000000"/>
                <w:sz w:val="18"/>
                <w:szCs w:val="18"/>
                <w:lang w:val="en-US"/>
              </w:rPr>
            </w:pPr>
            <w:r w:rsidRPr="00513957">
              <w:rPr>
                <w:rFonts w:eastAsia="Times New Roman" w:cs="Calibri"/>
                <w:color w:val="000000"/>
                <w:spacing w:val="-4"/>
                <w:sz w:val="18"/>
                <w:szCs w:val="18"/>
                <w:lang w:val="en-US"/>
              </w:rPr>
              <w:t xml:space="preserve">Ability to afford </w:t>
            </w:r>
            <w:r w:rsidRPr="00513957">
              <w:rPr>
                <w:rFonts w:eastAsia="Times New Roman" w:cs="Calibri"/>
                <w:color w:val="000000"/>
                <w:spacing w:val="-4"/>
                <w:sz w:val="18"/>
                <w:szCs w:val="18"/>
                <w:lang w:val="en-US"/>
              </w:rPr>
              <w:br/>
              <w:t>a one-week holiday</w:t>
            </w:r>
            <w:r w:rsidR="00A7195D" w:rsidRPr="00513957">
              <w:rPr>
                <w:rFonts w:eastAsia="Times New Roman" w:cs="Calibri"/>
                <w:color w:val="000000"/>
                <w:sz w:val="18"/>
                <w:szCs w:val="18"/>
                <w:lang w:val="en-US"/>
              </w:rPr>
              <w:t xml:space="preserve"> </w:t>
            </w:r>
          </w:p>
        </w:tc>
        <w:tc>
          <w:tcPr>
            <w:tcW w:w="510" w:type="dxa"/>
            <w:gridSpan w:val="4"/>
            <w:shd w:val="clear" w:color="auto" w:fill="auto"/>
            <w:noWrap/>
            <w:vAlign w:val="center"/>
            <w:hideMark/>
          </w:tcPr>
          <w:p w14:paraId="3830B308" w14:textId="1F599248"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44</w:t>
            </w:r>
            <w:r w:rsidR="00513957">
              <w:rPr>
                <w:rFonts w:eastAsia="Times New Roman" w:cs="Calibri"/>
                <w:sz w:val="18"/>
                <w:szCs w:val="18"/>
              </w:rPr>
              <w:t>.</w:t>
            </w:r>
            <w:r w:rsidRPr="00D74D8D">
              <w:rPr>
                <w:rFonts w:eastAsia="Times New Roman" w:cs="Calibri"/>
                <w:sz w:val="18"/>
                <w:szCs w:val="18"/>
              </w:rPr>
              <w:t>0</w:t>
            </w:r>
          </w:p>
        </w:tc>
        <w:tc>
          <w:tcPr>
            <w:tcW w:w="510" w:type="dxa"/>
            <w:gridSpan w:val="4"/>
            <w:shd w:val="clear" w:color="auto" w:fill="auto"/>
            <w:noWrap/>
            <w:vAlign w:val="center"/>
            <w:hideMark/>
          </w:tcPr>
          <w:p w14:paraId="3F510C7A" w14:textId="1F58757C"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41</w:t>
            </w:r>
            <w:r w:rsidR="00513957">
              <w:rPr>
                <w:rFonts w:eastAsia="Times New Roman" w:cs="Calibri"/>
                <w:sz w:val="18"/>
                <w:szCs w:val="18"/>
              </w:rPr>
              <w:t>.</w:t>
            </w:r>
            <w:r w:rsidRPr="00D74D8D">
              <w:rPr>
                <w:rFonts w:eastAsia="Times New Roman" w:cs="Calibri"/>
                <w:sz w:val="18"/>
                <w:szCs w:val="18"/>
              </w:rPr>
              <w:t>2</w:t>
            </w:r>
          </w:p>
        </w:tc>
        <w:tc>
          <w:tcPr>
            <w:tcW w:w="510" w:type="dxa"/>
            <w:gridSpan w:val="4"/>
            <w:shd w:val="clear" w:color="auto" w:fill="auto"/>
            <w:noWrap/>
            <w:vAlign w:val="center"/>
            <w:hideMark/>
          </w:tcPr>
          <w:p w14:paraId="2358849B" w14:textId="544CF9F3"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38</w:t>
            </w:r>
            <w:r w:rsidR="00513957">
              <w:rPr>
                <w:rFonts w:eastAsia="Times New Roman" w:cs="Calibri"/>
                <w:sz w:val="18"/>
                <w:szCs w:val="18"/>
              </w:rPr>
              <w:t>.</w:t>
            </w:r>
            <w:r w:rsidRPr="00D74D8D">
              <w:rPr>
                <w:rFonts w:eastAsia="Times New Roman" w:cs="Calibri"/>
                <w:sz w:val="18"/>
                <w:szCs w:val="18"/>
              </w:rPr>
              <w:t>4</w:t>
            </w:r>
          </w:p>
        </w:tc>
        <w:tc>
          <w:tcPr>
            <w:tcW w:w="510" w:type="dxa"/>
            <w:gridSpan w:val="4"/>
            <w:shd w:val="clear" w:color="auto" w:fill="auto"/>
            <w:noWrap/>
            <w:vAlign w:val="center"/>
            <w:hideMark/>
          </w:tcPr>
          <w:p w14:paraId="15E3F172" w14:textId="170E88AD"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34</w:t>
            </w:r>
            <w:r w:rsidR="00513957">
              <w:rPr>
                <w:rFonts w:eastAsia="Times New Roman" w:cs="Calibri"/>
                <w:sz w:val="18"/>
                <w:szCs w:val="18"/>
              </w:rPr>
              <w:t>.</w:t>
            </w:r>
            <w:r w:rsidRPr="00D74D8D">
              <w:rPr>
                <w:rFonts w:eastAsia="Times New Roman" w:cs="Calibri"/>
                <w:sz w:val="18"/>
                <w:szCs w:val="18"/>
              </w:rPr>
              <w:t>6</w:t>
            </w:r>
          </w:p>
        </w:tc>
        <w:tc>
          <w:tcPr>
            <w:tcW w:w="510" w:type="dxa"/>
            <w:gridSpan w:val="4"/>
            <w:shd w:val="clear" w:color="auto" w:fill="auto"/>
            <w:noWrap/>
            <w:vAlign w:val="center"/>
            <w:hideMark/>
          </w:tcPr>
          <w:p w14:paraId="64B272A9" w14:textId="03F3C453"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33</w:t>
            </w:r>
            <w:r w:rsidR="00513957">
              <w:rPr>
                <w:rFonts w:eastAsia="Times New Roman" w:cs="Calibri"/>
                <w:sz w:val="18"/>
                <w:szCs w:val="18"/>
              </w:rPr>
              <w:t>.</w:t>
            </w:r>
            <w:r w:rsidRPr="00D74D8D">
              <w:rPr>
                <w:rFonts w:eastAsia="Times New Roman" w:cs="Calibri"/>
                <w:sz w:val="18"/>
                <w:szCs w:val="18"/>
              </w:rPr>
              <w:t>2</w:t>
            </w:r>
          </w:p>
        </w:tc>
        <w:tc>
          <w:tcPr>
            <w:tcW w:w="510" w:type="dxa"/>
            <w:gridSpan w:val="4"/>
            <w:shd w:val="clear" w:color="auto" w:fill="auto"/>
            <w:noWrap/>
            <w:vAlign w:val="center"/>
            <w:hideMark/>
          </w:tcPr>
          <w:p w14:paraId="2CE5ABD7" w14:textId="7BA01805"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29</w:t>
            </w:r>
            <w:r w:rsidR="00513957">
              <w:rPr>
                <w:rFonts w:eastAsia="Times New Roman" w:cs="Calibri"/>
                <w:sz w:val="18"/>
                <w:szCs w:val="18"/>
              </w:rPr>
              <w:t>.</w:t>
            </w:r>
            <w:r w:rsidRPr="00D74D8D">
              <w:rPr>
                <w:rFonts w:eastAsia="Times New Roman" w:cs="Calibri"/>
                <w:sz w:val="18"/>
                <w:szCs w:val="18"/>
              </w:rPr>
              <w:t>4</w:t>
            </w:r>
          </w:p>
        </w:tc>
        <w:tc>
          <w:tcPr>
            <w:tcW w:w="510" w:type="dxa"/>
            <w:gridSpan w:val="4"/>
            <w:shd w:val="clear" w:color="auto" w:fill="auto"/>
            <w:noWrap/>
            <w:vAlign w:val="center"/>
            <w:hideMark/>
          </w:tcPr>
          <w:p w14:paraId="01FE26E9" w14:textId="240868CA"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26</w:t>
            </w:r>
            <w:r w:rsidR="00513957">
              <w:rPr>
                <w:rFonts w:eastAsia="Times New Roman" w:cs="Calibri"/>
                <w:sz w:val="18"/>
                <w:szCs w:val="18"/>
              </w:rPr>
              <w:t>.</w:t>
            </w:r>
            <w:r w:rsidRPr="00D74D8D">
              <w:rPr>
                <w:rFonts w:eastAsia="Times New Roman" w:cs="Calibri"/>
                <w:sz w:val="18"/>
                <w:szCs w:val="18"/>
              </w:rPr>
              <w:t>5</w:t>
            </w:r>
          </w:p>
        </w:tc>
        <w:tc>
          <w:tcPr>
            <w:tcW w:w="510" w:type="dxa"/>
            <w:gridSpan w:val="4"/>
            <w:shd w:val="clear" w:color="auto" w:fill="auto"/>
            <w:noWrap/>
            <w:vAlign w:val="center"/>
            <w:hideMark/>
          </w:tcPr>
          <w:p w14:paraId="0E2756EB" w14:textId="7500C6CD"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27</w:t>
            </w:r>
            <w:r w:rsidR="00513957">
              <w:rPr>
                <w:rFonts w:eastAsia="Times New Roman" w:cs="Calibri"/>
                <w:sz w:val="18"/>
                <w:szCs w:val="18"/>
              </w:rPr>
              <w:t>.</w:t>
            </w:r>
            <w:r w:rsidRPr="00D74D8D">
              <w:rPr>
                <w:rFonts w:eastAsia="Times New Roman" w:cs="Calibri"/>
                <w:sz w:val="18"/>
                <w:szCs w:val="18"/>
              </w:rPr>
              <w:t>6</w:t>
            </w:r>
          </w:p>
        </w:tc>
        <w:tc>
          <w:tcPr>
            <w:tcW w:w="510" w:type="dxa"/>
            <w:gridSpan w:val="4"/>
            <w:shd w:val="clear" w:color="auto" w:fill="auto"/>
            <w:noWrap/>
            <w:vAlign w:val="center"/>
            <w:hideMark/>
          </w:tcPr>
          <w:p w14:paraId="163E378A" w14:textId="21AC0664"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27</w:t>
            </w:r>
            <w:r w:rsidR="00513957">
              <w:rPr>
                <w:rFonts w:eastAsia="Times New Roman" w:cs="Calibri"/>
                <w:sz w:val="18"/>
                <w:szCs w:val="18"/>
              </w:rPr>
              <w:t>.</w:t>
            </w:r>
            <w:r w:rsidRPr="00D74D8D">
              <w:rPr>
                <w:rFonts w:eastAsia="Times New Roman" w:cs="Calibri"/>
                <w:sz w:val="18"/>
                <w:szCs w:val="18"/>
              </w:rPr>
              <w:t>6</w:t>
            </w:r>
          </w:p>
        </w:tc>
        <w:tc>
          <w:tcPr>
            <w:tcW w:w="510" w:type="dxa"/>
            <w:gridSpan w:val="4"/>
            <w:shd w:val="clear" w:color="auto" w:fill="auto"/>
            <w:noWrap/>
            <w:vAlign w:val="center"/>
            <w:hideMark/>
          </w:tcPr>
          <w:p w14:paraId="6BE55C28" w14:textId="7AC71899"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25</w:t>
            </w:r>
            <w:r w:rsidR="00513957">
              <w:rPr>
                <w:rFonts w:eastAsia="Times New Roman" w:cs="Calibri"/>
                <w:sz w:val="18"/>
                <w:szCs w:val="18"/>
              </w:rPr>
              <w:t>.</w:t>
            </w:r>
            <w:r w:rsidRPr="00D74D8D">
              <w:rPr>
                <w:rFonts w:eastAsia="Times New Roman" w:cs="Calibri"/>
                <w:sz w:val="18"/>
                <w:szCs w:val="18"/>
              </w:rPr>
              <w:t>5</w:t>
            </w:r>
          </w:p>
        </w:tc>
        <w:tc>
          <w:tcPr>
            <w:tcW w:w="518" w:type="dxa"/>
            <w:gridSpan w:val="2"/>
            <w:shd w:val="clear" w:color="auto" w:fill="auto"/>
            <w:noWrap/>
            <w:vAlign w:val="center"/>
            <w:hideMark/>
          </w:tcPr>
          <w:p w14:paraId="590D5F1E" w14:textId="18CBB20C" w:rsidR="00A7195D" w:rsidRPr="006236F6" w:rsidRDefault="00A7195D" w:rsidP="00B42820">
            <w:pPr>
              <w:spacing w:before="60" w:after="60" w:line="200" w:lineRule="exact"/>
              <w:ind w:left="-57" w:right="-57"/>
              <w:jc w:val="right"/>
              <w:rPr>
                <w:rFonts w:eastAsia="Times New Roman" w:cs="Calibri"/>
                <w:color w:val="000000" w:themeColor="text1"/>
                <w:sz w:val="18"/>
                <w:szCs w:val="18"/>
              </w:rPr>
            </w:pPr>
            <w:r w:rsidRPr="006236F6">
              <w:rPr>
                <w:rFonts w:eastAsia="Times New Roman" w:cs="Calibri"/>
                <w:color w:val="000000" w:themeColor="text1"/>
                <w:sz w:val="18"/>
                <w:szCs w:val="18"/>
              </w:rPr>
              <w:t>24</w:t>
            </w:r>
            <w:r w:rsidR="00513957">
              <w:rPr>
                <w:rFonts w:eastAsia="Times New Roman" w:cs="Calibri"/>
                <w:color w:val="000000" w:themeColor="text1"/>
                <w:sz w:val="18"/>
                <w:szCs w:val="18"/>
              </w:rPr>
              <w:t>.</w:t>
            </w:r>
            <w:r w:rsidRPr="006236F6">
              <w:rPr>
                <w:rFonts w:eastAsia="Times New Roman" w:cs="Calibri"/>
                <w:color w:val="000000" w:themeColor="text1"/>
                <w:sz w:val="18"/>
                <w:szCs w:val="18"/>
              </w:rPr>
              <w:t>4</w:t>
            </w:r>
          </w:p>
        </w:tc>
      </w:tr>
      <w:tr w:rsidR="00CD1AD0" w:rsidRPr="00D74D8D" w14:paraId="2EBCEFCF" w14:textId="77777777" w:rsidTr="00C07EB3">
        <w:trPr>
          <w:trHeight w:val="20"/>
        </w:trPr>
        <w:tc>
          <w:tcPr>
            <w:tcW w:w="2319" w:type="dxa"/>
            <w:gridSpan w:val="4"/>
            <w:shd w:val="clear" w:color="auto" w:fill="auto"/>
            <w:vAlign w:val="center"/>
            <w:hideMark/>
          </w:tcPr>
          <w:p w14:paraId="32CC096E" w14:textId="36A7C096" w:rsidR="00A7195D" w:rsidRPr="00513957" w:rsidRDefault="00513957" w:rsidP="00D74D8D">
            <w:pPr>
              <w:spacing w:before="60" w:after="60" w:line="200" w:lineRule="exact"/>
              <w:ind w:left="-57" w:right="-57"/>
              <w:rPr>
                <w:rFonts w:eastAsia="Times New Roman" w:cs="Calibri"/>
                <w:color w:val="000000"/>
                <w:sz w:val="18"/>
                <w:szCs w:val="18"/>
                <w:lang w:val="en-US"/>
              </w:rPr>
            </w:pPr>
            <w:r w:rsidRPr="00513957">
              <w:rPr>
                <w:rFonts w:eastAsia="Times New Roman" w:cs="Calibri"/>
                <w:color w:val="000000"/>
                <w:spacing w:val="-4"/>
                <w:sz w:val="18"/>
                <w:szCs w:val="18"/>
                <w:lang w:val="en-US"/>
              </w:rPr>
              <w:t xml:space="preserve">Afford to have regular </w:t>
            </w:r>
            <w:r w:rsidRPr="00513957">
              <w:rPr>
                <w:rFonts w:eastAsia="Times New Roman" w:cs="Calibri"/>
                <w:color w:val="000000"/>
                <w:spacing w:val="-4"/>
                <w:sz w:val="18"/>
                <w:szCs w:val="18"/>
                <w:lang w:val="en-US"/>
              </w:rPr>
              <w:br/>
              <w:t>leisure activities</w:t>
            </w:r>
          </w:p>
        </w:tc>
        <w:tc>
          <w:tcPr>
            <w:tcW w:w="510" w:type="dxa"/>
            <w:gridSpan w:val="4"/>
            <w:shd w:val="clear" w:color="auto" w:fill="auto"/>
            <w:noWrap/>
            <w:vAlign w:val="center"/>
            <w:hideMark/>
          </w:tcPr>
          <w:p w14:paraId="5892A1FE" w14:textId="3E956910"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18</w:t>
            </w:r>
            <w:r w:rsidR="00513957">
              <w:rPr>
                <w:rFonts w:eastAsia="Times New Roman" w:cs="Calibri"/>
                <w:sz w:val="18"/>
                <w:szCs w:val="18"/>
              </w:rPr>
              <w:t>.</w:t>
            </w:r>
            <w:r w:rsidRPr="00D74D8D">
              <w:rPr>
                <w:rFonts w:eastAsia="Times New Roman" w:cs="Calibri"/>
                <w:sz w:val="18"/>
                <w:szCs w:val="18"/>
              </w:rPr>
              <w:t>6</w:t>
            </w:r>
          </w:p>
        </w:tc>
        <w:tc>
          <w:tcPr>
            <w:tcW w:w="510" w:type="dxa"/>
            <w:gridSpan w:val="4"/>
            <w:shd w:val="clear" w:color="auto" w:fill="auto"/>
            <w:noWrap/>
            <w:vAlign w:val="center"/>
            <w:hideMark/>
          </w:tcPr>
          <w:p w14:paraId="0C5D6FBC" w14:textId="7923ABC3"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14</w:t>
            </w:r>
            <w:r w:rsidR="00513957">
              <w:rPr>
                <w:rFonts w:eastAsia="Times New Roman" w:cs="Calibri"/>
                <w:sz w:val="18"/>
                <w:szCs w:val="18"/>
              </w:rPr>
              <w:t>.</w:t>
            </w:r>
            <w:r w:rsidRPr="00D74D8D">
              <w:rPr>
                <w:rFonts w:eastAsia="Times New Roman" w:cs="Calibri"/>
                <w:sz w:val="18"/>
                <w:szCs w:val="18"/>
              </w:rPr>
              <w:t>6</w:t>
            </w:r>
          </w:p>
        </w:tc>
        <w:tc>
          <w:tcPr>
            <w:tcW w:w="510" w:type="dxa"/>
            <w:gridSpan w:val="4"/>
            <w:shd w:val="clear" w:color="auto" w:fill="auto"/>
            <w:noWrap/>
            <w:vAlign w:val="center"/>
            <w:hideMark/>
          </w:tcPr>
          <w:p w14:paraId="77942655" w14:textId="45A289BD"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13</w:t>
            </w:r>
            <w:r w:rsidR="00513957">
              <w:rPr>
                <w:rFonts w:eastAsia="Times New Roman" w:cs="Calibri"/>
                <w:sz w:val="18"/>
                <w:szCs w:val="18"/>
              </w:rPr>
              <w:t>.</w:t>
            </w:r>
            <w:r w:rsidRPr="00D74D8D">
              <w:rPr>
                <w:rFonts w:eastAsia="Times New Roman" w:cs="Calibri"/>
                <w:sz w:val="18"/>
                <w:szCs w:val="18"/>
              </w:rPr>
              <w:t>3</w:t>
            </w:r>
          </w:p>
        </w:tc>
        <w:tc>
          <w:tcPr>
            <w:tcW w:w="510" w:type="dxa"/>
            <w:gridSpan w:val="4"/>
            <w:shd w:val="clear" w:color="auto" w:fill="auto"/>
            <w:noWrap/>
            <w:vAlign w:val="center"/>
            <w:hideMark/>
          </w:tcPr>
          <w:p w14:paraId="098F7D13" w14:textId="7A1D1920"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12</w:t>
            </w:r>
            <w:r w:rsidR="00513957">
              <w:rPr>
                <w:rFonts w:eastAsia="Times New Roman" w:cs="Calibri"/>
                <w:sz w:val="18"/>
                <w:szCs w:val="18"/>
              </w:rPr>
              <w:t>.</w:t>
            </w:r>
            <w:r w:rsidRPr="00D74D8D">
              <w:rPr>
                <w:rFonts w:eastAsia="Times New Roman" w:cs="Calibri"/>
                <w:sz w:val="18"/>
                <w:szCs w:val="18"/>
              </w:rPr>
              <w:t>4</w:t>
            </w:r>
          </w:p>
        </w:tc>
        <w:tc>
          <w:tcPr>
            <w:tcW w:w="510" w:type="dxa"/>
            <w:gridSpan w:val="4"/>
            <w:shd w:val="clear" w:color="auto" w:fill="auto"/>
            <w:noWrap/>
            <w:vAlign w:val="center"/>
            <w:hideMark/>
          </w:tcPr>
          <w:p w14:paraId="60BDEE7C" w14:textId="14448288"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10</w:t>
            </w:r>
            <w:r w:rsidR="00513957">
              <w:rPr>
                <w:rFonts w:eastAsia="Times New Roman" w:cs="Calibri"/>
                <w:sz w:val="18"/>
                <w:szCs w:val="18"/>
              </w:rPr>
              <w:t>.</w:t>
            </w:r>
            <w:r w:rsidRPr="00D74D8D">
              <w:rPr>
                <w:rFonts w:eastAsia="Times New Roman" w:cs="Calibri"/>
                <w:sz w:val="18"/>
                <w:szCs w:val="18"/>
              </w:rPr>
              <w:t>7</w:t>
            </w:r>
          </w:p>
        </w:tc>
        <w:tc>
          <w:tcPr>
            <w:tcW w:w="510" w:type="dxa"/>
            <w:gridSpan w:val="4"/>
            <w:shd w:val="clear" w:color="auto" w:fill="auto"/>
            <w:noWrap/>
            <w:vAlign w:val="center"/>
            <w:hideMark/>
          </w:tcPr>
          <w:p w14:paraId="7172E7CE" w14:textId="5D420B00"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8</w:t>
            </w:r>
            <w:r w:rsidR="00513957">
              <w:rPr>
                <w:rFonts w:eastAsia="Times New Roman" w:cs="Calibri"/>
                <w:sz w:val="18"/>
                <w:szCs w:val="18"/>
              </w:rPr>
              <w:t>.</w:t>
            </w:r>
            <w:r w:rsidRPr="00D74D8D">
              <w:rPr>
                <w:rFonts w:eastAsia="Times New Roman" w:cs="Calibri"/>
                <w:sz w:val="18"/>
                <w:szCs w:val="18"/>
              </w:rPr>
              <w:t>0</w:t>
            </w:r>
          </w:p>
        </w:tc>
        <w:tc>
          <w:tcPr>
            <w:tcW w:w="510" w:type="dxa"/>
            <w:gridSpan w:val="4"/>
            <w:shd w:val="clear" w:color="auto" w:fill="auto"/>
            <w:noWrap/>
            <w:vAlign w:val="center"/>
            <w:hideMark/>
          </w:tcPr>
          <w:p w14:paraId="6033C517" w14:textId="0B5A2FFE"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8</w:t>
            </w:r>
            <w:r w:rsidR="00513957">
              <w:rPr>
                <w:rFonts w:eastAsia="Times New Roman" w:cs="Calibri"/>
                <w:sz w:val="18"/>
                <w:szCs w:val="18"/>
              </w:rPr>
              <w:t>.</w:t>
            </w:r>
            <w:r w:rsidRPr="00D74D8D">
              <w:rPr>
                <w:rFonts w:eastAsia="Times New Roman" w:cs="Calibri"/>
                <w:sz w:val="18"/>
                <w:szCs w:val="18"/>
              </w:rPr>
              <w:t>7</w:t>
            </w:r>
          </w:p>
        </w:tc>
        <w:tc>
          <w:tcPr>
            <w:tcW w:w="510" w:type="dxa"/>
            <w:gridSpan w:val="4"/>
            <w:shd w:val="clear" w:color="auto" w:fill="auto"/>
            <w:noWrap/>
            <w:vAlign w:val="center"/>
            <w:hideMark/>
          </w:tcPr>
          <w:p w14:paraId="3D1CFBEA" w14:textId="12EF0DDE"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9</w:t>
            </w:r>
            <w:r w:rsidR="00513957">
              <w:rPr>
                <w:rFonts w:eastAsia="Times New Roman" w:cs="Calibri"/>
                <w:sz w:val="18"/>
                <w:szCs w:val="18"/>
              </w:rPr>
              <w:t>.</w:t>
            </w:r>
            <w:r w:rsidRPr="00D74D8D">
              <w:rPr>
                <w:rFonts w:eastAsia="Times New Roman" w:cs="Calibri"/>
                <w:sz w:val="18"/>
                <w:szCs w:val="18"/>
              </w:rPr>
              <w:t>0</w:t>
            </w:r>
          </w:p>
        </w:tc>
        <w:tc>
          <w:tcPr>
            <w:tcW w:w="510" w:type="dxa"/>
            <w:gridSpan w:val="4"/>
            <w:shd w:val="clear" w:color="auto" w:fill="auto"/>
            <w:noWrap/>
            <w:vAlign w:val="center"/>
            <w:hideMark/>
          </w:tcPr>
          <w:p w14:paraId="1BF923D1" w14:textId="5C8B3707"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9</w:t>
            </w:r>
            <w:r w:rsidR="00513957">
              <w:rPr>
                <w:rFonts w:eastAsia="Times New Roman" w:cs="Calibri"/>
                <w:sz w:val="18"/>
                <w:szCs w:val="18"/>
              </w:rPr>
              <w:t>.</w:t>
            </w:r>
            <w:r w:rsidRPr="00D74D8D">
              <w:rPr>
                <w:rFonts w:eastAsia="Times New Roman" w:cs="Calibri"/>
                <w:sz w:val="18"/>
                <w:szCs w:val="18"/>
              </w:rPr>
              <w:t>5</w:t>
            </w:r>
          </w:p>
        </w:tc>
        <w:tc>
          <w:tcPr>
            <w:tcW w:w="510" w:type="dxa"/>
            <w:gridSpan w:val="4"/>
            <w:shd w:val="clear" w:color="auto" w:fill="auto"/>
            <w:noWrap/>
            <w:vAlign w:val="center"/>
            <w:hideMark/>
          </w:tcPr>
          <w:p w14:paraId="3FDFBA4E" w14:textId="791E3F4E"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8</w:t>
            </w:r>
            <w:r w:rsidR="00513957">
              <w:rPr>
                <w:rFonts w:eastAsia="Times New Roman" w:cs="Calibri"/>
                <w:sz w:val="18"/>
                <w:szCs w:val="18"/>
              </w:rPr>
              <w:t>.</w:t>
            </w:r>
            <w:r w:rsidRPr="00D74D8D">
              <w:rPr>
                <w:rFonts w:eastAsia="Times New Roman" w:cs="Calibri"/>
                <w:sz w:val="18"/>
                <w:szCs w:val="18"/>
              </w:rPr>
              <w:t>0</w:t>
            </w:r>
          </w:p>
        </w:tc>
        <w:tc>
          <w:tcPr>
            <w:tcW w:w="518" w:type="dxa"/>
            <w:gridSpan w:val="2"/>
            <w:shd w:val="clear" w:color="auto" w:fill="auto"/>
            <w:noWrap/>
            <w:vAlign w:val="center"/>
            <w:hideMark/>
          </w:tcPr>
          <w:p w14:paraId="04FB10B7" w14:textId="0A9BB0F8" w:rsidR="00A7195D" w:rsidRPr="00D74D8D" w:rsidRDefault="00A7195D" w:rsidP="00B42820">
            <w:pPr>
              <w:spacing w:before="60" w:after="60" w:line="200" w:lineRule="exact"/>
              <w:ind w:left="-57" w:right="-57"/>
              <w:jc w:val="right"/>
              <w:rPr>
                <w:rFonts w:eastAsia="Times New Roman" w:cs="Calibri"/>
                <w:sz w:val="18"/>
                <w:szCs w:val="18"/>
              </w:rPr>
            </w:pPr>
            <w:r w:rsidRPr="00D74D8D">
              <w:rPr>
                <w:rFonts w:eastAsia="Times New Roman" w:cs="Calibri"/>
                <w:sz w:val="18"/>
                <w:szCs w:val="18"/>
              </w:rPr>
              <w:t>6</w:t>
            </w:r>
            <w:r w:rsidR="00513957">
              <w:rPr>
                <w:rFonts w:eastAsia="Times New Roman" w:cs="Calibri"/>
                <w:sz w:val="18"/>
                <w:szCs w:val="18"/>
              </w:rPr>
              <w:t>.</w:t>
            </w:r>
            <w:r w:rsidRPr="00D74D8D">
              <w:rPr>
                <w:rFonts w:eastAsia="Times New Roman" w:cs="Calibri"/>
                <w:sz w:val="18"/>
                <w:szCs w:val="18"/>
              </w:rPr>
              <w:t>9</w:t>
            </w:r>
          </w:p>
        </w:tc>
      </w:tr>
    </w:tbl>
    <w:p w14:paraId="39248F46" w14:textId="77777777" w:rsidR="00513957" w:rsidRDefault="00513957" w:rsidP="00B42820">
      <w:pPr>
        <w:shd w:val="clear" w:color="auto" w:fill="FFFFFF"/>
        <w:spacing w:line="288" w:lineRule="auto"/>
        <w:rPr>
          <w:rStyle w:val="Pogrubienie"/>
          <w:rFonts w:cs="Times New Roman"/>
          <w:b w:val="0"/>
          <w:color w:val="000000" w:themeColor="text1"/>
          <w:szCs w:val="19"/>
          <w:lang w:eastAsia="pl-PL"/>
        </w:rPr>
      </w:pPr>
    </w:p>
    <w:p w14:paraId="731409A5" w14:textId="77777777" w:rsidR="00513957" w:rsidRDefault="00513957">
      <w:pPr>
        <w:spacing w:before="0" w:after="160" w:line="259" w:lineRule="auto"/>
        <w:rPr>
          <w:rStyle w:val="Pogrubienie"/>
          <w:rFonts w:cs="Times New Roman"/>
          <w:b w:val="0"/>
          <w:color w:val="000000" w:themeColor="text1"/>
          <w:szCs w:val="19"/>
          <w:lang w:eastAsia="pl-PL"/>
        </w:rPr>
      </w:pPr>
      <w:r>
        <w:rPr>
          <w:rStyle w:val="Pogrubienie"/>
          <w:rFonts w:cs="Times New Roman"/>
          <w:b w:val="0"/>
          <w:color w:val="000000" w:themeColor="text1"/>
          <w:szCs w:val="19"/>
          <w:lang w:eastAsia="pl-PL"/>
        </w:rPr>
        <w:br w:type="page"/>
      </w:r>
    </w:p>
    <w:p w14:paraId="10CE8B6A" w14:textId="513A0D5D" w:rsidR="00657F7C" w:rsidRDefault="00716B61" w:rsidP="00716B61">
      <w:pPr>
        <w:spacing w:line="288" w:lineRule="auto"/>
        <w:rPr>
          <w:rFonts w:cs="Times New Roman"/>
          <w:bCs/>
          <w:noProof/>
          <w:color w:val="000000" w:themeColor="text1"/>
          <w:szCs w:val="19"/>
          <w:lang w:val="en-US"/>
        </w:rPr>
      </w:pPr>
      <w:r w:rsidRPr="00653667">
        <w:rPr>
          <w:rFonts w:cs="Times New Roman"/>
          <w:bCs/>
          <w:noProof/>
          <w:color w:val="000000" w:themeColor="text1"/>
          <w:szCs w:val="19"/>
          <w:lang w:eastAsia="pl-PL"/>
        </w:rPr>
        <w:lastRenderedPageBreak/>
        <mc:AlternateContent>
          <mc:Choice Requires="wps">
            <w:drawing>
              <wp:anchor distT="45720" distB="45720" distL="114300" distR="114300" simplePos="0" relativeHeight="251678720" behindDoc="0" locked="0" layoutInCell="1" allowOverlap="1" wp14:anchorId="220FB068" wp14:editId="70B072E7">
                <wp:simplePos x="0" y="0"/>
                <wp:positionH relativeFrom="column">
                  <wp:posOffset>5332730</wp:posOffset>
                </wp:positionH>
                <wp:positionV relativeFrom="paragraph">
                  <wp:posOffset>755567</wp:posOffset>
                </wp:positionV>
                <wp:extent cx="1656000" cy="1404620"/>
                <wp:effectExtent l="0" t="0" r="0" b="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00" cy="1404620"/>
                        </a:xfrm>
                        <a:prstGeom prst="rect">
                          <a:avLst/>
                        </a:prstGeom>
                        <a:noFill/>
                        <a:ln w="9525">
                          <a:noFill/>
                          <a:miter lim="800000"/>
                          <a:headEnd/>
                          <a:tailEnd/>
                        </a:ln>
                      </wps:spPr>
                      <wps:txbx>
                        <w:txbxContent>
                          <w:p w14:paraId="08945E55" w14:textId="23E45B90" w:rsidR="00E070BD" w:rsidRPr="00E070BD" w:rsidRDefault="00E070BD" w:rsidP="00716B61">
                            <w:pPr>
                              <w:pStyle w:val="tekstzboku"/>
                              <w:spacing w:before="0"/>
                              <w:rPr>
                                <w:lang w:val="en-US"/>
                              </w:rPr>
                            </w:pPr>
                            <w:r w:rsidRPr="00E070BD">
                              <w:rPr>
                                <w:lang w:val="en-US"/>
                              </w:rPr>
                              <w:t>The decrease in the share of people unable to afford a one-week holiday, from 44.0% in 2015 to 24.4% in</w:t>
                            </w:r>
                            <w:r>
                              <w:rPr>
                                <w:lang w:val="en-US"/>
                              </w:rPr>
                              <w:t> </w:t>
                            </w:r>
                            <w:r w:rsidRPr="00E070BD">
                              <w:rPr>
                                <w:lang w:val="en-US"/>
                              </w:rPr>
                              <w:t>2025, indicates an almost twofold improvement in</w:t>
                            </w:r>
                            <w:r>
                              <w:rPr>
                                <w:lang w:val="en-US"/>
                              </w:rPr>
                              <w:t> </w:t>
                            </w:r>
                            <w:r w:rsidRPr="00E070BD">
                              <w:rPr>
                                <w:lang w:val="en-US"/>
                              </w:rPr>
                              <w:t>access to leisure.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0FB068" id="_x0000_s1028" type="#_x0000_t202" style="position:absolute;margin-left:419.9pt;margin-top:59.5pt;width:130.4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" filled="f" stroked="f">
                <v:textbox style="mso-fit-shape-to-text:t">
                  <w:txbxContent>
                    <w:p w14:paraId="08945E55" w14:textId="23E45B90" w:rsidR="00E070BD" w:rsidRPr="00E070BD" w:rsidRDefault="00E070BD" w:rsidP="00716B61">
                      <w:pPr>
                        <w:pStyle w:val="tekstzboku"/>
                        <w:spacing w:before="0"/>
                        <w:rPr>
                          <w:lang w:val="en-US"/>
                        </w:rPr>
                      </w:pPr>
                      <w:r w:rsidRPr="00E070BD">
                        <w:rPr>
                          <w:lang w:val="en-US"/>
                        </w:rPr>
                        <w:t>The decrease in the share of people unable to afford a one-week holiday, from 44.0% in 2015 to 24.4% in</w:t>
                      </w:r>
                      <w:r>
                        <w:rPr>
                          <w:lang w:val="en-US"/>
                        </w:rPr>
                        <w:t> </w:t>
                      </w:r>
                      <w:r w:rsidRPr="00E070BD">
                        <w:rPr>
                          <w:lang w:val="en-US"/>
                        </w:rPr>
                        <w:t>2025, indicates an almost twofold improvement in</w:t>
                      </w:r>
                      <w:r>
                        <w:rPr>
                          <w:lang w:val="en-US"/>
                        </w:rPr>
                        <w:t> </w:t>
                      </w:r>
                      <w:r w:rsidRPr="00E070BD">
                        <w:rPr>
                          <w:lang w:val="en-US"/>
                        </w:rPr>
                        <w:t>access to leisure.</w:t>
                      </w:r>
                    </w:p>
                  </w:txbxContent>
                </v:textbox>
                <w10:wrap type="square"/>
              </v:shape>
            </w:pict>
          </mc:Fallback>
        </mc:AlternateContent>
      </w:r>
      <w:r w:rsidR="00657F7C" w:rsidRPr="001B5AC8">
        <w:rPr>
          <w:rFonts w:cs="Times New Roman"/>
          <w:bCs/>
          <w:noProof/>
          <w:color w:val="000000" w:themeColor="text1"/>
          <w:szCs w:val="19"/>
          <w:lang w:val="en-US"/>
        </w:rPr>
        <w:t xml:space="preserve">In the years 2015–2025, there was a clear improvement in the financial situation of some Polish households, reflected </w:t>
      </w:r>
      <w:r w:rsidR="00657F7C">
        <w:rPr>
          <w:rFonts w:cs="Times New Roman"/>
          <w:bCs/>
          <w:noProof/>
          <w:color w:val="000000" w:themeColor="text1"/>
          <w:szCs w:val="19"/>
          <w:lang w:val="en-US"/>
        </w:rPr>
        <w:t>by a</w:t>
      </w:r>
      <w:r w:rsidR="00657F7C" w:rsidRPr="001B5AC8">
        <w:rPr>
          <w:rFonts w:cs="Times New Roman"/>
          <w:bCs/>
          <w:noProof/>
          <w:color w:val="000000" w:themeColor="text1"/>
          <w:szCs w:val="19"/>
          <w:lang w:val="en-US"/>
        </w:rPr>
        <w:t xml:space="preserve"> decrease in the percentage of people struggling with limitations in meeting the needs included in the indicator of severe material and social deprivation.</w:t>
      </w:r>
    </w:p>
    <w:p w14:paraId="7744516C" w14:textId="77777777" w:rsidR="00D742AF" w:rsidRDefault="00657F7C" w:rsidP="00716B61">
      <w:pPr>
        <w:spacing w:line="288" w:lineRule="auto"/>
        <w:rPr>
          <w:rFonts w:cs="Times New Roman"/>
          <w:bCs/>
          <w:noProof/>
          <w:color w:val="000000" w:themeColor="text1"/>
          <w:szCs w:val="19"/>
          <w:lang w:val="en-US"/>
        </w:rPr>
      </w:pPr>
      <w:r w:rsidRPr="007E21A7">
        <w:rPr>
          <w:rFonts w:cs="Times New Roman"/>
          <w:bCs/>
          <w:noProof/>
          <w:color w:val="000000" w:themeColor="text1"/>
          <w:szCs w:val="19"/>
          <w:lang w:val="en-US"/>
        </w:rPr>
        <w:t>The largest average annual decreases in the share of people unable to meet specific needs were observed in</w:t>
      </w:r>
      <w:r>
        <w:rPr>
          <w:rFonts w:cs="Times New Roman"/>
          <w:bCs/>
          <w:noProof/>
          <w:color w:val="000000" w:themeColor="text1"/>
          <w:szCs w:val="19"/>
          <w:lang w:val="en-US"/>
        </w:rPr>
        <w:t xml:space="preserve"> the</w:t>
      </w:r>
      <w:r w:rsidRPr="007E21A7">
        <w:rPr>
          <w:rFonts w:cs="Times New Roman"/>
          <w:bCs/>
          <w:noProof/>
          <w:color w:val="000000" w:themeColor="text1"/>
          <w:szCs w:val="19"/>
          <w:lang w:val="en-US"/>
        </w:rPr>
        <w:t xml:space="preserve"> areas that were the most difficult in 2015. The proportion of people who could not afford a one-week holiday decreased fastest, reaching 24.4% in 2025, although in 2015 this problem affected 44</w:t>
      </w:r>
      <w:r>
        <w:rPr>
          <w:rFonts w:cs="Times New Roman"/>
          <w:bCs/>
          <w:noProof/>
          <w:color w:val="000000" w:themeColor="text1"/>
          <w:szCs w:val="19"/>
          <w:lang w:val="en-US"/>
        </w:rPr>
        <w:t>.0</w:t>
      </w:r>
      <w:r w:rsidRPr="007E21A7">
        <w:rPr>
          <w:rFonts w:cs="Times New Roman"/>
          <w:bCs/>
          <w:noProof/>
          <w:color w:val="000000" w:themeColor="text1"/>
          <w:szCs w:val="19"/>
          <w:lang w:val="en-US"/>
        </w:rPr>
        <w:t>% of the population.</w:t>
      </w:r>
      <w:r>
        <w:rPr>
          <w:rFonts w:cs="Times New Roman"/>
          <w:bCs/>
          <w:noProof/>
          <w:color w:val="000000" w:themeColor="text1"/>
          <w:szCs w:val="19"/>
          <w:lang w:val="en-US"/>
        </w:rPr>
        <w:t xml:space="preserve"> </w:t>
      </w:r>
    </w:p>
    <w:p w14:paraId="190C3BBC" w14:textId="12F48F07" w:rsidR="00657F7C" w:rsidRDefault="00657F7C" w:rsidP="00716B61">
      <w:pPr>
        <w:spacing w:line="288" w:lineRule="auto"/>
        <w:rPr>
          <w:rFonts w:cs="Times New Roman"/>
          <w:bCs/>
          <w:noProof/>
          <w:color w:val="000000" w:themeColor="text1"/>
          <w:szCs w:val="19"/>
          <w:lang w:val="en-US"/>
        </w:rPr>
      </w:pPr>
      <w:r w:rsidRPr="00786B66">
        <w:rPr>
          <w:rFonts w:cs="Times New Roman"/>
          <w:bCs/>
          <w:noProof/>
          <w:color w:val="000000" w:themeColor="text1"/>
          <w:szCs w:val="19"/>
          <w:lang w:val="en-US"/>
        </w:rPr>
        <w:t xml:space="preserve">The second need </w:t>
      </w:r>
      <w:r>
        <w:rPr>
          <w:rFonts w:cs="Times New Roman"/>
          <w:bCs/>
          <w:noProof/>
          <w:color w:val="000000" w:themeColor="text1"/>
          <w:szCs w:val="19"/>
          <w:lang w:val="en-US"/>
        </w:rPr>
        <w:t>with</w:t>
      </w:r>
      <w:r w:rsidRPr="00786B66">
        <w:rPr>
          <w:rFonts w:cs="Times New Roman"/>
          <w:bCs/>
          <w:noProof/>
          <w:color w:val="000000" w:themeColor="text1"/>
          <w:szCs w:val="19"/>
          <w:lang w:val="en-US"/>
        </w:rPr>
        <w:t xml:space="preserve"> the greatest improvement was meeting unexpected expenses. In 2025, the p</w:t>
      </w:r>
      <w:r>
        <w:rPr>
          <w:rFonts w:cs="Times New Roman"/>
          <w:bCs/>
          <w:noProof/>
          <w:color w:val="000000" w:themeColor="text1"/>
          <w:szCs w:val="19"/>
          <w:lang w:val="en-US"/>
        </w:rPr>
        <w:t>roportion</w:t>
      </w:r>
      <w:r w:rsidRPr="00786B66">
        <w:rPr>
          <w:rFonts w:cs="Times New Roman"/>
          <w:bCs/>
          <w:noProof/>
          <w:color w:val="000000" w:themeColor="text1"/>
          <w:szCs w:val="19"/>
          <w:lang w:val="en-US"/>
        </w:rPr>
        <w:t xml:space="preserve"> of people unable to</w:t>
      </w:r>
      <w:r w:rsidR="00331386">
        <w:rPr>
          <w:rFonts w:cs="Times New Roman"/>
          <w:bCs/>
          <w:noProof/>
          <w:color w:val="000000" w:themeColor="text1"/>
          <w:szCs w:val="19"/>
          <w:lang w:val="en-US"/>
        </w:rPr>
        <w:t> </w:t>
      </w:r>
      <w:r w:rsidRPr="00786B66">
        <w:rPr>
          <w:rFonts w:cs="Times New Roman"/>
          <w:bCs/>
          <w:noProof/>
          <w:color w:val="000000" w:themeColor="text1"/>
          <w:szCs w:val="19"/>
          <w:lang w:val="en-US"/>
        </w:rPr>
        <w:t>meet this need was 22</w:t>
      </w:r>
      <w:r>
        <w:rPr>
          <w:rFonts w:cs="Times New Roman"/>
          <w:bCs/>
          <w:noProof/>
          <w:color w:val="000000" w:themeColor="text1"/>
          <w:szCs w:val="19"/>
          <w:lang w:val="en-US"/>
        </w:rPr>
        <w:t>.0</w:t>
      </w:r>
      <w:r w:rsidRPr="00786B66">
        <w:rPr>
          <w:rFonts w:cs="Times New Roman"/>
          <w:bCs/>
          <w:noProof/>
          <w:color w:val="000000" w:themeColor="text1"/>
          <w:szCs w:val="19"/>
          <w:lang w:val="en-US"/>
        </w:rPr>
        <w:t xml:space="preserve">%, compared to 42.3% in 2015. This means that households gained greater financial stability during the analyzed period, allowing them </w:t>
      </w:r>
      <w:r w:rsidRPr="00190843">
        <w:rPr>
          <w:rFonts w:cs="Times New Roman"/>
          <w:bCs/>
          <w:noProof/>
          <w:color w:val="000000" w:themeColor="text1"/>
          <w:szCs w:val="19"/>
          <w:lang w:val="en-US"/>
        </w:rPr>
        <w:t xml:space="preserve">to meet more than just their </w:t>
      </w:r>
      <w:r>
        <w:rPr>
          <w:rFonts w:cs="Times New Roman"/>
          <w:bCs/>
          <w:noProof/>
          <w:color w:val="000000" w:themeColor="text1"/>
          <w:szCs w:val="19"/>
          <w:lang w:val="en-US"/>
        </w:rPr>
        <w:t>basic</w:t>
      </w:r>
      <w:r w:rsidRPr="00190843">
        <w:rPr>
          <w:rFonts w:cs="Times New Roman"/>
          <w:bCs/>
          <w:noProof/>
          <w:color w:val="000000" w:themeColor="text1"/>
          <w:szCs w:val="19"/>
          <w:lang w:val="en-US"/>
        </w:rPr>
        <w:t xml:space="preserve"> consumption needs</w:t>
      </w:r>
      <w:r>
        <w:rPr>
          <w:rFonts w:cs="Times New Roman"/>
          <w:bCs/>
          <w:noProof/>
          <w:color w:val="000000" w:themeColor="text1"/>
          <w:szCs w:val="19"/>
          <w:lang w:val="en-US"/>
        </w:rPr>
        <w:t>.</w:t>
      </w:r>
    </w:p>
    <w:p w14:paraId="624C97F3" w14:textId="13AEBC11" w:rsidR="00657F7C" w:rsidRDefault="00657F7C" w:rsidP="00716B61">
      <w:pPr>
        <w:spacing w:line="288" w:lineRule="auto"/>
        <w:rPr>
          <w:color w:val="000000" w:themeColor="text1"/>
          <w:lang w:val="en-US"/>
        </w:rPr>
      </w:pPr>
      <w:r w:rsidRPr="00657F7C">
        <w:rPr>
          <w:color w:val="000000" w:themeColor="text1"/>
          <w:lang w:val="en-US"/>
        </w:rPr>
        <w:t xml:space="preserve">The </w:t>
      </w:r>
      <w:proofErr w:type="spellStart"/>
      <w:r w:rsidRPr="00657F7C">
        <w:rPr>
          <w:color w:val="000000" w:themeColor="text1"/>
          <w:lang w:val="en-US"/>
        </w:rPr>
        <w:t>analysed</w:t>
      </w:r>
      <w:proofErr w:type="spellEnd"/>
      <w:r w:rsidRPr="00657F7C">
        <w:rPr>
          <w:color w:val="000000" w:themeColor="text1"/>
          <w:lang w:val="en-US"/>
        </w:rPr>
        <w:t xml:space="preserve"> period of time was </w:t>
      </w:r>
      <w:proofErr w:type="spellStart"/>
      <w:r w:rsidRPr="00657F7C">
        <w:rPr>
          <w:color w:val="000000" w:themeColor="text1"/>
          <w:lang w:val="en-US"/>
        </w:rPr>
        <w:t>characterised</w:t>
      </w:r>
      <w:proofErr w:type="spellEnd"/>
      <w:r w:rsidRPr="00657F7C">
        <w:rPr>
          <w:color w:val="000000" w:themeColor="text1"/>
          <w:lang w:val="en-US"/>
        </w:rPr>
        <w:t xml:space="preserve"> by a varying pace of decline and may be divided into two periods. First (2015–2020) was marked by an improvement, reflected in a</w:t>
      </w:r>
      <w:r w:rsidR="00331386">
        <w:rPr>
          <w:color w:val="000000" w:themeColor="text1"/>
          <w:lang w:val="en-US"/>
        </w:rPr>
        <w:t> </w:t>
      </w:r>
      <w:r w:rsidRPr="00657F7C">
        <w:rPr>
          <w:color w:val="000000" w:themeColor="text1"/>
          <w:lang w:val="en-US"/>
        </w:rPr>
        <w:t xml:space="preserve">decrease or </w:t>
      </w:r>
      <w:proofErr w:type="spellStart"/>
      <w:r w:rsidRPr="00657F7C">
        <w:rPr>
          <w:color w:val="000000" w:themeColor="text1"/>
          <w:lang w:val="en-US"/>
        </w:rPr>
        <w:t>stabilisation</w:t>
      </w:r>
      <w:proofErr w:type="spellEnd"/>
      <w:r w:rsidRPr="00657F7C">
        <w:rPr>
          <w:color w:val="000000" w:themeColor="text1"/>
          <w:lang w:val="en-US"/>
        </w:rPr>
        <w:t xml:space="preserve"> in the share of people reporting an inability to meet their needs due to financial reasons. This trend applied to nearly all </w:t>
      </w:r>
      <w:proofErr w:type="spellStart"/>
      <w:r w:rsidRPr="00657F7C">
        <w:rPr>
          <w:color w:val="000000" w:themeColor="text1"/>
          <w:lang w:val="en-US"/>
        </w:rPr>
        <w:t>analysed</w:t>
      </w:r>
      <w:proofErr w:type="spellEnd"/>
      <w:r w:rsidRPr="00657F7C">
        <w:rPr>
          <w:color w:val="000000" w:themeColor="text1"/>
          <w:lang w:val="en-US"/>
        </w:rPr>
        <w:t xml:space="preserve"> needs. </w:t>
      </w:r>
    </w:p>
    <w:p w14:paraId="3B37AF4B" w14:textId="2F6E3EF6" w:rsidR="00657F7C" w:rsidRDefault="00657F7C" w:rsidP="00716B61">
      <w:pPr>
        <w:spacing w:line="288" w:lineRule="auto"/>
        <w:rPr>
          <w:lang w:val="en-US"/>
        </w:rPr>
      </w:pPr>
      <w:r w:rsidRPr="00657F7C">
        <w:rPr>
          <w:lang w:val="en-US"/>
        </w:rPr>
        <w:t>A particularly high rate of decrease (an annual average of over 2%) was observed in the inability to meet the following needs:</w:t>
      </w:r>
    </w:p>
    <w:p w14:paraId="2EE573E5" w14:textId="77777777" w:rsidR="00657F7C" w:rsidRPr="00657F7C" w:rsidRDefault="00657F7C" w:rsidP="00A26A52">
      <w:pPr>
        <w:pStyle w:val="Akapitzlist"/>
        <w:numPr>
          <w:ilvl w:val="0"/>
          <w:numId w:val="3"/>
        </w:numPr>
        <w:shd w:val="clear" w:color="auto" w:fill="FFFFFF"/>
        <w:spacing w:line="288" w:lineRule="auto"/>
        <w:ind w:left="284" w:hanging="284"/>
        <w:rPr>
          <w:rFonts w:eastAsia="Times New Roman" w:cs="Arial"/>
          <w:color w:val="0A0A0A"/>
          <w:szCs w:val="19"/>
          <w:lang w:val="en-US"/>
        </w:rPr>
      </w:pPr>
      <w:r w:rsidRPr="00657F7C">
        <w:rPr>
          <w:rFonts w:eastAsia="Times New Roman" w:cs="Arial"/>
          <w:color w:val="0A0A0A"/>
          <w:szCs w:val="19"/>
          <w:lang w:val="en-US"/>
        </w:rPr>
        <w:t xml:space="preserve">ability to meet unexpected expenses (annual average decrease of </w:t>
      </w:r>
      <w:r w:rsidRPr="00657F7C">
        <w:rPr>
          <w:rFonts w:eastAsia="Times New Roman" w:cs="Arial"/>
          <w:bCs/>
          <w:color w:val="0A0A0A"/>
          <w:szCs w:val="19"/>
          <w:lang w:val="en-US"/>
        </w:rPr>
        <w:t>3.3%</w:t>
      </w:r>
      <w:r w:rsidRPr="00657F7C">
        <w:rPr>
          <w:rFonts w:eastAsia="Times New Roman" w:cs="Arial"/>
          <w:color w:val="0A0A0A"/>
          <w:szCs w:val="19"/>
          <w:lang w:val="en-US"/>
        </w:rPr>
        <w:t> ),</w:t>
      </w:r>
    </w:p>
    <w:p w14:paraId="339BF10F" w14:textId="77777777" w:rsidR="00657F7C" w:rsidRPr="00657F7C" w:rsidRDefault="00657F7C" w:rsidP="00A26A52">
      <w:pPr>
        <w:pStyle w:val="Akapitzlist"/>
        <w:numPr>
          <w:ilvl w:val="0"/>
          <w:numId w:val="3"/>
        </w:numPr>
        <w:shd w:val="clear" w:color="auto" w:fill="FFFFFF"/>
        <w:spacing w:line="288" w:lineRule="auto"/>
        <w:ind w:left="284" w:hanging="284"/>
        <w:rPr>
          <w:rFonts w:eastAsia="Times New Roman" w:cs="Arial"/>
          <w:color w:val="0A0A0A"/>
          <w:szCs w:val="19"/>
          <w:lang w:val="en-US"/>
        </w:rPr>
      </w:pPr>
      <w:r w:rsidRPr="00657F7C">
        <w:rPr>
          <w:rFonts w:eastAsia="Times New Roman" w:cs="Arial"/>
          <w:color w:val="0A0A0A"/>
          <w:szCs w:val="19"/>
          <w:lang w:val="en-US"/>
        </w:rPr>
        <w:t>ability to afford a one-week holiday (annual average decrease of 2.9%),</w:t>
      </w:r>
    </w:p>
    <w:p w14:paraId="007B9043" w14:textId="77777777" w:rsidR="00657F7C" w:rsidRPr="00657F7C" w:rsidRDefault="00657F7C" w:rsidP="00A26A52">
      <w:pPr>
        <w:pStyle w:val="Akapitzlist"/>
        <w:numPr>
          <w:ilvl w:val="0"/>
          <w:numId w:val="3"/>
        </w:numPr>
        <w:spacing w:line="288" w:lineRule="auto"/>
        <w:ind w:left="284" w:hanging="284"/>
        <w:rPr>
          <w:rFonts w:eastAsia="Times New Roman" w:cs="Arial"/>
          <w:color w:val="0A0A0A"/>
          <w:szCs w:val="19"/>
          <w:lang w:val="en-US"/>
        </w:rPr>
      </w:pPr>
      <w:r w:rsidRPr="00657F7C">
        <w:rPr>
          <w:rFonts w:eastAsia="Times New Roman" w:cs="Arial"/>
          <w:color w:val="0A0A0A"/>
          <w:szCs w:val="19"/>
          <w:lang w:val="en-US"/>
        </w:rPr>
        <w:t>afford to replace worn-out furniture (annual average decrease of 2.9%),</w:t>
      </w:r>
    </w:p>
    <w:p w14:paraId="1F5A1C94" w14:textId="77777777" w:rsidR="00657F7C" w:rsidRPr="00657F7C" w:rsidRDefault="00657F7C" w:rsidP="00A26A52">
      <w:pPr>
        <w:pStyle w:val="Akapitzlist"/>
        <w:numPr>
          <w:ilvl w:val="0"/>
          <w:numId w:val="3"/>
        </w:numPr>
        <w:spacing w:line="288" w:lineRule="auto"/>
        <w:ind w:left="284" w:hanging="284"/>
        <w:rPr>
          <w:rFonts w:eastAsia="Times New Roman" w:cs="Arial"/>
          <w:color w:val="0A0A0A"/>
          <w:szCs w:val="19"/>
          <w:lang w:val="en-US"/>
        </w:rPr>
      </w:pPr>
      <w:r w:rsidRPr="00657F7C">
        <w:rPr>
          <w:rFonts w:eastAsia="Times New Roman" w:cs="Arial"/>
          <w:color w:val="0A0A0A"/>
          <w:szCs w:val="19"/>
          <w:lang w:val="en-US"/>
        </w:rPr>
        <w:t>afford to have regular leisure activities (annual average decrease of 2.1%),</w:t>
      </w:r>
    </w:p>
    <w:p w14:paraId="5EE0D000" w14:textId="77777777" w:rsidR="00657F7C" w:rsidRPr="00D65AC3" w:rsidRDefault="00657F7C" w:rsidP="00716B61">
      <w:pPr>
        <w:spacing w:line="288" w:lineRule="auto"/>
        <w:rPr>
          <w:lang w:val="en-US"/>
        </w:rPr>
      </w:pPr>
      <w:r w:rsidRPr="00E52018">
        <w:rPr>
          <w:lang w:val="en-US"/>
        </w:rPr>
        <w:t>The exception</w:t>
      </w:r>
      <w:r>
        <w:rPr>
          <w:rStyle w:val="Odwoanieprzypisudolnego"/>
        </w:rPr>
        <w:footnoteReference w:id="3"/>
      </w:r>
      <w:r w:rsidRPr="00E52018">
        <w:rPr>
          <w:lang w:val="en-US"/>
        </w:rPr>
        <w:t xml:space="preserve"> during this period was the proportion of people who, due to financial reasons, could not spend a small amount of money each week on themselves. </w:t>
      </w:r>
      <w:r w:rsidRPr="00D65AC3">
        <w:rPr>
          <w:lang w:val="en-US"/>
        </w:rPr>
        <w:t xml:space="preserve">This group increased by 2.9 percentage points between 2016 and 2017. </w:t>
      </w:r>
    </w:p>
    <w:p w14:paraId="47F344AB" w14:textId="3DCE1230" w:rsidR="00E52018" w:rsidRPr="00E52018" w:rsidRDefault="00E52018" w:rsidP="00716B61">
      <w:pPr>
        <w:spacing w:line="288" w:lineRule="auto"/>
        <w:rPr>
          <w:lang w:val="en-US"/>
        </w:rPr>
      </w:pPr>
      <w:r w:rsidRPr="00E52018">
        <w:rPr>
          <w:lang w:val="en-US"/>
        </w:rPr>
        <w:t xml:space="preserve">The second period highlighted is 2021–2025, which was characterized by instability for nearly all of the </w:t>
      </w:r>
      <w:proofErr w:type="spellStart"/>
      <w:r w:rsidRPr="00E52018">
        <w:rPr>
          <w:lang w:val="en-US"/>
        </w:rPr>
        <w:t>analy</w:t>
      </w:r>
      <w:r w:rsidR="0020423A">
        <w:rPr>
          <w:lang w:val="en-US"/>
        </w:rPr>
        <w:t>s</w:t>
      </w:r>
      <w:r w:rsidRPr="00E52018">
        <w:rPr>
          <w:lang w:val="en-US"/>
        </w:rPr>
        <w:t>ed</w:t>
      </w:r>
      <w:proofErr w:type="spellEnd"/>
      <w:r w:rsidRPr="00E52018">
        <w:rPr>
          <w:lang w:val="en-US"/>
        </w:rPr>
        <w:t xml:space="preserve"> needs due to a reversal of trends.</w:t>
      </w:r>
    </w:p>
    <w:p w14:paraId="01674744" w14:textId="3369B6FC" w:rsidR="00E52018" w:rsidRDefault="00E52018" w:rsidP="00716B61">
      <w:pPr>
        <w:spacing w:line="288" w:lineRule="auto"/>
      </w:pPr>
      <w:r w:rsidRPr="00E52018">
        <w:rPr>
          <w:lang w:val="en-US"/>
        </w:rPr>
        <w:t>The first year when the percentage of people reported an inability to meet a specific need increased was 2021. A deterioration was observed in the financial capacity to avoid arrears in</w:t>
      </w:r>
      <w:r w:rsidR="00331386">
        <w:rPr>
          <w:lang w:val="en-US"/>
        </w:rPr>
        <w:t> </w:t>
      </w:r>
      <w:r w:rsidRPr="00E52018">
        <w:rPr>
          <w:lang w:val="en-US"/>
        </w:rPr>
        <w:t xml:space="preserve">mortgage rent, utility bills and/or hire purchase instalments (an increase of 1.5 percentage points between 2020 and 2021). In subsequent years, more people were unable to meet their needs in other areas due to financial reasons. </w:t>
      </w:r>
      <w:r w:rsidRPr="007E43A7">
        <w:t>In the 2021–2022</w:t>
      </w:r>
      <w:r>
        <w:t xml:space="preserve"> period</w:t>
      </w:r>
      <w:r w:rsidRPr="007E43A7">
        <w:t xml:space="preserve">, </w:t>
      </w:r>
      <w:proofErr w:type="spellStart"/>
      <w:r w:rsidRPr="007E43A7">
        <w:t>these</w:t>
      </w:r>
      <w:proofErr w:type="spellEnd"/>
      <w:r w:rsidRPr="007E43A7">
        <w:t xml:space="preserve"> </w:t>
      </w:r>
      <w:proofErr w:type="spellStart"/>
      <w:r w:rsidRPr="007E43A7">
        <w:t>needs</w:t>
      </w:r>
      <w:proofErr w:type="spellEnd"/>
      <w:r w:rsidRPr="007E43A7">
        <w:t xml:space="preserve"> </w:t>
      </w:r>
      <w:proofErr w:type="spellStart"/>
      <w:r w:rsidRPr="007E43A7">
        <w:t>included</w:t>
      </w:r>
      <w:proofErr w:type="spellEnd"/>
      <w:r w:rsidRPr="007E43A7">
        <w:t>:</w:t>
      </w:r>
    </w:p>
    <w:p w14:paraId="52E16745" w14:textId="75C3ABF4" w:rsidR="00E52018" w:rsidRPr="00E52018" w:rsidRDefault="00E52018" w:rsidP="00716B61">
      <w:pPr>
        <w:pStyle w:val="Akapitzlist"/>
        <w:numPr>
          <w:ilvl w:val="0"/>
          <w:numId w:val="7"/>
        </w:numPr>
        <w:spacing w:line="288" w:lineRule="auto"/>
        <w:ind w:left="284" w:hanging="284"/>
        <w:rPr>
          <w:rFonts w:eastAsia="Times New Roman" w:cs="Arial"/>
          <w:color w:val="0A0A0A"/>
          <w:szCs w:val="19"/>
          <w:lang w:val="en-US"/>
        </w:rPr>
      </w:pPr>
      <w:r>
        <w:rPr>
          <w:rFonts w:eastAsia="Times New Roman" w:cs="Arial"/>
          <w:color w:val="0A0A0A"/>
          <w:szCs w:val="19"/>
          <w:lang w:val="en-US"/>
        </w:rPr>
        <w:t>a</w:t>
      </w:r>
      <w:r w:rsidRPr="00E52018">
        <w:rPr>
          <w:rFonts w:eastAsia="Times New Roman" w:cs="Arial"/>
          <w:color w:val="0A0A0A"/>
          <w:szCs w:val="19"/>
          <w:lang w:val="en-US"/>
        </w:rPr>
        <w:t>bility to meet unexpected expenses (by 2.6 pp.),</w:t>
      </w:r>
    </w:p>
    <w:p w14:paraId="2C43995C" w14:textId="59C4D3E6" w:rsidR="00E52018" w:rsidRPr="00E52018" w:rsidRDefault="00E52018" w:rsidP="00716B61">
      <w:pPr>
        <w:pStyle w:val="Akapitzlist"/>
        <w:numPr>
          <w:ilvl w:val="0"/>
          <w:numId w:val="3"/>
        </w:numPr>
        <w:shd w:val="clear" w:color="auto" w:fill="FFFFFF"/>
        <w:spacing w:line="288" w:lineRule="auto"/>
        <w:ind w:left="284" w:hanging="284"/>
        <w:rPr>
          <w:rFonts w:eastAsia="Times New Roman" w:cs="Arial"/>
          <w:color w:val="0A0A0A"/>
          <w:szCs w:val="19"/>
          <w:lang w:val="en-US"/>
        </w:rPr>
      </w:pPr>
      <w:r>
        <w:rPr>
          <w:rFonts w:eastAsia="Times New Roman" w:cs="Arial"/>
          <w:color w:val="0A0A0A"/>
          <w:szCs w:val="19"/>
          <w:lang w:val="en-US"/>
        </w:rPr>
        <w:t>a</w:t>
      </w:r>
      <w:r w:rsidRPr="00E52018">
        <w:rPr>
          <w:rFonts w:eastAsia="Times New Roman" w:cs="Arial"/>
          <w:color w:val="0A0A0A"/>
          <w:szCs w:val="19"/>
          <w:lang w:val="en-US"/>
        </w:rPr>
        <w:t>fford to keep home adequately warm (by 1.7 pp.),</w:t>
      </w:r>
    </w:p>
    <w:p w14:paraId="385F295A" w14:textId="3CEA669A" w:rsidR="00E52018" w:rsidRPr="00E52018" w:rsidRDefault="00E52018" w:rsidP="00716B61">
      <w:pPr>
        <w:pStyle w:val="Akapitzlist"/>
        <w:numPr>
          <w:ilvl w:val="0"/>
          <w:numId w:val="3"/>
        </w:numPr>
        <w:shd w:val="clear" w:color="auto" w:fill="FFFFFF"/>
        <w:spacing w:line="288" w:lineRule="auto"/>
        <w:ind w:left="284" w:hanging="284"/>
        <w:rPr>
          <w:rFonts w:eastAsia="Times New Roman" w:cs="Arial"/>
          <w:color w:val="0A0A0A"/>
          <w:szCs w:val="19"/>
          <w:lang w:val="en-US"/>
        </w:rPr>
      </w:pPr>
      <w:r>
        <w:rPr>
          <w:rFonts w:eastAsia="Times New Roman" w:cs="Arial"/>
          <w:color w:val="0A0A0A"/>
          <w:szCs w:val="19"/>
          <w:lang w:val="en-US"/>
        </w:rPr>
        <w:t>a</w:t>
      </w:r>
      <w:r w:rsidRPr="00E52018">
        <w:rPr>
          <w:rFonts w:eastAsia="Times New Roman" w:cs="Arial"/>
          <w:color w:val="0A0A0A"/>
          <w:szCs w:val="19"/>
          <w:lang w:val="en-US"/>
        </w:rPr>
        <w:t>bility to afford a one-week holiday (by 1.1 pp.).</w:t>
      </w:r>
    </w:p>
    <w:p w14:paraId="45963886" w14:textId="7FECFAEE" w:rsidR="00E52018" w:rsidRPr="00E52018" w:rsidRDefault="00E52018" w:rsidP="00716B61">
      <w:pPr>
        <w:shd w:val="clear" w:color="auto" w:fill="FFFFFF"/>
        <w:spacing w:line="288" w:lineRule="auto"/>
        <w:rPr>
          <w:rFonts w:eastAsia="Times New Roman" w:cs="Arial"/>
          <w:color w:val="0A0A0A"/>
          <w:szCs w:val="19"/>
          <w:lang w:val="en-US"/>
        </w:rPr>
      </w:pPr>
      <w:r w:rsidRPr="00E52018">
        <w:rPr>
          <w:lang w:val="en-US"/>
        </w:rPr>
        <w:t>In 2023, compared to 2022, the percentage of people unable to spend a small amount of</w:t>
      </w:r>
      <w:r w:rsidR="0020423A">
        <w:rPr>
          <w:lang w:val="en-US"/>
        </w:rPr>
        <w:t> </w:t>
      </w:r>
      <w:r w:rsidRPr="00E52018">
        <w:rPr>
          <w:lang w:val="en-US"/>
        </w:rPr>
        <w:t>money on their own needs once a week due to financial reasons increased by 1.2 pp.</w:t>
      </w:r>
    </w:p>
    <w:p w14:paraId="6B2E2AD1" w14:textId="77777777" w:rsidR="00E52018" w:rsidRDefault="00E52018" w:rsidP="00716B61">
      <w:pPr>
        <w:spacing w:line="288" w:lineRule="auto"/>
        <w:rPr>
          <w:lang w:val="en-US"/>
        </w:rPr>
      </w:pPr>
      <w:r w:rsidRPr="00E52018">
        <w:rPr>
          <w:lang w:val="en-US"/>
        </w:rPr>
        <w:t xml:space="preserve">Despite the adverse trends observed between 2021 and 2023, the situation improved significantly by 2025. The percentage of people unable to meet their needs in the specified categories due to financial reasons decreased to the 2020 level. </w:t>
      </w:r>
    </w:p>
    <w:p w14:paraId="0943003A" w14:textId="77777777" w:rsidR="00331386" w:rsidRDefault="00331386">
      <w:pPr>
        <w:spacing w:before="0" w:after="160" w:line="259" w:lineRule="auto"/>
        <w:rPr>
          <w:lang w:val="en-US"/>
        </w:rPr>
      </w:pPr>
      <w:r>
        <w:rPr>
          <w:lang w:val="en-US"/>
        </w:rPr>
        <w:br w:type="page"/>
      </w:r>
    </w:p>
    <w:p w14:paraId="3BCAB929" w14:textId="0C485F73" w:rsidR="00E52018" w:rsidRPr="00E52018" w:rsidRDefault="00E52018" w:rsidP="00716B61">
      <w:pPr>
        <w:spacing w:line="288" w:lineRule="auto"/>
        <w:rPr>
          <w:lang w:val="en-US"/>
        </w:rPr>
      </w:pPr>
      <w:r w:rsidRPr="00E52018">
        <w:rPr>
          <w:lang w:val="en-US"/>
        </w:rPr>
        <w:lastRenderedPageBreak/>
        <w:t>The categories with the largest declines in 2025 compared to 2020 were those related to</w:t>
      </w:r>
      <w:r w:rsidR="00331386">
        <w:rPr>
          <w:lang w:val="en-US"/>
        </w:rPr>
        <w:t> </w:t>
      </w:r>
      <w:r w:rsidRPr="00E52018">
        <w:rPr>
          <w:lang w:val="en-US"/>
        </w:rPr>
        <w:t>paying for a week-long vacation (a 5.0 pp. drop, from 29.4% in 2020 to 24.4% in 2025) and</w:t>
      </w:r>
      <w:r w:rsidR="00331386">
        <w:rPr>
          <w:lang w:val="en-US"/>
        </w:rPr>
        <w:t> </w:t>
      </w:r>
      <w:r w:rsidRPr="00E52018">
        <w:rPr>
          <w:lang w:val="en-US"/>
        </w:rPr>
        <w:t xml:space="preserve">covering unexpected expenses </w:t>
      </w:r>
      <w:r w:rsidRPr="0020423A">
        <w:rPr>
          <w:lang w:val="en-US"/>
        </w:rPr>
        <w:t>(3.7 pp. drop</w:t>
      </w:r>
      <w:r w:rsidR="003E2803" w:rsidRPr="0020423A">
        <w:rPr>
          <w:lang w:val="en-US"/>
        </w:rPr>
        <w:t>, from 25.7% in 2020 to 22.0% in 2025</w:t>
      </w:r>
      <w:r w:rsidRPr="0020423A">
        <w:rPr>
          <w:lang w:val="en-US"/>
        </w:rPr>
        <w:t>).</w:t>
      </w:r>
    </w:p>
    <w:p w14:paraId="0C75EB23" w14:textId="77777777" w:rsidR="00331386" w:rsidRPr="003E2803" w:rsidRDefault="00331386" w:rsidP="00716B61">
      <w:pPr>
        <w:pStyle w:val="Nagwek1"/>
        <w:keepNext w:val="0"/>
        <w:spacing w:before="360"/>
        <w:rPr>
          <w:rFonts w:ascii="Fira Sans" w:hAnsi="Fira Sans"/>
          <w:b/>
          <w:szCs w:val="19"/>
          <w:lang w:val="en-US"/>
        </w:rPr>
      </w:pPr>
      <w:r w:rsidRPr="003E2803">
        <w:rPr>
          <w:rFonts w:ascii="Fira Sans" w:hAnsi="Fira Sans"/>
          <w:b/>
          <w:szCs w:val="19"/>
          <w:lang w:val="en-US"/>
        </w:rPr>
        <w:t>Selected aspects of severe social and material deprivation by region in 2025</w:t>
      </w:r>
    </w:p>
    <w:p w14:paraId="029F5D1B" w14:textId="77777777" w:rsidR="00331386" w:rsidRDefault="00331386" w:rsidP="001A38BB">
      <w:pPr>
        <w:spacing w:line="288" w:lineRule="auto"/>
        <w:rPr>
          <w:lang w:val="en-US" w:eastAsia="pl-PL"/>
        </w:rPr>
      </w:pPr>
      <w:r w:rsidRPr="00331386">
        <w:rPr>
          <w:lang w:val="en-US" w:eastAsia="pl-PL"/>
        </w:rPr>
        <w:t xml:space="preserve">To compare the situation of people living in urban and rural areas, several aspects have been selected from the list of needs included in the severe material and social deprivation indicator (Table 1). </w:t>
      </w:r>
    </w:p>
    <w:p w14:paraId="51DF67D6" w14:textId="15E65885" w:rsidR="00331386" w:rsidRDefault="00331386" w:rsidP="001A38BB">
      <w:pPr>
        <w:spacing w:line="288" w:lineRule="auto"/>
        <w:rPr>
          <w:lang w:eastAsia="pl-PL"/>
        </w:rPr>
      </w:pPr>
      <w:r w:rsidRPr="00331386">
        <w:rPr>
          <w:lang w:val="en-US" w:eastAsia="pl-PL"/>
        </w:rPr>
        <w:t>The selection of areas for further analysis, from an urban-rural perspective, was based on</w:t>
      </w:r>
      <w:r w:rsidR="00A86C2F">
        <w:rPr>
          <w:lang w:val="en-US" w:eastAsia="pl-PL"/>
        </w:rPr>
        <w:t> </w:t>
      </w:r>
      <w:r w:rsidRPr="00331386">
        <w:rPr>
          <w:lang w:val="en-US" w:eastAsia="pl-PL"/>
        </w:rPr>
        <w:t xml:space="preserve">two criteria. The first involved identifying areas with the highest percentages of unmet needs. </w:t>
      </w:r>
      <w:proofErr w:type="spellStart"/>
      <w:r w:rsidRPr="00EF6DFD">
        <w:rPr>
          <w:lang w:eastAsia="pl-PL"/>
        </w:rPr>
        <w:t>These</w:t>
      </w:r>
      <w:proofErr w:type="spellEnd"/>
      <w:r w:rsidRPr="00EF6DFD">
        <w:rPr>
          <w:lang w:eastAsia="pl-PL"/>
        </w:rPr>
        <w:t xml:space="preserve"> </w:t>
      </w:r>
      <w:proofErr w:type="spellStart"/>
      <w:r w:rsidRPr="00EF6DFD">
        <w:rPr>
          <w:lang w:eastAsia="pl-PL"/>
        </w:rPr>
        <w:t>were</w:t>
      </w:r>
      <w:proofErr w:type="spellEnd"/>
      <w:r w:rsidRPr="00EF6DFD">
        <w:rPr>
          <w:lang w:eastAsia="pl-PL"/>
        </w:rPr>
        <w:t>:</w:t>
      </w:r>
    </w:p>
    <w:p w14:paraId="5FD389C3" w14:textId="63B6087B" w:rsidR="00EE36F8" w:rsidRPr="00331386" w:rsidRDefault="00331386" w:rsidP="001A38BB">
      <w:pPr>
        <w:pStyle w:val="Akapitzlist"/>
        <w:numPr>
          <w:ilvl w:val="0"/>
          <w:numId w:val="4"/>
        </w:numPr>
        <w:spacing w:line="288" w:lineRule="auto"/>
        <w:ind w:left="284" w:hanging="284"/>
        <w:rPr>
          <w:rStyle w:val="Pogrubienie"/>
          <w:rFonts w:eastAsia="Times New Roman" w:cs="Times New Roman"/>
          <w:b w:val="0"/>
          <w:color w:val="000000" w:themeColor="text1"/>
          <w:szCs w:val="19"/>
          <w:lang w:val="en-US" w:eastAsia="pl-PL"/>
        </w:rPr>
      </w:pPr>
      <w:r>
        <w:rPr>
          <w:lang w:val="en-US" w:eastAsia="pl-PL"/>
        </w:rPr>
        <w:t>a</w:t>
      </w:r>
      <w:r w:rsidRPr="00331386">
        <w:rPr>
          <w:lang w:val="en-US" w:eastAsia="pl-PL"/>
        </w:rPr>
        <w:t>bility to afford a one-week annual holiday for all household members</w:t>
      </w:r>
      <w:r w:rsidR="00EE36F8" w:rsidRPr="00331386">
        <w:rPr>
          <w:rStyle w:val="Pogrubienie"/>
          <w:rFonts w:eastAsia="Times New Roman" w:cs="Times New Roman"/>
          <w:b w:val="0"/>
          <w:color w:val="000000" w:themeColor="text1"/>
          <w:szCs w:val="19"/>
          <w:lang w:val="en-US" w:eastAsia="pl-PL"/>
        </w:rPr>
        <w:t>;</w:t>
      </w:r>
    </w:p>
    <w:p w14:paraId="5158EAB6" w14:textId="30E3E03B" w:rsidR="00EE36F8" w:rsidRPr="00331386" w:rsidRDefault="00331386" w:rsidP="001A38BB">
      <w:pPr>
        <w:pStyle w:val="Akapitzlist"/>
        <w:numPr>
          <w:ilvl w:val="0"/>
          <w:numId w:val="4"/>
        </w:numPr>
        <w:spacing w:line="288" w:lineRule="auto"/>
        <w:ind w:left="284" w:hanging="284"/>
        <w:rPr>
          <w:rStyle w:val="Pogrubienie"/>
          <w:rFonts w:eastAsia="Times New Roman" w:cs="Times New Roman"/>
          <w:b w:val="0"/>
          <w:color w:val="000000" w:themeColor="text1"/>
          <w:szCs w:val="19"/>
          <w:lang w:val="en-US" w:eastAsia="pl-PL"/>
        </w:rPr>
      </w:pPr>
      <w:r>
        <w:rPr>
          <w:lang w:val="en-US" w:eastAsia="pl-PL"/>
        </w:rPr>
        <w:t>a</w:t>
      </w:r>
      <w:r w:rsidRPr="00331386">
        <w:rPr>
          <w:lang w:val="en-US" w:eastAsia="pl-PL"/>
        </w:rPr>
        <w:t xml:space="preserve">bility to meet unexpected expenses (60.0% of the national median of yearly </w:t>
      </w:r>
      <w:proofErr w:type="spellStart"/>
      <w:r w:rsidRPr="00331386">
        <w:rPr>
          <w:lang w:val="en-US" w:eastAsia="pl-PL"/>
        </w:rPr>
        <w:t>equivalised</w:t>
      </w:r>
      <w:proofErr w:type="spellEnd"/>
      <w:r w:rsidRPr="00331386">
        <w:rPr>
          <w:lang w:val="en-US" w:eastAsia="pl-PL"/>
        </w:rPr>
        <w:t xml:space="preserve"> disposable income)</w:t>
      </w:r>
      <w:r w:rsidR="00EE36F8" w:rsidRPr="00331386">
        <w:rPr>
          <w:rStyle w:val="Pogrubienie"/>
          <w:rFonts w:eastAsia="Times New Roman" w:cs="Times New Roman"/>
          <w:b w:val="0"/>
          <w:color w:val="000000" w:themeColor="text1"/>
          <w:szCs w:val="19"/>
          <w:lang w:val="en-US" w:eastAsia="pl-PL"/>
        </w:rPr>
        <w:t>.</w:t>
      </w:r>
    </w:p>
    <w:p w14:paraId="646148F1" w14:textId="1277189B" w:rsidR="00331386" w:rsidRPr="00331386" w:rsidRDefault="00331386" w:rsidP="001A38BB">
      <w:pPr>
        <w:spacing w:line="288" w:lineRule="auto"/>
        <w:rPr>
          <w:lang w:val="en-US" w:eastAsia="pl-PL"/>
        </w:rPr>
      </w:pPr>
      <w:r w:rsidRPr="00331386">
        <w:rPr>
          <w:lang w:val="en-US"/>
        </w:rPr>
        <w:t>The second criterion was the importance of satisfying these needs for proper human functioning. Taking it into account, the following areas of need were selected for further analysis:</w:t>
      </w:r>
    </w:p>
    <w:p w14:paraId="06806AB9" w14:textId="26001F7F" w:rsidR="00EE36F8" w:rsidRPr="00331386" w:rsidRDefault="00331386" w:rsidP="001A38BB">
      <w:pPr>
        <w:pStyle w:val="Akapitzlist"/>
        <w:numPr>
          <w:ilvl w:val="0"/>
          <w:numId w:val="5"/>
        </w:numPr>
        <w:spacing w:line="288" w:lineRule="auto"/>
        <w:ind w:left="284" w:hanging="284"/>
        <w:rPr>
          <w:rStyle w:val="Pogrubienie"/>
          <w:rFonts w:eastAsia="Times New Roman" w:cs="Times New Roman"/>
          <w:b w:val="0"/>
          <w:color w:val="000000" w:themeColor="text1"/>
          <w:szCs w:val="19"/>
          <w:lang w:val="en-US" w:eastAsia="pl-PL"/>
        </w:rPr>
      </w:pPr>
      <w:r>
        <w:rPr>
          <w:lang w:val="en-US"/>
        </w:rPr>
        <w:t>a</w:t>
      </w:r>
      <w:r w:rsidRPr="00331386">
        <w:rPr>
          <w:lang w:val="en-US"/>
        </w:rPr>
        <w:t>bility to afford a meal including meat, fish or a vegetarian equivalent every second da</w:t>
      </w:r>
      <w:r w:rsidR="00A86C2F">
        <w:rPr>
          <w:lang w:val="en-US"/>
        </w:rPr>
        <w:t>y</w:t>
      </w:r>
      <w:r w:rsidR="00EE36F8" w:rsidRPr="00331386">
        <w:rPr>
          <w:rStyle w:val="Pogrubienie"/>
          <w:rFonts w:eastAsia="Times New Roman" w:cs="Times New Roman"/>
          <w:b w:val="0"/>
          <w:color w:val="000000" w:themeColor="text1"/>
          <w:szCs w:val="19"/>
          <w:lang w:val="en-US" w:eastAsia="pl-PL"/>
        </w:rPr>
        <w:t>;</w:t>
      </w:r>
    </w:p>
    <w:p w14:paraId="078AF581" w14:textId="3CB8988E" w:rsidR="00EE36F8" w:rsidRPr="00A86C2F" w:rsidRDefault="00A86C2F" w:rsidP="001A38BB">
      <w:pPr>
        <w:pStyle w:val="Akapitzlist"/>
        <w:numPr>
          <w:ilvl w:val="0"/>
          <w:numId w:val="5"/>
        </w:numPr>
        <w:spacing w:line="288" w:lineRule="auto"/>
        <w:ind w:left="284" w:hanging="284"/>
        <w:rPr>
          <w:rStyle w:val="Pogrubienie"/>
          <w:rFonts w:eastAsia="Times New Roman" w:cs="Times New Roman"/>
          <w:b w:val="0"/>
          <w:color w:val="000000" w:themeColor="text1"/>
          <w:szCs w:val="19"/>
          <w:lang w:val="en-US" w:eastAsia="pl-PL"/>
        </w:rPr>
      </w:pPr>
      <w:r>
        <w:rPr>
          <w:lang w:val="en-US"/>
        </w:rPr>
        <w:t>a</w:t>
      </w:r>
      <w:r w:rsidRPr="00A86C2F">
        <w:rPr>
          <w:lang w:val="en-US"/>
        </w:rPr>
        <w:t>fford to keep home adequately warm</w:t>
      </w:r>
      <w:r w:rsidR="00EE36F8" w:rsidRPr="00A86C2F">
        <w:rPr>
          <w:rStyle w:val="Pogrubienie"/>
          <w:rFonts w:eastAsia="Times New Roman" w:cs="Times New Roman"/>
          <w:b w:val="0"/>
          <w:color w:val="000000" w:themeColor="text1"/>
          <w:szCs w:val="19"/>
          <w:lang w:val="en-US" w:eastAsia="pl-PL"/>
        </w:rPr>
        <w:t>;</w:t>
      </w:r>
    </w:p>
    <w:p w14:paraId="78F91579" w14:textId="54DA2CC0" w:rsidR="00EE36F8" w:rsidRPr="00A86C2F" w:rsidRDefault="00A86C2F" w:rsidP="001A38BB">
      <w:pPr>
        <w:pStyle w:val="Akapitzlist"/>
        <w:numPr>
          <w:ilvl w:val="0"/>
          <w:numId w:val="5"/>
        </w:numPr>
        <w:spacing w:line="288" w:lineRule="auto"/>
        <w:ind w:left="284" w:hanging="284"/>
        <w:rPr>
          <w:rStyle w:val="Pogrubienie"/>
          <w:rFonts w:eastAsia="Times New Roman" w:cs="Times New Roman"/>
          <w:b w:val="0"/>
          <w:color w:val="000000" w:themeColor="text1"/>
          <w:szCs w:val="19"/>
          <w:lang w:val="en-US" w:eastAsia="pl-PL"/>
        </w:rPr>
      </w:pPr>
      <w:r>
        <w:rPr>
          <w:lang w:val="en-US"/>
        </w:rPr>
        <w:t>a</w:t>
      </w:r>
      <w:r w:rsidRPr="00A86C2F">
        <w:rPr>
          <w:lang w:val="en-US"/>
        </w:rPr>
        <w:t>fford to spend a small amount of money each week on personal needs</w:t>
      </w:r>
      <w:r w:rsidR="00EE36F8" w:rsidRPr="00A86C2F">
        <w:rPr>
          <w:rStyle w:val="Pogrubienie"/>
          <w:rFonts w:eastAsia="Times New Roman" w:cs="Times New Roman"/>
          <w:b w:val="0"/>
          <w:color w:val="000000" w:themeColor="text1"/>
          <w:szCs w:val="19"/>
          <w:lang w:val="en-US" w:eastAsia="pl-PL"/>
        </w:rPr>
        <w:t>;</w:t>
      </w:r>
    </w:p>
    <w:p w14:paraId="06B9CB55" w14:textId="2E84CBEE" w:rsidR="00EE36F8" w:rsidRPr="00A86C2F" w:rsidRDefault="00A86C2F" w:rsidP="001A38BB">
      <w:pPr>
        <w:pStyle w:val="Akapitzlist"/>
        <w:numPr>
          <w:ilvl w:val="0"/>
          <w:numId w:val="5"/>
        </w:numPr>
        <w:spacing w:line="288" w:lineRule="auto"/>
        <w:ind w:left="284" w:hanging="284"/>
        <w:rPr>
          <w:rStyle w:val="Pogrubienie"/>
          <w:rFonts w:eastAsia="Times New Roman" w:cs="Times New Roman"/>
          <w:b w:val="0"/>
          <w:color w:val="000000" w:themeColor="text1"/>
          <w:szCs w:val="19"/>
          <w:lang w:val="en-US" w:eastAsia="pl-PL"/>
        </w:rPr>
      </w:pPr>
      <w:r>
        <w:rPr>
          <w:lang w:val="en-US"/>
        </w:rPr>
        <w:t>a</w:t>
      </w:r>
      <w:r w:rsidRPr="00A86C2F">
        <w:rPr>
          <w:lang w:val="en-US"/>
        </w:rPr>
        <w:t>bility to afford regular leisure activities</w:t>
      </w:r>
      <w:r w:rsidR="00EE36F8" w:rsidRPr="00A86C2F">
        <w:rPr>
          <w:rStyle w:val="Pogrubienie"/>
          <w:rFonts w:eastAsia="Times New Roman" w:cs="Times New Roman"/>
          <w:b w:val="0"/>
          <w:color w:val="000000" w:themeColor="text1"/>
          <w:szCs w:val="19"/>
          <w:lang w:val="en-US" w:eastAsia="pl-PL"/>
        </w:rPr>
        <w:t>.</w:t>
      </w:r>
    </w:p>
    <w:p w14:paraId="077D892D" w14:textId="66816DB9" w:rsidR="00A86C2F" w:rsidRPr="00A86C2F" w:rsidRDefault="00A86C2F" w:rsidP="001A38BB">
      <w:pPr>
        <w:spacing w:line="288" w:lineRule="auto"/>
        <w:rPr>
          <w:lang w:val="en-US"/>
        </w:rPr>
      </w:pPr>
      <w:r w:rsidRPr="00A86C2F">
        <w:rPr>
          <w:lang w:val="en-US"/>
        </w:rPr>
        <w:t>The selected aspects also include the inability to pay mortgage, rent or utility bills. This is due to the serious health, social, and economic consequences of permanent inability to meet needs in this area.</w:t>
      </w:r>
    </w:p>
    <w:p w14:paraId="22705C6D" w14:textId="56E77C44" w:rsidR="00A86C2F" w:rsidRPr="00A86C2F" w:rsidRDefault="00A86C2F" w:rsidP="001A38BB">
      <w:pPr>
        <w:shd w:val="clear" w:color="auto" w:fill="FFFFFF"/>
        <w:spacing w:line="288" w:lineRule="auto"/>
        <w:rPr>
          <w:rFonts w:eastAsia="Times New Roman" w:cs="Arial"/>
          <w:color w:val="0A0A0A"/>
          <w:szCs w:val="19"/>
          <w:lang w:val="en-US"/>
        </w:rPr>
      </w:pPr>
      <w:r w:rsidRPr="00A86C2F">
        <w:rPr>
          <w:lang w:val="en-US"/>
        </w:rPr>
        <w:t>A relevant context for understanding material and social deprivation is the income situation of households. Considering this aspect is crucial for a reliable assessment of the circumstances of people experiencing deprivation. Table 2 summarizes data on the class of</w:t>
      </w:r>
      <w:r w:rsidR="00B36249">
        <w:rPr>
          <w:lang w:val="en-US"/>
        </w:rPr>
        <w:t> </w:t>
      </w:r>
      <w:r w:rsidRPr="00A86C2F">
        <w:rPr>
          <w:lang w:val="en-US"/>
        </w:rPr>
        <w:t>locality, income level and the ability to meet needs.</w:t>
      </w:r>
    </w:p>
    <w:p w14:paraId="472BA458" w14:textId="77777777" w:rsidR="00A86C2F" w:rsidRPr="00A86C2F" w:rsidRDefault="00A86C2F" w:rsidP="001A38BB">
      <w:pPr>
        <w:shd w:val="clear" w:color="auto" w:fill="FFFFFF"/>
        <w:spacing w:line="288" w:lineRule="auto"/>
        <w:rPr>
          <w:rFonts w:eastAsia="Times New Roman" w:cs="Arial"/>
          <w:color w:val="0A0A0A"/>
          <w:szCs w:val="19"/>
          <w:lang w:val="en-US"/>
        </w:rPr>
      </w:pPr>
      <w:r w:rsidRPr="00A86C2F">
        <w:rPr>
          <w:rFonts w:eastAsia="Times New Roman" w:cs="Arial"/>
          <w:color w:val="0A0A0A"/>
          <w:szCs w:val="19"/>
          <w:lang w:val="en-US"/>
        </w:rPr>
        <w:t xml:space="preserve">The average annual </w:t>
      </w:r>
      <w:proofErr w:type="spellStart"/>
      <w:r w:rsidRPr="00A86C2F">
        <w:rPr>
          <w:rFonts w:eastAsia="Times New Roman" w:cs="Arial"/>
          <w:color w:val="0A0A0A"/>
          <w:szCs w:val="19"/>
          <w:lang w:val="en-US"/>
        </w:rPr>
        <w:t>equivalised</w:t>
      </w:r>
      <w:proofErr w:type="spellEnd"/>
      <w:r w:rsidRPr="00A86C2F">
        <w:rPr>
          <w:rFonts w:eastAsia="Times New Roman" w:cs="Arial"/>
          <w:color w:val="0A0A0A"/>
          <w:szCs w:val="19"/>
          <w:lang w:val="en-US"/>
        </w:rPr>
        <w:t xml:space="preserve"> disposable income, together with median values, indicates differences in income levels between urban and rural populations. The highest income was recorded in the largest urban areas (towns with 500 </w:t>
      </w:r>
      <w:bookmarkStart w:id="1" w:name="_Hlk224809256"/>
      <w:r w:rsidRPr="00A86C2F">
        <w:rPr>
          <w:rFonts w:eastAsia="Times New Roman" w:cs="Arial"/>
          <w:color w:val="0A0A0A"/>
          <w:szCs w:val="19"/>
          <w:lang w:val="en-US"/>
        </w:rPr>
        <w:t xml:space="preserve">thousand </w:t>
      </w:r>
      <w:bookmarkEnd w:id="1"/>
      <w:r w:rsidRPr="00A86C2F">
        <w:rPr>
          <w:rFonts w:eastAsia="Times New Roman" w:cs="Arial"/>
          <w:color w:val="0A0A0A"/>
          <w:szCs w:val="19"/>
          <w:lang w:val="en-US"/>
        </w:rPr>
        <w:t xml:space="preserve">or more inhabitants), reaching PLN 86,200 per person annually. As city size decreases, average income also declines, with cities less than 20,000 inhabitants reporting approximately PLN 64 thousand. </w:t>
      </w:r>
    </w:p>
    <w:p w14:paraId="48264AA9" w14:textId="084DB5DF" w:rsidR="00A86C2F" w:rsidRPr="00A86C2F" w:rsidRDefault="00A86C2F" w:rsidP="001A38BB">
      <w:pPr>
        <w:shd w:val="clear" w:color="auto" w:fill="FFFFFF"/>
        <w:spacing w:line="288" w:lineRule="auto"/>
        <w:rPr>
          <w:rFonts w:eastAsia="Times New Roman" w:cs="Arial"/>
          <w:color w:val="0A0A0A"/>
          <w:szCs w:val="19"/>
          <w:lang w:val="en-US"/>
        </w:rPr>
      </w:pPr>
      <w:r w:rsidRPr="00A86C2F">
        <w:rPr>
          <w:rFonts w:eastAsia="Times New Roman" w:cs="Arial"/>
          <w:color w:val="0A0A0A"/>
          <w:szCs w:val="19"/>
          <w:lang w:val="en-US"/>
        </w:rPr>
        <w:t>In 2025, the income gap between urban and rural areas remained, with rural residents having</w:t>
      </w:r>
      <w:r w:rsidR="00B36249">
        <w:rPr>
          <w:rFonts w:eastAsia="Times New Roman" w:cs="Arial"/>
          <w:color w:val="0A0A0A"/>
          <w:szCs w:val="19"/>
          <w:lang w:val="en-US"/>
        </w:rPr>
        <w:t> </w:t>
      </w:r>
      <w:r w:rsidRPr="00A86C2F">
        <w:rPr>
          <w:rFonts w:eastAsia="Times New Roman" w:cs="Arial"/>
          <w:color w:val="0A0A0A"/>
          <w:szCs w:val="19"/>
          <w:lang w:val="en-US"/>
        </w:rPr>
        <w:t xml:space="preserve">lower disposable incomes (urban areas overall – PLN 71.6 thousand; rural areas overall – PLN 60.4 thousand). </w:t>
      </w:r>
    </w:p>
    <w:p w14:paraId="475639FE" w14:textId="45066CE8" w:rsidR="00A86C2F" w:rsidRPr="00A86C2F" w:rsidRDefault="00A86C2F" w:rsidP="001A38BB">
      <w:pPr>
        <w:shd w:val="clear" w:color="auto" w:fill="FFFFFF"/>
        <w:spacing w:line="288" w:lineRule="auto"/>
        <w:rPr>
          <w:color w:val="000000" w:themeColor="text1"/>
          <w:lang w:val="en-US"/>
        </w:rPr>
      </w:pPr>
      <w:r w:rsidRPr="00A86C2F">
        <w:rPr>
          <w:lang w:val="en-US"/>
        </w:rPr>
        <w:t xml:space="preserve">At the same time, average </w:t>
      </w:r>
      <w:r w:rsidRPr="00A86C2F">
        <w:rPr>
          <w:rFonts w:eastAsia="Times New Roman" w:cs="Arial"/>
          <w:color w:val="0A0A0A"/>
          <w:szCs w:val="19"/>
          <w:lang w:val="en-US"/>
        </w:rPr>
        <w:t>incomes also varied significantly among residents of different types of rural areas. People living in densely populated rural areas within agglomerations achieved considerably higher incomes than those living in rural households located far from</w:t>
      </w:r>
      <w:r w:rsidR="00B36249">
        <w:rPr>
          <w:rFonts w:eastAsia="Times New Roman" w:cs="Arial"/>
          <w:color w:val="0A0A0A"/>
          <w:szCs w:val="19"/>
          <w:lang w:val="en-US"/>
        </w:rPr>
        <w:t> </w:t>
      </w:r>
      <w:r w:rsidRPr="00A86C2F">
        <w:rPr>
          <w:rFonts w:eastAsia="Times New Roman" w:cs="Arial"/>
          <w:color w:val="0A0A0A"/>
          <w:szCs w:val="19"/>
          <w:lang w:val="en-US"/>
        </w:rPr>
        <w:t>large cities (non-agglomeration areas).</w:t>
      </w:r>
    </w:p>
    <w:p w14:paraId="4B968F73" w14:textId="77777777" w:rsidR="00A86C2F" w:rsidRDefault="00A86C2F" w:rsidP="00A86C2F">
      <w:pPr>
        <w:pStyle w:val="Tytutablicy"/>
        <w:keepNext w:val="0"/>
        <w:spacing w:before="120" w:line="288" w:lineRule="auto"/>
        <w:rPr>
          <w:b w:val="0"/>
          <w:bCs w:val="0"/>
          <w:lang w:val="en-US"/>
        </w:rPr>
      </w:pPr>
    </w:p>
    <w:p w14:paraId="10E5F3EC" w14:textId="77777777" w:rsidR="009B425E" w:rsidRPr="00B36249" w:rsidRDefault="009B425E" w:rsidP="00236F54">
      <w:pPr>
        <w:pStyle w:val="Tytutablicy"/>
        <w:keepNext w:val="0"/>
        <w:spacing w:line="288" w:lineRule="auto"/>
        <w:ind w:left="851" w:hanging="851"/>
        <w:rPr>
          <w:rStyle w:val="vkekvd"/>
          <w:rFonts w:eastAsiaTheme="majorEastAsia" w:cs="Arial"/>
          <w:color w:val="0A0A0A"/>
          <w:shd w:val="clear" w:color="auto" w:fill="FFFFFF"/>
          <w:lang w:val="en-US"/>
        </w:rPr>
      </w:pPr>
      <w:r w:rsidRPr="00B36249">
        <w:rPr>
          <w:rStyle w:val="vkekvd"/>
          <w:rFonts w:eastAsiaTheme="majorEastAsia" w:cs="Arial"/>
          <w:color w:val="0A0A0A"/>
          <w:shd w:val="clear" w:color="auto" w:fill="FFFFFF"/>
          <w:lang w:val="en-US"/>
        </w:rPr>
        <w:br w:type="page"/>
      </w:r>
    </w:p>
    <w:p w14:paraId="7C1C09AE" w14:textId="71D76284" w:rsidR="00B36249" w:rsidRDefault="00B36249" w:rsidP="001A38BB">
      <w:pPr>
        <w:pStyle w:val="Tytutablicy"/>
        <w:keepNext w:val="0"/>
        <w:ind w:left="709" w:hanging="709"/>
        <w:rPr>
          <w:rStyle w:val="vkekvd"/>
          <w:rFonts w:eastAsiaTheme="majorEastAsia" w:cs="Arial"/>
          <w:color w:val="0A0A0A"/>
          <w:spacing w:val="-4"/>
          <w:shd w:val="clear" w:color="auto" w:fill="FFFFFF"/>
          <w:lang w:val="en-US"/>
        </w:rPr>
      </w:pPr>
      <w:r w:rsidRPr="00B36249">
        <w:rPr>
          <w:rStyle w:val="vkekvd"/>
          <w:rFonts w:eastAsiaTheme="majorEastAsia" w:cs="Arial"/>
          <w:color w:val="0A0A0A"/>
          <w:shd w:val="clear" w:color="auto" w:fill="FFFFFF"/>
          <w:lang w:val="en-US"/>
        </w:rPr>
        <w:lastRenderedPageBreak/>
        <w:t xml:space="preserve">Table 2. </w:t>
      </w:r>
      <w:r w:rsidRPr="00B36249">
        <w:rPr>
          <w:rStyle w:val="vkekvd"/>
          <w:rFonts w:eastAsiaTheme="majorEastAsia" w:cs="Arial"/>
          <w:color w:val="0A0A0A"/>
          <w:spacing w:val="-4"/>
          <w:shd w:val="clear" w:color="auto" w:fill="FFFFFF"/>
          <w:lang w:val="en-US"/>
        </w:rPr>
        <w:t xml:space="preserve">Severe material and social deprivation indicator, </w:t>
      </w:r>
      <w:r w:rsidRPr="00B36249">
        <w:rPr>
          <w:rStyle w:val="vkekvd"/>
          <w:rFonts w:eastAsiaTheme="majorEastAsia" w:cs="Arial"/>
          <w:spacing w:val="-4"/>
          <w:shd w:val="clear" w:color="auto" w:fill="FFFFFF"/>
          <w:lang w:val="en-US"/>
        </w:rPr>
        <w:t xml:space="preserve">median </w:t>
      </w:r>
      <w:r w:rsidRPr="00B36249">
        <w:rPr>
          <w:rStyle w:val="vkekvd"/>
          <w:rFonts w:eastAsiaTheme="majorEastAsia" w:cs="Arial"/>
          <w:color w:val="0A0A0A"/>
          <w:spacing w:val="-4"/>
          <w:shd w:val="clear" w:color="auto" w:fill="FFFFFF"/>
          <w:lang w:val="en-US"/>
        </w:rPr>
        <w:t xml:space="preserve">and </w:t>
      </w:r>
      <w:proofErr w:type="spellStart"/>
      <w:r w:rsidRPr="00B36249">
        <w:rPr>
          <w:rStyle w:val="vkekvd"/>
          <w:rFonts w:eastAsiaTheme="majorEastAsia" w:cs="Arial"/>
          <w:color w:val="0A0A0A"/>
          <w:spacing w:val="-4"/>
          <w:shd w:val="clear" w:color="auto" w:fill="FFFFFF"/>
          <w:lang w:val="en-US"/>
        </w:rPr>
        <w:t>equivalised</w:t>
      </w:r>
      <w:proofErr w:type="spellEnd"/>
      <w:r w:rsidRPr="00B36249">
        <w:rPr>
          <w:rStyle w:val="vkekvd"/>
          <w:rFonts w:eastAsiaTheme="majorEastAsia" w:cs="Arial"/>
          <w:color w:val="0A0A0A"/>
          <w:spacing w:val="-4"/>
          <w:shd w:val="clear" w:color="auto" w:fill="FFFFFF"/>
          <w:lang w:val="en-US"/>
        </w:rPr>
        <w:t xml:space="preserve"> annual </w:t>
      </w:r>
      <w:r w:rsidRPr="00B36249">
        <w:rPr>
          <w:rStyle w:val="vkekvd"/>
          <w:rFonts w:eastAsiaTheme="majorEastAsia" w:cs="Arial"/>
          <w:color w:val="0A0A0A"/>
          <w:spacing w:val="-4"/>
          <w:shd w:val="clear" w:color="auto" w:fill="FFFFFF"/>
          <w:lang w:val="en-US"/>
        </w:rPr>
        <w:br/>
        <w:t>disposable income</w:t>
      </w:r>
      <w:r>
        <w:rPr>
          <w:rStyle w:val="Odwoanieprzypisudolnego"/>
          <w:rFonts w:eastAsiaTheme="majorEastAsia" w:cs="Arial"/>
          <w:color w:val="0A0A0A"/>
          <w:spacing w:val="-4"/>
          <w:shd w:val="clear" w:color="auto" w:fill="FFFFFF"/>
        </w:rPr>
        <w:footnoteReference w:id="4"/>
      </w:r>
      <w:r w:rsidRPr="00B36249" w:rsidDel="00F17D1D">
        <w:rPr>
          <w:rStyle w:val="vkekvd"/>
          <w:rFonts w:eastAsiaTheme="majorEastAsia" w:cs="Arial"/>
          <w:color w:val="0A0A0A"/>
          <w:spacing w:val="-4"/>
          <w:shd w:val="clear" w:color="auto" w:fill="FFFFFF"/>
          <w:lang w:val="en-US"/>
        </w:rPr>
        <w:t xml:space="preserve"> </w:t>
      </w:r>
      <w:r w:rsidRPr="00B36249">
        <w:rPr>
          <w:rStyle w:val="vkekvd"/>
          <w:rFonts w:eastAsiaTheme="majorEastAsia" w:cs="Arial"/>
          <w:color w:val="0A0A0A"/>
          <w:spacing w:val="-4"/>
          <w:shd w:val="clear" w:color="auto" w:fill="FFFFFF"/>
          <w:lang w:val="en-US"/>
        </w:rPr>
        <w:t>per person</w:t>
      </w:r>
      <w:r>
        <w:rPr>
          <w:rStyle w:val="Odwoanieprzypisudolnego"/>
          <w:rFonts w:eastAsiaTheme="majorEastAsia" w:cs="Arial"/>
          <w:color w:val="0A0A0A"/>
          <w:spacing w:val="-4"/>
          <w:shd w:val="clear" w:color="auto" w:fill="FFFFFF"/>
        </w:rPr>
        <w:footnoteReference w:id="5"/>
      </w:r>
      <w:r w:rsidRPr="00B36249">
        <w:rPr>
          <w:rStyle w:val="vkekvd"/>
          <w:rFonts w:eastAsiaTheme="majorEastAsia" w:cs="Arial"/>
          <w:color w:val="0A0A0A"/>
          <w:spacing w:val="-4"/>
          <w:shd w:val="clear" w:color="auto" w:fill="FFFFFF"/>
          <w:lang w:val="en-US"/>
        </w:rPr>
        <w:t xml:space="preserve"> in Poland in 2025 on class of localit</w:t>
      </w:r>
      <w:r w:rsidR="0020423A">
        <w:rPr>
          <w:rStyle w:val="vkekvd"/>
          <w:rFonts w:eastAsiaTheme="majorEastAsia" w:cs="Arial"/>
          <w:color w:val="0A0A0A"/>
          <w:spacing w:val="-4"/>
          <w:shd w:val="clear" w:color="auto" w:fill="FFFFFF"/>
          <w:lang w:val="en-US"/>
        </w:rPr>
        <w:t>y</w:t>
      </w:r>
    </w:p>
    <w:tbl>
      <w:tblPr>
        <w:tblW w:w="7847" w:type="dxa"/>
        <w:tblBorders>
          <w:top w:val="single" w:sz="4" w:space="0" w:color="001D77"/>
          <w:insideH w:val="single" w:sz="4" w:space="0" w:color="001D77"/>
          <w:insideV w:val="single" w:sz="4" w:space="0" w:color="001D77"/>
        </w:tblBorders>
        <w:tblLayout w:type="fixed"/>
        <w:tblLook w:val="04A0" w:firstRow="1" w:lastRow="0" w:firstColumn="1" w:lastColumn="0" w:noHBand="0" w:noVBand="1"/>
      </w:tblPr>
      <w:tblGrid>
        <w:gridCol w:w="988"/>
        <w:gridCol w:w="1724"/>
        <w:gridCol w:w="1394"/>
        <w:gridCol w:w="1247"/>
        <w:gridCol w:w="1247"/>
        <w:gridCol w:w="1247"/>
      </w:tblGrid>
      <w:tr w:rsidR="00375056" w:rsidRPr="006507B9" w14:paraId="1A221E16" w14:textId="77777777" w:rsidTr="00D74D8D">
        <w:trPr>
          <w:trHeight w:val="20"/>
        </w:trPr>
        <w:tc>
          <w:tcPr>
            <w:tcW w:w="4106" w:type="dxa"/>
            <w:gridSpan w:val="3"/>
            <w:vMerge w:val="restart"/>
            <w:shd w:val="clear" w:color="auto" w:fill="auto"/>
            <w:noWrap/>
            <w:vAlign w:val="center"/>
            <w:hideMark/>
          </w:tcPr>
          <w:p w14:paraId="1D6CF05A" w14:textId="2A6EBC50" w:rsidR="00375056" w:rsidRPr="00BD27C2" w:rsidRDefault="00B36249" w:rsidP="00BD27C2">
            <w:pPr>
              <w:spacing w:line="200" w:lineRule="exact"/>
              <w:jc w:val="center"/>
              <w:rPr>
                <w:rFonts w:eastAsia="Times New Roman" w:cs="Calibri"/>
                <w:color w:val="000000"/>
                <w:sz w:val="18"/>
                <w:szCs w:val="18"/>
              </w:rPr>
            </w:pPr>
            <w:r>
              <w:rPr>
                <w:rFonts w:eastAsia="Times New Roman" w:cs="Calibri"/>
                <w:color w:val="000000"/>
                <w:sz w:val="18"/>
                <w:szCs w:val="18"/>
              </w:rPr>
              <w:t>C</w:t>
            </w:r>
            <w:r w:rsidRPr="00F17D1D">
              <w:rPr>
                <w:rFonts w:eastAsia="Times New Roman" w:cs="Calibri"/>
                <w:color w:val="000000"/>
                <w:sz w:val="18"/>
                <w:szCs w:val="18"/>
              </w:rPr>
              <w:t xml:space="preserve">lass of </w:t>
            </w:r>
            <w:proofErr w:type="spellStart"/>
            <w:r w:rsidRPr="00F17D1D">
              <w:rPr>
                <w:rFonts w:eastAsia="Times New Roman" w:cs="Calibri"/>
                <w:color w:val="000000"/>
                <w:sz w:val="18"/>
                <w:szCs w:val="18"/>
              </w:rPr>
              <w:t>locality</w:t>
            </w:r>
            <w:proofErr w:type="spellEnd"/>
          </w:p>
        </w:tc>
        <w:tc>
          <w:tcPr>
            <w:tcW w:w="1247" w:type="dxa"/>
            <w:shd w:val="clear" w:color="auto" w:fill="auto"/>
            <w:vAlign w:val="center"/>
            <w:hideMark/>
          </w:tcPr>
          <w:p w14:paraId="774D7287" w14:textId="7C6081BF" w:rsidR="00375056" w:rsidRPr="00B36249" w:rsidRDefault="00B36249" w:rsidP="00B36249">
            <w:pPr>
              <w:spacing w:line="200" w:lineRule="exact"/>
              <w:ind w:left="-57" w:right="-57"/>
              <w:jc w:val="center"/>
              <w:rPr>
                <w:rFonts w:eastAsia="Times New Roman" w:cs="Calibri"/>
                <w:color w:val="000000" w:themeColor="text1"/>
                <w:sz w:val="18"/>
                <w:szCs w:val="18"/>
                <w:lang w:val="en-US"/>
              </w:rPr>
            </w:pPr>
            <w:r w:rsidRPr="00B36249">
              <w:rPr>
                <w:rFonts w:eastAsia="Times New Roman" w:cs="Calibri"/>
                <w:color w:val="000000" w:themeColor="text1"/>
                <w:sz w:val="18"/>
                <w:szCs w:val="18"/>
                <w:lang w:val="en-US"/>
              </w:rPr>
              <w:t>Severe material and</w:t>
            </w:r>
            <w:r>
              <w:rPr>
                <w:rFonts w:eastAsia="Times New Roman" w:cs="Calibri"/>
                <w:color w:val="000000" w:themeColor="text1"/>
                <w:sz w:val="18"/>
                <w:szCs w:val="18"/>
                <w:lang w:val="en-US"/>
              </w:rPr>
              <w:t> </w:t>
            </w:r>
            <w:r w:rsidRPr="00B36249">
              <w:rPr>
                <w:rFonts w:eastAsia="Times New Roman" w:cs="Calibri"/>
                <w:color w:val="000000" w:themeColor="text1"/>
                <w:sz w:val="18"/>
                <w:szCs w:val="18"/>
                <w:lang w:val="en-US"/>
              </w:rPr>
              <w:t>social deprivation indicato</w:t>
            </w:r>
            <w:r>
              <w:rPr>
                <w:rFonts w:eastAsia="Times New Roman" w:cs="Calibri"/>
                <w:color w:val="000000" w:themeColor="text1"/>
                <w:sz w:val="18"/>
                <w:szCs w:val="18"/>
                <w:lang w:val="en-US"/>
              </w:rPr>
              <w:t>r</w:t>
            </w:r>
          </w:p>
        </w:tc>
        <w:tc>
          <w:tcPr>
            <w:tcW w:w="1247" w:type="dxa"/>
            <w:shd w:val="clear" w:color="auto" w:fill="auto"/>
            <w:vAlign w:val="center"/>
            <w:hideMark/>
          </w:tcPr>
          <w:p w14:paraId="712F89F8" w14:textId="6E5EB29C" w:rsidR="00375056" w:rsidRPr="00B36249" w:rsidRDefault="00B36249" w:rsidP="00B36249">
            <w:pPr>
              <w:spacing w:line="200" w:lineRule="exact"/>
              <w:ind w:left="-57" w:right="-57"/>
              <w:jc w:val="center"/>
              <w:rPr>
                <w:rFonts w:eastAsia="Times New Roman" w:cs="Calibri"/>
                <w:color w:val="000000" w:themeColor="text1"/>
                <w:sz w:val="18"/>
                <w:szCs w:val="18"/>
                <w:lang w:val="en-US"/>
              </w:rPr>
            </w:pPr>
            <w:r w:rsidRPr="00B36249">
              <w:rPr>
                <w:rFonts w:eastAsia="Times New Roman" w:cs="Calibri"/>
                <w:color w:val="000000" w:themeColor="text1"/>
                <w:sz w:val="18"/>
                <w:szCs w:val="18"/>
                <w:lang w:val="en-US"/>
              </w:rPr>
              <w:t xml:space="preserve">Annual </w:t>
            </w:r>
            <w:proofErr w:type="spellStart"/>
            <w:r w:rsidRPr="00B36249">
              <w:rPr>
                <w:rFonts w:eastAsia="Times New Roman" w:cs="Calibri"/>
                <w:color w:val="000000" w:themeColor="text1"/>
                <w:sz w:val="18"/>
                <w:szCs w:val="18"/>
                <w:lang w:val="en-US"/>
              </w:rPr>
              <w:t>equivalised</w:t>
            </w:r>
            <w:proofErr w:type="spellEnd"/>
            <w:r>
              <w:rPr>
                <w:rFonts w:eastAsia="Times New Roman" w:cs="Calibri"/>
                <w:color w:val="000000" w:themeColor="text1"/>
                <w:sz w:val="18"/>
                <w:szCs w:val="18"/>
                <w:lang w:val="en-US"/>
              </w:rPr>
              <w:t xml:space="preserve"> </w:t>
            </w:r>
            <w:r w:rsidRPr="00B36249">
              <w:rPr>
                <w:rFonts w:eastAsia="Times New Roman" w:cs="Calibri"/>
                <w:color w:val="000000" w:themeColor="text1"/>
                <w:sz w:val="18"/>
                <w:szCs w:val="18"/>
                <w:lang w:val="en-US"/>
              </w:rPr>
              <w:t>disposable income per</w:t>
            </w:r>
            <w:r>
              <w:rPr>
                <w:rFonts w:eastAsia="Times New Roman" w:cs="Calibri"/>
                <w:color w:val="000000" w:themeColor="text1"/>
                <w:sz w:val="18"/>
                <w:szCs w:val="18"/>
                <w:lang w:val="en-US"/>
              </w:rPr>
              <w:t> </w:t>
            </w:r>
            <w:r w:rsidRPr="00B36249">
              <w:rPr>
                <w:rFonts w:eastAsia="Times New Roman" w:cs="Calibri"/>
                <w:color w:val="000000" w:themeColor="text1"/>
                <w:sz w:val="18"/>
                <w:szCs w:val="18"/>
                <w:lang w:val="en-US"/>
              </w:rPr>
              <w:t>person</w:t>
            </w:r>
            <w:r>
              <w:rPr>
                <w:rStyle w:val="Odwoanieprzypisudolnego"/>
                <w:rFonts w:eastAsia="Times New Roman" w:cs="Calibri"/>
                <w:color w:val="000000" w:themeColor="text1"/>
                <w:sz w:val="18"/>
                <w:szCs w:val="18"/>
              </w:rPr>
              <w:footnoteReference w:id="6"/>
            </w:r>
          </w:p>
        </w:tc>
        <w:tc>
          <w:tcPr>
            <w:tcW w:w="1247" w:type="dxa"/>
            <w:shd w:val="clear" w:color="auto" w:fill="auto"/>
            <w:vAlign w:val="center"/>
            <w:hideMark/>
          </w:tcPr>
          <w:p w14:paraId="47CCE2B5" w14:textId="468F23E2" w:rsidR="00375056" w:rsidRPr="00B36249" w:rsidRDefault="00B36249" w:rsidP="00B36249">
            <w:pPr>
              <w:spacing w:line="200" w:lineRule="exact"/>
              <w:ind w:left="-57" w:right="-113"/>
              <w:jc w:val="center"/>
              <w:rPr>
                <w:rFonts w:eastAsia="Times New Roman" w:cs="Calibri"/>
                <w:color w:val="000000" w:themeColor="text1"/>
                <w:sz w:val="18"/>
                <w:szCs w:val="18"/>
                <w:lang w:val="en-US"/>
              </w:rPr>
            </w:pPr>
            <w:r w:rsidRPr="00B36249">
              <w:rPr>
                <w:rFonts w:eastAsia="Times New Roman" w:cs="Calibri"/>
                <w:color w:val="000000" w:themeColor="text1"/>
                <w:sz w:val="18"/>
                <w:szCs w:val="18"/>
                <w:lang w:val="en-US"/>
              </w:rPr>
              <w:t>Median of</w:t>
            </w:r>
            <w:r>
              <w:rPr>
                <w:rFonts w:eastAsia="Times New Roman" w:cs="Calibri"/>
                <w:color w:val="000000" w:themeColor="text1"/>
                <w:sz w:val="18"/>
                <w:szCs w:val="18"/>
                <w:lang w:val="en-US"/>
              </w:rPr>
              <w:t> </w:t>
            </w:r>
            <w:r w:rsidRPr="00B36249">
              <w:rPr>
                <w:rFonts w:eastAsia="Times New Roman" w:cs="Calibri"/>
                <w:color w:val="000000" w:themeColor="text1"/>
                <w:sz w:val="18"/>
                <w:szCs w:val="18"/>
                <w:lang w:val="en-US"/>
              </w:rPr>
              <w:t xml:space="preserve">annual </w:t>
            </w:r>
            <w:proofErr w:type="spellStart"/>
            <w:r w:rsidRPr="00B36249">
              <w:rPr>
                <w:rFonts w:eastAsia="Times New Roman" w:cs="Calibri"/>
                <w:color w:val="000000" w:themeColor="text1"/>
                <w:sz w:val="18"/>
                <w:szCs w:val="18"/>
                <w:lang w:val="en-US"/>
              </w:rPr>
              <w:t>equivalised</w:t>
            </w:r>
            <w:proofErr w:type="spellEnd"/>
            <w:r w:rsidRPr="00B36249">
              <w:rPr>
                <w:rFonts w:eastAsia="Times New Roman" w:cs="Calibri"/>
                <w:color w:val="000000" w:themeColor="text1"/>
                <w:sz w:val="18"/>
                <w:szCs w:val="18"/>
                <w:lang w:val="en-US"/>
              </w:rPr>
              <w:t xml:space="preserve"> disposable incom</w:t>
            </w:r>
            <w:r>
              <w:rPr>
                <w:rFonts w:eastAsia="Times New Roman" w:cs="Calibri"/>
                <w:color w:val="000000" w:themeColor="text1"/>
                <w:sz w:val="18"/>
                <w:szCs w:val="18"/>
                <w:lang w:val="en-US"/>
              </w:rPr>
              <w:t>e</w:t>
            </w:r>
          </w:p>
        </w:tc>
      </w:tr>
      <w:tr w:rsidR="00375056" w:rsidRPr="008258A8" w14:paraId="4AFE3D73" w14:textId="77777777" w:rsidTr="00D74D8D">
        <w:trPr>
          <w:trHeight w:val="20"/>
        </w:trPr>
        <w:tc>
          <w:tcPr>
            <w:tcW w:w="4106" w:type="dxa"/>
            <w:gridSpan w:val="3"/>
            <w:vMerge/>
            <w:vAlign w:val="center"/>
            <w:hideMark/>
          </w:tcPr>
          <w:p w14:paraId="29E8EDC9" w14:textId="77777777" w:rsidR="00375056" w:rsidRPr="00B36249" w:rsidRDefault="00375056" w:rsidP="00BD27C2">
            <w:pPr>
              <w:spacing w:line="200" w:lineRule="exact"/>
              <w:rPr>
                <w:rFonts w:eastAsia="Times New Roman" w:cs="Calibri"/>
                <w:color w:val="000000"/>
                <w:sz w:val="18"/>
                <w:szCs w:val="18"/>
                <w:lang w:val="en-US"/>
              </w:rPr>
            </w:pPr>
          </w:p>
        </w:tc>
        <w:tc>
          <w:tcPr>
            <w:tcW w:w="1247" w:type="dxa"/>
            <w:shd w:val="clear" w:color="auto" w:fill="auto"/>
            <w:vAlign w:val="center"/>
            <w:hideMark/>
          </w:tcPr>
          <w:p w14:paraId="67F70FE9" w14:textId="47FE0FE5" w:rsidR="00375056" w:rsidRPr="00BD27C2" w:rsidRDefault="00B36249" w:rsidP="00B36249">
            <w:pPr>
              <w:spacing w:line="200" w:lineRule="exact"/>
              <w:jc w:val="center"/>
              <w:rPr>
                <w:rFonts w:eastAsia="Times New Roman" w:cs="Calibri"/>
                <w:color w:val="000000"/>
                <w:sz w:val="18"/>
                <w:szCs w:val="18"/>
              </w:rPr>
            </w:pPr>
            <w:r>
              <w:rPr>
                <w:rFonts w:eastAsia="Times New Roman" w:cs="Calibri"/>
                <w:color w:val="000000"/>
                <w:sz w:val="18"/>
                <w:szCs w:val="18"/>
              </w:rPr>
              <w:t xml:space="preserve">in </w:t>
            </w:r>
            <w:r w:rsidR="00375056" w:rsidRPr="00BD27C2">
              <w:rPr>
                <w:rFonts w:eastAsia="Times New Roman" w:cs="Calibri"/>
                <w:color w:val="000000"/>
                <w:sz w:val="18"/>
                <w:szCs w:val="18"/>
              </w:rPr>
              <w:t>%</w:t>
            </w:r>
          </w:p>
        </w:tc>
        <w:tc>
          <w:tcPr>
            <w:tcW w:w="2494" w:type="dxa"/>
            <w:gridSpan w:val="2"/>
            <w:shd w:val="clear" w:color="auto" w:fill="auto"/>
            <w:vAlign w:val="center"/>
            <w:hideMark/>
          </w:tcPr>
          <w:p w14:paraId="0C2A39F6" w14:textId="452D9E6C" w:rsidR="00375056" w:rsidRPr="00BD27C2" w:rsidRDefault="00B36249" w:rsidP="00B36249">
            <w:pPr>
              <w:spacing w:line="200" w:lineRule="exact"/>
              <w:jc w:val="center"/>
              <w:rPr>
                <w:rFonts w:eastAsia="Times New Roman" w:cs="Calibri"/>
                <w:color w:val="000000"/>
                <w:sz w:val="18"/>
                <w:szCs w:val="18"/>
              </w:rPr>
            </w:pPr>
            <w:r>
              <w:rPr>
                <w:rFonts w:eastAsia="Times New Roman" w:cs="Calibri"/>
                <w:color w:val="000000"/>
                <w:sz w:val="18"/>
                <w:szCs w:val="18"/>
              </w:rPr>
              <w:t>in PLN</w:t>
            </w:r>
          </w:p>
        </w:tc>
      </w:tr>
      <w:tr w:rsidR="00375056" w:rsidRPr="00FB4516" w14:paraId="2A1FF874" w14:textId="77777777" w:rsidTr="00D74D8D">
        <w:trPr>
          <w:trHeight w:val="20"/>
        </w:trPr>
        <w:tc>
          <w:tcPr>
            <w:tcW w:w="4106" w:type="dxa"/>
            <w:gridSpan w:val="3"/>
            <w:shd w:val="clear" w:color="auto" w:fill="auto"/>
            <w:vAlign w:val="center"/>
            <w:hideMark/>
          </w:tcPr>
          <w:p w14:paraId="16884FA1" w14:textId="24BE215E" w:rsidR="00375056" w:rsidRPr="00BD27C2" w:rsidRDefault="00B36249" w:rsidP="00BD27C2">
            <w:pPr>
              <w:spacing w:line="200" w:lineRule="exact"/>
              <w:ind w:left="-57" w:right="-57"/>
              <w:rPr>
                <w:rFonts w:eastAsia="Times New Roman" w:cs="Calibri"/>
                <w:b/>
                <w:color w:val="000000"/>
                <w:sz w:val="18"/>
                <w:szCs w:val="18"/>
              </w:rPr>
            </w:pPr>
            <w:r>
              <w:rPr>
                <w:rFonts w:eastAsia="Times New Roman" w:cs="Calibri"/>
                <w:b/>
                <w:color w:val="000000"/>
                <w:sz w:val="18"/>
                <w:szCs w:val="18"/>
              </w:rPr>
              <w:t>Poland</w:t>
            </w:r>
          </w:p>
        </w:tc>
        <w:tc>
          <w:tcPr>
            <w:tcW w:w="1247" w:type="dxa"/>
            <w:shd w:val="clear" w:color="auto" w:fill="auto"/>
            <w:noWrap/>
            <w:vAlign w:val="center"/>
            <w:hideMark/>
          </w:tcPr>
          <w:p w14:paraId="066387B8" w14:textId="5CF536F3" w:rsidR="00375056" w:rsidRPr="00BD27C2" w:rsidRDefault="00375056" w:rsidP="00BD27C2">
            <w:pPr>
              <w:spacing w:line="200" w:lineRule="exact"/>
              <w:jc w:val="right"/>
              <w:rPr>
                <w:rFonts w:eastAsia="Times New Roman" w:cs="Calibri"/>
                <w:b/>
                <w:color w:val="000000"/>
                <w:sz w:val="18"/>
                <w:szCs w:val="18"/>
              </w:rPr>
            </w:pPr>
            <w:r w:rsidRPr="00BD27C2">
              <w:rPr>
                <w:rFonts w:eastAsia="Times New Roman" w:cs="Calibri"/>
                <w:b/>
                <w:color w:val="000000"/>
                <w:sz w:val="18"/>
                <w:szCs w:val="18"/>
              </w:rPr>
              <w:t>2</w:t>
            </w:r>
            <w:r w:rsidR="00D41D60">
              <w:rPr>
                <w:rFonts w:eastAsia="Times New Roman" w:cs="Calibri"/>
                <w:b/>
                <w:color w:val="000000"/>
                <w:sz w:val="18"/>
                <w:szCs w:val="18"/>
              </w:rPr>
              <w:t>.</w:t>
            </w:r>
            <w:r w:rsidRPr="00BD27C2">
              <w:rPr>
                <w:rFonts w:eastAsia="Times New Roman" w:cs="Calibri"/>
                <w:b/>
                <w:color w:val="000000"/>
                <w:sz w:val="18"/>
                <w:szCs w:val="18"/>
              </w:rPr>
              <w:t>0</w:t>
            </w:r>
          </w:p>
        </w:tc>
        <w:tc>
          <w:tcPr>
            <w:tcW w:w="1247" w:type="dxa"/>
            <w:shd w:val="clear" w:color="auto" w:fill="auto"/>
            <w:noWrap/>
            <w:vAlign w:val="center"/>
            <w:hideMark/>
          </w:tcPr>
          <w:p w14:paraId="335A421C" w14:textId="77777777" w:rsidR="00375056" w:rsidRPr="00BD27C2" w:rsidRDefault="00375056" w:rsidP="00BD27C2">
            <w:pPr>
              <w:spacing w:line="200" w:lineRule="exact"/>
              <w:jc w:val="right"/>
              <w:rPr>
                <w:rFonts w:eastAsia="Times New Roman" w:cs="Calibri"/>
                <w:b/>
                <w:color w:val="000000"/>
                <w:sz w:val="18"/>
                <w:szCs w:val="18"/>
              </w:rPr>
            </w:pPr>
            <w:r w:rsidRPr="00BD27C2">
              <w:rPr>
                <w:rFonts w:eastAsia="Times New Roman" w:cs="Calibri"/>
                <w:b/>
                <w:color w:val="000000"/>
                <w:sz w:val="18"/>
                <w:szCs w:val="18"/>
              </w:rPr>
              <w:t>67 120</w:t>
            </w:r>
          </w:p>
        </w:tc>
        <w:tc>
          <w:tcPr>
            <w:tcW w:w="1247" w:type="dxa"/>
            <w:shd w:val="clear" w:color="auto" w:fill="auto"/>
            <w:noWrap/>
            <w:vAlign w:val="center"/>
            <w:hideMark/>
          </w:tcPr>
          <w:p w14:paraId="28A702B7" w14:textId="77777777" w:rsidR="00375056" w:rsidRPr="00BD27C2" w:rsidRDefault="00375056" w:rsidP="00BD27C2">
            <w:pPr>
              <w:spacing w:line="200" w:lineRule="exact"/>
              <w:jc w:val="right"/>
              <w:rPr>
                <w:rFonts w:eastAsia="Times New Roman" w:cs="Calibri"/>
                <w:b/>
                <w:color w:val="000000"/>
                <w:sz w:val="18"/>
                <w:szCs w:val="18"/>
              </w:rPr>
            </w:pPr>
            <w:r w:rsidRPr="00BD27C2">
              <w:rPr>
                <w:rFonts w:eastAsia="Times New Roman" w:cs="Calibri"/>
                <w:b/>
                <w:color w:val="000000"/>
                <w:sz w:val="18"/>
                <w:szCs w:val="18"/>
              </w:rPr>
              <w:t>61 976</w:t>
            </w:r>
          </w:p>
        </w:tc>
      </w:tr>
      <w:tr w:rsidR="00375056" w:rsidRPr="008258A8" w14:paraId="504CE009" w14:textId="77777777" w:rsidTr="00D74D8D">
        <w:trPr>
          <w:trHeight w:val="20"/>
        </w:trPr>
        <w:tc>
          <w:tcPr>
            <w:tcW w:w="988" w:type="dxa"/>
            <w:vMerge w:val="restart"/>
            <w:shd w:val="clear" w:color="auto" w:fill="auto"/>
            <w:vAlign w:val="center"/>
            <w:hideMark/>
          </w:tcPr>
          <w:p w14:paraId="278B490B" w14:textId="1C534C1C" w:rsidR="00375056" w:rsidRPr="00BD27C2" w:rsidRDefault="00B36249" w:rsidP="00B36249">
            <w:pPr>
              <w:spacing w:line="200" w:lineRule="exact"/>
              <w:ind w:left="-57" w:right="-57"/>
              <w:rPr>
                <w:rFonts w:eastAsia="Times New Roman" w:cs="Calibri"/>
                <w:color w:val="000000"/>
                <w:sz w:val="18"/>
                <w:szCs w:val="18"/>
              </w:rPr>
            </w:pPr>
            <w:r>
              <w:rPr>
                <w:rFonts w:eastAsia="Times New Roman" w:cs="Calibri"/>
                <w:color w:val="000000"/>
                <w:sz w:val="18"/>
                <w:szCs w:val="18"/>
              </w:rPr>
              <w:t>Urban</w:t>
            </w:r>
          </w:p>
        </w:tc>
        <w:tc>
          <w:tcPr>
            <w:tcW w:w="3118" w:type="dxa"/>
            <w:gridSpan w:val="2"/>
            <w:shd w:val="clear" w:color="auto" w:fill="auto"/>
            <w:vAlign w:val="center"/>
            <w:hideMark/>
          </w:tcPr>
          <w:p w14:paraId="257DE8BD" w14:textId="17B81745" w:rsidR="00375056" w:rsidRPr="00BD27C2" w:rsidRDefault="00B36249" w:rsidP="00B36249">
            <w:pPr>
              <w:spacing w:line="200" w:lineRule="exact"/>
              <w:ind w:left="-57" w:right="-57"/>
              <w:rPr>
                <w:rFonts w:eastAsia="Times New Roman" w:cs="Calibri"/>
                <w:color w:val="000000"/>
                <w:sz w:val="18"/>
                <w:szCs w:val="18"/>
              </w:rPr>
            </w:pPr>
            <w:proofErr w:type="spellStart"/>
            <w:r>
              <w:rPr>
                <w:rFonts w:eastAsia="Times New Roman" w:cs="Calibri"/>
                <w:color w:val="000000"/>
                <w:sz w:val="18"/>
                <w:szCs w:val="18"/>
              </w:rPr>
              <w:t>total</w:t>
            </w:r>
            <w:proofErr w:type="spellEnd"/>
          </w:p>
        </w:tc>
        <w:tc>
          <w:tcPr>
            <w:tcW w:w="1247" w:type="dxa"/>
            <w:shd w:val="clear" w:color="auto" w:fill="auto"/>
            <w:noWrap/>
            <w:vAlign w:val="center"/>
            <w:hideMark/>
          </w:tcPr>
          <w:p w14:paraId="6A5667E9" w14:textId="1D7F9309" w:rsidR="00375056" w:rsidRPr="00BD27C2" w:rsidRDefault="00375056" w:rsidP="00BD27C2">
            <w:pPr>
              <w:spacing w:line="200" w:lineRule="exact"/>
              <w:jc w:val="right"/>
              <w:rPr>
                <w:rFonts w:eastAsia="Times New Roman" w:cs="Calibri"/>
                <w:color w:val="000000"/>
                <w:sz w:val="18"/>
                <w:szCs w:val="18"/>
              </w:rPr>
            </w:pPr>
            <w:r w:rsidRPr="00BD27C2">
              <w:rPr>
                <w:rFonts w:eastAsia="Times New Roman" w:cs="Calibri"/>
                <w:color w:val="000000"/>
                <w:sz w:val="18"/>
                <w:szCs w:val="18"/>
              </w:rPr>
              <w:t>2</w:t>
            </w:r>
            <w:r w:rsidR="00D41D60">
              <w:rPr>
                <w:rFonts w:eastAsia="Times New Roman" w:cs="Calibri"/>
                <w:color w:val="000000"/>
                <w:sz w:val="18"/>
                <w:szCs w:val="18"/>
              </w:rPr>
              <w:t>.</w:t>
            </w:r>
            <w:r w:rsidRPr="00BD27C2">
              <w:rPr>
                <w:rFonts w:eastAsia="Times New Roman" w:cs="Calibri"/>
                <w:color w:val="000000"/>
                <w:sz w:val="18"/>
                <w:szCs w:val="18"/>
              </w:rPr>
              <w:t>0</w:t>
            </w:r>
          </w:p>
        </w:tc>
        <w:tc>
          <w:tcPr>
            <w:tcW w:w="1247" w:type="dxa"/>
            <w:shd w:val="clear" w:color="auto" w:fill="auto"/>
            <w:noWrap/>
            <w:vAlign w:val="center"/>
            <w:hideMark/>
          </w:tcPr>
          <w:p w14:paraId="0FDD39E7" w14:textId="77777777" w:rsidR="00375056" w:rsidRPr="00BD27C2" w:rsidRDefault="00375056" w:rsidP="00BD27C2">
            <w:pPr>
              <w:spacing w:line="200" w:lineRule="exact"/>
              <w:jc w:val="right"/>
              <w:rPr>
                <w:rFonts w:eastAsia="Times New Roman" w:cs="Calibri"/>
                <w:color w:val="000000"/>
                <w:sz w:val="18"/>
                <w:szCs w:val="18"/>
              </w:rPr>
            </w:pPr>
            <w:r w:rsidRPr="00BD27C2">
              <w:rPr>
                <w:rFonts w:eastAsia="Times New Roman" w:cs="Calibri"/>
                <w:color w:val="000000"/>
                <w:sz w:val="18"/>
                <w:szCs w:val="18"/>
              </w:rPr>
              <w:t>71 561</w:t>
            </w:r>
          </w:p>
        </w:tc>
        <w:tc>
          <w:tcPr>
            <w:tcW w:w="1247" w:type="dxa"/>
            <w:shd w:val="clear" w:color="auto" w:fill="auto"/>
            <w:noWrap/>
            <w:vAlign w:val="center"/>
            <w:hideMark/>
          </w:tcPr>
          <w:p w14:paraId="350307BE" w14:textId="77777777" w:rsidR="00375056" w:rsidRPr="00BD27C2" w:rsidRDefault="00375056" w:rsidP="00BD27C2">
            <w:pPr>
              <w:spacing w:line="200" w:lineRule="exact"/>
              <w:jc w:val="right"/>
              <w:rPr>
                <w:rFonts w:eastAsia="Times New Roman" w:cs="Calibri"/>
                <w:color w:val="000000"/>
                <w:sz w:val="18"/>
                <w:szCs w:val="18"/>
              </w:rPr>
            </w:pPr>
            <w:r w:rsidRPr="00BD27C2">
              <w:rPr>
                <w:rFonts w:eastAsia="Times New Roman" w:cs="Calibri"/>
                <w:color w:val="000000"/>
                <w:sz w:val="18"/>
                <w:szCs w:val="18"/>
              </w:rPr>
              <w:t>65 470</w:t>
            </w:r>
          </w:p>
        </w:tc>
      </w:tr>
      <w:tr w:rsidR="00375056" w:rsidRPr="008258A8" w14:paraId="00487A83" w14:textId="77777777" w:rsidTr="00D74D8D">
        <w:trPr>
          <w:trHeight w:val="20"/>
        </w:trPr>
        <w:tc>
          <w:tcPr>
            <w:tcW w:w="988" w:type="dxa"/>
            <w:vMerge/>
            <w:vAlign w:val="center"/>
            <w:hideMark/>
          </w:tcPr>
          <w:p w14:paraId="303B9535" w14:textId="77777777" w:rsidR="00375056" w:rsidRPr="00BD27C2" w:rsidRDefault="00375056" w:rsidP="00BD27C2">
            <w:pPr>
              <w:spacing w:line="200" w:lineRule="exact"/>
              <w:rPr>
                <w:rFonts w:eastAsia="Times New Roman" w:cs="Calibri"/>
                <w:color w:val="000000"/>
                <w:sz w:val="18"/>
                <w:szCs w:val="18"/>
              </w:rPr>
            </w:pPr>
          </w:p>
        </w:tc>
        <w:tc>
          <w:tcPr>
            <w:tcW w:w="1724" w:type="dxa"/>
            <w:vMerge w:val="restart"/>
            <w:shd w:val="clear" w:color="auto" w:fill="auto"/>
            <w:vAlign w:val="center"/>
            <w:hideMark/>
          </w:tcPr>
          <w:p w14:paraId="78D7E738" w14:textId="5DEA38A1" w:rsidR="00375056" w:rsidRPr="00D41D60" w:rsidRDefault="00D41D60" w:rsidP="00D41D60">
            <w:pPr>
              <w:spacing w:line="200" w:lineRule="exact"/>
              <w:ind w:left="-57" w:right="-57"/>
              <w:rPr>
                <w:rFonts w:eastAsia="Times New Roman" w:cs="Calibri"/>
                <w:color w:val="000000"/>
                <w:sz w:val="18"/>
                <w:szCs w:val="18"/>
                <w:lang w:val="en-US"/>
              </w:rPr>
            </w:pPr>
            <w:r>
              <w:rPr>
                <w:rFonts w:eastAsia="Times New Roman" w:cs="Calibri"/>
                <w:color w:val="000000"/>
                <w:sz w:val="18"/>
                <w:szCs w:val="18"/>
                <w:lang w:val="en-US"/>
              </w:rPr>
              <w:t>town by size in </w:t>
            </w:r>
            <w:r w:rsidRPr="00D41D60">
              <w:rPr>
                <w:rFonts w:eastAsia="Times New Roman" w:cs="Calibri"/>
                <w:color w:val="000000"/>
                <w:sz w:val="18"/>
                <w:szCs w:val="18"/>
                <w:lang w:val="en-US"/>
              </w:rPr>
              <w:t>thousand</w:t>
            </w:r>
          </w:p>
        </w:tc>
        <w:tc>
          <w:tcPr>
            <w:tcW w:w="1394" w:type="dxa"/>
            <w:shd w:val="clear" w:color="auto" w:fill="auto"/>
            <w:vAlign w:val="center"/>
            <w:hideMark/>
          </w:tcPr>
          <w:p w14:paraId="0DCE4ECD" w14:textId="666738C0" w:rsidR="00375056" w:rsidRPr="00BD27C2" w:rsidRDefault="00375056" w:rsidP="00B36249">
            <w:pPr>
              <w:spacing w:line="200" w:lineRule="exact"/>
              <w:rPr>
                <w:rFonts w:eastAsia="Times New Roman" w:cs="Calibri"/>
                <w:color w:val="000000"/>
                <w:sz w:val="18"/>
                <w:szCs w:val="18"/>
              </w:rPr>
            </w:pPr>
            <w:r w:rsidRPr="00BD27C2">
              <w:rPr>
                <w:rFonts w:eastAsia="Times New Roman" w:cs="Calibri"/>
                <w:color w:val="000000"/>
                <w:sz w:val="18"/>
                <w:szCs w:val="18"/>
              </w:rPr>
              <w:t xml:space="preserve">500 </w:t>
            </w:r>
            <w:r w:rsidR="00B36249">
              <w:rPr>
                <w:rFonts w:eastAsia="Times New Roman" w:cs="Calibri"/>
                <w:color w:val="000000"/>
                <w:sz w:val="18"/>
                <w:szCs w:val="18"/>
              </w:rPr>
              <w:t xml:space="preserve">and </w:t>
            </w:r>
            <w:proofErr w:type="spellStart"/>
            <w:r w:rsidR="00B36249">
              <w:rPr>
                <w:rFonts w:eastAsia="Times New Roman" w:cs="Calibri"/>
                <w:color w:val="000000"/>
                <w:sz w:val="18"/>
                <w:szCs w:val="18"/>
              </w:rPr>
              <w:t>more</w:t>
            </w:r>
            <w:proofErr w:type="spellEnd"/>
          </w:p>
        </w:tc>
        <w:tc>
          <w:tcPr>
            <w:tcW w:w="1247" w:type="dxa"/>
            <w:shd w:val="clear" w:color="auto" w:fill="auto"/>
            <w:noWrap/>
            <w:vAlign w:val="center"/>
            <w:hideMark/>
          </w:tcPr>
          <w:p w14:paraId="3EB1C0E6" w14:textId="0D411B18" w:rsidR="00375056" w:rsidRPr="00BD27C2" w:rsidRDefault="00375056" w:rsidP="00BD27C2">
            <w:pPr>
              <w:spacing w:line="200" w:lineRule="exact"/>
              <w:jc w:val="right"/>
              <w:rPr>
                <w:rFonts w:eastAsia="Times New Roman" w:cs="Calibri"/>
                <w:color w:val="000000"/>
                <w:sz w:val="18"/>
                <w:szCs w:val="18"/>
              </w:rPr>
            </w:pPr>
            <w:r w:rsidRPr="00BD27C2">
              <w:rPr>
                <w:rFonts w:eastAsia="Times New Roman" w:cs="Calibri"/>
                <w:color w:val="000000"/>
                <w:sz w:val="18"/>
                <w:szCs w:val="18"/>
              </w:rPr>
              <w:t>0</w:t>
            </w:r>
            <w:r w:rsidR="00D41D60">
              <w:rPr>
                <w:rFonts w:eastAsia="Times New Roman" w:cs="Calibri"/>
                <w:color w:val="000000"/>
                <w:sz w:val="18"/>
                <w:szCs w:val="18"/>
              </w:rPr>
              <w:t>.</w:t>
            </w:r>
            <w:r w:rsidRPr="00BD27C2">
              <w:rPr>
                <w:rFonts w:eastAsia="Times New Roman" w:cs="Calibri"/>
                <w:color w:val="000000"/>
                <w:sz w:val="18"/>
                <w:szCs w:val="18"/>
              </w:rPr>
              <w:t>7</w:t>
            </w:r>
          </w:p>
        </w:tc>
        <w:tc>
          <w:tcPr>
            <w:tcW w:w="1247" w:type="dxa"/>
            <w:shd w:val="clear" w:color="auto" w:fill="auto"/>
            <w:noWrap/>
            <w:vAlign w:val="center"/>
            <w:hideMark/>
          </w:tcPr>
          <w:p w14:paraId="44421AC3" w14:textId="77777777" w:rsidR="00375056" w:rsidRPr="00BD27C2" w:rsidRDefault="00375056" w:rsidP="00BD27C2">
            <w:pPr>
              <w:spacing w:line="200" w:lineRule="exact"/>
              <w:jc w:val="right"/>
              <w:rPr>
                <w:rFonts w:eastAsia="Times New Roman" w:cs="Calibri"/>
                <w:color w:val="000000"/>
                <w:sz w:val="18"/>
                <w:szCs w:val="18"/>
              </w:rPr>
            </w:pPr>
            <w:r w:rsidRPr="00BD27C2">
              <w:rPr>
                <w:rFonts w:eastAsia="Times New Roman" w:cs="Calibri"/>
                <w:color w:val="000000"/>
                <w:sz w:val="18"/>
                <w:szCs w:val="18"/>
              </w:rPr>
              <w:t>86 213</w:t>
            </w:r>
          </w:p>
        </w:tc>
        <w:tc>
          <w:tcPr>
            <w:tcW w:w="1247" w:type="dxa"/>
            <w:shd w:val="clear" w:color="auto" w:fill="auto"/>
            <w:noWrap/>
            <w:vAlign w:val="center"/>
            <w:hideMark/>
          </w:tcPr>
          <w:p w14:paraId="37097133" w14:textId="77777777" w:rsidR="00375056" w:rsidRPr="00BD27C2" w:rsidRDefault="00375056" w:rsidP="00BD27C2">
            <w:pPr>
              <w:spacing w:line="200" w:lineRule="exact"/>
              <w:jc w:val="right"/>
              <w:rPr>
                <w:rFonts w:eastAsia="Times New Roman" w:cs="Calibri"/>
                <w:color w:val="000000"/>
                <w:sz w:val="18"/>
                <w:szCs w:val="18"/>
              </w:rPr>
            </w:pPr>
            <w:r w:rsidRPr="00BD27C2">
              <w:rPr>
                <w:rFonts w:eastAsia="Times New Roman" w:cs="Calibri"/>
                <w:color w:val="000000"/>
                <w:sz w:val="18"/>
                <w:szCs w:val="18"/>
              </w:rPr>
              <w:t>76 859</w:t>
            </w:r>
          </w:p>
        </w:tc>
      </w:tr>
      <w:tr w:rsidR="00375056" w:rsidRPr="008258A8" w14:paraId="3E3125B3" w14:textId="77777777" w:rsidTr="00D74D8D">
        <w:trPr>
          <w:trHeight w:val="20"/>
        </w:trPr>
        <w:tc>
          <w:tcPr>
            <w:tcW w:w="988" w:type="dxa"/>
            <w:vMerge/>
            <w:vAlign w:val="center"/>
            <w:hideMark/>
          </w:tcPr>
          <w:p w14:paraId="7790A3EA" w14:textId="77777777" w:rsidR="00375056" w:rsidRPr="00BD27C2" w:rsidRDefault="00375056" w:rsidP="00BD27C2">
            <w:pPr>
              <w:spacing w:line="200" w:lineRule="exact"/>
              <w:rPr>
                <w:rFonts w:eastAsia="Times New Roman" w:cs="Calibri"/>
                <w:color w:val="000000"/>
                <w:sz w:val="18"/>
                <w:szCs w:val="18"/>
              </w:rPr>
            </w:pPr>
          </w:p>
        </w:tc>
        <w:tc>
          <w:tcPr>
            <w:tcW w:w="1724" w:type="dxa"/>
            <w:vMerge/>
            <w:vAlign w:val="center"/>
            <w:hideMark/>
          </w:tcPr>
          <w:p w14:paraId="02ED4E49" w14:textId="77777777" w:rsidR="00375056" w:rsidRPr="00BD27C2" w:rsidRDefault="00375056" w:rsidP="00BD27C2">
            <w:pPr>
              <w:spacing w:line="200" w:lineRule="exact"/>
              <w:rPr>
                <w:rFonts w:eastAsia="Times New Roman" w:cs="Calibri"/>
                <w:color w:val="000000"/>
                <w:sz w:val="18"/>
                <w:szCs w:val="18"/>
              </w:rPr>
            </w:pPr>
          </w:p>
        </w:tc>
        <w:tc>
          <w:tcPr>
            <w:tcW w:w="1394" w:type="dxa"/>
            <w:shd w:val="clear" w:color="auto" w:fill="auto"/>
            <w:vAlign w:val="center"/>
            <w:hideMark/>
          </w:tcPr>
          <w:p w14:paraId="64E0F533" w14:textId="77777777" w:rsidR="00375056" w:rsidRPr="00BD27C2" w:rsidRDefault="00375056" w:rsidP="00BD27C2">
            <w:pPr>
              <w:spacing w:line="200" w:lineRule="exact"/>
              <w:rPr>
                <w:rFonts w:eastAsia="Times New Roman" w:cs="Calibri"/>
                <w:color w:val="000000"/>
                <w:sz w:val="18"/>
                <w:szCs w:val="18"/>
              </w:rPr>
            </w:pPr>
            <w:r w:rsidRPr="00BD27C2">
              <w:rPr>
                <w:rFonts w:eastAsia="Times New Roman" w:cs="Calibri"/>
                <w:color w:val="000000"/>
                <w:sz w:val="18"/>
                <w:szCs w:val="18"/>
              </w:rPr>
              <w:t>200-499</w:t>
            </w:r>
          </w:p>
        </w:tc>
        <w:tc>
          <w:tcPr>
            <w:tcW w:w="1247" w:type="dxa"/>
            <w:shd w:val="clear" w:color="auto" w:fill="auto"/>
            <w:noWrap/>
            <w:vAlign w:val="center"/>
            <w:hideMark/>
          </w:tcPr>
          <w:p w14:paraId="252B8597" w14:textId="78E7E3BF" w:rsidR="00375056" w:rsidRPr="00BD27C2" w:rsidRDefault="00375056" w:rsidP="00BD27C2">
            <w:pPr>
              <w:spacing w:line="200" w:lineRule="exact"/>
              <w:jc w:val="right"/>
              <w:rPr>
                <w:rFonts w:eastAsia="Times New Roman" w:cs="Calibri"/>
                <w:color w:val="000000"/>
                <w:sz w:val="18"/>
                <w:szCs w:val="18"/>
              </w:rPr>
            </w:pPr>
            <w:r w:rsidRPr="00BD27C2">
              <w:rPr>
                <w:rFonts w:eastAsia="Times New Roman" w:cs="Calibri"/>
                <w:color w:val="000000"/>
                <w:sz w:val="18"/>
                <w:szCs w:val="18"/>
              </w:rPr>
              <w:t>2</w:t>
            </w:r>
            <w:r w:rsidR="00D41D60">
              <w:rPr>
                <w:rFonts w:eastAsia="Times New Roman" w:cs="Calibri"/>
                <w:color w:val="000000"/>
                <w:sz w:val="18"/>
                <w:szCs w:val="18"/>
              </w:rPr>
              <w:t>.</w:t>
            </w:r>
            <w:r w:rsidRPr="00BD27C2">
              <w:rPr>
                <w:rFonts w:eastAsia="Times New Roman" w:cs="Calibri"/>
                <w:color w:val="000000"/>
                <w:sz w:val="18"/>
                <w:szCs w:val="18"/>
              </w:rPr>
              <w:t>1</w:t>
            </w:r>
          </w:p>
        </w:tc>
        <w:tc>
          <w:tcPr>
            <w:tcW w:w="1247" w:type="dxa"/>
            <w:shd w:val="clear" w:color="auto" w:fill="auto"/>
            <w:noWrap/>
            <w:vAlign w:val="center"/>
            <w:hideMark/>
          </w:tcPr>
          <w:p w14:paraId="11B0B718" w14:textId="77777777" w:rsidR="00375056" w:rsidRPr="00BD27C2" w:rsidRDefault="00375056" w:rsidP="00BD27C2">
            <w:pPr>
              <w:spacing w:line="200" w:lineRule="exact"/>
              <w:jc w:val="right"/>
              <w:rPr>
                <w:rFonts w:eastAsia="Times New Roman" w:cs="Calibri"/>
                <w:color w:val="000000"/>
                <w:sz w:val="18"/>
                <w:szCs w:val="18"/>
              </w:rPr>
            </w:pPr>
            <w:r w:rsidRPr="00BD27C2">
              <w:rPr>
                <w:rFonts w:eastAsia="Times New Roman" w:cs="Calibri"/>
                <w:color w:val="000000"/>
                <w:sz w:val="18"/>
                <w:szCs w:val="18"/>
              </w:rPr>
              <w:t>75 420</w:t>
            </w:r>
          </w:p>
        </w:tc>
        <w:tc>
          <w:tcPr>
            <w:tcW w:w="1247" w:type="dxa"/>
            <w:shd w:val="clear" w:color="auto" w:fill="auto"/>
            <w:noWrap/>
            <w:vAlign w:val="center"/>
            <w:hideMark/>
          </w:tcPr>
          <w:p w14:paraId="436CC0E7" w14:textId="77777777" w:rsidR="00375056" w:rsidRPr="00BD27C2" w:rsidRDefault="00375056" w:rsidP="00BD27C2">
            <w:pPr>
              <w:spacing w:line="200" w:lineRule="exact"/>
              <w:jc w:val="right"/>
              <w:rPr>
                <w:rFonts w:eastAsia="Times New Roman" w:cs="Calibri"/>
                <w:color w:val="000000"/>
                <w:sz w:val="18"/>
                <w:szCs w:val="18"/>
              </w:rPr>
            </w:pPr>
            <w:r w:rsidRPr="00BD27C2">
              <w:rPr>
                <w:rFonts w:eastAsia="Times New Roman" w:cs="Calibri"/>
                <w:color w:val="000000"/>
                <w:sz w:val="18"/>
                <w:szCs w:val="18"/>
              </w:rPr>
              <w:t>69 286</w:t>
            </w:r>
          </w:p>
        </w:tc>
      </w:tr>
      <w:tr w:rsidR="00375056" w:rsidRPr="008258A8" w14:paraId="49FC8781" w14:textId="77777777" w:rsidTr="00D74D8D">
        <w:trPr>
          <w:trHeight w:val="20"/>
        </w:trPr>
        <w:tc>
          <w:tcPr>
            <w:tcW w:w="988" w:type="dxa"/>
            <w:vMerge/>
            <w:vAlign w:val="center"/>
            <w:hideMark/>
          </w:tcPr>
          <w:p w14:paraId="7E801E50" w14:textId="77777777" w:rsidR="00375056" w:rsidRPr="00BD27C2" w:rsidRDefault="00375056" w:rsidP="00BD27C2">
            <w:pPr>
              <w:spacing w:line="200" w:lineRule="exact"/>
              <w:rPr>
                <w:rFonts w:eastAsia="Times New Roman" w:cs="Calibri"/>
                <w:color w:val="000000"/>
                <w:sz w:val="18"/>
                <w:szCs w:val="18"/>
              </w:rPr>
            </w:pPr>
          </w:p>
        </w:tc>
        <w:tc>
          <w:tcPr>
            <w:tcW w:w="1724" w:type="dxa"/>
            <w:vMerge/>
            <w:vAlign w:val="center"/>
            <w:hideMark/>
          </w:tcPr>
          <w:p w14:paraId="1417DE8C" w14:textId="77777777" w:rsidR="00375056" w:rsidRPr="00BD27C2" w:rsidRDefault="00375056" w:rsidP="00BD27C2">
            <w:pPr>
              <w:spacing w:line="200" w:lineRule="exact"/>
              <w:rPr>
                <w:rFonts w:eastAsia="Times New Roman" w:cs="Calibri"/>
                <w:color w:val="000000"/>
                <w:sz w:val="18"/>
                <w:szCs w:val="18"/>
              </w:rPr>
            </w:pPr>
          </w:p>
        </w:tc>
        <w:tc>
          <w:tcPr>
            <w:tcW w:w="1394" w:type="dxa"/>
            <w:shd w:val="clear" w:color="auto" w:fill="auto"/>
            <w:vAlign w:val="center"/>
            <w:hideMark/>
          </w:tcPr>
          <w:p w14:paraId="72C16185" w14:textId="77777777" w:rsidR="00375056" w:rsidRPr="00BD27C2" w:rsidRDefault="00375056" w:rsidP="00BD27C2">
            <w:pPr>
              <w:spacing w:line="200" w:lineRule="exact"/>
              <w:rPr>
                <w:rFonts w:eastAsia="Times New Roman" w:cs="Calibri"/>
                <w:color w:val="000000"/>
                <w:sz w:val="18"/>
                <w:szCs w:val="18"/>
              </w:rPr>
            </w:pPr>
            <w:r w:rsidRPr="00BD27C2">
              <w:rPr>
                <w:rFonts w:eastAsia="Times New Roman" w:cs="Calibri"/>
                <w:color w:val="000000"/>
                <w:sz w:val="18"/>
                <w:szCs w:val="18"/>
              </w:rPr>
              <w:t>100-199</w:t>
            </w:r>
          </w:p>
        </w:tc>
        <w:tc>
          <w:tcPr>
            <w:tcW w:w="1247" w:type="dxa"/>
            <w:shd w:val="clear" w:color="auto" w:fill="auto"/>
            <w:noWrap/>
            <w:vAlign w:val="center"/>
            <w:hideMark/>
          </w:tcPr>
          <w:p w14:paraId="7FC72226" w14:textId="24EBEBF3" w:rsidR="00375056" w:rsidRPr="00BD27C2" w:rsidRDefault="00375056" w:rsidP="00BD27C2">
            <w:pPr>
              <w:spacing w:line="200" w:lineRule="exact"/>
              <w:jc w:val="right"/>
              <w:rPr>
                <w:rFonts w:eastAsia="Times New Roman" w:cs="Calibri"/>
                <w:color w:val="000000"/>
                <w:sz w:val="18"/>
                <w:szCs w:val="18"/>
              </w:rPr>
            </w:pPr>
            <w:r w:rsidRPr="00BD27C2">
              <w:rPr>
                <w:rFonts w:eastAsia="Times New Roman" w:cs="Calibri"/>
                <w:color w:val="000000"/>
                <w:sz w:val="18"/>
                <w:szCs w:val="18"/>
              </w:rPr>
              <w:t>1</w:t>
            </w:r>
            <w:r w:rsidR="00D41D60">
              <w:rPr>
                <w:rFonts w:eastAsia="Times New Roman" w:cs="Calibri"/>
                <w:color w:val="000000"/>
                <w:sz w:val="18"/>
                <w:szCs w:val="18"/>
              </w:rPr>
              <w:t>.</w:t>
            </w:r>
            <w:r w:rsidRPr="00BD27C2">
              <w:rPr>
                <w:rFonts w:eastAsia="Times New Roman" w:cs="Calibri"/>
                <w:color w:val="000000"/>
                <w:sz w:val="18"/>
                <w:szCs w:val="18"/>
              </w:rPr>
              <w:t>7</w:t>
            </w:r>
          </w:p>
        </w:tc>
        <w:tc>
          <w:tcPr>
            <w:tcW w:w="1247" w:type="dxa"/>
            <w:shd w:val="clear" w:color="auto" w:fill="auto"/>
            <w:noWrap/>
            <w:vAlign w:val="center"/>
            <w:hideMark/>
          </w:tcPr>
          <w:p w14:paraId="15760F4F" w14:textId="77777777" w:rsidR="00375056" w:rsidRPr="00BD27C2" w:rsidRDefault="00375056" w:rsidP="00BD27C2">
            <w:pPr>
              <w:spacing w:line="200" w:lineRule="exact"/>
              <w:jc w:val="right"/>
              <w:rPr>
                <w:rFonts w:eastAsia="Times New Roman" w:cs="Calibri"/>
                <w:color w:val="000000"/>
                <w:sz w:val="18"/>
                <w:szCs w:val="18"/>
              </w:rPr>
            </w:pPr>
            <w:r w:rsidRPr="00BD27C2">
              <w:rPr>
                <w:rFonts w:eastAsia="Times New Roman" w:cs="Calibri"/>
                <w:color w:val="000000"/>
                <w:sz w:val="18"/>
                <w:szCs w:val="18"/>
              </w:rPr>
              <w:t>69 563</w:t>
            </w:r>
          </w:p>
        </w:tc>
        <w:tc>
          <w:tcPr>
            <w:tcW w:w="1247" w:type="dxa"/>
            <w:shd w:val="clear" w:color="auto" w:fill="auto"/>
            <w:noWrap/>
            <w:vAlign w:val="center"/>
            <w:hideMark/>
          </w:tcPr>
          <w:p w14:paraId="6D35F4C8" w14:textId="77777777" w:rsidR="00375056" w:rsidRPr="00BD27C2" w:rsidRDefault="00375056" w:rsidP="00BD27C2">
            <w:pPr>
              <w:spacing w:line="200" w:lineRule="exact"/>
              <w:jc w:val="right"/>
              <w:rPr>
                <w:rFonts w:eastAsia="Times New Roman" w:cs="Calibri"/>
                <w:color w:val="000000"/>
                <w:sz w:val="18"/>
                <w:szCs w:val="18"/>
              </w:rPr>
            </w:pPr>
            <w:r w:rsidRPr="00BD27C2">
              <w:rPr>
                <w:rFonts w:eastAsia="Times New Roman" w:cs="Calibri"/>
                <w:color w:val="000000"/>
                <w:sz w:val="18"/>
                <w:szCs w:val="18"/>
              </w:rPr>
              <w:t>63 891</w:t>
            </w:r>
          </w:p>
        </w:tc>
      </w:tr>
      <w:tr w:rsidR="00375056" w:rsidRPr="008258A8" w14:paraId="6E9E3560" w14:textId="77777777" w:rsidTr="00D74D8D">
        <w:trPr>
          <w:trHeight w:val="20"/>
        </w:trPr>
        <w:tc>
          <w:tcPr>
            <w:tcW w:w="988" w:type="dxa"/>
            <w:vMerge/>
            <w:vAlign w:val="center"/>
            <w:hideMark/>
          </w:tcPr>
          <w:p w14:paraId="77E73A99" w14:textId="77777777" w:rsidR="00375056" w:rsidRPr="00BD27C2" w:rsidRDefault="00375056" w:rsidP="00BD27C2">
            <w:pPr>
              <w:spacing w:line="200" w:lineRule="exact"/>
              <w:rPr>
                <w:rFonts w:eastAsia="Times New Roman" w:cs="Calibri"/>
                <w:color w:val="000000"/>
                <w:sz w:val="18"/>
                <w:szCs w:val="18"/>
              </w:rPr>
            </w:pPr>
          </w:p>
        </w:tc>
        <w:tc>
          <w:tcPr>
            <w:tcW w:w="1724" w:type="dxa"/>
            <w:vMerge/>
            <w:vAlign w:val="center"/>
            <w:hideMark/>
          </w:tcPr>
          <w:p w14:paraId="7CBFFE82" w14:textId="77777777" w:rsidR="00375056" w:rsidRPr="00BD27C2" w:rsidRDefault="00375056" w:rsidP="00BD27C2">
            <w:pPr>
              <w:spacing w:line="200" w:lineRule="exact"/>
              <w:rPr>
                <w:rFonts w:eastAsia="Times New Roman" w:cs="Calibri"/>
                <w:color w:val="000000"/>
                <w:sz w:val="18"/>
                <w:szCs w:val="18"/>
              </w:rPr>
            </w:pPr>
          </w:p>
        </w:tc>
        <w:tc>
          <w:tcPr>
            <w:tcW w:w="1394" w:type="dxa"/>
            <w:shd w:val="clear" w:color="auto" w:fill="auto"/>
            <w:vAlign w:val="center"/>
            <w:hideMark/>
          </w:tcPr>
          <w:p w14:paraId="6C93B60A" w14:textId="77777777" w:rsidR="00375056" w:rsidRPr="00BD27C2" w:rsidRDefault="00375056" w:rsidP="00BD27C2">
            <w:pPr>
              <w:spacing w:line="200" w:lineRule="exact"/>
              <w:rPr>
                <w:rFonts w:eastAsia="Times New Roman" w:cs="Calibri"/>
                <w:color w:val="000000"/>
                <w:sz w:val="18"/>
                <w:szCs w:val="18"/>
              </w:rPr>
            </w:pPr>
            <w:r w:rsidRPr="00BD27C2">
              <w:rPr>
                <w:rFonts w:eastAsia="Times New Roman" w:cs="Calibri"/>
                <w:color w:val="000000"/>
                <w:sz w:val="18"/>
                <w:szCs w:val="18"/>
              </w:rPr>
              <w:t>20-99</w:t>
            </w:r>
          </w:p>
        </w:tc>
        <w:tc>
          <w:tcPr>
            <w:tcW w:w="1247" w:type="dxa"/>
            <w:shd w:val="clear" w:color="auto" w:fill="auto"/>
            <w:noWrap/>
            <w:vAlign w:val="center"/>
            <w:hideMark/>
          </w:tcPr>
          <w:p w14:paraId="79BB7E5D" w14:textId="46CA359C" w:rsidR="00375056" w:rsidRPr="00BD27C2" w:rsidRDefault="00375056" w:rsidP="00BD27C2">
            <w:pPr>
              <w:spacing w:line="200" w:lineRule="exact"/>
              <w:jc w:val="right"/>
              <w:rPr>
                <w:rFonts w:eastAsia="Times New Roman" w:cs="Calibri"/>
                <w:color w:val="000000"/>
                <w:sz w:val="18"/>
                <w:szCs w:val="18"/>
              </w:rPr>
            </w:pPr>
            <w:r w:rsidRPr="00BD27C2">
              <w:rPr>
                <w:rFonts w:eastAsia="Times New Roman" w:cs="Calibri"/>
                <w:color w:val="000000"/>
                <w:sz w:val="18"/>
                <w:szCs w:val="18"/>
              </w:rPr>
              <w:t>2</w:t>
            </w:r>
            <w:r w:rsidR="00D41D60">
              <w:rPr>
                <w:rFonts w:eastAsia="Times New Roman" w:cs="Calibri"/>
                <w:color w:val="000000"/>
                <w:sz w:val="18"/>
                <w:szCs w:val="18"/>
              </w:rPr>
              <w:t>.</w:t>
            </w:r>
            <w:r w:rsidRPr="00BD27C2">
              <w:rPr>
                <w:rFonts w:eastAsia="Times New Roman" w:cs="Calibri"/>
                <w:color w:val="000000"/>
                <w:sz w:val="18"/>
                <w:szCs w:val="18"/>
              </w:rPr>
              <w:t>5</w:t>
            </w:r>
          </w:p>
        </w:tc>
        <w:tc>
          <w:tcPr>
            <w:tcW w:w="1247" w:type="dxa"/>
            <w:shd w:val="clear" w:color="auto" w:fill="auto"/>
            <w:noWrap/>
            <w:vAlign w:val="center"/>
            <w:hideMark/>
          </w:tcPr>
          <w:p w14:paraId="28EBA2CF" w14:textId="77777777" w:rsidR="00375056" w:rsidRPr="00BD27C2" w:rsidRDefault="00375056" w:rsidP="00BD27C2">
            <w:pPr>
              <w:spacing w:line="200" w:lineRule="exact"/>
              <w:jc w:val="right"/>
              <w:rPr>
                <w:rFonts w:eastAsia="Times New Roman" w:cs="Calibri"/>
                <w:color w:val="000000"/>
                <w:sz w:val="18"/>
                <w:szCs w:val="18"/>
              </w:rPr>
            </w:pPr>
            <w:r w:rsidRPr="00BD27C2">
              <w:rPr>
                <w:rFonts w:eastAsia="Times New Roman" w:cs="Calibri"/>
                <w:color w:val="000000"/>
                <w:sz w:val="18"/>
                <w:szCs w:val="18"/>
              </w:rPr>
              <w:t>66 750</w:t>
            </w:r>
          </w:p>
        </w:tc>
        <w:tc>
          <w:tcPr>
            <w:tcW w:w="1247" w:type="dxa"/>
            <w:shd w:val="clear" w:color="auto" w:fill="auto"/>
            <w:noWrap/>
            <w:vAlign w:val="center"/>
            <w:hideMark/>
          </w:tcPr>
          <w:p w14:paraId="72D19DC3" w14:textId="77777777" w:rsidR="00375056" w:rsidRPr="00BD27C2" w:rsidRDefault="00375056" w:rsidP="00BD27C2">
            <w:pPr>
              <w:spacing w:line="200" w:lineRule="exact"/>
              <w:jc w:val="right"/>
              <w:rPr>
                <w:rFonts w:eastAsia="Times New Roman" w:cs="Calibri"/>
                <w:color w:val="000000"/>
                <w:sz w:val="18"/>
                <w:szCs w:val="18"/>
              </w:rPr>
            </w:pPr>
            <w:r w:rsidRPr="00BD27C2">
              <w:rPr>
                <w:rFonts w:eastAsia="Times New Roman" w:cs="Calibri"/>
                <w:color w:val="000000"/>
                <w:sz w:val="18"/>
                <w:szCs w:val="18"/>
              </w:rPr>
              <w:t>62 317</w:t>
            </w:r>
          </w:p>
        </w:tc>
      </w:tr>
      <w:tr w:rsidR="00375056" w:rsidRPr="008258A8" w14:paraId="3D039898" w14:textId="77777777" w:rsidTr="00D74D8D">
        <w:trPr>
          <w:trHeight w:val="20"/>
        </w:trPr>
        <w:tc>
          <w:tcPr>
            <w:tcW w:w="988" w:type="dxa"/>
            <w:vMerge/>
            <w:vAlign w:val="center"/>
            <w:hideMark/>
          </w:tcPr>
          <w:p w14:paraId="4672A7AC" w14:textId="77777777" w:rsidR="00375056" w:rsidRPr="00BD27C2" w:rsidRDefault="00375056" w:rsidP="00BD27C2">
            <w:pPr>
              <w:spacing w:line="200" w:lineRule="exact"/>
              <w:rPr>
                <w:rFonts w:eastAsia="Times New Roman" w:cs="Calibri"/>
                <w:color w:val="000000"/>
                <w:sz w:val="18"/>
                <w:szCs w:val="18"/>
              </w:rPr>
            </w:pPr>
          </w:p>
        </w:tc>
        <w:tc>
          <w:tcPr>
            <w:tcW w:w="1724" w:type="dxa"/>
            <w:vMerge/>
            <w:vAlign w:val="center"/>
            <w:hideMark/>
          </w:tcPr>
          <w:p w14:paraId="37975ECE" w14:textId="77777777" w:rsidR="00375056" w:rsidRPr="00BD27C2" w:rsidRDefault="00375056" w:rsidP="00BD27C2">
            <w:pPr>
              <w:spacing w:line="200" w:lineRule="exact"/>
              <w:rPr>
                <w:rFonts w:eastAsia="Times New Roman" w:cs="Calibri"/>
                <w:color w:val="000000"/>
                <w:sz w:val="18"/>
                <w:szCs w:val="18"/>
              </w:rPr>
            </w:pPr>
          </w:p>
        </w:tc>
        <w:tc>
          <w:tcPr>
            <w:tcW w:w="1394" w:type="dxa"/>
            <w:shd w:val="clear" w:color="auto" w:fill="auto"/>
            <w:vAlign w:val="center"/>
            <w:hideMark/>
          </w:tcPr>
          <w:p w14:paraId="451CDF33" w14:textId="70EB8CB4" w:rsidR="00375056" w:rsidRPr="00BD27C2" w:rsidRDefault="00D41D60" w:rsidP="00D41D60">
            <w:pPr>
              <w:spacing w:line="200" w:lineRule="exact"/>
              <w:rPr>
                <w:rFonts w:eastAsia="Times New Roman" w:cs="Calibri"/>
                <w:color w:val="000000"/>
                <w:sz w:val="18"/>
                <w:szCs w:val="18"/>
              </w:rPr>
            </w:pPr>
            <w:r>
              <w:rPr>
                <w:rFonts w:eastAsia="Times New Roman" w:cs="Calibri"/>
                <w:color w:val="000000"/>
                <w:sz w:val="18"/>
                <w:szCs w:val="18"/>
              </w:rPr>
              <w:t xml:space="preserve">less </w:t>
            </w:r>
            <w:proofErr w:type="spellStart"/>
            <w:r>
              <w:rPr>
                <w:rFonts w:eastAsia="Times New Roman" w:cs="Calibri"/>
                <w:color w:val="000000"/>
                <w:sz w:val="18"/>
                <w:szCs w:val="18"/>
              </w:rPr>
              <w:t>than</w:t>
            </w:r>
            <w:proofErr w:type="spellEnd"/>
            <w:r>
              <w:rPr>
                <w:rFonts w:eastAsia="Times New Roman" w:cs="Calibri"/>
                <w:color w:val="000000"/>
                <w:sz w:val="18"/>
                <w:szCs w:val="18"/>
              </w:rPr>
              <w:t xml:space="preserve"> </w:t>
            </w:r>
            <w:r w:rsidR="00375056" w:rsidRPr="00BD27C2">
              <w:rPr>
                <w:rFonts w:eastAsia="Times New Roman" w:cs="Calibri"/>
                <w:color w:val="000000"/>
                <w:sz w:val="18"/>
                <w:szCs w:val="18"/>
              </w:rPr>
              <w:t>20</w:t>
            </w:r>
          </w:p>
        </w:tc>
        <w:tc>
          <w:tcPr>
            <w:tcW w:w="1247" w:type="dxa"/>
            <w:shd w:val="clear" w:color="auto" w:fill="auto"/>
            <w:noWrap/>
            <w:vAlign w:val="center"/>
            <w:hideMark/>
          </w:tcPr>
          <w:p w14:paraId="7FAB839C" w14:textId="421D5300" w:rsidR="00375056" w:rsidRPr="00BD27C2" w:rsidRDefault="00375056" w:rsidP="00BD27C2">
            <w:pPr>
              <w:spacing w:line="200" w:lineRule="exact"/>
              <w:jc w:val="right"/>
              <w:rPr>
                <w:rFonts w:eastAsia="Times New Roman" w:cs="Calibri"/>
                <w:color w:val="000000"/>
                <w:sz w:val="18"/>
                <w:szCs w:val="18"/>
              </w:rPr>
            </w:pPr>
            <w:r w:rsidRPr="00BD27C2">
              <w:rPr>
                <w:rFonts w:eastAsia="Times New Roman" w:cs="Calibri"/>
                <w:color w:val="000000"/>
                <w:sz w:val="18"/>
                <w:szCs w:val="18"/>
              </w:rPr>
              <w:t>2</w:t>
            </w:r>
            <w:r w:rsidR="00D41D60">
              <w:rPr>
                <w:rFonts w:eastAsia="Times New Roman" w:cs="Calibri"/>
                <w:color w:val="000000"/>
                <w:sz w:val="18"/>
                <w:szCs w:val="18"/>
              </w:rPr>
              <w:t>.</w:t>
            </w:r>
            <w:r w:rsidRPr="00BD27C2">
              <w:rPr>
                <w:rFonts w:eastAsia="Times New Roman" w:cs="Calibri"/>
                <w:color w:val="000000"/>
                <w:sz w:val="18"/>
                <w:szCs w:val="18"/>
              </w:rPr>
              <w:t>6</w:t>
            </w:r>
          </w:p>
        </w:tc>
        <w:tc>
          <w:tcPr>
            <w:tcW w:w="1247" w:type="dxa"/>
            <w:shd w:val="clear" w:color="auto" w:fill="auto"/>
            <w:noWrap/>
            <w:vAlign w:val="center"/>
            <w:hideMark/>
          </w:tcPr>
          <w:p w14:paraId="71E500F0" w14:textId="77777777" w:rsidR="00375056" w:rsidRPr="00BD27C2" w:rsidRDefault="00375056" w:rsidP="00BD27C2">
            <w:pPr>
              <w:spacing w:line="200" w:lineRule="exact"/>
              <w:jc w:val="right"/>
              <w:rPr>
                <w:rFonts w:eastAsia="Times New Roman" w:cs="Calibri"/>
                <w:color w:val="000000"/>
                <w:sz w:val="18"/>
                <w:szCs w:val="18"/>
              </w:rPr>
            </w:pPr>
            <w:r w:rsidRPr="00BD27C2">
              <w:rPr>
                <w:rFonts w:eastAsia="Times New Roman" w:cs="Calibri"/>
                <w:color w:val="000000"/>
                <w:sz w:val="18"/>
                <w:szCs w:val="18"/>
              </w:rPr>
              <w:t>63 965</w:t>
            </w:r>
          </w:p>
        </w:tc>
        <w:tc>
          <w:tcPr>
            <w:tcW w:w="1247" w:type="dxa"/>
            <w:shd w:val="clear" w:color="auto" w:fill="auto"/>
            <w:noWrap/>
            <w:vAlign w:val="center"/>
            <w:hideMark/>
          </w:tcPr>
          <w:p w14:paraId="7961EE65" w14:textId="77777777" w:rsidR="00375056" w:rsidRPr="00BD27C2" w:rsidRDefault="00375056" w:rsidP="00BD27C2">
            <w:pPr>
              <w:spacing w:line="200" w:lineRule="exact"/>
              <w:jc w:val="right"/>
              <w:rPr>
                <w:rFonts w:eastAsia="Times New Roman" w:cs="Calibri"/>
                <w:color w:val="000000"/>
                <w:sz w:val="18"/>
                <w:szCs w:val="18"/>
              </w:rPr>
            </w:pPr>
            <w:r w:rsidRPr="00BD27C2">
              <w:rPr>
                <w:rFonts w:eastAsia="Times New Roman" w:cs="Calibri"/>
                <w:color w:val="000000"/>
                <w:sz w:val="18"/>
                <w:szCs w:val="18"/>
              </w:rPr>
              <w:t>60 843</w:t>
            </w:r>
          </w:p>
        </w:tc>
      </w:tr>
      <w:tr w:rsidR="00375056" w:rsidRPr="008258A8" w14:paraId="547348E6" w14:textId="77777777" w:rsidTr="00D74D8D">
        <w:trPr>
          <w:trHeight w:val="20"/>
        </w:trPr>
        <w:tc>
          <w:tcPr>
            <w:tcW w:w="988" w:type="dxa"/>
            <w:vMerge w:val="restart"/>
            <w:shd w:val="clear" w:color="auto" w:fill="auto"/>
            <w:vAlign w:val="center"/>
            <w:hideMark/>
          </w:tcPr>
          <w:p w14:paraId="4E01DB74" w14:textId="214F84B3" w:rsidR="00375056" w:rsidRPr="00B36249" w:rsidRDefault="00B36249" w:rsidP="00B36249">
            <w:pPr>
              <w:spacing w:line="200" w:lineRule="exact"/>
              <w:ind w:left="-57" w:right="-57"/>
              <w:rPr>
                <w:rFonts w:eastAsia="Times New Roman" w:cs="Calibri"/>
                <w:color w:val="000000" w:themeColor="text1"/>
                <w:sz w:val="18"/>
                <w:szCs w:val="18"/>
                <w:lang w:val="en-US"/>
              </w:rPr>
            </w:pPr>
            <w:r w:rsidRPr="00B36249">
              <w:rPr>
                <w:rFonts w:eastAsia="Times New Roman" w:cs="Calibri"/>
                <w:color w:val="000000" w:themeColor="text1"/>
                <w:sz w:val="18"/>
                <w:szCs w:val="18"/>
                <w:lang w:val="en-US"/>
              </w:rPr>
              <w:t xml:space="preserve">Rural </w:t>
            </w:r>
            <w:r w:rsidRPr="00B36249">
              <w:rPr>
                <w:rFonts w:eastAsia="Times New Roman" w:cs="Calibri"/>
                <w:color w:val="000000" w:themeColor="text1"/>
                <w:sz w:val="18"/>
                <w:szCs w:val="18"/>
                <w:lang w:val="en-US"/>
              </w:rPr>
              <w:br/>
              <w:t xml:space="preserve">areas by delimitation of rural areas </w:t>
            </w:r>
          </w:p>
        </w:tc>
        <w:tc>
          <w:tcPr>
            <w:tcW w:w="3118" w:type="dxa"/>
            <w:gridSpan w:val="2"/>
            <w:shd w:val="clear" w:color="auto" w:fill="auto"/>
            <w:vAlign w:val="center"/>
            <w:hideMark/>
          </w:tcPr>
          <w:p w14:paraId="384CE1FC" w14:textId="25E2D02E" w:rsidR="00375056" w:rsidRPr="00BD27C2" w:rsidRDefault="00B36249" w:rsidP="00B36249">
            <w:pPr>
              <w:spacing w:line="200" w:lineRule="exact"/>
              <w:ind w:left="-57" w:right="-57"/>
              <w:rPr>
                <w:rFonts w:eastAsia="Times New Roman" w:cs="Calibri"/>
                <w:color w:val="000000" w:themeColor="text1"/>
                <w:sz w:val="18"/>
                <w:szCs w:val="18"/>
              </w:rPr>
            </w:pPr>
            <w:proofErr w:type="spellStart"/>
            <w:r>
              <w:rPr>
                <w:rFonts w:eastAsia="Times New Roman" w:cs="Calibri"/>
                <w:color w:val="000000" w:themeColor="text1"/>
                <w:sz w:val="18"/>
                <w:szCs w:val="18"/>
              </w:rPr>
              <w:t>total</w:t>
            </w:r>
            <w:proofErr w:type="spellEnd"/>
          </w:p>
        </w:tc>
        <w:tc>
          <w:tcPr>
            <w:tcW w:w="1247" w:type="dxa"/>
            <w:shd w:val="clear" w:color="auto" w:fill="auto"/>
            <w:noWrap/>
            <w:vAlign w:val="center"/>
            <w:hideMark/>
          </w:tcPr>
          <w:p w14:paraId="78864926" w14:textId="5526F516" w:rsidR="00375056" w:rsidRPr="00BD27C2" w:rsidRDefault="00375056" w:rsidP="00BD27C2">
            <w:pPr>
              <w:spacing w:line="200" w:lineRule="exact"/>
              <w:jc w:val="right"/>
              <w:rPr>
                <w:rFonts w:eastAsia="Times New Roman" w:cs="Calibri"/>
                <w:color w:val="000000"/>
                <w:sz w:val="18"/>
                <w:szCs w:val="18"/>
              </w:rPr>
            </w:pPr>
            <w:r w:rsidRPr="00BD27C2">
              <w:rPr>
                <w:rFonts w:eastAsia="Times New Roman" w:cs="Calibri"/>
                <w:color w:val="000000"/>
                <w:sz w:val="18"/>
                <w:szCs w:val="18"/>
              </w:rPr>
              <w:t>2</w:t>
            </w:r>
            <w:r w:rsidR="00D41D60">
              <w:rPr>
                <w:rFonts w:eastAsia="Times New Roman" w:cs="Calibri"/>
                <w:color w:val="000000"/>
                <w:sz w:val="18"/>
                <w:szCs w:val="18"/>
              </w:rPr>
              <w:t>.</w:t>
            </w:r>
            <w:r w:rsidRPr="00BD27C2">
              <w:rPr>
                <w:rFonts w:eastAsia="Times New Roman" w:cs="Calibri"/>
                <w:color w:val="000000"/>
                <w:sz w:val="18"/>
                <w:szCs w:val="18"/>
              </w:rPr>
              <w:t>1</w:t>
            </w:r>
          </w:p>
        </w:tc>
        <w:tc>
          <w:tcPr>
            <w:tcW w:w="1247" w:type="dxa"/>
            <w:shd w:val="clear" w:color="auto" w:fill="auto"/>
            <w:noWrap/>
            <w:vAlign w:val="center"/>
            <w:hideMark/>
          </w:tcPr>
          <w:p w14:paraId="52B13761" w14:textId="77777777" w:rsidR="00375056" w:rsidRPr="00BD27C2" w:rsidRDefault="00375056" w:rsidP="00BD27C2">
            <w:pPr>
              <w:spacing w:line="200" w:lineRule="exact"/>
              <w:jc w:val="right"/>
              <w:rPr>
                <w:rFonts w:eastAsia="Times New Roman" w:cs="Calibri"/>
                <w:color w:val="000000"/>
                <w:sz w:val="18"/>
                <w:szCs w:val="18"/>
              </w:rPr>
            </w:pPr>
            <w:r w:rsidRPr="00BD27C2">
              <w:rPr>
                <w:rFonts w:eastAsia="Times New Roman" w:cs="Calibri"/>
                <w:color w:val="000000"/>
                <w:sz w:val="18"/>
                <w:szCs w:val="18"/>
              </w:rPr>
              <w:t>60 435</w:t>
            </w:r>
          </w:p>
        </w:tc>
        <w:tc>
          <w:tcPr>
            <w:tcW w:w="1247" w:type="dxa"/>
            <w:shd w:val="clear" w:color="auto" w:fill="auto"/>
            <w:noWrap/>
            <w:vAlign w:val="center"/>
            <w:hideMark/>
          </w:tcPr>
          <w:p w14:paraId="73A678C0" w14:textId="77777777" w:rsidR="00375056" w:rsidRPr="00BD27C2" w:rsidRDefault="00375056" w:rsidP="00BD27C2">
            <w:pPr>
              <w:spacing w:line="200" w:lineRule="exact"/>
              <w:jc w:val="right"/>
              <w:rPr>
                <w:rFonts w:eastAsia="Times New Roman" w:cs="Calibri"/>
                <w:color w:val="000000"/>
                <w:sz w:val="18"/>
                <w:szCs w:val="18"/>
              </w:rPr>
            </w:pPr>
            <w:r w:rsidRPr="00BD27C2">
              <w:rPr>
                <w:rFonts w:eastAsia="Times New Roman" w:cs="Calibri"/>
                <w:color w:val="000000"/>
                <w:sz w:val="18"/>
                <w:szCs w:val="18"/>
              </w:rPr>
              <w:t>56 726</w:t>
            </w:r>
          </w:p>
        </w:tc>
      </w:tr>
      <w:tr w:rsidR="00375056" w:rsidRPr="008258A8" w14:paraId="0159DF58" w14:textId="77777777" w:rsidTr="00D74D8D">
        <w:trPr>
          <w:trHeight w:val="20"/>
        </w:trPr>
        <w:tc>
          <w:tcPr>
            <w:tcW w:w="988" w:type="dxa"/>
            <w:vMerge/>
            <w:vAlign w:val="center"/>
            <w:hideMark/>
          </w:tcPr>
          <w:p w14:paraId="65C06FCD" w14:textId="77777777" w:rsidR="00375056" w:rsidRPr="00BD27C2" w:rsidRDefault="00375056" w:rsidP="00BD27C2">
            <w:pPr>
              <w:spacing w:line="200" w:lineRule="exact"/>
              <w:rPr>
                <w:rFonts w:eastAsia="Times New Roman" w:cs="Calibri"/>
                <w:color w:val="000000" w:themeColor="text1"/>
                <w:sz w:val="18"/>
                <w:szCs w:val="18"/>
              </w:rPr>
            </w:pPr>
          </w:p>
        </w:tc>
        <w:tc>
          <w:tcPr>
            <w:tcW w:w="1724" w:type="dxa"/>
            <w:vMerge w:val="restart"/>
            <w:shd w:val="clear" w:color="auto" w:fill="auto"/>
            <w:vAlign w:val="center"/>
            <w:hideMark/>
          </w:tcPr>
          <w:p w14:paraId="228DF9EB" w14:textId="7EAAEB22" w:rsidR="00375056" w:rsidRPr="00BD27C2" w:rsidRDefault="00D41D60" w:rsidP="00D41D60">
            <w:pPr>
              <w:spacing w:line="200" w:lineRule="exact"/>
              <w:ind w:left="-57" w:right="-57"/>
              <w:rPr>
                <w:rFonts w:eastAsia="Times New Roman" w:cs="Calibri"/>
                <w:color w:val="000000" w:themeColor="text1"/>
                <w:sz w:val="18"/>
                <w:szCs w:val="18"/>
              </w:rPr>
            </w:pPr>
            <w:proofErr w:type="spellStart"/>
            <w:r w:rsidRPr="008A61F9">
              <w:rPr>
                <w:rFonts w:eastAsia="Times New Roman" w:cs="Calibri"/>
                <w:color w:val="000000" w:themeColor="text1"/>
                <w:sz w:val="18"/>
                <w:szCs w:val="18"/>
              </w:rPr>
              <w:t>agglomeration</w:t>
            </w:r>
            <w:proofErr w:type="spellEnd"/>
            <w:r w:rsidRPr="008A61F9">
              <w:rPr>
                <w:rFonts w:eastAsia="Times New Roman" w:cs="Calibri"/>
                <w:color w:val="000000" w:themeColor="text1"/>
                <w:sz w:val="18"/>
                <w:szCs w:val="18"/>
              </w:rPr>
              <w:t xml:space="preserve"> </w:t>
            </w:r>
            <w:r>
              <w:rPr>
                <w:rFonts w:eastAsia="Times New Roman" w:cs="Calibri"/>
                <w:color w:val="000000" w:themeColor="text1"/>
                <w:sz w:val="18"/>
                <w:szCs w:val="18"/>
              </w:rPr>
              <w:br/>
            </w:r>
            <w:proofErr w:type="spellStart"/>
            <w:r w:rsidRPr="008A61F9">
              <w:rPr>
                <w:rFonts w:eastAsia="Times New Roman" w:cs="Calibri"/>
                <w:color w:val="000000" w:themeColor="text1"/>
                <w:sz w:val="18"/>
                <w:szCs w:val="18"/>
              </w:rPr>
              <w:t>rural</w:t>
            </w:r>
            <w:proofErr w:type="spellEnd"/>
            <w:r w:rsidRPr="008A61F9">
              <w:rPr>
                <w:rFonts w:eastAsia="Times New Roman" w:cs="Calibri"/>
                <w:color w:val="000000" w:themeColor="text1"/>
                <w:sz w:val="18"/>
                <w:szCs w:val="18"/>
              </w:rPr>
              <w:t xml:space="preserve"> </w:t>
            </w:r>
            <w:proofErr w:type="spellStart"/>
            <w:r w:rsidRPr="008A61F9">
              <w:rPr>
                <w:rFonts w:eastAsia="Times New Roman" w:cs="Calibri"/>
                <w:color w:val="000000" w:themeColor="text1"/>
                <w:sz w:val="18"/>
                <w:szCs w:val="18"/>
              </w:rPr>
              <w:t>areas</w:t>
            </w:r>
            <w:proofErr w:type="spellEnd"/>
            <w:r w:rsidRPr="00BD27C2">
              <w:rPr>
                <w:rFonts w:eastAsia="Times New Roman" w:cs="Calibri"/>
                <w:color w:val="000000" w:themeColor="text1"/>
                <w:sz w:val="18"/>
                <w:szCs w:val="18"/>
              </w:rPr>
              <w:t xml:space="preserve"> </w:t>
            </w:r>
          </w:p>
        </w:tc>
        <w:tc>
          <w:tcPr>
            <w:tcW w:w="1394" w:type="dxa"/>
            <w:shd w:val="clear" w:color="auto" w:fill="auto"/>
            <w:vAlign w:val="center"/>
            <w:hideMark/>
          </w:tcPr>
          <w:p w14:paraId="3BB97C2C" w14:textId="0F64AEDE" w:rsidR="00375056" w:rsidRPr="00BD27C2" w:rsidRDefault="00B36249" w:rsidP="00B36249">
            <w:pPr>
              <w:spacing w:line="200" w:lineRule="exact"/>
              <w:rPr>
                <w:rFonts w:eastAsia="Times New Roman" w:cs="Calibri"/>
                <w:color w:val="000000" w:themeColor="text1"/>
                <w:sz w:val="18"/>
                <w:szCs w:val="18"/>
              </w:rPr>
            </w:pPr>
            <w:proofErr w:type="spellStart"/>
            <w:r>
              <w:rPr>
                <w:rFonts w:eastAsia="Times New Roman" w:cs="Calibri"/>
                <w:color w:val="000000" w:themeColor="text1"/>
                <w:sz w:val="18"/>
                <w:szCs w:val="18"/>
              </w:rPr>
              <w:t>total</w:t>
            </w:r>
            <w:proofErr w:type="spellEnd"/>
          </w:p>
        </w:tc>
        <w:tc>
          <w:tcPr>
            <w:tcW w:w="1247" w:type="dxa"/>
            <w:shd w:val="clear" w:color="auto" w:fill="auto"/>
            <w:noWrap/>
            <w:vAlign w:val="center"/>
            <w:hideMark/>
          </w:tcPr>
          <w:p w14:paraId="55DD689E" w14:textId="3DE017FC" w:rsidR="00375056" w:rsidRPr="00BD27C2" w:rsidRDefault="00375056" w:rsidP="00BD27C2">
            <w:pPr>
              <w:spacing w:line="200" w:lineRule="exact"/>
              <w:jc w:val="right"/>
              <w:rPr>
                <w:rFonts w:eastAsia="Times New Roman" w:cs="Calibri"/>
                <w:color w:val="000000"/>
                <w:sz w:val="18"/>
                <w:szCs w:val="18"/>
              </w:rPr>
            </w:pPr>
            <w:r w:rsidRPr="00BD27C2">
              <w:rPr>
                <w:rFonts w:eastAsia="Times New Roman" w:cs="Calibri"/>
                <w:color w:val="000000"/>
                <w:sz w:val="18"/>
                <w:szCs w:val="18"/>
              </w:rPr>
              <w:t>1</w:t>
            </w:r>
            <w:r w:rsidR="00D41D60">
              <w:rPr>
                <w:rFonts w:eastAsia="Times New Roman" w:cs="Calibri"/>
                <w:color w:val="000000"/>
                <w:sz w:val="18"/>
                <w:szCs w:val="18"/>
              </w:rPr>
              <w:t>.</w:t>
            </w:r>
            <w:r w:rsidRPr="00BD27C2">
              <w:rPr>
                <w:rFonts w:eastAsia="Times New Roman" w:cs="Calibri"/>
                <w:color w:val="000000"/>
                <w:sz w:val="18"/>
                <w:szCs w:val="18"/>
              </w:rPr>
              <w:t>5</w:t>
            </w:r>
          </w:p>
        </w:tc>
        <w:tc>
          <w:tcPr>
            <w:tcW w:w="1247" w:type="dxa"/>
            <w:shd w:val="clear" w:color="auto" w:fill="auto"/>
            <w:noWrap/>
            <w:vAlign w:val="center"/>
            <w:hideMark/>
          </w:tcPr>
          <w:p w14:paraId="2A035DED" w14:textId="77777777" w:rsidR="00375056" w:rsidRPr="00BD27C2" w:rsidRDefault="00375056" w:rsidP="00BD27C2">
            <w:pPr>
              <w:spacing w:line="200" w:lineRule="exact"/>
              <w:jc w:val="right"/>
              <w:rPr>
                <w:rFonts w:eastAsia="Times New Roman" w:cs="Calibri"/>
                <w:color w:val="000000"/>
                <w:sz w:val="18"/>
                <w:szCs w:val="18"/>
              </w:rPr>
            </w:pPr>
            <w:r w:rsidRPr="00BD27C2">
              <w:rPr>
                <w:rFonts w:eastAsia="Times New Roman" w:cs="Calibri"/>
                <w:color w:val="000000"/>
                <w:sz w:val="18"/>
                <w:szCs w:val="18"/>
              </w:rPr>
              <w:t>68 552</w:t>
            </w:r>
          </w:p>
        </w:tc>
        <w:tc>
          <w:tcPr>
            <w:tcW w:w="1247" w:type="dxa"/>
            <w:shd w:val="clear" w:color="auto" w:fill="auto"/>
            <w:noWrap/>
            <w:vAlign w:val="center"/>
            <w:hideMark/>
          </w:tcPr>
          <w:p w14:paraId="5E370F7C" w14:textId="77777777" w:rsidR="00375056" w:rsidRPr="00BD27C2" w:rsidRDefault="00375056" w:rsidP="00BD27C2">
            <w:pPr>
              <w:spacing w:line="200" w:lineRule="exact"/>
              <w:jc w:val="right"/>
              <w:rPr>
                <w:rFonts w:eastAsia="Times New Roman" w:cs="Calibri"/>
                <w:color w:val="000000"/>
                <w:sz w:val="18"/>
                <w:szCs w:val="18"/>
              </w:rPr>
            </w:pPr>
            <w:r w:rsidRPr="00BD27C2">
              <w:rPr>
                <w:rFonts w:eastAsia="Times New Roman" w:cs="Calibri"/>
                <w:color w:val="000000"/>
                <w:sz w:val="18"/>
                <w:szCs w:val="18"/>
              </w:rPr>
              <w:t>64 125</w:t>
            </w:r>
          </w:p>
        </w:tc>
      </w:tr>
      <w:tr w:rsidR="00D41D60" w:rsidRPr="008258A8" w14:paraId="0AD510C9" w14:textId="77777777" w:rsidTr="00D74D8D">
        <w:trPr>
          <w:trHeight w:val="20"/>
        </w:trPr>
        <w:tc>
          <w:tcPr>
            <w:tcW w:w="988" w:type="dxa"/>
            <w:vMerge/>
            <w:vAlign w:val="center"/>
            <w:hideMark/>
          </w:tcPr>
          <w:p w14:paraId="6FD9D788" w14:textId="77777777" w:rsidR="00D41D60" w:rsidRPr="00BD27C2" w:rsidRDefault="00D41D60" w:rsidP="00D41D60">
            <w:pPr>
              <w:spacing w:line="200" w:lineRule="exact"/>
              <w:rPr>
                <w:rFonts w:eastAsia="Times New Roman" w:cs="Calibri"/>
                <w:color w:val="000000" w:themeColor="text1"/>
                <w:sz w:val="18"/>
                <w:szCs w:val="18"/>
              </w:rPr>
            </w:pPr>
          </w:p>
        </w:tc>
        <w:tc>
          <w:tcPr>
            <w:tcW w:w="1724" w:type="dxa"/>
            <w:vMerge/>
            <w:vAlign w:val="center"/>
            <w:hideMark/>
          </w:tcPr>
          <w:p w14:paraId="132E6ED3" w14:textId="77777777" w:rsidR="00D41D60" w:rsidRPr="00BD27C2" w:rsidRDefault="00D41D60" w:rsidP="00D41D60">
            <w:pPr>
              <w:spacing w:line="200" w:lineRule="exact"/>
              <w:ind w:right="-57"/>
              <w:rPr>
                <w:rFonts w:eastAsia="Times New Roman" w:cs="Calibri"/>
                <w:color w:val="000000" w:themeColor="text1"/>
                <w:sz w:val="18"/>
                <w:szCs w:val="18"/>
              </w:rPr>
            </w:pPr>
          </w:p>
        </w:tc>
        <w:tc>
          <w:tcPr>
            <w:tcW w:w="1394" w:type="dxa"/>
            <w:shd w:val="clear" w:color="auto" w:fill="auto"/>
            <w:vAlign w:val="center"/>
            <w:hideMark/>
          </w:tcPr>
          <w:p w14:paraId="775E61C0" w14:textId="436DE0A2" w:rsidR="00D41D60" w:rsidRPr="00BD27C2" w:rsidRDefault="00D41D60" w:rsidP="00D41D60">
            <w:pPr>
              <w:spacing w:line="200" w:lineRule="exact"/>
              <w:rPr>
                <w:rFonts w:eastAsia="Times New Roman" w:cs="Calibri"/>
                <w:color w:val="000000" w:themeColor="text1"/>
                <w:sz w:val="18"/>
                <w:szCs w:val="18"/>
              </w:rPr>
            </w:pPr>
            <w:r>
              <w:rPr>
                <w:rFonts w:eastAsia="Times New Roman" w:cs="Calibri"/>
                <w:color w:val="000000" w:themeColor="text1"/>
                <w:sz w:val="18"/>
                <w:szCs w:val="18"/>
              </w:rPr>
              <w:t>o</w:t>
            </w:r>
            <w:r w:rsidRPr="00DF646C">
              <w:rPr>
                <w:rFonts w:eastAsia="Times New Roman" w:cs="Calibri"/>
                <w:color w:val="000000" w:themeColor="text1"/>
                <w:sz w:val="18"/>
                <w:szCs w:val="18"/>
              </w:rPr>
              <w:t>f high</w:t>
            </w:r>
            <w:r>
              <w:rPr>
                <w:rFonts w:eastAsia="Times New Roman" w:cs="Calibri"/>
                <w:color w:val="000000" w:themeColor="text1"/>
                <w:sz w:val="18"/>
                <w:szCs w:val="18"/>
              </w:rPr>
              <w:t xml:space="preserve"> </w:t>
            </w:r>
            <w:proofErr w:type="spellStart"/>
            <w:r w:rsidRPr="00DF646C">
              <w:rPr>
                <w:rFonts w:eastAsia="Times New Roman" w:cs="Calibri"/>
                <w:color w:val="000000" w:themeColor="text1"/>
                <w:sz w:val="18"/>
                <w:szCs w:val="18"/>
              </w:rPr>
              <w:t>population</w:t>
            </w:r>
            <w:proofErr w:type="spellEnd"/>
            <w:r w:rsidRPr="00DF646C">
              <w:rPr>
                <w:rFonts w:eastAsia="Times New Roman" w:cs="Calibri"/>
                <w:color w:val="000000" w:themeColor="text1"/>
                <w:sz w:val="18"/>
                <w:szCs w:val="18"/>
              </w:rPr>
              <w:t xml:space="preserve"> </w:t>
            </w:r>
            <w:proofErr w:type="spellStart"/>
            <w:r w:rsidRPr="00DF646C">
              <w:rPr>
                <w:rFonts w:eastAsia="Times New Roman" w:cs="Calibri"/>
                <w:color w:val="000000" w:themeColor="text1"/>
                <w:sz w:val="18"/>
                <w:szCs w:val="18"/>
              </w:rPr>
              <w:t>density</w:t>
            </w:r>
            <w:proofErr w:type="spellEnd"/>
          </w:p>
        </w:tc>
        <w:tc>
          <w:tcPr>
            <w:tcW w:w="1247" w:type="dxa"/>
            <w:shd w:val="clear" w:color="auto" w:fill="auto"/>
            <w:noWrap/>
            <w:vAlign w:val="center"/>
            <w:hideMark/>
          </w:tcPr>
          <w:p w14:paraId="7AD8FF6D" w14:textId="2D2D117C" w:rsidR="00D41D60" w:rsidRPr="00BD27C2" w:rsidRDefault="00D41D60" w:rsidP="00D41D60">
            <w:pPr>
              <w:spacing w:line="200" w:lineRule="exact"/>
              <w:jc w:val="right"/>
              <w:rPr>
                <w:rFonts w:eastAsia="Times New Roman" w:cs="Calibri"/>
                <w:color w:val="000000"/>
                <w:sz w:val="18"/>
                <w:szCs w:val="18"/>
              </w:rPr>
            </w:pPr>
            <w:r w:rsidRPr="00BD27C2">
              <w:rPr>
                <w:rFonts w:eastAsia="Times New Roman" w:cs="Calibri"/>
                <w:color w:val="000000"/>
                <w:sz w:val="18"/>
                <w:szCs w:val="18"/>
              </w:rPr>
              <w:t>1</w:t>
            </w:r>
            <w:r>
              <w:rPr>
                <w:rFonts w:eastAsia="Times New Roman" w:cs="Calibri"/>
                <w:color w:val="000000"/>
                <w:sz w:val="18"/>
                <w:szCs w:val="18"/>
              </w:rPr>
              <w:t>.</w:t>
            </w:r>
            <w:r w:rsidRPr="00BD27C2">
              <w:rPr>
                <w:rFonts w:eastAsia="Times New Roman" w:cs="Calibri"/>
                <w:color w:val="000000"/>
                <w:sz w:val="18"/>
                <w:szCs w:val="18"/>
              </w:rPr>
              <w:t>4</w:t>
            </w:r>
          </w:p>
        </w:tc>
        <w:tc>
          <w:tcPr>
            <w:tcW w:w="1247" w:type="dxa"/>
            <w:shd w:val="clear" w:color="auto" w:fill="auto"/>
            <w:noWrap/>
            <w:vAlign w:val="center"/>
            <w:hideMark/>
          </w:tcPr>
          <w:p w14:paraId="71CC0263" w14:textId="77777777" w:rsidR="00D41D60" w:rsidRPr="00BD27C2" w:rsidRDefault="00D41D60" w:rsidP="00D41D60">
            <w:pPr>
              <w:spacing w:line="200" w:lineRule="exact"/>
              <w:jc w:val="right"/>
              <w:rPr>
                <w:rFonts w:eastAsia="Times New Roman" w:cs="Calibri"/>
                <w:color w:val="000000"/>
                <w:sz w:val="18"/>
                <w:szCs w:val="18"/>
              </w:rPr>
            </w:pPr>
            <w:r w:rsidRPr="00BD27C2">
              <w:rPr>
                <w:rFonts w:eastAsia="Times New Roman" w:cs="Calibri"/>
                <w:color w:val="000000"/>
                <w:sz w:val="18"/>
                <w:szCs w:val="18"/>
              </w:rPr>
              <w:t>74 284</w:t>
            </w:r>
          </w:p>
        </w:tc>
        <w:tc>
          <w:tcPr>
            <w:tcW w:w="1247" w:type="dxa"/>
            <w:shd w:val="clear" w:color="auto" w:fill="auto"/>
            <w:noWrap/>
            <w:vAlign w:val="center"/>
            <w:hideMark/>
          </w:tcPr>
          <w:p w14:paraId="3A8491AB" w14:textId="77777777" w:rsidR="00D41D60" w:rsidRPr="00BD27C2" w:rsidRDefault="00D41D60" w:rsidP="00D41D60">
            <w:pPr>
              <w:spacing w:line="200" w:lineRule="exact"/>
              <w:jc w:val="right"/>
              <w:rPr>
                <w:rFonts w:eastAsia="Times New Roman" w:cs="Calibri"/>
                <w:color w:val="000000"/>
                <w:sz w:val="18"/>
                <w:szCs w:val="18"/>
              </w:rPr>
            </w:pPr>
            <w:r w:rsidRPr="00BD27C2">
              <w:rPr>
                <w:rFonts w:eastAsia="Times New Roman" w:cs="Calibri"/>
                <w:color w:val="000000"/>
                <w:sz w:val="18"/>
                <w:szCs w:val="18"/>
              </w:rPr>
              <w:t>68 682</w:t>
            </w:r>
          </w:p>
        </w:tc>
      </w:tr>
      <w:tr w:rsidR="00D41D60" w:rsidRPr="008258A8" w14:paraId="1B581817" w14:textId="77777777" w:rsidTr="00D74D8D">
        <w:trPr>
          <w:trHeight w:val="20"/>
        </w:trPr>
        <w:tc>
          <w:tcPr>
            <w:tcW w:w="988" w:type="dxa"/>
            <w:vMerge/>
            <w:vAlign w:val="center"/>
            <w:hideMark/>
          </w:tcPr>
          <w:p w14:paraId="2AF1A352" w14:textId="77777777" w:rsidR="00D41D60" w:rsidRPr="00BD27C2" w:rsidRDefault="00D41D60" w:rsidP="00D41D60">
            <w:pPr>
              <w:spacing w:line="200" w:lineRule="exact"/>
              <w:rPr>
                <w:rFonts w:eastAsia="Times New Roman" w:cs="Calibri"/>
                <w:color w:val="000000" w:themeColor="text1"/>
                <w:sz w:val="18"/>
                <w:szCs w:val="18"/>
              </w:rPr>
            </w:pPr>
          </w:p>
        </w:tc>
        <w:tc>
          <w:tcPr>
            <w:tcW w:w="1724" w:type="dxa"/>
            <w:vMerge/>
            <w:vAlign w:val="center"/>
            <w:hideMark/>
          </w:tcPr>
          <w:p w14:paraId="13135264" w14:textId="77777777" w:rsidR="00D41D60" w:rsidRPr="00BD27C2" w:rsidRDefault="00D41D60" w:rsidP="00D41D60">
            <w:pPr>
              <w:spacing w:line="200" w:lineRule="exact"/>
              <w:ind w:right="-57"/>
              <w:rPr>
                <w:rFonts w:eastAsia="Times New Roman" w:cs="Calibri"/>
                <w:color w:val="000000" w:themeColor="text1"/>
                <w:sz w:val="18"/>
                <w:szCs w:val="18"/>
              </w:rPr>
            </w:pPr>
          </w:p>
        </w:tc>
        <w:tc>
          <w:tcPr>
            <w:tcW w:w="1394" w:type="dxa"/>
            <w:shd w:val="clear" w:color="auto" w:fill="auto"/>
            <w:vAlign w:val="center"/>
            <w:hideMark/>
          </w:tcPr>
          <w:p w14:paraId="674C7262" w14:textId="2BB244D5" w:rsidR="00D41D60" w:rsidRPr="00BD27C2" w:rsidRDefault="00D41D60" w:rsidP="00D41D60">
            <w:pPr>
              <w:spacing w:line="200" w:lineRule="exact"/>
              <w:rPr>
                <w:rFonts w:eastAsia="Times New Roman" w:cs="Calibri"/>
                <w:color w:val="000000" w:themeColor="text1"/>
                <w:sz w:val="18"/>
                <w:szCs w:val="18"/>
              </w:rPr>
            </w:pPr>
            <w:r>
              <w:rPr>
                <w:rFonts w:eastAsia="Times New Roman" w:cs="Calibri"/>
                <w:color w:val="000000" w:themeColor="text1"/>
                <w:sz w:val="18"/>
                <w:szCs w:val="18"/>
              </w:rPr>
              <w:t xml:space="preserve">of </w:t>
            </w:r>
            <w:proofErr w:type="spellStart"/>
            <w:r w:rsidRPr="002E73B1">
              <w:rPr>
                <w:rFonts w:eastAsia="Times New Roman" w:cs="Calibri"/>
                <w:color w:val="000000" w:themeColor="text1"/>
                <w:sz w:val="18"/>
                <w:szCs w:val="18"/>
              </w:rPr>
              <w:t>low</w:t>
            </w:r>
            <w:proofErr w:type="spellEnd"/>
            <w:r w:rsidRPr="002E73B1">
              <w:rPr>
                <w:rFonts w:eastAsia="Times New Roman" w:cs="Calibri"/>
                <w:color w:val="000000" w:themeColor="text1"/>
                <w:sz w:val="18"/>
                <w:szCs w:val="18"/>
              </w:rPr>
              <w:t xml:space="preserve"> </w:t>
            </w:r>
            <w:proofErr w:type="spellStart"/>
            <w:r w:rsidRPr="002E73B1">
              <w:rPr>
                <w:rFonts w:eastAsia="Times New Roman" w:cs="Calibri"/>
                <w:color w:val="000000" w:themeColor="text1"/>
                <w:sz w:val="18"/>
                <w:szCs w:val="18"/>
              </w:rPr>
              <w:t>population</w:t>
            </w:r>
            <w:proofErr w:type="spellEnd"/>
            <w:r w:rsidRPr="002E73B1">
              <w:rPr>
                <w:rFonts w:eastAsia="Times New Roman" w:cs="Calibri"/>
                <w:color w:val="000000" w:themeColor="text1"/>
                <w:sz w:val="18"/>
                <w:szCs w:val="18"/>
              </w:rPr>
              <w:t xml:space="preserve"> </w:t>
            </w:r>
            <w:proofErr w:type="spellStart"/>
            <w:r w:rsidRPr="002E73B1">
              <w:rPr>
                <w:rFonts w:eastAsia="Times New Roman" w:cs="Calibri"/>
                <w:color w:val="000000" w:themeColor="text1"/>
                <w:sz w:val="18"/>
                <w:szCs w:val="18"/>
              </w:rPr>
              <w:t>density</w:t>
            </w:r>
            <w:proofErr w:type="spellEnd"/>
            <w:r w:rsidRPr="002E73B1" w:rsidDel="002E73B1">
              <w:rPr>
                <w:rFonts w:eastAsia="Times New Roman" w:cs="Calibri"/>
                <w:color w:val="000000" w:themeColor="text1"/>
                <w:sz w:val="18"/>
                <w:szCs w:val="18"/>
              </w:rPr>
              <w:t xml:space="preserve"> </w:t>
            </w:r>
          </w:p>
        </w:tc>
        <w:tc>
          <w:tcPr>
            <w:tcW w:w="1247" w:type="dxa"/>
            <w:shd w:val="clear" w:color="auto" w:fill="auto"/>
            <w:noWrap/>
            <w:vAlign w:val="center"/>
            <w:hideMark/>
          </w:tcPr>
          <w:p w14:paraId="7ACD124F" w14:textId="0BC9318E" w:rsidR="00D41D60" w:rsidRPr="00BD27C2" w:rsidRDefault="00D41D60" w:rsidP="00D41D60">
            <w:pPr>
              <w:spacing w:line="200" w:lineRule="exact"/>
              <w:jc w:val="right"/>
              <w:rPr>
                <w:rFonts w:eastAsia="Times New Roman" w:cs="Calibri"/>
                <w:color w:val="000000"/>
                <w:sz w:val="18"/>
                <w:szCs w:val="18"/>
              </w:rPr>
            </w:pPr>
            <w:r w:rsidRPr="00BD27C2">
              <w:rPr>
                <w:rFonts w:eastAsia="Times New Roman" w:cs="Calibri"/>
                <w:color w:val="000000"/>
                <w:sz w:val="18"/>
                <w:szCs w:val="18"/>
              </w:rPr>
              <w:t>1</w:t>
            </w:r>
            <w:r>
              <w:rPr>
                <w:rFonts w:eastAsia="Times New Roman" w:cs="Calibri"/>
                <w:color w:val="000000"/>
                <w:sz w:val="18"/>
                <w:szCs w:val="18"/>
              </w:rPr>
              <w:t>.</w:t>
            </w:r>
            <w:r w:rsidRPr="00BD27C2">
              <w:rPr>
                <w:rFonts w:eastAsia="Times New Roman" w:cs="Calibri"/>
                <w:color w:val="000000"/>
                <w:sz w:val="18"/>
                <w:szCs w:val="18"/>
              </w:rPr>
              <w:t>5</w:t>
            </w:r>
          </w:p>
        </w:tc>
        <w:tc>
          <w:tcPr>
            <w:tcW w:w="1247" w:type="dxa"/>
            <w:shd w:val="clear" w:color="auto" w:fill="auto"/>
            <w:noWrap/>
            <w:vAlign w:val="center"/>
            <w:hideMark/>
          </w:tcPr>
          <w:p w14:paraId="28445271" w14:textId="77777777" w:rsidR="00D41D60" w:rsidRPr="00BD27C2" w:rsidRDefault="00D41D60" w:rsidP="00D41D60">
            <w:pPr>
              <w:spacing w:line="200" w:lineRule="exact"/>
              <w:jc w:val="right"/>
              <w:rPr>
                <w:rFonts w:eastAsia="Times New Roman" w:cs="Calibri"/>
                <w:color w:val="000000"/>
                <w:sz w:val="18"/>
                <w:szCs w:val="18"/>
              </w:rPr>
            </w:pPr>
            <w:r w:rsidRPr="00BD27C2">
              <w:rPr>
                <w:rFonts w:eastAsia="Times New Roman" w:cs="Calibri"/>
                <w:color w:val="000000"/>
                <w:sz w:val="18"/>
                <w:szCs w:val="18"/>
              </w:rPr>
              <w:t>62 832</w:t>
            </w:r>
          </w:p>
        </w:tc>
        <w:tc>
          <w:tcPr>
            <w:tcW w:w="1247" w:type="dxa"/>
            <w:shd w:val="clear" w:color="auto" w:fill="auto"/>
            <w:noWrap/>
            <w:vAlign w:val="center"/>
            <w:hideMark/>
          </w:tcPr>
          <w:p w14:paraId="601B88B3" w14:textId="77777777" w:rsidR="00D41D60" w:rsidRPr="00BD27C2" w:rsidRDefault="00D41D60" w:rsidP="00D41D60">
            <w:pPr>
              <w:spacing w:line="200" w:lineRule="exact"/>
              <w:jc w:val="right"/>
              <w:rPr>
                <w:rFonts w:eastAsia="Times New Roman" w:cs="Calibri"/>
                <w:color w:val="000000"/>
                <w:sz w:val="18"/>
                <w:szCs w:val="18"/>
              </w:rPr>
            </w:pPr>
            <w:r w:rsidRPr="00BD27C2">
              <w:rPr>
                <w:rFonts w:eastAsia="Times New Roman" w:cs="Calibri"/>
                <w:color w:val="000000"/>
                <w:sz w:val="18"/>
                <w:szCs w:val="18"/>
              </w:rPr>
              <w:t>59 659</w:t>
            </w:r>
          </w:p>
        </w:tc>
      </w:tr>
      <w:tr w:rsidR="00375056" w:rsidRPr="008258A8" w14:paraId="5F3C714F" w14:textId="77777777" w:rsidTr="00D74D8D">
        <w:trPr>
          <w:trHeight w:val="20"/>
        </w:trPr>
        <w:tc>
          <w:tcPr>
            <w:tcW w:w="988" w:type="dxa"/>
            <w:vMerge/>
            <w:vAlign w:val="center"/>
            <w:hideMark/>
          </w:tcPr>
          <w:p w14:paraId="1DA0F4C3" w14:textId="77777777" w:rsidR="00375056" w:rsidRPr="00BD27C2" w:rsidRDefault="00375056" w:rsidP="00BD27C2">
            <w:pPr>
              <w:spacing w:line="200" w:lineRule="exact"/>
              <w:rPr>
                <w:rFonts w:eastAsia="Times New Roman" w:cs="Calibri"/>
                <w:color w:val="000000" w:themeColor="text1"/>
                <w:sz w:val="18"/>
                <w:szCs w:val="18"/>
              </w:rPr>
            </w:pPr>
          </w:p>
        </w:tc>
        <w:tc>
          <w:tcPr>
            <w:tcW w:w="1724" w:type="dxa"/>
            <w:vMerge w:val="restart"/>
            <w:shd w:val="clear" w:color="auto" w:fill="auto"/>
            <w:vAlign w:val="center"/>
            <w:hideMark/>
          </w:tcPr>
          <w:p w14:paraId="42DA9E7A" w14:textId="07A66DD7" w:rsidR="00375056" w:rsidRPr="00BD27C2" w:rsidRDefault="00D41D60" w:rsidP="00D41D60">
            <w:pPr>
              <w:spacing w:line="200" w:lineRule="exact"/>
              <w:ind w:left="-57" w:right="-57"/>
              <w:rPr>
                <w:rFonts w:eastAsia="Times New Roman" w:cs="Calibri"/>
                <w:color w:val="000000" w:themeColor="text1"/>
                <w:sz w:val="18"/>
                <w:szCs w:val="18"/>
              </w:rPr>
            </w:pPr>
            <w:bookmarkStart w:id="2" w:name="_Hlk224900855"/>
            <w:r w:rsidRPr="008A61F9">
              <w:rPr>
                <w:rFonts w:eastAsia="Times New Roman" w:cs="Calibri"/>
                <w:color w:val="000000" w:themeColor="text1"/>
                <w:sz w:val="18"/>
                <w:szCs w:val="18"/>
              </w:rPr>
              <w:t>non-</w:t>
            </w:r>
            <w:proofErr w:type="spellStart"/>
            <w:r w:rsidRPr="008A61F9">
              <w:rPr>
                <w:rFonts w:eastAsia="Times New Roman" w:cs="Calibri"/>
                <w:color w:val="000000" w:themeColor="text1"/>
                <w:sz w:val="18"/>
                <w:szCs w:val="18"/>
              </w:rPr>
              <w:t>agglomeration</w:t>
            </w:r>
            <w:proofErr w:type="spellEnd"/>
            <w:r w:rsidRPr="008A61F9">
              <w:rPr>
                <w:rFonts w:eastAsia="Times New Roman" w:cs="Calibri"/>
                <w:color w:val="000000" w:themeColor="text1"/>
                <w:sz w:val="18"/>
                <w:szCs w:val="18"/>
              </w:rPr>
              <w:t xml:space="preserve"> </w:t>
            </w:r>
            <w:proofErr w:type="spellStart"/>
            <w:r w:rsidRPr="008A61F9">
              <w:rPr>
                <w:rFonts w:eastAsia="Times New Roman" w:cs="Calibri"/>
                <w:color w:val="000000" w:themeColor="text1"/>
                <w:sz w:val="18"/>
                <w:szCs w:val="18"/>
              </w:rPr>
              <w:t>rural</w:t>
            </w:r>
            <w:proofErr w:type="spellEnd"/>
            <w:r w:rsidRPr="008A61F9">
              <w:rPr>
                <w:rFonts w:eastAsia="Times New Roman" w:cs="Calibri"/>
                <w:color w:val="000000" w:themeColor="text1"/>
                <w:sz w:val="18"/>
                <w:szCs w:val="18"/>
              </w:rPr>
              <w:t xml:space="preserve"> </w:t>
            </w:r>
            <w:proofErr w:type="spellStart"/>
            <w:r w:rsidRPr="008A61F9">
              <w:rPr>
                <w:rFonts w:eastAsia="Times New Roman" w:cs="Calibri"/>
                <w:color w:val="000000" w:themeColor="text1"/>
                <w:sz w:val="18"/>
                <w:szCs w:val="18"/>
              </w:rPr>
              <w:t>areas</w:t>
            </w:r>
            <w:bookmarkEnd w:id="2"/>
            <w:proofErr w:type="spellEnd"/>
            <w:r w:rsidRPr="00BD27C2">
              <w:rPr>
                <w:rFonts w:eastAsia="Times New Roman" w:cs="Calibri"/>
                <w:color w:val="000000" w:themeColor="text1"/>
                <w:sz w:val="18"/>
                <w:szCs w:val="18"/>
              </w:rPr>
              <w:t xml:space="preserve"> </w:t>
            </w:r>
          </w:p>
        </w:tc>
        <w:tc>
          <w:tcPr>
            <w:tcW w:w="1394" w:type="dxa"/>
            <w:shd w:val="clear" w:color="auto" w:fill="auto"/>
            <w:vAlign w:val="center"/>
            <w:hideMark/>
          </w:tcPr>
          <w:p w14:paraId="57FE8CA7" w14:textId="64B03441" w:rsidR="00375056" w:rsidRPr="00BD27C2" w:rsidRDefault="00B36249" w:rsidP="00B36249">
            <w:pPr>
              <w:spacing w:line="200" w:lineRule="exact"/>
              <w:rPr>
                <w:rFonts w:eastAsia="Times New Roman" w:cs="Calibri"/>
                <w:color w:val="000000" w:themeColor="text1"/>
                <w:sz w:val="18"/>
                <w:szCs w:val="18"/>
              </w:rPr>
            </w:pPr>
            <w:proofErr w:type="spellStart"/>
            <w:r>
              <w:rPr>
                <w:rFonts w:eastAsia="Times New Roman" w:cs="Calibri"/>
                <w:color w:val="000000" w:themeColor="text1"/>
                <w:sz w:val="18"/>
                <w:szCs w:val="18"/>
              </w:rPr>
              <w:t>total</w:t>
            </w:r>
            <w:proofErr w:type="spellEnd"/>
          </w:p>
        </w:tc>
        <w:tc>
          <w:tcPr>
            <w:tcW w:w="1247" w:type="dxa"/>
            <w:shd w:val="clear" w:color="auto" w:fill="auto"/>
            <w:noWrap/>
            <w:vAlign w:val="center"/>
            <w:hideMark/>
          </w:tcPr>
          <w:p w14:paraId="5B66D6CE" w14:textId="5C888B91" w:rsidR="00375056" w:rsidRPr="00BD27C2" w:rsidRDefault="00375056" w:rsidP="00BD27C2">
            <w:pPr>
              <w:spacing w:line="200" w:lineRule="exact"/>
              <w:jc w:val="right"/>
              <w:rPr>
                <w:rFonts w:eastAsia="Times New Roman" w:cs="Calibri"/>
                <w:color w:val="000000"/>
                <w:sz w:val="18"/>
                <w:szCs w:val="18"/>
              </w:rPr>
            </w:pPr>
            <w:r w:rsidRPr="00BD27C2">
              <w:rPr>
                <w:rFonts w:eastAsia="Times New Roman" w:cs="Calibri"/>
                <w:color w:val="000000"/>
                <w:sz w:val="18"/>
                <w:szCs w:val="18"/>
              </w:rPr>
              <w:t>2</w:t>
            </w:r>
            <w:r w:rsidR="00D41D60">
              <w:rPr>
                <w:rFonts w:eastAsia="Times New Roman" w:cs="Calibri"/>
                <w:color w:val="000000"/>
                <w:sz w:val="18"/>
                <w:szCs w:val="18"/>
              </w:rPr>
              <w:t>.</w:t>
            </w:r>
            <w:r w:rsidRPr="00BD27C2">
              <w:rPr>
                <w:rFonts w:eastAsia="Times New Roman" w:cs="Calibri"/>
                <w:color w:val="000000"/>
                <w:sz w:val="18"/>
                <w:szCs w:val="18"/>
              </w:rPr>
              <w:t>3</w:t>
            </w:r>
          </w:p>
        </w:tc>
        <w:tc>
          <w:tcPr>
            <w:tcW w:w="1247" w:type="dxa"/>
            <w:shd w:val="clear" w:color="auto" w:fill="auto"/>
            <w:noWrap/>
            <w:vAlign w:val="center"/>
            <w:hideMark/>
          </w:tcPr>
          <w:p w14:paraId="134B8B82" w14:textId="77777777" w:rsidR="00375056" w:rsidRPr="00BD27C2" w:rsidRDefault="00375056" w:rsidP="00BD27C2">
            <w:pPr>
              <w:spacing w:line="200" w:lineRule="exact"/>
              <w:jc w:val="right"/>
              <w:rPr>
                <w:rFonts w:eastAsia="Times New Roman" w:cs="Calibri"/>
                <w:color w:val="000000"/>
                <w:sz w:val="18"/>
                <w:szCs w:val="18"/>
              </w:rPr>
            </w:pPr>
            <w:r w:rsidRPr="00BD27C2">
              <w:rPr>
                <w:rFonts w:eastAsia="Times New Roman" w:cs="Calibri"/>
                <w:color w:val="000000"/>
                <w:sz w:val="18"/>
                <w:szCs w:val="18"/>
              </w:rPr>
              <w:t>57 566</w:t>
            </w:r>
          </w:p>
        </w:tc>
        <w:tc>
          <w:tcPr>
            <w:tcW w:w="1247" w:type="dxa"/>
            <w:shd w:val="clear" w:color="auto" w:fill="auto"/>
            <w:noWrap/>
            <w:vAlign w:val="center"/>
            <w:hideMark/>
          </w:tcPr>
          <w:p w14:paraId="5433B891" w14:textId="77777777" w:rsidR="00375056" w:rsidRPr="00BD27C2" w:rsidRDefault="00375056" w:rsidP="00BD27C2">
            <w:pPr>
              <w:spacing w:line="200" w:lineRule="exact"/>
              <w:jc w:val="right"/>
              <w:rPr>
                <w:rFonts w:eastAsia="Times New Roman" w:cs="Calibri"/>
                <w:color w:val="000000"/>
                <w:sz w:val="18"/>
                <w:szCs w:val="18"/>
              </w:rPr>
            </w:pPr>
            <w:r w:rsidRPr="00BD27C2">
              <w:rPr>
                <w:rFonts w:eastAsia="Times New Roman" w:cs="Calibri"/>
                <w:color w:val="000000"/>
                <w:sz w:val="18"/>
                <w:szCs w:val="18"/>
              </w:rPr>
              <w:t>54 610</w:t>
            </w:r>
          </w:p>
        </w:tc>
      </w:tr>
      <w:tr w:rsidR="00D41D60" w:rsidRPr="008258A8" w14:paraId="794D0B4F" w14:textId="77777777" w:rsidTr="00D74D8D">
        <w:trPr>
          <w:trHeight w:val="20"/>
        </w:trPr>
        <w:tc>
          <w:tcPr>
            <w:tcW w:w="988" w:type="dxa"/>
            <w:vMerge/>
            <w:vAlign w:val="center"/>
            <w:hideMark/>
          </w:tcPr>
          <w:p w14:paraId="2CD3CD59" w14:textId="77777777" w:rsidR="00D41D60" w:rsidRPr="00BD27C2" w:rsidRDefault="00D41D60" w:rsidP="00D41D60">
            <w:pPr>
              <w:spacing w:line="200" w:lineRule="exact"/>
              <w:rPr>
                <w:rFonts w:eastAsia="Times New Roman" w:cs="Calibri"/>
                <w:color w:val="000000" w:themeColor="text1"/>
                <w:sz w:val="18"/>
                <w:szCs w:val="18"/>
              </w:rPr>
            </w:pPr>
          </w:p>
        </w:tc>
        <w:tc>
          <w:tcPr>
            <w:tcW w:w="1724" w:type="dxa"/>
            <w:vMerge/>
            <w:vAlign w:val="center"/>
            <w:hideMark/>
          </w:tcPr>
          <w:p w14:paraId="5479AD84" w14:textId="77777777" w:rsidR="00D41D60" w:rsidRPr="00BD27C2" w:rsidRDefault="00D41D60" w:rsidP="00D41D60">
            <w:pPr>
              <w:spacing w:line="200" w:lineRule="exact"/>
              <w:rPr>
                <w:rFonts w:eastAsia="Times New Roman" w:cs="Calibri"/>
                <w:color w:val="000000" w:themeColor="text1"/>
                <w:sz w:val="18"/>
                <w:szCs w:val="18"/>
              </w:rPr>
            </w:pPr>
          </w:p>
        </w:tc>
        <w:tc>
          <w:tcPr>
            <w:tcW w:w="1394" w:type="dxa"/>
            <w:shd w:val="clear" w:color="auto" w:fill="auto"/>
            <w:vAlign w:val="center"/>
            <w:hideMark/>
          </w:tcPr>
          <w:p w14:paraId="5B028727" w14:textId="1CC2134A" w:rsidR="00D41D60" w:rsidRPr="00BD27C2" w:rsidRDefault="00D41D60" w:rsidP="00D41D60">
            <w:pPr>
              <w:spacing w:line="200" w:lineRule="exact"/>
              <w:rPr>
                <w:rFonts w:eastAsia="Times New Roman" w:cs="Calibri"/>
                <w:color w:val="000000" w:themeColor="text1"/>
                <w:sz w:val="18"/>
                <w:szCs w:val="18"/>
              </w:rPr>
            </w:pPr>
            <w:r>
              <w:rPr>
                <w:rFonts w:eastAsia="Times New Roman" w:cs="Calibri"/>
                <w:color w:val="000000" w:themeColor="text1"/>
                <w:sz w:val="18"/>
                <w:szCs w:val="18"/>
              </w:rPr>
              <w:t>o</w:t>
            </w:r>
            <w:r w:rsidRPr="00DF646C">
              <w:rPr>
                <w:rFonts w:eastAsia="Times New Roman" w:cs="Calibri"/>
                <w:color w:val="000000" w:themeColor="text1"/>
                <w:sz w:val="18"/>
                <w:szCs w:val="18"/>
              </w:rPr>
              <w:t>f high</w:t>
            </w:r>
            <w:r>
              <w:rPr>
                <w:rFonts w:eastAsia="Times New Roman" w:cs="Calibri"/>
                <w:color w:val="000000" w:themeColor="text1"/>
                <w:sz w:val="18"/>
                <w:szCs w:val="18"/>
              </w:rPr>
              <w:t xml:space="preserve"> </w:t>
            </w:r>
            <w:proofErr w:type="spellStart"/>
            <w:r w:rsidRPr="00DF646C">
              <w:rPr>
                <w:rFonts w:eastAsia="Times New Roman" w:cs="Calibri"/>
                <w:color w:val="000000" w:themeColor="text1"/>
                <w:sz w:val="18"/>
                <w:szCs w:val="18"/>
              </w:rPr>
              <w:t>population</w:t>
            </w:r>
            <w:proofErr w:type="spellEnd"/>
            <w:r w:rsidRPr="00DF646C">
              <w:rPr>
                <w:rFonts w:eastAsia="Times New Roman" w:cs="Calibri"/>
                <w:color w:val="000000" w:themeColor="text1"/>
                <w:sz w:val="18"/>
                <w:szCs w:val="18"/>
              </w:rPr>
              <w:t xml:space="preserve"> </w:t>
            </w:r>
            <w:proofErr w:type="spellStart"/>
            <w:r w:rsidRPr="00DF646C">
              <w:rPr>
                <w:rFonts w:eastAsia="Times New Roman" w:cs="Calibri"/>
                <w:color w:val="000000" w:themeColor="text1"/>
                <w:sz w:val="18"/>
                <w:szCs w:val="18"/>
              </w:rPr>
              <w:t>density</w:t>
            </w:r>
            <w:proofErr w:type="spellEnd"/>
          </w:p>
        </w:tc>
        <w:tc>
          <w:tcPr>
            <w:tcW w:w="1247" w:type="dxa"/>
            <w:shd w:val="clear" w:color="auto" w:fill="auto"/>
            <w:noWrap/>
            <w:vAlign w:val="center"/>
            <w:hideMark/>
          </w:tcPr>
          <w:p w14:paraId="0B07DA15" w14:textId="460BE323" w:rsidR="00D41D60" w:rsidRPr="00BD27C2" w:rsidRDefault="00D41D60" w:rsidP="00D41D60">
            <w:pPr>
              <w:spacing w:line="200" w:lineRule="exact"/>
              <w:jc w:val="right"/>
              <w:rPr>
                <w:rFonts w:eastAsia="Times New Roman" w:cs="Calibri"/>
                <w:color w:val="000000"/>
                <w:sz w:val="18"/>
                <w:szCs w:val="18"/>
              </w:rPr>
            </w:pPr>
            <w:r w:rsidRPr="00BD27C2">
              <w:rPr>
                <w:rFonts w:eastAsia="Times New Roman" w:cs="Calibri"/>
                <w:color w:val="000000"/>
                <w:sz w:val="18"/>
                <w:szCs w:val="18"/>
              </w:rPr>
              <w:t>2</w:t>
            </w:r>
            <w:r>
              <w:rPr>
                <w:rFonts w:eastAsia="Times New Roman" w:cs="Calibri"/>
                <w:color w:val="000000"/>
                <w:sz w:val="18"/>
                <w:szCs w:val="18"/>
              </w:rPr>
              <w:t>.</w:t>
            </w:r>
            <w:r w:rsidRPr="00BD27C2">
              <w:rPr>
                <w:rFonts w:eastAsia="Times New Roman" w:cs="Calibri"/>
                <w:color w:val="000000"/>
                <w:sz w:val="18"/>
                <w:szCs w:val="18"/>
              </w:rPr>
              <w:t>5</w:t>
            </w:r>
          </w:p>
        </w:tc>
        <w:tc>
          <w:tcPr>
            <w:tcW w:w="1247" w:type="dxa"/>
            <w:shd w:val="clear" w:color="auto" w:fill="auto"/>
            <w:noWrap/>
            <w:vAlign w:val="center"/>
            <w:hideMark/>
          </w:tcPr>
          <w:p w14:paraId="47461538" w14:textId="77777777" w:rsidR="00D41D60" w:rsidRPr="00BD27C2" w:rsidRDefault="00D41D60" w:rsidP="00D41D60">
            <w:pPr>
              <w:spacing w:line="200" w:lineRule="exact"/>
              <w:jc w:val="right"/>
              <w:rPr>
                <w:rFonts w:eastAsia="Times New Roman" w:cs="Calibri"/>
                <w:color w:val="000000"/>
                <w:sz w:val="18"/>
                <w:szCs w:val="18"/>
              </w:rPr>
            </w:pPr>
            <w:r w:rsidRPr="00BD27C2">
              <w:rPr>
                <w:rFonts w:eastAsia="Times New Roman" w:cs="Calibri"/>
                <w:color w:val="000000"/>
                <w:sz w:val="18"/>
                <w:szCs w:val="18"/>
              </w:rPr>
              <w:t>58 630</w:t>
            </w:r>
          </w:p>
        </w:tc>
        <w:tc>
          <w:tcPr>
            <w:tcW w:w="1247" w:type="dxa"/>
            <w:shd w:val="clear" w:color="auto" w:fill="auto"/>
            <w:noWrap/>
            <w:vAlign w:val="center"/>
            <w:hideMark/>
          </w:tcPr>
          <w:p w14:paraId="66A8EB05" w14:textId="77777777" w:rsidR="00D41D60" w:rsidRPr="00BD27C2" w:rsidRDefault="00D41D60" w:rsidP="00D41D60">
            <w:pPr>
              <w:spacing w:line="200" w:lineRule="exact"/>
              <w:jc w:val="right"/>
              <w:rPr>
                <w:rFonts w:eastAsia="Times New Roman" w:cs="Calibri"/>
                <w:color w:val="000000"/>
                <w:sz w:val="18"/>
                <w:szCs w:val="18"/>
              </w:rPr>
            </w:pPr>
            <w:r w:rsidRPr="00BD27C2">
              <w:rPr>
                <w:rFonts w:eastAsia="Times New Roman" w:cs="Calibri"/>
                <w:color w:val="000000"/>
                <w:sz w:val="18"/>
                <w:szCs w:val="18"/>
              </w:rPr>
              <w:t>55 944</w:t>
            </w:r>
          </w:p>
        </w:tc>
      </w:tr>
      <w:tr w:rsidR="00D41D60" w:rsidRPr="008258A8" w14:paraId="1B3A805B" w14:textId="77777777" w:rsidTr="00D74D8D">
        <w:trPr>
          <w:trHeight w:val="20"/>
        </w:trPr>
        <w:tc>
          <w:tcPr>
            <w:tcW w:w="988" w:type="dxa"/>
            <w:vMerge/>
            <w:vAlign w:val="center"/>
            <w:hideMark/>
          </w:tcPr>
          <w:p w14:paraId="1BB7D681" w14:textId="77777777" w:rsidR="00D41D60" w:rsidRPr="00BD27C2" w:rsidRDefault="00D41D60" w:rsidP="00D41D60">
            <w:pPr>
              <w:spacing w:line="200" w:lineRule="exact"/>
              <w:rPr>
                <w:rFonts w:eastAsia="Times New Roman" w:cs="Calibri"/>
                <w:color w:val="000000" w:themeColor="text1"/>
                <w:sz w:val="18"/>
                <w:szCs w:val="18"/>
              </w:rPr>
            </w:pPr>
          </w:p>
        </w:tc>
        <w:tc>
          <w:tcPr>
            <w:tcW w:w="1724" w:type="dxa"/>
            <w:vMerge/>
            <w:vAlign w:val="center"/>
            <w:hideMark/>
          </w:tcPr>
          <w:p w14:paraId="76ACCFA1" w14:textId="77777777" w:rsidR="00D41D60" w:rsidRPr="00BD27C2" w:rsidRDefault="00D41D60" w:rsidP="00D41D60">
            <w:pPr>
              <w:spacing w:line="200" w:lineRule="exact"/>
              <w:rPr>
                <w:rFonts w:eastAsia="Times New Roman" w:cs="Calibri"/>
                <w:color w:val="000000" w:themeColor="text1"/>
                <w:sz w:val="18"/>
                <w:szCs w:val="18"/>
              </w:rPr>
            </w:pPr>
          </w:p>
        </w:tc>
        <w:tc>
          <w:tcPr>
            <w:tcW w:w="1394" w:type="dxa"/>
            <w:shd w:val="clear" w:color="auto" w:fill="auto"/>
            <w:vAlign w:val="center"/>
            <w:hideMark/>
          </w:tcPr>
          <w:p w14:paraId="5EA6393D" w14:textId="08D1922B" w:rsidR="00D41D60" w:rsidRPr="00BD27C2" w:rsidRDefault="00D41D60" w:rsidP="00D41D60">
            <w:pPr>
              <w:spacing w:line="200" w:lineRule="exact"/>
              <w:rPr>
                <w:rFonts w:eastAsia="Times New Roman" w:cs="Calibri"/>
                <w:color w:val="000000" w:themeColor="text1"/>
                <w:sz w:val="18"/>
                <w:szCs w:val="18"/>
              </w:rPr>
            </w:pPr>
            <w:r>
              <w:rPr>
                <w:rFonts w:eastAsia="Times New Roman" w:cs="Calibri"/>
                <w:color w:val="000000" w:themeColor="text1"/>
                <w:sz w:val="18"/>
                <w:szCs w:val="18"/>
              </w:rPr>
              <w:t xml:space="preserve">of </w:t>
            </w:r>
            <w:proofErr w:type="spellStart"/>
            <w:r w:rsidRPr="002E73B1">
              <w:rPr>
                <w:rFonts w:eastAsia="Times New Roman" w:cs="Calibri"/>
                <w:color w:val="000000" w:themeColor="text1"/>
                <w:sz w:val="18"/>
                <w:szCs w:val="18"/>
              </w:rPr>
              <w:t>low</w:t>
            </w:r>
            <w:proofErr w:type="spellEnd"/>
            <w:r w:rsidRPr="002E73B1">
              <w:rPr>
                <w:rFonts w:eastAsia="Times New Roman" w:cs="Calibri"/>
                <w:color w:val="000000" w:themeColor="text1"/>
                <w:sz w:val="18"/>
                <w:szCs w:val="18"/>
              </w:rPr>
              <w:t xml:space="preserve"> </w:t>
            </w:r>
            <w:proofErr w:type="spellStart"/>
            <w:r w:rsidRPr="002E73B1">
              <w:rPr>
                <w:rFonts w:eastAsia="Times New Roman" w:cs="Calibri"/>
                <w:color w:val="000000" w:themeColor="text1"/>
                <w:sz w:val="18"/>
                <w:szCs w:val="18"/>
              </w:rPr>
              <w:t>population</w:t>
            </w:r>
            <w:proofErr w:type="spellEnd"/>
            <w:r w:rsidRPr="002E73B1">
              <w:rPr>
                <w:rFonts w:eastAsia="Times New Roman" w:cs="Calibri"/>
                <w:color w:val="000000" w:themeColor="text1"/>
                <w:sz w:val="18"/>
                <w:szCs w:val="18"/>
              </w:rPr>
              <w:t xml:space="preserve"> </w:t>
            </w:r>
            <w:proofErr w:type="spellStart"/>
            <w:r w:rsidRPr="002E73B1">
              <w:rPr>
                <w:rFonts w:eastAsia="Times New Roman" w:cs="Calibri"/>
                <w:color w:val="000000" w:themeColor="text1"/>
                <w:sz w:val="18"/>
                <w:szCs w:val="18"/>
              </w:rPr>
              <w:t>density</w:t>
            </w:r>
            <w:proofErr w:type="spellEnd"/>
            <w:r w:rsidRPr="002E73B1" w:rsidDel="002E73B1">
              <w:rPr>
                <w:rFonts w:eastAsia="Times New Roman" w:cs="Calibri"/>
                <w:color w:val="000000" w:themeColor="text1"/>
                <w:sz w:val="18"/>
                <w:szCs w:val="18"/>
              </w:rPr>
              <w:t xml:space="preserve"> </w:t>
            </w:r>
          </w:p>
        </w:tc>
        <w:tc>
          <w:tcPr>
            <w:tcW w:w="1247" w:type="dxa"/>
            <w:shd w:val="clear" w:color="auto" w:fill="auto"/>
            <w:noWrap/>
            <w:vAlign w:val="center"/>
            <w:hideMark/>
          </w:tcPr>
          <w:p w14:paraId="29EECCC7" w14:textId="4610EB26" w:rsidR="00D41D60" w:rsidRPr="00BD27C2" w:rsidRDefault="00D41D60" w:rsidP="00D41D60">
            <w:pPr>
              <w:spacing w:line="200" w:lineRule="exact"/>
              <w:jc w:val="right"/>
              <w:rPr>
                <w:rFonts w:eastAsia="Times New Roman" w:cs="Calibri"/>
                <w:color w:val="000000"/>
                <w:sz w:val="18"/>
                <w:szCs w:val="18"/>
              </w:rPr>
            </w:pPr>
            <w:r w:rsidRPr="00BD27C2">
              <w:rPr>
                <w:rFonts w:eastAsia="Times New Roman" w:cs="Calibri"/>
                <w:color w:val="000000"/>
                <w:sz w:val="18"/>
                <w:szCs w:val="18"/>
              </w:rPr>
              <w:t>1</w:t>
            </w:r>
            <w:r>
              <w:rPr>
                <w:rFonts w:eastAsia="Times New Roman" w:cs="Calibri"/>
                <w:color w:val="000000"/>
                <w:sz w:val="18"/>
                <w:szCs w:val="18"/>
              </w:rPr>
              <w:t>.</w:t>
            </w:r>
            <w:r w:rsidRPr="00BD27C2">
              <w:rPr>
                <w:rFonts w:eastAsia="Times New Roman" w:cs="Calibri"/>
                <w:color w:val="000000"/>
                <w:sz w:val="18"/>
                <w:szCs w:val="18"/>
              </w:rPr>
              <w:t>4</w:t>
            </w:r>
          </w:p>
        </w:tc>
        <w:tc>
          <w:tcPr>
            <w:tcW w:w="1247" w:type="dxa"/>
            <w:shd w:val="clear" w:color="auto" w:fill="auto"/>
            <w:noWrap/>
            <w:vAlign w:val="center"/>
            <w:hideMark/>
          </w:tcPr>
          <w:p w14:paraId="4932AC2F" w14:textId="77777777" w:rsidR="00D41D60" w:rsidRPr="00BD27C2" w:rsidRDefault="00D41D60" w:rsidP="00D41D60">
            <w:pPr>
              <w:spacing w:line="200" w:lineRule="exact"/>
              <w:jc w:val="right"/>
              <w:rPr>
                <w:rFonts w:eastAsia="Times New Roman" w:cs="Calibri"/>
                <w:color w:val="000000"/>
                <w:sz w:val="18"/>
                <w:szCs w:val="18"/>
              </w:rPr>
            </w:pPr>
            <w:r w:rsidRPr="00BD27C2">
              <w:rPr>
                <w:rFonts w:eastAsia="Times New Roman" w:cs="Calibri"/>
                <w:color w:val="000000"/>
                <w:sz w:val="18"/>
                <w:szCs w:val="18"/>
              </w:rPr>
              <w:t>55 438</w:t>
            </w:r>
          </w:p>
        </w:tc>
        <w:tc>
          <w:tcPr>
            <w:tcW w:w="1247" w:type="dxa"/>
            <w:shd w:val="clear" w:color="auto" w:fill="auto"/>
            <w:noWrap/>
            <w:vAlign w:val="center"/>
            <w:hideMark/>
          </w:tcPr>
          <w:p w14:paraId="38046243" w14:textId="77777777" w:rsidR="00D41D60" w:rsidRPr="00BD27C2" w:rsidRDefault="00D41D60" w:rsidP="00D41D60">
            <w:pPr>
              <w:spacing w:line="200" w:lineRule="exact"/>
              <w:jc w:val="right"/>
              <w:rPr>
                <w:rFonts w:eastAsia="Times New Roman" w:cs="Calibri"/>
                <w:color w:val="000000"/>
                <w:sz w:val="18"/>
                <w:szCs w:val="18"/>
              </w:rPr>
            </w:pPr>
            <w:r w:rsidRPr="00BD27C2">
              <w:rPr>
                <w:rFonts w:eastAsia="Times New Roman" w:cs="Calibri"/>
                <w:color w:val="000000"/>
                <w:sz w:val="18"/>
                <w:szCs w:val="18"/>
              </w:rPr>
              <w:t>51 844</w:t>
            </w:r>
          </w:p>
        </w:tc>
      </w:tr>
    </w:tbl>
    <w:p w14:paraId="1A9FC4BE" w14:textId="77777777" w:rsidR="00943AAE" w:rsidRDefault="00943AAE" w:rsidP="00AB4665">
      <w:pPr>
        <w:shd w:val="clear" w:color="auto" w:fill="FFFFFF"/>
        <w:spacing w:line="288" w:lineRule="auto"/>
        <w:rPr>
          <w:rStyle w:val="Pogrubienie"/>
          <w:rFonts w:eastAsia="Times New Roman" w:cs="Times New Roman"/>
          <w:b w:val="0"/>
          <w:color w:val="000000" w:themeColor="text1"/>
          <w:szCs w:val="19"/>
          <w:lang w:eastAsia="pl-PL"/>
        </w:rPr>
      </w:pPr>
    </w:p>
    <w:p w14:paraId="25328594" w14:textId="77777777" w:rsidR="001A38BB" w:rsidRDefault="001A38BB">
      <w:pPr>
        <w:spacing w:before="0" w:after="160" w:line="259" w:lineRule="auto"/>
        <w:rPr>
          <w:lang w:val="en-US"/>
        </w:rPr>
      </w:pPr>
      <w:r>
        <w:rPr>
          <w:lang w:val="en-US"/>
        </w:rPr>
        <w:br w:type="page"/>
      </w:r>
    </w:p>
    <w:p w14:paraId="3A81A8A2" w14:textId="7D75A471" w:rsidR="00D41D60" w:rsidRPr="00D41D60" w:rsidRDefault="00D41D60" w:rsidP="001A38BB">
      <w:pPr>
        <w:spacing w:line="288" w:lineRule="auto"/>
        <w:rPr>
          <w:lang w:val="en-US"/>
        </w:rPr>
      </w:pPr>
      <w:r w:rsidRPr="00D41D60">
        <w:rPr>
          <w:lang w:val="en-US"/>
        </w:rPr>
        <w:lastRenderedPageBreak/>
        <w:t xml:space="preserve">The data in the table above indicate a link between the average annual </w:t>
      </w:r>
      <w:proofErr w:type="spellStart"/>
      <w:r w:rsidRPr="00D41D60">
        <w:rPr>
          <w:lang w:val="en-US"/>
        </w:rPr>
        <w:t>equivalised</w:t>
      </w:r>
      <w:proofErr w:type="spellEnd"/>
      <w:r w:rsidRPr="00D41D60">
        <w:rPr>
          <w:lang w:val="en-US"/>
        </w:rPr>
        <w:t xml:space="preserve"> disposable income of household members and material and social deprivation rate — the higher average income - the lower level of deprivation.</w:t>
      </w:r>
    </w:p>
    <w:p w14:paraId="786D202C" w14:textId="3293E76A" w:rsidR="00D41D60" w:rsidRPr="00D41D60" w:rsidRDefault="00DB3F2C" w:rsidP="001A38BB">
      <w:pPr>
        <w:spacing w:line="288" w:lineRule="auto"/>
        <w:rPr>
          <w:lang w:val="en-US"/>
        </w:rPr>
      </w:pPr>
      <w:r>
        <w:rPr>
          <w:rFonts w:eastAsia="Times New Roman" w:cs="Times New Roman"/>
          <w:bCs/>
          <w:noProof/>
          <w:color w:val="000000" w:themeColor="text1"/>
          <w:szCs w:val="19"/>
          <w:lang w:eastAsia="pl-PL"/>
        </w:rPr>
        <mc:AlternateContent>
          <mc:Choice Requires="wps">
            <w:drawing>
              <wp:anchor distT="0" distB="0" distL="114300" distR="114300" simplePos="0" relativeHeight="251669504" behindDoc="0" locked="0" layoutInCell="1" allowOverlap="1" wp14:anchorId="114C23CF" wp14:editId="6ADD1001">
                <wp:simplePos x="0" y="0"/>
                <wp:positionH relativeFrom="column">
                  <wp:posOffset>5348273</wp:posOffset>
                </wp:positionH>
                <wp:positionV relativeFrom="paragraph">
                  <wp:posOffset>1067214</wp:posOffset>
                </wp:positionV>
                <wp:extent cx="1620000" cy="1876567"/>
                <wp:effectExtent l="0" t="0" r="0" b="0"/>
                <wp:wrapNone/>
                <wp:docPr id="11" name="Pole tekstowe 11"/>
                <wp:cNvGraphicFramePr/>
                <a:graphic xmlns:a="http://schemas.openxmlformats.org/drawingml/2006/main">
                  <a:graphicData uri="http://schemas.microsoft.com/office/word/2010/wordprocessingShape">
                    <wps:wsp>
                      <wps:cNvSpPr txBox="1"/>
                      <wps:spPr>
                        <a:xfrm>
                          <a:off x="0" y="0"/>
                          <a:ext cx="1620000" cy="187656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D8757C" w14:textId="779124D9" w:rsidR="00DB3F2C" w:rsidRPr="00DB3F2C" w:rsidRDefault="00DB3F2C" w:rsidP="0020423A">
                            <w:pPr>
                              <w:pStyle w:val="tekstzboku"/>
                              <w:spacing w:before="0"/>
                              <w:rPr>
                                <w:lang w:val="en-US"/>
                              </w:rPr>
                            </w:pPr>
                            <w:r w:rsidRPr="00DB3F2C">
                              <w:rPr>
                                <w:lang w:val="en-US"/>
                              </w:rPr>
                              <w:t xml:space="preserve">The average annual </w:t>
                            </w:r>
                            <w:proofErr w:type="spellStart"/>
                            <w:r w:rsidRPr="00DB3F2C">
                              <w:rPr>
                                <w:lang w:val="en-US"/>
                              </w:rPr>
                              <w:t>equivalised</w:t>
                            </w:r>
                            <w:proofErr w:type="spellEnd"/>
                            <w:r w:rsidRPr="00DB3F2C">
                              <w:rPr>
                                <w:lang w:val="en-US"/>
                              </w:rPr>
                              <w:t xml:space="preserve"> disposable income of household members in agglomeration rural areas of high population density in 2025 was approximately PLN</w:t>
                            </w:r>
                            <w:r>
                              <w:rPr>
                                <w:lang w:val="en-US"/>
                              </w:rPr>
                              <w:t> </w:t>
                            </w:r>
                            <w:r w:rsidRPr="00DB3F2C">
                              <w:rPr>
                                <w:lang w:val="en-US"/>
                              </w:rPr>
                              <w:t>11</w:t>
                            </w:r>
                            <w:r w:rsidR="0020423A">
                              <w:rPr>
                                <w:lang w:val="en-US"/>
                              </w:rPr>
                              <w:t>,</w:t>
                            </w:r>
                            <w:r w:rsidRPr="00DB3F2C">
                              <w:rPr>
                                <w:lang w:val="en-US"/>
                              </w:rPr>
                              <w:t>000 higher than that of people living in villages located far from large cities.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23CF" id="Pole tekstowe 11" o:spid="_x0000_s1029" type="#_x0000_t202" style="position:absolute;margin-left:421.1pt;margin-top:84.05pt;width:127.55pt;height:14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" filled="f" stroked="f" strokeweight=".5pt">
                <v:textbox>
                  <w:txbxContent>
                    <w:p w14:paraId="65D8757C" w14:textId="779124D9" w:rsidR="00DB3F2C" w:rsidRPr="00DB3F2C" w:rsidRDefault="00DB3F2C" w:rsidP="0020423A">
                      <w:pPr>
                        <w:pStyle w:val="tekstzboku"/>
                        <w:spacing w:before="0"/>
                        <w:rPr>
                          <w:lang w:val="en-US"/>
                        </w:rPr>
                      </w:pPr>
                      <w:r w:rsidRPr="00DB3F2C">
                        <w:rPr>
                          <w:lang w:val="en-US"/>
                        </w:rPr>
                        <w:t xml:space="preserve">The average annual </w:t>
                      </w:r>
                      <w:proofErr w:type="spellStart"/>
                      <w:r w:rsidRPr="00DB3F2C">
                        <w:rPr>
                          <w:lang w:val="en-US"/>
                        </w:rPr>
                        <w:t>equivalised</w:t>
                      </w:r>
                      <w:proofErr w:type="spellEnd"/>
                      <w:r w:rsidRPr="00DB3F2C">
                        <w:rPr>
                          <w:lang w:val="en-US"/>
                        </w:rPr>
                        <w:t xml:space="preserve"> disposable income of household members in agglomeration rural areas of high population density in 2025 was approximately PLN</w:t>
                      </w:r>
                      <w:r>
                        <w:rPr>
                          <w:lang w:val="en-US"/>
                        </w:rPr>
                        <w:t> </w:t>
                      </w:r>
                      <w:r w:rsidRPr="00DB3F2C">
                        <w:rPr>
                          <w:lang w:val="en-US"/>
                        </w:rPr>
                        <w:t>11</w:t>
                      </w:r>
                      <w:r w:rsidR="0020423A">
                        <w:rPr>
                          <w:lang w:val="en-US"/>
                        </w:rPr>
                        <w:t>,</w:t>
                      </w:r>
                      <w:r w:rsidRPr="00DB3F2C">
                        <w:rPr>
                          <w:lang w:val="en-US"/>
                        </w:rPr>
                        <w:t>000 higher than that of people living in villages located far from large cities.</w:t>
                      </w:r>
                    </w:p>
                  </w:txbxContent>
                </v:textbox>
              </v:shape>
            </w:pict>
          </mc:Fallback>
        </mc:AlternateContent>
      </w:r>
      <w:r w:rsidR="00D41D60" w:rsidRPr="00D41D60">
        <w:rPr>
          <w:lang w:val="en-US"/>
        </w:rPr>
        <w:t>The largest cities, with the highest average disposable income (PLN 86</w:t>
      </w:r>
      <w:r w:rsidR="0020423A">
        <w:rPr>
          <w:lang w:val="en-US"/>
        </w:rPr>
        <w:t>,</w:t>
      </w:r>
      <w:r w:rsidR="00D41D60" w:rsidRPr="00D41D60">
        <w:rPr>
          <w:lang w:val="en-US"/>
        </w:rPr>
        <w:t>200 in cities with 500</w:t>
      </w:r>
      <w:r w:rsidR="00D41D60">
        <w:rPr>
          <w:lang w:val="en-US"/>
        </w:rPr>
        <w:t> </w:t>
      </w:r>
      <w:r w:rsidR="00D41D60" w:rsidRPr="00D41D60">
        <w:rPr>
          <w:lang w:val="en-US"/>
        </w:rPr>
        <w:t>thousand or more inhabitants), recorded the lowest material and social deprivation rate</w:t>
      </w:r>
      <w:r w:rsidR="00D41D60">
        <w:rPr>
          <w:lang w:val="en-US"/>
        </w:rPr>
        <w:t> </w:t>
      </w:r>
      <w:r w:rsidR="00D41D60" w:rsidRPr="00D41D60">
        <w:rPr>
          <w:lang w:val="en-US"/>
        </w:rPr>
        <w:t>(below 1%) in 2025. In contrast, household members living in the smallest towns (with</w:t>
      </w:r>
      <w:r w:rsidR="00D41D60">
        <w:rPr>
          <w:lang w:val="en-US"/>
        </w:rPr>
        <w:t> </w:t>
      </w:r>
      <w:r w:rsidR="00D41D60" w:rsidRPr="00D41D60">
        <w:rPr>
          <w:lang w:val="en-US"/>
        </w:rPr>
        <w:t>20</w:t>
      </w:r>
      <w:r w:rsidR="00D41D60">
        <w:rPr>
          <w:lang w:val="en-US"/>
        </w:rPr>
        <w:t> </w:t>
      </w:r>
      <w:r w:rsidR="00D41D60" w:rsidRPr="00D41D60">
        <w:rPr>
          <w:lang w:val="en-US"/>
        </w:rPr>
        <w:t xml:space="preserve">thousand or fewer inhabitants) had an average annual </w:t>
      </w:r>
      <w:proofErr w:type="spellStart"/>
      <w:r w:rsidR="00D41D60" w:rsidRPr="00D41D60">
        <w:rPr>
          <w:lang w:val="en-US"/>
        </w:rPr>
        <w:t>equivalised</w:t>
      </w:r>
      <w:proofErr w:type="spellEnd"/>
      <w:r w:rsidR="00D41D60" w:rsidRPr="00D41D60">
        <w:rPr>
          <w:lang w:val="en-US"/>
        </w:rPr>
        <w:t xml:space="preserve"> disposable income over PLN 22</w:t>
      </w:r>
      <w:r w:rsidR="0020423A">
        <w:rPr>
          <w:lang w:val="en-US"/>
        </w:rPr>
        <w:t>,</w:t>
      </w:r>
      <w:r w:rsidR="00D41D60" w:rsidRPr="00D41D60">
        <w:rPr>
          <w:lang w:val="en-US"/>
        </w:rPr>
        <w:t>000 lower and a deprivation rate almost 2 percentage points higher than</w:t>
      </w:r>
      <w:r w:rsidR="00D41D60">
        <w:rPr>
          <w:lang w:val="en-US"/>
        </w:rPr>
        <w:t> </w:t>
      </w:r>
      <w:r w:rsidR="00D41D60" w:rsidRPr="00D41D60">
        <w:rPr>
          <w:lang w:val="en-US"/>
        </w:rPr>
        <w:t>persons living in the largest cities.</w:t>
      </w:r>
    </w:p>
    <w:p w14:paraId="39549696" w14:textId="3C601C00" w:rsidR="00D41D60" w:rsidRPr="00D41D60" w:rsidRDefault="00D41D60" w:rsidP="001A38BB">
      <w:pPr>
        <w:spacing w:line="288" w:lineRule="auto"/>
        <w:rPr>
          <w:highlight w:val="yellow"/>
          <w:lang w:val="en-US"/>
        </w:rPr>
      </w:pPr>
      <w:r w:rsidRPr="00D41D60">
        <w:rPr>
          <w:lang w:val="en-US"/>
        </w:rPr>
        <w:t xml:space="preserve">Rural areas were also characterized by disparities in average disposable income and deprivation rates. There was a PLN 11,000 difference in disposable income between people living in rural areas closer to cities and those in non-agglomeration rural areas. Rural areas located far from agglomerations, which were characterized by lower incomes, also </w:t>
      </w:r>
      <w:r w:rsidRPr="00D41D60">
        <w:rPr>
          <w:rStyle w:val="Pogrubienie"/>
          <w:b w:val="0"/>
          <w:lang w:val="en-US"/>
        </w:rPr>
        <w:t>showed</w:t>
      </w:r>
      <w:r w:rsidRPr="00D41D60">
        <w:rPr>
          <w:lang w:val="en-US"/>
        </w:rPr>
        <w:t xml:space="preserve"> a</w:t>
      </w:r>
      <w:r>
        <w:rPr>
          <w:lang w:val="en-US"/>
        </w:rPr>
        <w:t> </w:t>
      </w:r>
      <w:r w:rsidRPr="00D41D60">
        <w:rPr>
          <w:lang w:val="en-US"/>
        </w:rPr>
        <w:t>higher proportion of people affected by basic needs deprivation. The difference in the severe material and social deprivation rate between the two types of rural areas in 2025 was</w:t>
      </w:r>
      <w:r>
        <w:rPr>
          <w:lang w:val="en-US"/>
        </w:rPr>
        <w:t> </w:t>
      </w:r>
      <w:r w:rsidRPr="00D41D60">
        <w:rPr>
          <w:lang w:val="en-US"/>
        </w:rPr>
        <w:t>0.8 percentage points (agglomeration villages: 1.5%; non-agglomeration villages: 2.3%).</w:t>
      </w:r>
    </w:p>
    <w:p w14:paraId="104056D1" w14:textId="77777777" w:rsidR="00D41D60" w:rsidRPr="00D41D60" w:rsidRDefault="00D41D60" w:rsidP="001A38BB">
      <w:pPr>
        <w:spacing w:line="288" w:lineRule="auto"/>
        <w:rPr>
          <w:lang w:val="en-US"/>
        </w:rPr>
      </w:pPr>
      <w:r w:rsidRPr="00D41D60">
        <w:rPr>
          <w:lang w:val="en-US"/>
        </w:rPr>
        <w:t>The situation of inhabitants of agglomeration rural areas was more similar to medium-sized cities than inhabitants of non-agglomeration rural areas.</w:t>
      </w:r>
    </w:p>
    <w:p w14:paraId="79F12D29" w14:textId="74AEC452" w:rsidR="0072379D" w:rsidRDefault="0072379D" w:rsidP="00AC5809">
      <w:pPr>
        <w:spacing w:before="360" w:line="240" w:lineRule="auto"/>
        <w:ind w:left="765" w:hanging="765"/>
        <w:rPr>
          <w:b/>
          <w:lang w:val="en-US"/>
        </w:rPr>
      </w:pPr>
      <w:r>
        <w:rPr>
          <w:b/>
          <w:lang w:val="en-US"/>
        </w:rPr>
        <w:t xml:space="preserve">Graph 2. </w:t>
      </w:r>
      <w:r w:rsidRPr="0072379D">
        <w:rPr>
          <w:b/>
          <w:lang w:val="en-US"/>
        </w:rPr>
        <w:t xml:space="preserve">Severe material and social deprivation and the average yearly </w:t>
      </w:r>
      <w:proofErr w:type="spellStart"/>
      <w:r w:rsidRPr="0072379D">
        <w:rPr>
          <w:b/>
          <w:lang w:val="en-US"/>
        </w:rPr>
        <w:t>equivalised</w:t>
      </w:r>
      <w:proofErr w:type="spellEnd"/>
      <w:r w:rsidRPr="0072379D">
        <w:rPr>
          <w:b/>
          <w:lang w:val="en-US"/>
        </w:rPr>
        <w:t xml:space="preserve"> </w:t>
      </w:r>
      <w:r w:rsidRPr="0072379D">
        <w:rPr>
          <w:b/>
          <w:lang w:val="en-US"/>
        </w:rPr>
        <w:br/>
        <w:t>disposable income per person by class of locality in Poland in 2025</w:t>
      </w:r>
    </w:p>
    <w:p w14:paraId="62C3DBDC" w14:textId="146C0CB1" w:rsidR="00E1190E" w:rsidRDefault="00B92C0C" w:rsidP="00AC5809">
      <w:pPr>
        <w:spacing w:before="360" w:line="240" w:lineRule="auto"/>
        <w:ind w:left="765" w:hanging="765"/>
        <w:rPr>
          <w:b/>
          <w:lang w:val="en-US"/>
        </w:rPr>
      </w:pPr>
      <w:r>
        <w:rPr>
          <w:b/>
          <w:noProof/>
          <w:lang w:eastAsia="pl-PL"/>
        </w:rPr>
        <w:drawing>
          <wp:inline distT="0" distB="0" distL="0" distR="0" wp14:anchorId="08D4BEE8" wp14:editId="50CFC5AA">
            <wp:extent cx="4681855" cy="2524125"/>
            <wp:effectExtent l="0" t="0" r="4445"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81855" cy="2524125"/>
                    </a:xfrm>
                    <a:prstGeom prst="rect">
                      <a:avLst/>
                    </a:prstGeom>
                    <a:noFill/>
                    <a:ln>
                      <a:noFill/>
                    </a:ln>
                  </pic:spPr>
                </pic:pic>
              </a:graphicData>
            </a:graphic>
          </wp:inline>
        </w:drawing>
      </w:r>
    </w:p>
    <w:p w14:paraId="10C6AEF5" w14:textId="68D2339B" w:rsidR="0072379D" w:rsidRDefault="00A803F2" w:rsidP="00A803F2">
      <w:pPr>
        <w:spacing w:before="360" w:line="240" w:lineRule="auto"/>
        <w:ind w:left="765" w:hanging="765"/>
        <w:rPr>
          <w:rStyle w:val="Pogrubienie"/>
          <w:rFonts w:eastAsia="Times New Roman" w:cs="Times New Roman"/>
          <w:b w:val="0"/>
          <w:color w:val="000000" w:themeColor="text1"/>
          <w:szCs w:val="19"/>
          <w:lang w:eastAsia="pl-PL"/>
        </w:rPr>
      </w:pPr>
      <w:r>
        <w:rPr>
          <w:b/>
          <w:noProof/>
          <w:lang w:eastAsia="pl-PL"/>
        </w:rPr>
        <w:drawing>
          <wp:inline distT="0" distB="0" distL="0" distR="0" wp14:anchorId="0AE4616A" wp14:editId="2B7A4EE1">
            <wp:extent cx="4681855" cy="2524125"/>
            <wp:effectExtent l="0" t="0" r="444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81855" cy="2524125"/>
                    </a:xfrm>
                    <a:prstGeom prst="rect">
                      <a:avLst/>
                    </a:prstGeom>
                    <a:noFill/>
                    <a:ln>
                      <a:noFill/>
                    </a:ln>
                  </pic:spPr>
                </pic:pic>
              </a:graphicData>
            </a:graphic>
          </wp:inline>
        </w:drawing>
      </w:r>
    </w:p>
    <w:p w14:paraId="051E97BA" w14:textId="77777777" w:rsidR="0072379D" w:rsidRPr="0072379D" w:rsidRDefault="0072379D" w:rsidP="00AC5809">
      <w:pPr>
        <w:spacing w:line="288" w:lineRule="auto"/>
        <w:rPr>
          <w:lang w:val="en-US"/>
        </w:rPr>
      </w:pPr>
      <w:r w:rsidRPr="0072379D">
        <w:rPr>
          <w:lang w:val="en-US"/>
        </w:rPr>
        <w:lastRenderedPageBreak/>
        <w:t>Rural areas remain more vulnerable to material and social deprivation than urban areas. Graph 3 shows the differences between place of residence and the inability to meet selected needs.</w:t>
      </w:r>
    </w:p>
    <w:p w14:paraId="655BC8F2" w14:textId="77777777" w:rsidR="003E2803" w:rsidRPr="003E2803" w:rsidRDefault="003E2803" w:rsidP="00AC5809">
      <w:pPr>
        <w:spacing w:line="288" w:lineRule="auto"/>
        <w:rPr>
          <w:lang w:val="en-US"/>
        </w:rPr>
      </w:pPr>
      <w:r w:rsidRPr="003E2803">
        <w:rPr>
          <w:lang w:val="en-US"/>
        </w:rPr>
        <w:t>A similar percentages were unable to afford basic needs, such as a meal containing meat, fish or a vegetarian equivalent every second day, keeping home adequately warm, and a key component of financial security, namely the ability to make housing-related payments on time. Regardless of the place of residence</w:t>
      </w:r>
      <w:r>
        <w:rPr>
          <w:rStyle w:val="Odwoanieprzypisudolnego"/>
        </w:rPr>
        <w:footnoteReference w:id="7"/>
      </w:r>
      <w:r w:rsidRPr="003E2803">
        <w:rPr>
          <w:lang w:val="en-US"/>
        </w:rPr>
        <w:t>, between 2.7% and 3.7% of people reported being unable to afford these essential items in 2025.</w:t>
      </w:r>
    </w:p>
    <w:p w14:paraId="60D8EDB8" w14:textId="7D24A6F3" w:rsidR="003E2803" w:rsidRPr="003E2803" w:rsidRDefault="003E2803" w:rsidP="00AC5809">
      <w:pPr>
        <w:spacing w:line="288" w:lineRule="auto"/>
        <w:rPr>
          <w:lang w:val="en-US"/>
        </w:rPr>
      </w:pPr>
      <w:r w:rsidRPr="003E2803">
        <w:rPr>
          <w:lang w:val="en-US"/>
        </w:rPr>
        <w:t>All other needs important for human well-being, but addressed only after basic needs such as food and adequate heating, show greater deprivation in rural areas. The largest difference between urban and rural residents in the financial capacity to meet these needs was observed in 2025 for a one-week holiday (difference: 11.1 percentage points). In 2025, rural households had significantly less access to financing for at least a week-long trip for all household members.</w:t>
      </w:r>
    </w:p>
    <w:p w14:paraId="54BA2248" w14:textId="4FA34361" w:rsidR="00375056" w:rsidRDefault="003E2803" w:rsidP="00AC5809">
      <w:pPr>
        <w:spacing w:before="360" w:line="240" w:lineRule="auto"/>
        <w:ind w:left="907" w:hanging="907"/>
        <w:rPr>
          <w:rStyle w:val="Pogrubienie"/>
          <w:szCs w:val="19"/>
          <w:lang w:val="en-US"/>
        </w:rPr>
      </w:pPr>
      <w:r w:rsidRPr="00D65AC3">
        <w:rPr>
          <w:rStyle w:val="Pogrubienie"/>
          <w:szCs w:val="19"/>
          <w:lang w:val="en-US"/>
        </w:rPr>
        <w:t>Graph 3. Selected aspects of material and social deprivation by class of locality in 2025</w:t>
      </w:r>
    </w:p>
    <w:p w14:paraId="22038FDA" w14:textId="6F05BCCF" w:rsidR="00B92C0C" w:rsidRDefault="00B92C0C" w:rsidP="00AC5809">
      <w:pPr>
        <w:spacing w:before="360" w:line="240" w:lineRule="auto"/>
        <w:ind w:left="907" w:hanging="907"/>
        <w:rPr>
          <w:rStyle w:val="Pogrubienie"/>
          <w:szCs w:val="19"/>
          <w:lang w:val="en-US"/>
        </w:rPr>
      </w:pPr>
      <w:r>
        <w:rPr>
          <w:rStyle w:val="Pogrubienie"/>
          <w:noProof/>
          <w:szCs w:val="19"/>
          <w:lang w:eastAsia="pl-PL"/>
        </w:rPr>
        <w:drawing>
          <wp:inline distT="0" distB="0" distL="0" distR="0" wp14:anchorId="3C24EC0D" wp14:editId="29231290">
            <wp:extent cx="5126990" cy="3335020"/>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26990" cy="3335020"/>
                    </a:xfrm>
                    <a:prstGeom prst="rect">
                      <a:avLst/>
                    </a:prstGeom>
                    <a:noFill/>
                    <a:ln>
                      <a:noFill/>
                    </a:ln>
                  </pic:spPr>
                </pic:pic>
              </a:graphicData>
            </a:graphic>
          </wp:inline>
        </w:drawing>
      </w:r>
    </w:p>
    <w:p w14:paraId="6EE628E9" w14:textId="418F5085" w:rsidR="003E2803" w:rsidRPr="000E66F1" w:rsidRDefault="003E2803" w:rsidP="00AC5809">
      <w:pPr>
        <w:pStyle w:val="Nagwek1"/>
        <w:keepNext w:val="0"/>
        <w:spacing w:before="360"/>
        <w:rPr>
          <w:rFonts w:ascii="Fira Sans" w:hAnsi="Fira Sans"/>
          <w:b/>
          <w:szCs w:val="19"/>
          <w:lang w:val="en-US"/>
        </w:rPr>
      </w:pPr>
      <w:r w:rsidRPr="000E66F1">
        <w:rPr>
          <w:rFonts w:ascii="Fira Sans" w:hAnsi="Fira Sans"/>
          <w:b/>
          <w:szCs w:val="19"/>
          <w:lang w:val="en-US"/>
        </w:rPr>
        <w:t>Situation of urban residents</w:t>
      </w:r>
      <w:r>
        <w:rPr>
          <w:rStyle w:val="Odwoanieprzypisudolnego"/>
          <w:rFonts w:ascii="Fira Sans" w:hAnsi="Fira Sans"/>
          <w:b/>
          <w:szCs w:val="19"/>
        </w:rPr>
        <w:footnoteReference w:id="8"/>
      </w:r>
    </w:p>
    <w:p w14:paraId="43284EED" w14:textId="6176F1AF" w:rsidR="00DB3F2C" w:rsidRPr="00DB3F2C" w:rsidRDefault="00DB3F2C" w:rsidP="00AC5809">
      <w:pPr>
        <w:spacing w:line="288" w:lineRule="auto"/>
        <w:rPr>
          <w:lang w:val="en-US"/>
        </w:rPr>
      </w:pPr>
      <w:r w:rsidRPr="00DB3F2C">
        <w:rPr>
          <w:lang w:val="en-US"/>
        </w:rPr>
        <w:t xml:space="preserve">The income situation of household members in 2025 was clearly associated with the class </w:t>
      </w:r>
      <w:r>
        <w:rPr>
          <w:lang w:val="en-US"/>
        </w:rPr>
        <w:t>of </w:t>
      </w:r>
      <w:r w:rsidRPr="00DB3F2C">
        <w:rPr>
          <w:lang w:val="en-US"/>
        </w:rPr>
        <w:t>locality, with the highest incomes concentrated in large agglomerations of over 500 thousand inhabitants (Graph 2). Equivalent household income decreased with city size, which</w:t>
      </w:r>
      <w:r w:rsidR="00A803F2">
        <w:rPr>
          <w:lang w:val="en-US"/>
        </w:rPr>
        <w:t> </w:t>
      </w:r>
      <w:r w:rsidRPr="00DB3F2C">
        <w:rPr>
          <w:lang w:val="en-US"/>
        </w:rPr>
        <w:t>in turn affected households’ ability to meet both basic needs (food, housing, heating) and higher-order needs (financial security, social contacts and leisure activities).</w:t>
      </w:r>
    </w:p>
    <w:p w14:paraId="6D8A990C" w14:textId="55F7BEC1" w:rsidR="000E66F1" w:rsidRDefault="000E66F1">
      <w:pPr>
        <w:spacing w:before="0" w:after="160" w:line="259" w:lineRule="auto"/>
        <w:rPr>
          <w:lang w:val="en-US"/>
        </w:rPr>
      </w:pPr>
      <w:r>
        <w:rPr>
          <w:lang w:val="en-US"/>
        </w:rPr>
        <w:br w:type="page"/>
      </w:r>
    </w:p>
    <w:p w14:paraId="74D7EF31" w14:textId="528262CB" w:rsidR="000E66F1" w:rsidRPr="000E66F1" w:rsidRDefault="0020423A" w:rsidP="00AC5809">
      <w:pPr>
        <w:spacing w:line="288" w:lineRule="auto"/>
        <w:rPr>
          <w:lang w:val="en-US"/>
        </w:rPr>
      </w:pPr>
      <w:r>
        <w:rPr>
          <w:noProof/>
          <w:lang w:eastAsia="pl-PL"/>
        </w:rPr>
        <w:lastRenderedPageBreak/>
        <mc:AlternateContent>
          <mc:Choice Requires="wps">
            <w:drawing>
              <wp:anchor distT="45720" distB="45720" distL="114300" distR="114300" simplePos="0" relativeHeight="251680768" behindDoc="0" locked="0" layoutInCell="1" allowOverlap="1" wp14:anchorId="7C68C5B1" wp14:editId="1CA4208E">
                <wp:simplePos x="0" y="0"/>
                <wp:positionH relativeFrom="page">
                  <wp:posOffset>5831067</wp:posOffset>
                </wp:positionH>
                <wp:positionV relativeFrom="paragraph">
                  <wp:posOffset>1550504</wp:posOffset>
                </wp:positionV>
                <wp:extent cx="1634490" cy="1404620"/>
                <wp:effectExtent l="0" t="0" r="0" b="0"/>
                <wp:wrapSquare wrapText="bothSides"/>
                <wp:docPr id="1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490" cy="1404620"/>
                        </a:xfrm>
                        <a:prstGeom prst="rect">
                          <a:avLst/>
                        </a:prstGeom>
                        <a:noFill/>
                        <a:ln w="9525">
                          <a:noFill/>
                          <a:miter lim="800000"/>
                          <a:headEnd/>
                          <a:tailEnd/>
                        </a:ln>
                      </wps:spPr>
                      <wps:txbx>
                        <w:txbxContent>
                          <w:p w14:paraId="0C3D5132" w14:textId="042EED26" w:rsidR="00DB3F2C" w:rsidRPr="00DB3F2C" w:rsidRDefault="00DB3F2C" w:rsidP="00D742AF">
                            <w:pPr>
                              <w:spacing w:before="0" w:after="0"/>
                              <w:rPr>
                                <w:rFonts w:eastAsia="Times New Roman" w:cs="Times New Roman"/>
                                <w:bCs/>
                                <w:color w:val="001D77"/>
                                <w:sz w:val="18"/>
                                <w:szCs w:val="18"/>
                                <w:lang w:val="en-US" w:eastAsia="pl-PL"/>
                              </w:rPr>
                            </w:pPr>
                            <w:r w:rsidRPr="00DB3F2C">
                              <w:rPr>
                                <w:rFonts w:eastAsia="Times New Roman" w:cs="Times New Roman"/>
                                <w:bCs/>
                                <w:color w:val="001D77"/>
                                <w:sz w:val="18"/>
                                <w:szCs w:val="18"/>
                                <w:lang w:val="en-US" w:eastAsia="pl-PL"/>
                              </w:rPr>
                              <w:t>The similar percentage of</w:t>
                            </w:r>
                            <w:r>
                              <w:rPr>
                                <w:rFonts w:eastAsia="Times New Roman" w:cs="Times New Roman"/>
                                <w:bCs/>
                                <w:color w:val="001D77"/>
                                <w:sz w:val="18"/>
                                <w:szCs w:val="18"/>
                                <w:lang w:val="en-US" w:eastAsia="pl-PL"/>
                              </w:rPr>
                              <w:t> </w:t>
                            </w:r>
                            <w:r w:rsidRPr="00DB3F2C">
                              <w:rPr>
                                <w:rFonts w:eastAsia="Times New Roman" w:cs="Times New Roman"/>
                                <w:bCs/>
                                <w:color w:val="001D77"/>
                                <w:sz w:val="18"/>
                                <w:szCs w:val="18"/>
                                <w:lang w:val="en-US" w:eastAsia="pl-PL"/>
                              </w:rPr>
                              <w:t>households reporting difficulties with housing-related payments in urban areas (3.4%) and in the smallest towns (3.3%) suggests that financial security depends on the balance between income and living costs.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68C5B1" id="_x0000_s1030" type="#_x0000_t202" style="position:absolute;margin-left:459.15pt;margin-top:122.1pt;width:128.7pt;height:110.6pt;z-index:251680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" filled="f" stroked="f">
                <v:textbox style="mso-fit-shape-to-text:t">
                  <w:txbxContent>
                    <w:p w14:paraId="0C3D5132" w14:textId="042EED26" w:rsidR="00DB3F2C" w:rsidRPr="00DB3F2C" w:rsidRDefault="00DB3F2C" w:rsidP="00D742AF">
                      <w:pPr>
                        <w:spacing w:before="0" w:after="0"/>
                        <w:rPr>
                          <w:rFonts w:eastAsia="Times New Roman" w:cs="Times New Roman"/>
                          <w:bCs/>
                          <w:color w:val="001D77"/>
                          <w:sz w:val="18"/>
                          <w:szCs w:val="18"/>
                          <w:lang w:val="en-US" w:eastAsia="pl-PL"/>
                        </w:rPr>
                      </w:pPr>
                      <w:r w:rsidRPr="00DB3F2C">
                        <w:rPr>
                          <w:rFonts w:eastAsia="Times New Roman" w:cs="Times New Roman"/>
                          <w:bCs/>
                          <w:color w:val="001D77"/>
                          <w:sz w:val="18"/>
                          <w:szCs w:val="18"/>
                          <w:lang w:val="en-US" w:eastAsia="pl-PL"/>
                        </w:rPr>
                        <w:t>The similar percentage of</w:t>
                      </w:r>
                      <w:r>
                        <w:rPr>
                          <w:rFonts w:eastAsia="Times New Roman" w:cs="Times New Roman"/>
                          <w:bCs/>
                          <w:color w:val="001D77"/>
                          <w:sz w:val="18"/>
                          <w:szCs w:val="18"/>
                          <w:lang w:val="en-US" w:eastAsia="pl-PL"/>
                        </w:rPr>
                        <w:t> </w:t>
                      </w:r>
                      <w:r w:rsidRPr="00DB3F2C">
                        <w:rPr>
                          <w:rFonts w:eastAsia="Times New Roman" w:cs="Times New Roman"/>
                          <w:bCs/>
                          <w:color w:val="001D77"/>
                          <w:sz w:val="18"/>
                          <w:szCs w:val="18"/>
                          <w:lang w:val="en-US" w:eastAsia="pl-PL"/>
                        </w:rPr>
                        <w:t>households reporting difficulties with housing-related payments in urban areas (3.4%) and in the smallest towns (3.3%) suggests that financial security depends on the balance between income and living costs.</w:t>
                      </w:r>
                    </w:p>
                  </w:txbxContent>
                </v:textbox>
                <w10:wrap type="square" anchorx="page"/>
              </v:shape>
            </w:pict>
          </mc:Fallback>
        </mc:AlternateContent>
      </w:r>
      <w:r w:rsidR="000E66F1" w:rsidRPr="000E66F1">
        <w:rPr>
          <w:lang w:val="en-US"/>
        </w:rPr>
        <w:t>The largest urban areas (population over 500 thousand) were characterized by the highest level of satisfaction of residents’ basic needs. Inhabitants of these cities were least often report a lack of financial resources to eat meat or fish (or vegetarian equivalents) every second day (1.4%) and keep home adequately warm (2.3%). The situation in other cities was more difficult. Between 2.5% of residents in the smallest towns (up to 20 thousand inhabitants) and 3.7% in medium-sized towns (100–499 thousand) reported being unable to</w:t>
      </w:r>
      <w:r w:rsidR="000E66F1">
        <w:rPr>
          <w:lang w:val="en-US"/>
        </w:rPr>
        <w:t> </w:t>
      </w:r>
      <w:r w:rsidR="000E66F1" w:rsidRPr="000E66F1">
        <w:rPr>
          <w:lang w:val="en-US"/>
        </w:rPr>
        <w:t>eat meat or fish (or vegetarian equivalents) every second day. Approximately 3.5% of</w:t>
      </w:r>
      <w:r w:rsidR="000E66F1">
        <w:rPr>
          <w:lang w:val="en-US"/>
        </w:rPr>
        <w:t> </w:t>
      </w:r>
      <w:r w:rsidR="000E66F1" w:rsidRPr="000E66F1">
        <w:rPr>
          <w:lang w:val="en-US"/>
        </w:rPr>
        <w:t>people in smaller and medium-sized towns reported insufficient resources to keep home adequately warm.</w:t>
      </w:r>
    </w:p>
    <w:p w14:paraId="73477830" w14:textId="18821C3F" w:rsidR="000E66F1" w:rsidRPr="000E66F1" w:rsidRDefault="000E66F1" w:rsidP="00AC5809">
      <w:pPr>
        <w:spacing w:line="288" w:lineRule="auto"/>
        <w:rPr>
          <w:lang w:val="en-US"/>
        </w:rPr>
      </w:pPr>
      <w:r w:rsidRPr="000E66F1">
        <w:rPr>
          <w:color w:val="000000" w:themeColor="text1"/>
          <w:lang w:val="en-US"/>
        </w:rPr>
        <w:t>In 2025, a different trend was observed regarding the financial inability to make timely payments for housing-related expenses (including rent, mortgage, and utility bills).</w:t>
      </w:r>
      <w:r w:rsidRPr="000E66F1">
        <w:rPr>
          <w:color w:val="FF0000"/>
          <w:lang w:val="en-US"/>
        </w:rPr>
        <w:t xml:space="preserve"> </w:t>
      </w:r>
      <w:r w:rsidRPr="000E66F1">
        <w:rPr>
          <w:lang w:val="en-US"/>
        </w:rPr>
        <w:t>Although residents of the largest metropolitan areas had the highest incomes among city inhabitants, 3.4% reported arrears due to financial reasons—similar to the 3.3% of residents in the smallest towns. This suggests that higher living costs in metropolitan areas offset income differences, resulting in similar scale of late payments as in the smallest towns.</w:t>
      </w:r>
    </w:p>
    <w:p w14:paraId="3B2C5BBA" w14:textId="27DAF90D" w:rsidR="000E66F1" w:rsidRPr="000E66F1" w:rsidRDefault="000E66F1" w:rsidP="00AC5809">
      <w:pPr>
        <w:spacing w:line="288" w:lineRule="auto"/>
        <w:rPr>
          <w:lang w:val="en-US"/>
        </w:rPr>
      </w:pPr>
      <w:r w:rsidRPr="000E66F1">
        <w:rPr>
          <w:lang w:val="en-US"/>
        </w:rPr>
        <w:t>Analysis of the remaining surveyed needs indicates that in 2025, the situation of residents in</w:t>
      </w:r>
      <w:r>
        <w:rPr>
          <w:lang w:val="en-US"/>
        </w:rPr>
        <w:t> </w:t>
      </w:r>
      <w:r w:rsidRPr="000E66F1">
        <w:rPr>
          <w:lang w:val="en-US"/>
        </w:rPr>
        <w:t xml:space="preserve">the largest cities was significantly more </w:t>
      </w:r>
      <w:proofErr w:type="spellStart"/>
      <w:r w:rsidRPr="000E66F1">
        <w:rPr>
          <w:lang w:val="en-US"/>
        </w:rPr>
        <w:t>favourable</w:t>
      </w:r>
      <w:proofErr w:type="spellEnd"/>
      <w:r w:rsidRPr="000E66F1">
        <w:rPr>
          <w:lang w:val="en-US"/>
        </w:rPr>
        <w:t xml:space="preserve"> than that of inhabitants of smaller towns. The greatest disparities in the percentage of people reporting an inability to meet their needs across different city classes were observed for paying for a one-week holiday for</w:t>
      </w:r>
      <w:r w:rsidR="00D742AF">
        <w:rPr>
          <w:lang w:val="en-US"/>
        </w:rPr>
        <w:t> </w:t>
      </w:r>
      <w:r w:rsidRPr="000E66F1">
        <w:rPr>
          <w:lang w:val="en-US"/>
        </w:rPr>
        <w:t>all household members once a year and for covering an u</w:t>
      </w:r>
      <w:r w:rsidR="00D742AF">
        <w:rPr>
          <w:lang w:val="en-US"/>
        </w:rPr>
        <w:t>nexpected expense. In 2025, the </w:t>
      </w:r>
      <w:r w:rsidRPr="000E66F1">
        <w:rPr>
          <w:lang w:val="en-US"/>
        </w:rPr>
        <w:t xml:space="preserve">differences between the largest cities (500 thousand inhabitants or more) and the smallest (20 thousand inhabitants or fewer) </w:t>
      </w:r>
      <w:bookmarkStart w:id="3" w:name="_Hlk224931791"/>
      <w:r w:rsidRPr="000E66F1">
        <w:rPr>
          <w:lang w:val="en-US"/>
        </w:rPr>
        <w:t xml:space="preserve">reached </w:t>
      </w:r>
      <w:bookmarkEnd w:id="3"/>
      <w:r w:rsidRPr="000E66F1">
        <w:rPr>
          <w:lang w:val="en-US"/>
        </w:rPr>
        <w:t>15.9 and 13.9 percentage points, respectively. The</w:t>
      </w:r>
      <w:r w:rsidR="0021623E">
        <w:rPr>
          <w:lang w:val="en-US"/>
        </w:rPr>
        <w:t> </w:t>
      </w:r>
      <w:r w:rsidRPr="000E66F1">
        <w:rPr>
          <w:lang w:val="en-US"/>
        </w:rPr>
        <w:t>gap between the two highest city classes (i.e., cities with 500 thousand or</w:t>
      </w:r>
      <w:r w:rsidR="00D742AF">
        <w:rPr>
          <w:lang w:val="en-US"/>
        </w:rPr>
        <w:t> </w:t>
      </w:r>
      <w:r w:rsidRPr="000E66F1">
        <w:rPr>
          <w:lang w:val="en-US"/>
        </w:rPr>
        <w:t>more and with</w:t>
      </w:r>
      <w:r w:rsidR="0021623E">
        <w:rPr>
          <w:lang w:val="en-US"/>
        </w:rPr>
        <w:t> </w:t>
      </w:r>
      <w:r w:rsidRPr="000E66F1">
        <w:rPr>
          <w:lang w:val="en-US"/>
        </w:rPr>
        <w:t xml:space="preserve">100-499 thousand inhabitants) was also significant, reaching approximately 7 pp. for both needs, </w:t>
      </w:r>
      <w:proofErr w:type="spellStart"/>
      <w:r w:rsidRPr="000E66F1">
        <w:rPr>
          <w:lang w:val="en-US"/>
        </w:rPr>
        <w:t>favouring</w:t>
      </w:r>
      <w:proofErr w:type="spellEnd"/>
      <w:r w:rsidRPr="000E66F1">
        <w:rPr>
          <w:lang w:val="en-US"/>
        </w:rPr>
        <w:t xml:space="preserve"> the largest agglomerations.</w:t>
      </w:r>
    </w:p>
    <w:p w14:paraId="04D500AF" w14:textId="73A5D555" w:rsidR="0021623E" w:rsidRPr="0021623E" w:rsidRDefault="0021623E" w:rsidP="00AC5809">
      <w:pPr>
        <w:spacing w:line="288" w:lineRule="auto"/>
        <w:rPr>
          <w:lang w:val="en-US"/>
        </w:rPr>
      </w:pPr>
      <w:r w:rsidRPr="0021623E">
        <w:rPr>
          <w:lang w:val="en-US"/>
        </w:rPr>
        <w:t>Indicators of the inability to meet other needs—such as spending a small amount of money each week on personal needs and having regular leisure activities — also show differences in</w:t>
      </w:r>
      <w:r>
        <w:rPr>
          <w:lang w:val="en-US"/>
        </w:rPr>
        <w:t> </w:t>
      </w:r>
      <w:r w:rsidRPr="0021623E">
        <w:rPr>
          <w:lang w:val="en-US"/>
        </w:rPr>
        <w:t>2025 across city classes. The differences in the percentage of people reporting an inability to meet these needs were smaller than those observed for a one-week holiday or unexpected expense, but a clear pattern can be seen: as city size decreases, the proportion of households reporting an inability to meet these needs increases. In 2025, the difference between the largest cities (500 thousand inhabitants or more) and the smallest (20 thousand or fewer) reached 2.7 pp. (for spending on personal expenses) and 3.6 pp. (for regular participation in leisure activities).</w:t>
      </w:r>
    </w:p>
    <w:p w14:paraId="7A87ED46" w14:textId="4BA67D02" w:rsidR="0021623E" w:rsidRPr="0021623E" w:rsidRDefault="0021623E" w:rsidP="00AC5809">
      <w:pPr>
        <w:spacing w:line="288" w:lineRule="auto"/>
        <w:rPr>
          <w:lang w:val="en-US"/>
        </w:rPr>
      </w:pPr>
      <w:r w:rsidRPr="0021623E">
        <w:rPr>
          <w:lang w:val="en-US"/>
        </w:rPr>
        <w:t>In 2025, the scale of unmet needs was highest in smaller towns and lowest in large metropolitan areas.</w:t>
      </w:r>
    </w:p>
    <w:p w14:paraId="3E431D96" w14:textId="18437407" w:rsidR="00375056" w:rsidRPr="000E66F1" w:rsidRDefault="00375056" w:rsidP="003E2803">
      <w:pPr>
        <w:spacing w:line="288" w:lineRule="auto"/>
        <w:rPr>
          <w:rFonts w:cs="Arial"/>
          <w:color w:val="0A0A0A"/>
          <w:spacing w:val="-2"/>
          <w:szCs w:val="19"/>
          <w:shd w:val="clear" w:color="auto" w:fill="FFFFFF"/>
          <w:lang w:val="en-US"/>
        </w:rPr>
      </w:pPr>
    </w:p>
    <w:p w14:paraId="7D26D211" w14:textId="77777777" w:rsidR="005C746C" w:rsidRPr="00D65AC3" w:rsidRDefault="005C746C">
      <w:pPr>
        <w:spacing w:before="0" w:after="160" w:line="259" w:lineRule="auto"/>
        <w:rPr>
          <w:rStyle w:val="Pogrubienie"/>
          <w:szCs w:val="19"/>
          <w:lang w:val="en-US"/>
        </w:rPr>
      </w:pPr>
      <w:r w:rsidRPr="00D65AC3">
        <w:rPr>
          <w:rStyle w:val="Pogrubienie"/>
          <w:szCs w:val="19"/>
          <w:lang w:val="en-US"/>
        </w:rPr>
        <w:br w:type="page"/>
      </w:r>
    </w:p>
    <w:p w14:paraId="29878647" w14:textId="2CC85C25" w:rsidR="00375056" w:rsidRDefault="0021623E" w:rsidP="00AC5809">
      <w:pPr>
        <w:spacing w:before="360" w:line="240" w:lineRule="auto"/>
        <w:ind w:left="907" w:hanging="907"/>
        <w:rPr>
          <w:b/>
          <w:lang w:val="en-US"/>
        </w:rPr>
      </w:pPr>
      <w:r w:rsidRPr="00D65AC3">
        <w:rPr>
          <w:b/>
          <w:lang w:val="en-US"/>
        </w:rPr>
        <w:lastRenderedPageBreak/>
        <w:t xml:space="preserve">Graph 4. </w:t>
      </w:r>
      <w:r w:rsidRPr="0021623E">
        <w:rPr>
          <w:b/>
          <w:lang w:val="en-US"/>
        </w:rPr>
        <w:t>Selected aspects of material and social deprivation by city class (size) in 2025</w:t>
      </w:r>
    </w:p>
    <w:p w14:paraId="7AD2623A" w14:textId="13547843" w:rsidR="00A803F2" w:rsidRDefault="00A803F2" w:rsidP="00AC5809">
      <w:pPr>
        <w:spacing w:before="360" w:line="240" w:lineRule="auto"/>
        <w:ind w:left="907" w:hanging="907"/>
        <w:rPr>
          <w:b/>
          <w:lang w:val="en-US"/>
        </w:rPr>
      </w:pPr>
      <w:r>
        <w:rPr>
          <w:b/>
          <w:noProof/>
          <w:lang w:eastAsia="pl-PL"/>
        </w:rPr>
        <w:drawing>
          <wp:inline distT="0" distB="0" distL="0" distR="0" wp14:anchorId="639DEC7A" wp14:editId="0676B649">
            <wp:extent cx="5126990" cy="4505325"/>
            <wp:effectExtent l="0" t="0" r="0" b="9525"/>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26990" cy="4505325"/>
                    </a:xfrm>
                    <a:prstGeom prst="rect">
                      <a:avLst/>
                    </a:prstGeom>
                    <a:noFill/>
                    <a:ln>
                      <a:noFill/>
                    </a:ln>
                  </pic:spPr>
                </pic:pic>
              </a:graphicData>
            </a:graphic>
          </wp:inline>
        </w:drawing>
      </w:r>
    </w:p>
    <w:p w14:paraId="0E1F6ABD" w14:textId="6E505239" w:rsidR="00375056" w:rsidRPr="0021623E" w:rsidRDefault="0021623E" w:rsidP="00DB11C6">
      <w:pPr>
        <w:pStyle w:val="Tytutablicy"/>
        <w:keepNext w:val="0"/>
        <w:rPr>
          <w:b w:val="0"/>
          <w:color w:val="001D77"/>
          <w:szCs w:val="24"/>
          <w:lang w:val="en-US"/>
        </w:rPr>
      </w:pPr>
      <w:r w:rsidRPr="0021623E">
        <w:rPr>
          <w:color w:val="001D77"/>
          <w:szCs w:val="24"/>
          <w:lang w:val="en-US"/>
        </w:rPr>
        <w:t>Differences in the situation of rural residents</w:t>
      </w:r>
      <w:r w:rsidRPr="0021623E">
        <w:rPr>
          <w:rStyle w:val="Odwoanieprzypisudolnego"/>
          <w:color w:val="001D77"/>
          <w:szCs w:val="24"/>
        </w:rPr>
        <w:footnoteReference w:id="9"/>
      </w:r>
    </w:p>
    <w:p w14:paraId="722F596F" w14:textId="2DAA23AA" w:rsidR="0021623E" w:rsidRPr="0021623E" w:rsidRDefault="0021623E" w:rsidP="00DB11C6">
      <w:pPr>
        <w:spacing w:line="288" w:lineRule="auto"/>
        <w:rPr>
          <w:rFonts w:ascii="Fira Sans SemiBold" w:hAnsi="Fira Sans SemiBold"/>
          <w:color w:val="001D77"/>
          <w:szCs w:val="24"/>
          <w:lang w:val="en-US"/>
        </w:rPr>
      </w:pPr>
      <w:r w:rsidRPr="0021623E">
        <w:rPr>
          <w:lang w:val="en-US"/>
        </w:rPr>
        <w:t>The division of rural areas into agglomeration areas (within the direct zone of influence of</w:t>
      </w:r>
      <w:r w:rsidR="00A803F2">
        <w:rPr>
          <w:lang w:val="en-US"/>
        </w:rPr>
        <w:t> </w:t>
      </w:r>
      <w:r w:rsidRPr="0021623E">
        <w:rPr>
          <w:lang w:val="en-US"/>
        </w:rPr>
        <w:t>large cities) and non-agglomeration areas (outside large urban centers, often peripheral) allows for a more precise analysis of differences in the situation of rural residents in Poland.</w:t>
      </w:r>
    </w:p>
    <w:p w14:paraId="154807C0" w14:textId="307E01D4" w:rsidR="0021623E" w:rsidRDefault="0021623E" w:rsidP="00DB11C6">
      <w:pPr>
        <w:spacing w:line="288" w:lineRule="auto"/>
        <w:rPr>
          <w:lang w:val="en-US"/>
        </w:rPr>
      </w:pPr>
      <w:r w:rsidRPr="0021623E">
        <w:rPr>
          <w:lang w:val="en-US"/>
        </w:rPr>
        <w:t xml:space="preserve">The graph below shows the proportion of rural residents who were unable to meet selected needs </w:t>
      </w:r>
      <w:r w:rsidR="0020423A">
        <w:rPr>
          <w:lang w:val="en-US"/>
        </w:rPr>
        <w:t>due to</w:t>
      </w:r>
      <w:r w:rsidRPr="0021623E">
        <w:rPr>
          <w:lang w:val="en-US"/>
        </w:rPr>
        <w:t xml:space="preserve"> financial reasons in 2025. As shown before, the distance of a village from an urban agglomeration has </w:t>
      </w:r>
      <w:r w:rsidRPr="0021623E">
        <w:rPr>
          <w:bCs/>
          <w:lang w:val="en-US"/>
        </w:rPr>
        <w:t>an impact on</w:t>
      </w:r>
      <w:r w:rsidRPr="0021623E">
        <w:rPr>
          <w:lang w:val="en-US"/>
        </w:rPr>
        <w:t xml:space="preserve"> residents’ income levels. The difference in average income among residents of suburban villages and those in peripheral areas reached approximately PLN 11</w:t>
      </w:r>
      <w:r w:rsidR="0020423A">
        <w:rPr>
          <w:lang w:val="en-US"/>
        </w:rPr>
        <w:t>,</w:t>
      </w:r>
      <w:r w:rsidRPr="0021623E">
        <w:rPr>
          <w:lang w:val="en-US"/>
        </w:rPr>
        <w:t>000.</w:t>
      </w:r>
    </w:p>
    <w:p w14:paraId="5399B06C" w14:textId="68EBA76D" w:rsidR="000D4FC4" w:rsidRPr="000D4FC4" w:rsidRDefault="000D4FC4" w:rsidP="00DB11C6">
      <w:pPr>
        <w:spacing w:line="288" w:lineRule="auto"/>
        <w:rPr>
          <w:lang w:val="en-US"/>
        </w:rPr>
      </w:pPr>
      <w:r w:rsidRPr="000D4FC4">
        <w:rPr>
          <w:lang w:val="en-US"/>
        </w:rPr>
        <w:t>Similar to the cities, comparable proportions of rural residents were observed in the case of</w:t>
      </w:r>
      <w:r>
        <w:rPr>
          <w:lang w:val="en-US"/>
        </w:rPr>
        <w:t> </w:t>
      </w:r>
      <w:r w:rsidRPr="000D4FC4">
        <w:rPr>
          <w:lang w:val="en-US"/>
        </w:rPr>
        <w:t>inability to meet basic needs (food, housing, heating). Rural areas, both those located close to agglomerations and those in peripheral regions, showed similar proportions of</w:t>
      </w:r>
      <w:r>
        <w:rPr>
          <w:lang w:val="en-US"/>
        </w:rPr>
        <w:t> </w:t>
      </w:r>
      <w:r w:rsidRPr="000D4FC4">
        <w:rPr>
          <w:lang w:val="en-US"/>
        </w:rPr>
        <w:t>residents unable to meet these needs. A significant difference was observed only for the ability to consume meat, fish (or a vegetarian equivalent) every second day. Rural residents in agglomeration areas were unable to meet this need more often than those in non-agglomeration areas (4.5% vs. 2.9%, respectively).</w:t>
      </w:r>
    </w:p>
    <w:p w14:paraId="1ABD8DC6" w14:textId="6B2C2F26" w:rsidR="00375056" w:rsidRPr="000D4FC4" w:rsidRDefault="00CB1166" w:rsidP="00DB11C6">
      <w:pPr>
        <w:spacing w:line="288" w:lineRule="auto"/>
        <w:rPr>
          <w:rFonts w:cs="Arial"/>
          <w:color w:val="0A0A0A"/>
          <w:szCs w:val="19"/>
          <w:shd w:val="clear" w:color="auto" w:fill="FFFFFF"/>
          <w:lang w:val="en-US"/>
        </w:rPr>
      </w:pPr>
      <w:r w:rsidRPr="004516B6">
        <w:rPr>
          <w:rFonts w:ascii="Fira Sans SemiBold" w:hAnsi="Fira Sans SemiBold"/>
          <w:noProof/>
          <w:color w:val="001D77"/>
          <w:szCs w:val="24"/>
          <w:lang w:eastAsia="pl-PL"/>
        </w:rPr>
        <w:lastRenderedPageBreak/>
        <mc:AlternateContent>
          <mc:Choice Requires="wps">
            <w:drawing>
              <wp:anchor distT="45720" distB="45720" distL="114300" distR="114300" simplePos="0" relativeHeight="251673600" behindDoc="0" locked="0" layoutInCell="1" allowOverlap="1" wp14:anchorId="53C79641" wp14:editId="365BB326">
                <wp:simplePos x="0" y="0"/>
                <wp:positionH relativeFrom="column">
                  <wp:posOffset>5335519</wp:posOffset>
                </wp:positionH>
                <wp:positionV relativeFrom="paragraph">
                  <wp:posOffset>-165</wp:posOffset>
                </wp:positionV>
                <wp:extent cx="1620000" cy="1404620"/>
                <wp:effectExtent l="0" t="0" r="0" b="0"/>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0000" cy="1404620"/>
                        </a:xfrm>
                        <a:prstGeom prst="rect">
                          <a:avLst/>
                        </a:prstGeom>
                        <a:noFill/>
                        <a:ln w="9525">
                          <a:noFill/>
                          <a:miter lim="800000"/>
                          <a:headEnd/>
                          <a:tailEnd/>
                        </a:ln>
                      </wps:spPr>
                      <wps:txbx>
                        <w:txbxContent>
                          <w:p w14:paraId="5396BBE1" w14:textId="546D6F93" w:rsidR="000D4FC4" w:rsidRPr="000D4FC4" w:rsidRDefault="000D4FC4" w:rsidP="00DB11C6">
                            <w:pPr>
                              <w:spacing w:before="0" w:after="0"/>
                              <w:rPr>
                                <w:rFonts w:eastAsia="Times New Roman" w:cs="Times New Roman"/>
                                <w:bCs/>
                                <w:color w:val="001D77"/>
                                <w:sz w:val="18"/>
                                <w:szCs w:val="18"/>
                                <w:lang w:val="en-US" w:eastAsia="pl-PL"/>
                              </w:rPr>
                            </w:pPr>
                            <w:r w:rsidRPr="000D4FC4">
                              <w:rPr>
                                <w:rFonts w:eastAsia="Times New Roman" w:cs="Times New Roman"/>
                                <w:bCs/>
                                <w:color w:val="001D77"/>
                                <w:sz w:val="18"/>
                                <w:szCs w:val="18"/>
                                <w:lang w:val="en-US" w:eastAsia="pl-PL"/>
                              </w:rPr>
                              <w:t xml:space="preserve">Rural residents living far from metropolitan areas were more often </w:t>
                            </w:r>
                            <w:r w:rsidR="00E71E45">
                              <w:rPr>
                                <w:rFonts w:eastAsia="Times New Roman" w:cs="Times New Roman"/>
                                <w:bCs/>
                                <w:color w:val="001D77"/>
                                <w:sz w:val="18"/>
                                <w:szCs w:val="18"/>
                                <w:lang w:val="en-US" w:eastAsia="pl-PL"/>
                              </w:rPr>
                              <w:t xml:space="preserve">(12 pp.) </w:t>
                            </w:r>
                            <w:r w:rsidRPr="000D4FC4">
                              <w:rPr>
                                <w:rFonts w:eastAsia="Times New Roman" w:cs="Times New Roman"/>
                                <w:bCs/>
                                <w:color w:val="001D77"/>
                                <w:sz w:val="18"/>
                                <w:szCs w:val="18"/>
                                <w:lang w:val="en-US" w:eastAsia="pl-PL"/>
                              </w:rPr>
                              <w:t>unable to</w:t>
                            </w:r>
                            <w:r w:rsidR="00CB1166">
                              <w:rPr>
                                <w:rFonts w:eastAsia="Times New Roman" w:cs="Times New Roman"/>
                                <w:bCs/>
                                <w:color w:val="001D77"/>
                                <w:sz w:val="18"/>
                                <w:szCs w:val="18"/>
                                <w:lang w:val="en-US" w:eastAsia="pl-PL"/>
                              </w:rPr>
                              <w:t> </w:t>
                            </w:r>
                            <w:r w:rsidRPr="000D4FC4">
                              <w:rPr>
                                <w:rFonts w:eastAsia="Times New Roman" w:cs="Times New Roman"/>
                                <w:bCs/>
                                <w:color w:val="001D77"/>
                                <w:sz w:val="18"/>
                                <w:szCs w:val="18"/>
                                <w:lang w:val="en-US" w:eastAsia="pl-PL"/>
                              </w:rPr>
                              <w:t>afford a one-week holiday for financial reasons than those living in suburban areas.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C79641" id="_x0000_s1031" type="#_x0000_t202" style="position:absolute;margin-left:420.1pt;margin-top:0;width:127.5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" filled="f" stroked="f">
                <v:textbox style="mso-fit-shape-to-text:t">
                  <w:txbxContent>
                    <w:p w14:paraId="5396BBE1" w14:textId="546D6F93" w:rsidR="000D4FC4" w:rsidRPr="000D4FC4" w:rsidRDefault="000D4FC4" w:rsidP="00DB11C6">
                      <w:pPr>
                        <w:spacing w:before="0" w:after="0"/>
                        <w:rPr>
                          <w:rFonts w:eastAsia="Times New Roman" w:cs="Times New Roman"/>
                          <w:bCs/>
                          <w:color w:val="001D77"/>
                          <w:sz w:val="18"/>
                          <w:szCs w:val="18"/>
                          <w:lang w:val="en-US" w:eastAsia="pl-PL"/>
                        </w:rPr>
                      </w:pPr>
                      <w:r w:rsidRPr="000D4FC4">
                        <w:rPr>
                          <w:rFonts w:eastAsia="Times New Roman" w:cs="Times New Roman"/>
                          <w:bCs/>
                          <w:color w:val="001D77"/>
                          <w:sz w:val="18"/>
                          <w:szCs w:val="18"/>
                          <w:lang w:val="en-US" w:eastAsia="pl-PL"/>
                        </w:rPr>
                        <w:t xml:space="preserve">Rural residents living far from metropolitan areas were more often </w:t>
                      </w:r>
                      <w:r w:rsidR="00E71E45">
                        <w:rPr>
                          <w:rFonts w:eastAsia="Times New Roman" w:cs="Times New Roman"/>
                          <w:bCs/>
                          <w:color w:val="001D77"/>
                          <w:sz w:val="18"/>
                          <w:szCs w:val="18"/>
                          <w:lang w:val="en-US" w:eastAsia="pl-PL"/>
                        </w:rPr>
                        <w:t xml:space="preserve">(12 pp.) </w:t>
                      </w:r>
                      <w:r w:rsidRPr="000D4FC4">
                        <w:rPr>
                          <w:rFonts w:eastAsia="Times New Roman" w:cs="Times New Roman"/>
                          <w:bCs/>
                          <w:color w:val="001D77"/>
                          <w:sz w:val="18"/>
                          <w:szCs w:val="18"/>
                          <w:lang w:val="en-US" w:eastAsia="pl-PL"/>
                        </w:rPr>
                        <w:t>unable to</w:t>
                      </w:r>
                      <w:r w:rsidR="00CB1166">
                        <w:rPr>
                          <w:rFonts w:eastAsia="Times New Roman" w:cs="Times New Roman"/>
                          <w:bCs/>
                          <w:color w:val="001D77"/>
                          <w:sz w:val="18"/>
                          <w:szCs w:val="18"/>
                          <w:lang w:val="en-US" w:eastAsia="pl-PL"/>
                        </w:rPr>
                        <w:t> </w:t>
                      </w:r>
                      <w:r w:rsidRPr="000D4FC4">
                        <w:rPr>
                          <w:rFonts w:eastAsia="Times New Roman" w:cs="Times New Roman"/>
                          <w:bCs/>
                          <w:color w:val="001D77"/>
                          <w:sz w:val="18"/>
                          <w:szCs w:val="18"/>
                          <w:lang w:val="en-US" w:eastAsia="pl-PL"/>
                        </w:rPr>
                        <w:t>afford a one-week holiday for financial reasons than those living in suburban areas.</w:t>
                      </w:r>
                    </w:p>
                  </w:txbxContent>
                </v:textbox>
                <w10:wrap type="square"/>
              </v:shape>
            </w:pict>
          </mc:Fallback>
        </mc:AlternateContent>
      </w:r>
      <w:r w:rsidR="000D4FC4" w:rsidRPr="000D4FC4">
        <w:rPr>
          <w:lang w:val="en-US"/>
        </w:rPr>
        <w:t>In 2025, the greatest differences in rural areas were observed in meeting needs related to</w:t>
      </w:r>
      <w:r w:rsidR="00A803F2">
        <w:rPr>
          <w:lang w:val="en-US"/>
        </w:rPr>
        <w:t> </w:t>
      </w:r>
      <w:r w:rsidR="000D4FC4" w:rsidRPr="000D4FC4">
        <w:rPr>
          <w:lang w:val="en-US"/>
        </w:rPr>
        <w:t>paying for a week-long vacation for all household members once a year and covering unexpected expenses. A significantly higher percentage of residents in non-urban areas were</w:t>
      </w:r>
      <w:r w:rsidR="00A803F2">
        <w:rPr>
          <w:lang w:val="en-US"/>
        </w:rPr>
        <w:t> </w:t>
      </w:r>
      <w:r w:rsidR="000D4FC4" w:rsidRPr="000D4FC4">
        <w:rPr>
          <w:lang w:val="en-US"/>
        </w:rPr>
        <w:t>unable to face a week-long vacation (34.5%) compared to those living near large cities (21.7%). A similar pattern was observed for the inability to cover an unexpected expense (25.4% vs. 16.5%)</w:t>
      </w:r>
      <w:r>
        <w:rPr>
          <w:lang w:val="en-US"/>
        </w:rPr>
        <w:t>.</w:t>
      </w:r>
    </w:p>
    <w:p w14:paraId="7752F161" w14:textId="4403188A" w:rsidR="00CB1166" w:rsidRPr="00CB1166" w:rsidRDefault="00CB1166" w:rsidP="00CB1166">
      <w:pPr>
        <w:spacing w:line="288" w:lineRule="auto"/>
        <w:rPr>
          <w:lang w:val="en-US"/>
        </w:rPr>
      </w:pPr>
      <w:r w:rsidRPr="00CB1166">
        <w:rPr>
          <w:lang w:val="en-US"/>
        </w:rPr>
        <w:t>The last group of needs, related to spending money for personal expenses and participating in leisure activities in rural areas, was characterized by slightly smaller differences in the proportion of people compared to the other needs described above.</w:t>
      </w:r>
    </w:p>
    <w:p w14:paraId="3975C404" w14:textId="1751DF75" w:rsidR="00E32C42" w:rsidRDefault="00CB1166" w:rsidP="00DB11C6">
      <w:pPr>
        <w:spacing w:before="360" w:line="240" w:lineRule="auto"/>
        <w:ind w:left="765" w:hanging="765"/>
        <w:rPr>
          <w:rFonts w:ascii="Fira Sans SemiBold" w:hAnsi="Fira Sans SemiBold"/>
          <w:color w:val="000000" w:themeColor="text1"/>
          <w:szCs w:val="24"/>
          <w:lang w:val="en-US"/>
        </w:rPr>
      </w:pPr>
      <w:r w:rsidRPr="009B7EEE">
        <w:rPr>
          <w:rFonts w:ascii="Fira Sans SemiBold" w:hAnsi="Fira Sans SemiBold"/>
          <w:color w:val="000000" w:themeColor="text1"/>
          <w:szCs w:val="24"/>
          <w:lang w:val="en-US"/>
        </w:rPr>
        <w:t xml:space="preserve">Graph 5. </w:t>
      </w:r>
      <w:r w:rsidRPr="00CB1166">
        <w:rPr>
          <w:rFonts w:ascii="Fira Sans SemiBold" w:hAnsi="Fira Sans SemiBold"/>
          <w:color w:val="000000" w:themeColor="text1"/>
          <w:szCs w:val="24"/>
          <w:lang w:val="en-US"/>
        </w:rPr>
        <w:t>Selected aspects of material and social deprivation by rural ag</w:t>
      </w:r>
      <w:bookmarkStart w:id="4" w:name="_GoBack"/>
      <w:bookmarkEnd w:id="4"/>
      <w:r w:rsidRPr="00CB1166">
        <w:rPr>
          <w:rFonts w:ascii="Fira Sans SemiBold" w:hAnsi="Fira Sans SemiBold"/>
          <w:color w:val="000000" w:themeColor="text1"/>
          <w:szCs w:val="24"/>
          <w:lang w:val="en-US"/>
        </w:rPr>
        <w:t xml:space="preserve">glomeration </w:t>
      </w:r>
      <w:r w:rsidRPr="00CB1166">
        <w:rPr>
          <w:rFonts w:ascii="Fira Sans SemiBold" w:hAnsi="Fira Sans SemiBold"/>
          <w:color w:val="000000" w:themeColor="text1"/>
          <w:szCs w:val="24"/>
          <w:lang w:val="en-US"/>
        </w:rPr>
        <w:br/>
        <w:t>and non-agglomeration areas in 2025</w:t>
      </w:r>
    </w:p>
    <w:p w14:paraId="1E786208" w14:textId="2B21E233" w:rsidR="00A803F2" w:rsidRDefault="00A803F2" w:rsidP="00DB11C6">
      <w:pPr>
        <w:spacing w:before="360" w:line="240" w:lineRule="auto"/>
        <w:ind w:left="765" w:hanging="765"/>
        <w:rPr>
          <w:rFonts w:ascii="Fira Sans SemiBold" w:hAnsi="Fira Sans SemiBold"/>
          <w:color w:val="000000" w:themeColor="text1"/>
          <w:szCs w:val="24"/>
          <w:lang w:val="en-US"/>
        </w:rPr>
      </w:pPr>
      <w:r>
        <w:rPr>
          <w:rFonts w:ascii="Fira Sans SemiBold" w:hAnsi="Fira Sans SemiBold"/>
          <w:noProof/>
          <w:color w:val="000000" w:themeColor="text1"/>
          <w:szCs w:val="24"/>
          <w:lang w:eastAsia="pl-PL"/>
        </w:rPr>
        <w:drawing>
          <wp:inline distT="0" distB="0" distL="0" distR="0" wp14:anchorId="6B7FA1F2" wp14:editId="3E3C9D04">
            <wp:extent cx="5126990" cy="4334510"/>
            <wp:effectExtent l="0" t="0" r="0" b="889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26990" cy="4334510"/>
                    </a:xfrm>
                    <a:prstGeom prst="rect">
                      <a:avLst/>
                    </a:prstGeom>
                    <a:noFill/>
                    <a:ln>
                      <a:noFill/>
                    </a:ln>
                  </pic:spPr>
                </pic:pic>
              </a:graphicData>
            </a:graphic>
          </wp:inline>
        </w:drawing>
      </w:r>
    </w:p>
    <w:p w14:paraId="1A6FA69C" w14:textId="472BDAD8" w:rsidR="00314B4B" w:rsidRPr="00245D74" w:rsidRDefault="00245D74" w:rsidP="00626CA8">
      <w:pPr>
        <w:spacing w:before="3360"/>
        <w:rPr>
          <w:color w:val="2F5496" w:themeColor="accent5" w:themeShade="BF"/>
          <w:szCs w:val="19"/>
          <w:lang w:val="en-US"/>
        </w:rPr>
      </w:pPr>
      <w:r w:rsidRPr="00245D74">
        <w:rPr>
          <w:lang w:val="en-US"/>
        </w:rPr>
        <w:t>When quoting Statistics Poland data, please provide the information: ‘Source of data: Statistics Poland’, and when publishing calculations made on data published by Statistics Poland, please include the following disclaimer: ‘Own study based on figures from Statistics Poland’.</w:t>
      </w:r>
    </w:p>
    <w:p w14:paraId="485780CB" w14:textId="77777777" w:rsidR="00484D9A" w:rsidRPr="00245D74" w:rsidRDefault="00484D9A" w:rsidP="004F73CE">
      <w:pPr>
        <w:rPr>
          <w:color w:val="2F5496" w:themeColor="accent5" w:themeShade="BF"/>
          <w:szCs w:val="19"/>
          <w:lang w:val="en-US"/>
        </w:rPr>
        <w:sectPr w:rsidR="00484D9A" w:rsidRPr="00245D74" w:rsidSect="00040603">
          <w:headerReference w:type="default" r:id="rId18"/>
          <w:footerReference w:type="default" r:id="rId19"/>
          <w:headerReference w:type="first" r:id="rId20"/>
          <w:footerReference w:type="first" r:id="rId21"/>
          <w:pgSz w:w="11906" w:h="16838" w:code="9"/>
          <w:pgMar w:top="720" w:right="3119" w:bottom="720" w:left="720" w:header="284" w:footer="284" w:gutter="0"/>
          <w:cols w:space="708"/>
          <w:titlePg/>
          <w:docGrid w:linePitch="360"/>
        </w:sectPr>
      </w:pPr>
    </w:p>
    <w:p w14:paraId="5FF4C895" w14:textId="77777777" w:rsidR="000470AA" w:rsidRPr="00245D74" w:rsidRDefault="000470AA" w:rsidP="004F73CE">
      <w:pPr>
        <w:rPr>
          <w:color w:val="000000" w:themeColor="text1"/>
          <w:sz w:val="18"/>
          <w:lang w:val="en-US"/>
        </w:rPr>
      </w:pPr>
    </w:p>
    <w:tbl>
      <w:tblPr>
        <w:tblStyle w:val="Tabela-Siatka1"/>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B14FDF" w:rsidRPr="006507B9" w14:paraId="6753D7D1" w14:textId="77777777" w:rsidTr="00A821A5">
        <w:trPr>
          <w:trHeight w:val="1626"/>
        </w:trPr>
        <w:tc>
          <w:tcPr>
            <w:tcW w:w="4926" w:type="dxa"/>
          </w:tcPr>
          <w:p w14:paraId="4CBFD7FE" w14:textId="7683FEED" w:rsidR="00966079" w:rsidRPr="00B14FDF" w:rsidRDefault="00DB11C6" w:rsidP="004F73CE">
            <w:pPr>
              <w:spacing w:before="0" w:after="0" w:line="276" w:lineRule="auto"/>
              <w:rPr>
                <w:rFonts w:cs="Arial"/>
                <w:color w:val="000000" w:themeColor="text1"/>
                <w:sz w:val="20"/>
                <w:lang w:val="en-US"/>
              </w:rPr>
            </w:pPr>
            <w:bookmarkStart w:id="5" w:name="_Hlk101855825"/>
            <w:bookmarkStart w:id="6" w:name="_Hlk101855846"/>
            <w:r w:rsidRPr="00B14FDF">
              <w:rPr>
                <w:rFonts w:cs="Arial"/>
                <w:color w:val="000000" w:themeColor="text1"/>
                <w:sz w:val="20"/>
                <w:lang w:val="en-GB"/>
              </w:rPr>
              <w:t>Prepared by:</w:t>
            </w:r>
          </w:p>
          <w:p w14:paraId="6D6759CF" w14:textId="77777777" w:rsidR="006507B9" w:rsidRDefault="006507B9" w:rsidP="004F73CE">
            <w:pPr>
              <w:spacing w:before="0" w:after="0" w:line="276" w:lineRule="auto"/>
              <w:rPr>
                <w:rFonts w:cs="Arial"/>
                <w:b/>
                <w:color w:val="000000" w:themeColor="text1"/>
                <w:sz w:val="20"/>
                <w:lang w:val="en-US"/>
              </w:rPr>
            </w:pPr>
            <w:r w:rsidRPr="006507B9">
              <w:rPr>
                <w:rFonts w:cs="Arial"/>
                <w:b/>
                <w:color w:val="000000" w:themeColor="text1"/>
                <w:sz w:val="20"/>
                <w:lang w:val="en-US"/>
              </w:rPr>
              <w:t>Social Research Department</w:t>
            </w:r>
          </w:p>
          <w:p w14:paraId="194DDA39" w14:textId="77777777" w:rsidR="006507B9" w:rsidRDefault="006507B9" w:rsidP="004F73CE">
            <w:pPr>
              <w:spacing w:before="0" w:after="0" w:line="276" w:lineRule="auto"/>
              <w:rPr>
                <w:rFonts w:cs="Arial"/>
                <w:b/>
                <w:color w:val="000000" w:themeColor="text1"/>
                <w:sz w:val="20"/>
                <w:lang w:val="en-US"/>
              </w:rPr>
            </w:pPr>
          </w:p>
          <w:p w14:paraId="49C24D0B" w14:textId="77777777" w:rsidR="00485489" w:rsidRDefault="00485489" w:rsidP="004F73CE">
            <w:pPr>
              <w:spacing w:before="0" w:after="0" w:line="276" w:lineRule="auto"/>
              <w:rPr>
                <w:rFonts w:cs="Arial"/>
                <w:b/>
                <w:color w:val="000000" w:themeColor="text1"/>
                <w:sz w:val="20"/>
                <w:lang w:val="en-US"/>
              </w:rPr>
            </w:pPr>
          </w:p>
          <w:p w14:paraId="098A9EEC" w14:textId="30ED43C6" w:rsidR="00966079" w:rsidRPr="00B14FDF" w:rsidRDefault="00966079" w:rsidP="004F73CE">
            <w:pPr>
              <w:spacing w:before="0" w:after="0" w:line="276" w:lineRule="auto"/>
              <w:rPr>
                <w:b/>
                <w:color w:val="000000" w:themeColor="text1"/>
                <w:sz w:val="20"/>
                <w:szCs w:val="20"/>
                <w:lang w:val="fi-FI"/>
              </w:rPr>
            </w:pPr>
            <w:r w:rsidRPr="00B14FDF">
              <w:rPr>
                <w:b/>
                <w:color w:val="000000" w:themeColor="text1"/>
                <w:sz w:val="20"/>
                <w:szCs w:val="20"/>
                <w:lang w:val="fi-FI"/>
              </w:rPr>
              <w:t>D</w:t>
            </w:r>
            <w:r w:rsidR="00B14FDF" w:rsidRPr="00B14FDF">
              <w:rPr>
                <w:b/>
                <w:color w:val="000000" w:themeColor="text1"/>
                <w:sz w:val="20"/>
                <w:szCs w:val="20"/>
                <w:lang w:val="fi-FI"/>
              </w:rPr>
              <w:t>irector</w:t>
            </w:r>
            <w:r w:rsidRPr="00B14FDF">
              <w:rPr>
                <w:b/>
                <w:color w:val="000000" w:themeColor="text1"/>
                <w:sz w:val="20"/>
                <w:szCs w:val="20"/>
                <w:lang w:val="fi-FI"/>
              </w:rPr>
              <w:t xml:space="preserve"> </w:t>
            </w:r>
            <w:r w:rsidR="00375056" w:rsidRPr="00B14FDF">
              <w:rPr>
                <w:b/>
                <w:color w:val="000000" w:themeColor="text1"/>
                <w:sz w:val="20"/>
                <w:szCs w:val="20"/>
                <w:lang w:val="fi-FI"/>
              </w:rPr>
              <w:t>Izabela Grabowska</w:t>
            </w:r>
          </w:p>
          <w:p w14:paraId="4D70B1A2" w14:textId="10728913" w:rsidR="00FB294F" w:rsidRPr="00B14FDF" w:rsidRDefault="00B14FDF" w:rsidP="005C46FF">
            <w:pPr>
              <w:pStyle w:val="Nagwek3"/>
              <w:spacing w:before="0" w:after="120" w:line="276" w:lineRule="auto"/>
              <w:outlineLvl w:val="2"/>
              <w:rPr>
                <w:rFonts w:cs="Arial"/>
                <w:color w:val="000000" w:themeColor="text1"/>
                <w:sz w:val="20"/>
                <w:lang w:val="fi-FI"/>
              </w:rPr>
            </w:pPr>
            <w:r w:rsidRPr="005C46FF">
              <w:rPr>
                <w:rFonts w:ascii="Fira Sans" w:hAnsi="Fira Sans" w:cs="Arial"/>
                <w:color w:val="000000" w:themeColor="text1"/>
                <w:sz w:val="20"/>
                <w:lang w:val="fi-FI"/>
              </w:rPr>
              <w:t>Phone</w:t>
            </w:r>
            <w:r w:rsidR="00413657" w:rsidRPr="005C46FF">
              <w:rPr>
                <w:rFonts w:ascii="Fira Sans" w:hAnsi="Fira Sans" w:cs="Arial"/>
                <w:color w:val="000000" w:themeColor="text1"/>
                <w:sz w:val="20"/>
                <w:lang w:val="fi-FI"/>
              </w:rPr>
              <w:t>:</w:t>
            </w:r>
            <w:r w:rsidR="00966079" w:rsidRPr="005C46FF">
              <w:rPr>
                <w:rFonts w:ascii="Fira Sans" w:hAnsi="Fira Sans" w:cs="Arial"/>
                <w:color w:val="000000" w:themeColor="text1"/>
                <w:sz w:val="20"/>
                <w:lang w:val="fi-FI"/>
              </w:rPr>
              <w:t xml:space="preserve"> </w:t>
            </w:r>
            <w:r w:rsidR="004B364B" w:rsidRPr="005C46FF">
              <w:rPr>
                <w:rFonts w:ascii="Fira Sans" w:hAnsi="Fira Sans" w:cs="Arial"/>
                <w:color w:val="000000" w:themeColor="text1"/>
                <w:sz w:val="20"/>
                <w:lang w:val="fi-FI"/>
              </w:rPr>
              <w:t>(</w:t>
            </w:r>
            <w:r w:rsidR="00375056" w:rsidRPr="005C46FF">
              <w:rPr>
                <w:rFonts w:ascii="Fira Sans" w:hAnsi="Fira Sans" w:cs="Arial"/>
                <w:color w:val="000000" w:themeColor="text1"/>
                <w:sz w:val="20"/>
                <w:lang w:val="fi-FI"/>
              </w:rPr>
              <w:t>+48 22</w:t>
            </w:r>
            <w:r w:rsidR="004B364B" w:rsidRPr="005C46FF">
              <w:rPr>
                <w:rFonts w:ascii="Fira Sans" w:hAnsi="Fira Sans" w:cs="Arial"/>
                <w:color w:val="000000" w:themeColor="text1"/>
                <w:sz w:val="20"/>
                <w:lang w:val="fi-FI"/>
              </w:rPr>
              <w:t>)</w:t>
            </w:r>
            <w:r w:rsidR="00375056" w:rsidRPr="005C46FF">
              <w:rPr>
                <w:rFonts w:ascii="Fira Sans" w:hAnsi="Fira Sans" w:cs="Arial"/>
                <w:color w:val="000000" w:themeColor="text1"/>
                <w:sz w:val="20"/>
                <w:lang w:val="fi-FI"/>
              </w:rPr>
              <w:t> 608 31 22</w:t>
            </w:r>
          </w:p>
        </w:tc>
        <w:tc>
          <w:tcPr>
            <w:tcW w:w="4927" w:type="dxa"/>
          </w:tcPr>
          <w:p w14:paraId="775B7FAC" w14:textId="751B410A" w:rsidR="00966079" w:rsidRPr="00B14FDF" w:rsidRDefault="00B14FDF" w:rsidP="004F73CE">
            <w:pPr>
              <w:spacing w:before="0" w:line="276" w:lineRule="auto"/>
              <w:rPr>
                <w:rFonts w:cs="Arial"/>
                <w:b/>
                <w:color w:val="000000" w:themeColor="text1"/>
                <w:sz w:val="20"/>
                <w:lang w:val="en-US"/>
              </w:rPr>
            </w:pPr>
            <w:r w:rsidRPr="00B14FDF">
              <w:rPr>
                <w:rFonts w:cs="Arial"/>
                <w:color w:val="000000" w:themeColor="text1"/>
                <w:sz w:val="20"/>
                <w:lang w:val="en-US"/>
              </w:rPr>
              <w:t>Issued by</w:t>
            </w:r>
            <w:r w:rsidR="00966079" w:rsidRPr="00B14FDF">
              <w:rPr>
                <w:rFonts w:cs="Arial"/>
                <w:color w:val="000000" w:themeColor="text1"/>
                <w:sz w:val="20"/>
                <w:lang w:val="en-US"/>
              </w:rPr>
              <w:t>:</w:t>
            </w:r>
            <w:r w:rsidR="00966079" w:rsidRPr="00B14FDF">
              <w:rPr>
                <w:rFonts w:cs="Arial"/>
                <w:color w:val="000000" w:themeColor="text1"/>
                <w:sz w:val="20"/>
                <w:lang w:val="en-US"/>
              </w:rPr>
              <w:br/>
            </w:r>
            <w:r w:rsidRPr="00B14FDF">
              <w:rPr>
                <w:rFonts w:cs="Arial"/>
                <w:b/>
                <w:color w:val="000000" w:themeColor="text1"/>
                <w:sz w:val="20"/>
                <w:lang w:val="en-US"/>
              </w:rPr>
              <w:t>Press Office</w:t>
            </w:r>
          </w:p>
          <w:p w14:paraId="0C3DD1F0" w14:textId="53905856" w:rsidR="00966079" w:rsidRPr="005C46FF" w:rsidRDefault="00B14FDF" w:rsidP="004F73CE">
            <w:pPr>
              <w:rPr>
                <w:sz w:val="20"/>
                <w:lang w:val="en-GB"/>
              </w:rPr>
            </w:pPr>
            <w:r w:rsidRPr="005C46FF">
              <w:rPr>
                <w:sz w:val="20"/>
                <w:lang w:val="en-GB"/>
              </w:rPr>
              <w:t>Mobile</w:t>
            </w:r>
            <w:r w:rsidR="00966079" w:rsidRPr="005C46FF">
              <w:rPr>
                <w:sz w:val="20"/>
                <w:lang w:val="en-GB"/>
              </w:rPr>
              <w:t xml:space="preserve">: </w:t>
            </w:r>
            <w:r w:rsidRPr="005C46FF">
              <w:rPr>
                <w:sz w:val="20"/>
                <w:lang w:val="en-GB"/>
              </w:rPr>
              <w:t>(</w:t>
            </w:r>
            <w:r w:rsidR="00966079" w:rsidRPr="005C46FF">
              <w:rPr>
                <w:sz w:val="20"/>
                <w:lang w:val="en-GB"/>
              </w:rPr>
              <w:t>+48</w:t>
            </w:r>
            <w:r w:rsidRPr="005C46FF">
              <w:rPr>
                <w:sz w:val="20"/>
                <w:lang w:val="en-GB"/>
              </w:rPr>
              <w:t>)</w:t>
            </w:r>
            <w:r w:rsidR="00966079" w:rsidRPr="005C46FF">
              <w:rPr>
                <w:sz w:val="20"/>
                <w:lang w:val="en-GB"/>
              </w:rPr>
              <w:t xml:space="preserve"> 695 255 032</w:t>
            </w:r>
          </w:p>
          <w:p w14:paraId="5EA2EA46" w14:textId="77777777" w:rsidR="005C46FF" w:rsidRDefault="00504795" w:rsidP="005C46FF">
            <w:pPr>
              <w:spacing w:after="0"/>
              <w:rPr>
                <w:sz w:val="20"/>
                <w:lang w:val="en-GB"/>
              </w:rPr>
            </w:pPr>
            <w:r w:rsidRPr="005C46FF">
              <w:rPr>
                <w:sz w:val="20"/>
                <w:lang w:val="en-GB"/>
              </w:rPr>
              <w:t>Phone</w:t>
            </w:r>
            <w:r w:rsidR="00966079" w:rsidRPr="005C46FF">
              <w:rPr>
                <w:sz w:val="20"/>
                <w:lang w:val="en-GB"/>
              </w:rPr>
              <w:t xml:space="preserve">: </w:t>
            </w:r>
            <w:r w:rsidR="00B14FDF" w:rsidRPr="005C46FF">
              <w:rPr>
                <w:sz w:val="20"/>
                <w:lang w:val="en-GB"/>
              </w:rPr>
              <w:t>(</w:t>
            </w:r>
            <w:r w:rsidR="00966079" w:rsidRPr="005C46FF">
              <w:rPr>
                <w:sz w:val="20"/>
                <w:lang w:val="en-GB"/>
              </w:rPr>
              <w:t>+48 22</w:t>
            </w:r>
            <w:r w:rsidR="004B364B" w:rsidRPr="005C46FF">
              <w:rPr>
                <w:sz w:val="20"/>
                <w:lang w:val="en-GB"/>
              </w:rPr>
              <w:t>)</w:t>
            </w:r>
            <w:r w:rsidR="00966079" w:rsidRPr="005C46FF">
              <w:rPr>
                <w:sz w:val="20"/>
                <w:lang w:val="en-GB"/>
              </w:rPr>
              <w:t xml:space="preserve"> 608 38 04, </w:t>
            </w:r>
            <w:r w:rsidR="004B364B" w:rsidRPr="005C46FF">
              <w:rPr>
                <w:sz w:val="20"/>
                <w:lang w:val="en-GB"/>
              </w:rPr>
              <w:t xml:space="preserve"> (</w:t>
            </w:r>
            <w:r w:rsidR="00966079" w:rsidRPr="005C46FF">
              <w:rPr>
                <w:sz w:val="20"/>
                <w:lang w:val="en-GB"/>
              </w:rPr>
              <w:t>+48 22</w:t>
            </w:r>
            <w:r w:rsidR="004B364B" w:rsidRPr="005C46FF">
              <w:rPr>
                <w:sz w:val="20"/>
                <w:lang w:val="en-GB"/>
              </w:rPr>
              <w:t>)</w:t>
            </w:r>
            <w:r w:rsidR="00966079" w:rsidRPr="005C46FF">
              <w:rPr>
                <w:sz w:val="20"/>
                <w:lang w:val="en-GB"/>
              </w:rPr>
              <w:t xml:space="preserve"> 449 41 45,</w:t>
            </w:r>
          </w:p>
          <w:p w14:paraId="3AAB9FC2" w14:textId="404EE684" w:rsidR="00966079" w:rsidRPr="005C46FF" w:rsidRDefault="005C46FF" w:rsidP="005C46FF">
            <w:pPr>
              <w:spacing w:before="0"/>
              <w:rPr>
                <w:sz w:val="20"/>
                <w:lang w:val="en-GB"/>
              </w:rPr>
            </w:pPr>
            <w:r>
              <w:rPr>
                <w:sz w:val="20"/>
                <w:lang w:val="en-GB"/>
              </w:rPr>
              <w:t xml:space="preserve">             </w:t>
            </w:r>
            <w:r w:rsidR="00B14FDF" w:rsidRPr="005C46FF">
              <w:rPr>
                <w:sz w:val="20"/>
                <w:lang w:val="en-GB"/>
              </w:rPr>
              <w:t>(</w:t>
            </w:r>
            <w:r w:rsidR="00966079" w:rsidRPr="005C46FF">
              <w:rPr>
                <w:sz w:val="20"/>
                <w:lang w:val="en-GB"/>
              </w:rPr>
              <w:t>+48 22</w:t>
            </w:r>
            <w:r w:rsidR="00504795" w:rsidRPr="005C46FF">
              <w:rPr>
                <w:sz w:val="20"/>
                <w:lang w:val="en-GB"/>
              </w:rPr>
              <w:t>)</w:t>
            </w:r>
            <w:r w:rsidR="00966079" w:rsidRPr="005C46FF">
              <w:rPr>
                <w:sz w:val="20"/>
                <w:lang w:val="en-GB"/>
              </w:rPr>
              <w:t xml:space="preserve"> 608 30 09</w:t>
            </w:r>
          </w:p>
          <w:p w14:paraId="26DFE295" w14:textId="77777777" w:rsidR="005C46FF" w:rsidRPr="00AE54DC" w:rsidRDefault="005C46FF" w:rsidP="005C46FF">
            <w:pPr>
              <w:pStyle w:val="Nagwek3"/>
              <w:spacing w:before="0" w:after="120" w:line="276" w:lineRule="auto"/>
              <w:outlineLvl w:val="2"/>
              <w:rPr>
                <w:rFonts w:ascii="Fira Sans" w:hAnsi="Fira Sans" w:cs="Arial"/>
                <w:color w:val="000000" w:themeColor="text1"/>
                <w:sz w:val="20"/>
                <w:lang w:val="fi-FI"/>
              </w:rPr>
            </w:pPr>
            <w:r w:rsidRPr="00A82D31">
              <w:rPr>
                <w:b/>
                <w:sz w:val="20"/>
                <w:lang w:val="en-GB"/>
              </w:rPr>
              <w:t>e-mail:</w:t>
            </w:r>
            <w:r w:rsidRPr="00A82D31">
              <w:rPr>
                <w:sz w:val="20"/>
                <w:lang w:val="en-GB"/>
              </w:rPr>
              <w:t xml:space="preserve"> </w:t>
            </w:r>
            <w:hyperlink r:id="rId22" w:history="1">
              <w:r w:rsidRPr="00394E26">
                <w:rPr>
                  <w:rStyle w:val="Hipercze"/>
                  <w:rFonts w:cs="Arial"/>
                  <w:b/>
                  <w:color w:val="auto"/>
                  <w:sz w:val="20"/>
                  <w:szCs w:val="20"/>
                  <w:lang w:val="en-US"/>
                </w:rPr>
                <w:t>obslugaprasowa@stat.gov.pl</w:t>
              </w:r>
            </w:hyperlink>
          </w:p>
          <w:p w14:paraId="1511CF8C" w14:textId="77777777" w:rsidR="00966079" w:rsidRPr="005C46FF" w:rsidRDefault="00966079" w:rsidP="004F73CE">
            <w:pPr>
              <w:rPr>
                <w:color w:val="000000" w:themeColor="text1"/>
                <w:sz w:val="18"/>
                <w:lang w:val="fi-FI"/>
              </w:rPr>
            </w:pPr>
          </w:p>
        </w:tc>
      </w:tr>
      <w:tr w:rsidR="008124CF" w:rsidRPr="008124CF" w14:paraId="01E20888" w14:textId="77777777" w:rsidTr="00A821A5">
        <w:trPr>
          <w:trHeight w:val="418"/>
        </w:trPr>
        <w:tc>
          <w:tcPr>
            <w:tcW w:w="4926" w:type="dxa"/>
            <w:vMerge w:val="restart"/>
          </w:tcPr>
          <w:p w14:paraId="168B6257" w14:textId="08F07DD2" w:rsidR="00966079" w:rsidRPr="005C46FF" w:rsidRDefault="00966079" w:rsidP="004F73CE">
            <w:pPr>
              <w:rPr>
                <w:color w:val="000000" w:themeColor="text1"/>
                <w:sz w:val="18"/>
                <w:lang w:val="en-US"/>
              </w:rPr>
            </w:pPr>
            <w:bookmarkStart w:id="7" w:name="_Hlk101855661"/>
          </w:p>
        </w:tc>
        <w:tc>
          <w:tcPr>
            <w:tcW w:w="4927" w:type="dxa"/>
            <w:vAlign w:val="center"/>
          </w:tcPr>
          <w:p w14:paraId="7C486F48" w14:textId="6E076F04" w:rsidR="00966079" w:rsidRPr="00FB294F" w:rsidRDefault="00966079" w:rsidP="004F73CE">
            <w:pPr>
              <w:ind w:firstLine="680"/>
              <w:rPr>
                <w:color w:val="000000" w:themeColor="text1"/>
                <w:sz w:val="18"/>
              </w:rPr>
            </w:pPr>
            <w:r w:rsidRPr="00FB294F">
              <w:rPr>
                <w:noProof/>
                <w:color w:val="000000" w:themeColor="text1"/>
                <w:sz w:val="20"/>
                <w:lang w:eastAsia="pl-PL"/>
              </w:rPr>
              <w:drawing>
                <wp:anchor distT="0" distB="0" distL="114300" distR="114300" simplePos="0" relativeHeight="251644928" behindDoc="0" locked="0" layoutInCell="1" allowOverlap="1" wp14:anchorId="547DB3CA" wp14:editId="75671E5A">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FB294F">
              <w:rPr>
                <w:color w:val="000000" w:themeColor="text1"/>
                <w:sz w:val="20"/>
              </w:rPr>
              <w:t>stat.gov.pl</w:t>
            </w:r>
            <w:r w:rsidR="00B14FDF">
              <w:rPr>
                <w:color w:val="000000" w:themeColor="text1"/>
                <w:sz w:val="20"/>
              </w:rPr>
              <w:t>/en/</w:t>
            </w:r>
            <w:r w:rsidRPr="00FB294F">
              <w:rPr>
                <w:color w:val="000000" w:themeColor="text1"/>
                <w:sz w:val="18"/>
              </w:rPr>
              <w:t xml:space="preserve">      </w:t>
            </w:r>
          </w:p>
        </w:tc>
      </w:tr>
      <w:tr w:rsidR="008124CF" w:rsidRPr="008124CF" w14:paraId="62C316EB" w14:textId="77777777" w:rsidTr="00A821A5">
        <w:trPr>
          <w:trHeight w:val="418"/>
        </w:trPr>
        <w:tc>
          <w:tcPr>
            <w:tcW w:w="4926" w:type="dxa"/>
            <w:vMerge/>
          </w:tcPr>
          <w:p w14:paraId="576E081F" w14:textId="77777777" w:rsidR="00966079" w:rsidRPr="00FB294F" w:rsidRDefault="00966079" w:rsidP="004F73CE">
            <w:pPr>
              <w:rPr>
                <w:b/>
                <w:color w:val="000000" w:themeColor="text1"/>
                <w:sz w:val="20"/>
              </w:rPr>
            </w:pPr>
          </w:p>
        </w:tc>
        <w:tc>
          <w:tcPr>
            <w:tcW w:w="4927" w:type="dxa"/>
            <w:vAlign w:val="center"/>
          </w:tcPr>
          <w:p w14:paraId="333A6861" w14:textId="2F9169E5" w:rsidR="00966079" w:rsidRPr="00FB294F" w:rsidRDefault="00966079" w:rsidP="00B14FDF">
            <w:pPr>
              <w:ind w:firstLine="680"/>
              <w:rPr>
                <w:color w:val="000000" w:themeColor="text1"/>
                <w:sz w:val="18"/>
              </w:rPr>
            </w:pPr>
            <w:r w:rsidRPr="00FB294F">
              <w:rPr>
                <w:noProof/>
                <w:color w:val="000000" w:themeColor="text1"/>
                <w:sz w:val="20"/>
                <w:lang w:eastAsia="pl-PL"/>
              </w:rPr>
              <w:drawing>
                <wp:anchor distT="0" distB="0" distL="114300" distR="114300" simplePos="0" relativeHeight="251645952" behindDoc="0" locked="0" layoutInCell="1" allowOverlap="1" wp14:anchorId="100457F6" wp14:editId="11AF3630">
                  <wp:simplePos x="0" y="0"/>
                  <wp:positionH relativeFrom="column">
                    <wp:posOffset>79375</wp:posOffset>
                  </wp:positionH>
                  <wp:positionV relativeFrom="paragraph">
                    <wp:posOffset>21590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FB294F">
              <w:rPr>
                <w:color w:val="000000" w:themeColor="text1"/>
                <w:sz w:val="20"/>
              </w:rPr>
              <w:t>@</w:t>
            </w:r>
            <w:proofErr w:type="spellStart"/>
            <w:r w:rsidR="00B14FDF">
              <w:rPr>
                <w:color w:val="000000" w:themeColor="text1"/>
                <w:sz w:val="20"/>
              </w:rPr>
              <w:t>StatPoland</w:t>
            </w:r>
            <w:proofErr w:type="spellEnd"/>
            <w:r w:rsidRPr="00FB294F">
              <w:rPr>
                <w:noProof/>
                <w:color w:val="000000" w:themeColor="text1"/>
                <w:sz w:val="20"/>
                <w:lang w:eastAsia="pl-PL"/>
              </w:rPr>
              <w:t xml:space="preserve"> </w:t>
            </w:r>
          </w:p>
        </w:tc>
      </w:tr>
      <w:tr w:rsidR="008124CF" w:rsidRPr="008124CF" w14:paraId="37F06C73" w14:textId="77777777" w:rsidTr="00A821A5">
        <w:trPr>
          <w:trHeight w:val="476"/>
        </w:trPr>
        <w:tc>
          <w:tcPr>
            <w:tcW w:w="4926" w:type="dxa"/>
            <w:vMerge/>
          </w:tcPr>
          <w:p w14:paraId="715332B9" w14:textId="77777777" w:rsidR="00966079" w:rsidRPr="00FB294F" w:rsidRDefault="00966079" w:rsidP="004F73CE">
            <w:pPr>
              <w:rPr>
                <w:b/>
                <w:color w:val="000000" w:themeColor="text1"/>
                <w:sz w:val="20"/>
              </w:rPr>
            </w:pPr>
          </w:p>
        </w:tc>
        <w:tc>
          <w:tcPr>
            <w:tcW w:w="4927" w:type="dxa"/>
          </w:tcPr>
          <w:p w14:paraId="1FCDDEFE" w14:textId="77777777" w:rsidR="00966079" w:rsidRPr="00FB294F" w:rsidRDefault="00966079" w:rsidP="004F73CE">
            <w:pPr>
              <w:ind w:firstLine="680"/>
              <w:rPr>
                <w:color w:val="000000" w:themeColor="text1"/>
                <w:sz w:val="18"/>
              </w:rPr>
            </w:pPr>
            <w:r w:rsidRPr="00FB294F">
              <w:rPr>
                <w:noProof/>
                <w:color w:val="000000" w:themeColor="text1"/>
                <w:sz w:val="20"/>
                <w:lang w:eastAsia="pl-PL"/>
              </w:rPr>
              <w:drawing>
                <wp:anchor distT="0" distB="0" distL="114300" distR="114300" simplePos="0" relativeHeight="251646976" behindDoc="0" locked="0" layoutInCell="1" allowOverlap="1" wp14:anchorId="09BE7D4C" wp14:editId="6BD98660">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FB294F">
              <w:rPr>
                <w:color w:val="000000" w:themeColor="text1"/>
                <w:sz w:val="20"/>
              </w:rPr>
              <w:t>@</w:t>
            </w:r>
            <w:proofErr w:type="spellStart"/>
            <w:r w:rsidRPr="00FB294F">
              <w:rPr>
                <w:color w:val="000000" w:themeColor="text1"/>
                <w:sz w:val="20"/>
              </w:rPr>
              <w:t>GlownyUrzadStatystyczny</w:t>
            </w:r>
            <w:proofErr w:type="spellEnd"/>
            <w:r w:rsidRPr="00FB294F">
              <w:rPr>
                <w:noProof/>
                <w:color w:val="000000" w:themeColor="text1"/>
                <w:sz w:val="20"/>
                <w:lang w:eastAsia="pl-PL"/>
              </w:rPr>
              <w:t xml:space="preserve"> </w:t>
            </w:r>
          </w:p>
        </w:tc>
      </w:tr>
      <w:tr w:rsidR="008124CF" w:rsidRPr="008124CF" w14:paraId="607893A6" w14:textId="77777777" w:rsidTr="00A821A5">
        <w:trPr>
          <w:trHeight w:val="426"/>
        </w:trPr>
        <w:tc>
          <w:tcPr>
            <w:tcW w:w="4926" w:type="dxa"/>
          </w:tcPr>
          <w:p w14:paraId="1D7D37C5" w14:textId="77777777" w:rsidR="00966079" w:rsidRPr="00FB294F" w:rsidRDefault="00966079" w:rsidP="004F73CE">
            <w:pPr>
              <w:rPr>
                <w:b/>
                <w:color w:val="000000" w:themeColor="text1"/>
                <w:sz w:val="20"/>
              </w:rPr>
            </w:pPr>
          </w:p>
        </w:tc>
        <w:tc>
          <w:tcPr>
            <w:tcW w:w="4927" w:type="dxa"/>
          </w:tcPr>
          <w:p w14:paraId="67D138B0" w14:textId="77777777" w:rsidR="00966079" w:rsidRPr="00FB294F" w:rsidRDefault="00966079" w:rsidP="004F73CE">
            <w:pPr>
              <w:ind w:firstLine="680"/>
              <w:rPr>
                <w:noProof/>
                <w:color w:val="000000" w:themeColor="text1"/>
                <w:sz w:val="20"/>
                <w:lang w:eastAsia="pl-PL"/>
              </w:rPr>
            </w:pPr>
            <w:r w:rsidRPr="00FB294F">
              <w:rPr>
                <w:noProof/>
                <w:color w:val="000000" w:themeColor="text1"/>
                <w:sz w:val="20"/>
                <w:lang w:eastAsia="pl-PL"/>
              </w:rPr>
              <w:drawing>
                <wp:anchor distT="0" distB="0" distL="114300" distR="114300" simplePos="0" relativeHeight="251648000" behindDoc="0" locked="0" layoutInCell="1" allowOverlap="1" wp14:anchorId="130512CE" wp14:editId="44AF1B1D">
                  <wp:simplePos x="0" y="0"/>
                  <wp:positionH relativeFrom="column">
                    <wp:posOffset>82550</wp:posOffset>
                  </wp:positionH>
                  <wp:positionV relativeFrom="paragraph">
                    <wp:posOffset>12700</wp:posOffset>
                  </wp:positionV>
                  <wp:extent cx="251460" cy="251460"/>
                  <wp:effectExtent l="0" t="0" r="0" b="0"/>
                  <wp:wrapNone/>
                  <wp:docPr id="4" name="Obraz 4"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FB294F">
              <w:rPr>
                <w:color w:val="000000" w:themeColor="text1"/>
                <w:sz w:val="20"/>
              </w:rPr>
              <w:t>gus_stat</w:t>
            </w:r>
            <w:proofErr w:type="spellEnd"/>
          </w:p>
        </w:tc>
      </w:tr>
      <w:tr w:rsidR="008124CF" w:rsidRPr="008124CF" w14:paraId="37E4618F" w14:textId="77777777" w:rsidTr="00A821A5">
        <w:trPr>
          <w:trHeight w:val="504"/>
        </w:trPr>
        <w:tc>
          <w:tcPr>
            <w:tcW w:w="4926" w:type="dxa"/>
          </w:tcPr>
          <w:p w14:paraId="0CC52DBC" w14:textId="77777777" w:rsidR="00966079" w:rsidRPr="00FB294F" w:rsidRDefault="00966079" w:rsidP="004F73CE">
            <w:pPr>
              <w:rPr>
                <w:b/>
                <w:color w:val="000000" w:themeColor="text1"/>
                <w:sz w:val="20"/>
              </w:rPr>
            </w:pPr>
          </w:p>
        </w:tc>
        <w:tc>
          <w:tcPr>
            <w:tcW w:w="4927" w:type="dxa"/>
          </w:tcPr>
          <w:p w14:paraId="03784464" w14:textId="77777777" w:rsidR="00966079" w:rsidRPr="00FB294F" w:rsidRDefault="00966079" w:rsidP="004F73CE">
            <w:pPr>
              <w:ind w:firstLine="680"/>
              <w:rPr>
                <w:noProof/>
                <w:color w:val="000000" w:themeColor="text1"/>
                <w:sz w:val="20"/>
                <w:lang w:eastAsia="pl-PL"/>
              </w:rPr>
            </w:pPr>
            <w:r w:rsidRPr="00FB294F">
              <w:rPr>
                <w:noProof/>
                <w:color w:val="000000" w:themeColor="text1"/>
                <w:sz w:val="20"/>
                <w:lang w:eastAsia="pl-PL"/>
              </w:rPr>
              <w:drawing>
                <wp:anchor distT="0" distB="0" distL="114300" distR="114300" simplePos="0" relativeHeight="251649024" behindDoc="0" locked="0" layoutInCell="1" allowOverlap="1" wp14:anchorId="0CAFFCCF" wp14:editId="5682396F">
                  <wp:simplePos x="0" y="0"/>
                  <wp:positionH relativeFrom="column">
                    <wp:posOffset>82550</wp:posOffset>
                  </wp:positionH>
                  <wp:positionV relativeFrom="paragraph">
                    <wp:posOffset>13970</wp:posOffset>
                  </wp:positionV>
                  <wp:extent cx="251460" cy="251460"/>
                  <wp:effectExtent l="0" t="0" r="0" b="0"/>
                  <wp:wrapNone/>
                  <wp:docPr id="5" name="Obraz 5"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FB294F">
              <w:rPr>
                <w:color w:val="000000" w:themeColor="text1"/>
                <w:sz w:val="20"/>
              </w:rPr>
              <w:t>glownyurzadstatystycznygus</w:t>
            </w:r>
            <w:proofErr w:type="spellEnd"/>
          </w:p>
        </w:tc>
      </w:tr>
      <w:tr w:rsidR="008124CF" w:rsidRPr="008124CF" w14:paraId="6374B88A" w14:textId="77777777" w:rsidTr="00A821A5">
        <w:trPr>
          <w:trHeight w:val="1546"/>
        </w:trPr>
        <w:tc>
          <w:tcPr>
            <w:tcW w:w="4926" w:type="dxa"/>
          </w:tcPr>
          <w:p w14:paraId="4F7F6B63" w14:textId="77777777" w:rsidR="00966079" w:rsidRPr="00FB294F" w:rsidRDefault="00966079" w:rsidP="004F73CE">
            <w:pPr>
              <w:rPr>
                <w:b/>
                <w:color w:val="000000" w:themeColor="text1"/>
                <w:sz w:val="20"/>
              </w:rPr>
            </w:pPr>
          </w:p>
        </w:tc>
        <w:tc>
          <w:tcPr>
            <w:tcW w:w="4927" w:type="dxa"/>
          </w:tcPr>
          <w:p w14:paraId="664796E5" w14:textId="77777777" w:rsidR="00966079" w:rsidRPr="00FB294F" w:rsidRDefault="00966079" w:rsidP="004F73CE">
            <w:pPr>
              <w:ind w:firstLine="680"/>
              <w:rPr>
                <w:noProof/>
                <w:color w:val="000000" w:themeColor="text1"/>
                <w:sz w:val="20"/>
                <w:lang w:eastAsia="pl-PL"/>
              </w:rPr>
            </w:pPr>
            <w:r w:rsidRPr="00FB294F">
              <w:rPr>
                <w:noProof/>
                <w:color w:val="000000" w:themeColor="text1"/>
                <w:sz w:val="20"/>
                <w:lang w:eastAsia="pl-PL"/>
              </w:rPr>
              <w:t>glownyurzadstatystyczny</w:t>
            </w:r>
            <w:r w:rsidRPr="00FB294F">
              <w:rPr>
                <w:noProof/>
                <w:color w:val="000000" w:themeColor="text1"/>
                <w:sz w:val="20"/>
                <w:lang w:eastAsia="pl-PL"/>
              </w:rPr>
              <w:drawing>
                <wp:anchor distT="0" distB="0" distL="114300" distR="114300" simplePos="0" relativeHeight="251650048" behindDoc="0" locked="0" layoutInCell="1" allowOverlap="1" wp14:anchorId="5CE245EB" wp14:editId="6FA1261B">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bl>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4B364B" w:rsidRPr="006507B9" w14:paraId="4E0D8D26" w14:textId="77777777" w:rsidTr="00F12A38">
        <w:trPr>
          <w:trHeight w:val="4114"/>
        </w:trPr>
        <w:tc>
          <w:tcPr>
            <w:tcW w:w="9853" w:type="dxa"/>
            <w:shd w:val="clear" w:color="auto" w:fill="D9D9D9" w:themeFill="background1" w:themeFillShade="D9"/>
          </w:tcPr>
          <w:p w14:paraId="263A27DB" w14:textId="77777777" w:rsidR="004B364B" w:rsidRPr="004B364B" w:rsidRDefault="004B364B" w:rsidP="00F12A38">
            <w:pPr>
              <w:shd w:val="clear" w:color="auto" w:fill="D9D9D9" w:themeFill="background1" w:themeFillShade="D9"/>
              <w:rPr>
                <w:b/>
                <w:lang w:val="en-US"/>
              </w:rPr>
            </w:pPr>
            <w:r w:rsidRPr="004B364B">
              <w:rPr>
                <w:b/>
                <w:lang w:val="en-US"/>
              </w:rPr>
              <w:t>Related information</w:t>
            </w:r>
          </w:p>
          <w:p w14:paraId="2017BCB3" w14:textId="77777777" w:rsidR="004B364B" w:rsidRPr="004B364B" w:rsidRDefault="004B364B" w:rsidP="00F12A38">
            <w:pPr>
              <w:rPr>
                <w:rStyle w:val="Hipercze"/>
                <w:lang w:val="en-US"/>
              </w:rPr>
            </w:pPr>
            <w:r>
              <w:rPr>
                <w:rFonts w:cs="Times New Roman"/>
              </w:rPr>
              <w:fldChar w:fldCharType="begin"/>
            </w:r>
            <w:r w:rsidRPr="004B364B">
              <w:rPr>
                <w:rFonts w:cs="Times New Roman"/>
                <w:lang w:val="en-US"/>
              </w:rPr>
              <w:instrText>HYPERLINK "https://stat.gov.pl/" \o "description hyperlink "</w:instrText>
            </w:r>
            <w:r>
              <w:rPr>
                <w:rFonts w:cs="Times New Roman"/>
              </w:rPr>
              <w:fldChar w:fldCharType="separate"/>
            </w:r>
            <w:r w:rsidRPr="004B364B">
              <w:rPr>
                <w:rStyle w:val="Hipercze"/>
                <w:lang w:val="en-US"/>
              </w:rPr>
              <w:t xml:space="preserve">Incomes and living conditions of the population in Poland - report from the EU-SILC survey of 2024  </w:t>
            </w:r>
          </w:p>
          <w:p w14:paraId="49AEE516" w14:textId="77777777" w:rsidR="004B364B" w:rsidRPr="004B364B" w:rsidRDefault="004B364B" w:rsidP="00F12A38">
            <w:pPr>
              <w:rPr>
                <w:b/>
                <w:color w:val="000000" w:themeColor="text1"/>
                <w:szCs w:val="24"/>
                <w:lang w:val="en-US"/>
              </w:rPr>
            </w:pPr>
            <w:r>
              <w:rPr>
                <w:rFonts w:cs="Times New Roman"/>
              </w:rPr>
              <w:fldChar w:fldCharType="end"/>
            </w:r>
            <w:hyperlink r:id="rId29" w:history="1">
              <w:r w:rsidRPr="004B364B">
                <w:rPr>
                  <w:rStyle w:val="Hipercze"/>
                  <w:lang w:val="en-US"/>
                </w:rPr>
                <w:t>European Union Statistics on Income and Living Conditions (EU-SILC) survey</w:t>
              </w:r>
            </w:hyperlink>
          </w:p>
          <w:p w14:paraId="55975076" w14:textId="77777777" w:rsidR="004B364B" w:rsidRPr="004B364B" w:rsidRDefault="004B364B" w:rsidP="00F12A38">
            <w:pPr>
              <w:shd w:val="clear" w:color="auto" w:fill="D9D9D9" w:themeFill="background1" w:themeFillShade="D9"/>
              <w:spacing w:before="360"/>
              <w:rPr>
                <w:b/>
                <w:color w:val="000000" w:themeColor="text1"/>
                <w:szCs w:val="24"/>
                <w:lang w:val="en-US"/>
              </w:rPr>
            </w:pPr>
            <w:r w:rsidRPr="004B364B">
              <w:rPr>
                <w:b/>
                <w:color w:val="000000" w:themeColor="text1"/>
                <w:szCs w:val="24"/>
                <w:lang w:val="en-US"/>
              </w:rPr>
              <w:t>Data available in the databases</w:t>
            </w:r>
          </w:p>
          <w:p w14:paraId="28F6A60C" w14:textId="77777777" w:rsidR="004B364B" w:rsidRPr="004B364B" w:rsidRDefault="009616F0" w:rsidP="00F12A38">
            <w:pPr>
              <w:rPr>
                <w:rFonts w:cs="Times New Roman"/>
                <w:lang w:val="en-US"/>
              </w:rPr>
            </w:pPr>
            <w:hyperlink r:id="rId30" w:history="1">
              <w:r w:rsidR="004B364B" w:rsidRPr="004B364B">
                <w:rPr>
                  <w:rStyle w:val="Hipercze"/>
                  <w:lang w:val="en-US"/>
                </w:rPr>
                <w:t>Statistics Poland - Local Data Bank</w:t>
              </w:r>
            </w:hyperlink>
          </w:p>
          <w:p w14:paraId="194CD269" w14:textId="77777777" w:rsidR="004B364B" w:rsidRPr="004B364B" w:rsidRDefault="004B364B" w:rsidP="00F12A38">
            <w:pPr>
              <w:spacing w:before="360"/>
              <w:rPr>
                <w:b/>
                <w:color w:val="000000" w:themeColor="text1"/>
                <w:szCs w:val="24"/>
                <w:lang w:val="en-US"/>
              </w:rPr>
            </w:pPr>
            <w:r w:rsidRPr="004B364B">
              <w:rPr>
                <w:b/>
                <w:color w:val="000000" w:themeColor="text1"/>
                <w:szCs w:val="24"/>
                <w:lang w:val="en-US"/>
              </w:rPr>
              <w:t>Terms used in the official statistics</w:t>
            </w:r>
          </w:p>
          <w:p w14:paraId="3330B487" w14:textId="77777777" w:rsidR="004B364B" w:rsidRPr="004B364B" w:rsidRDefault="009616F0" w:rsidP="00F12A38">
            <w:pPr>
              <w:rPr>
                <w:lang w:val="en-US"/>
              </w:rPr>
            </w:pPr>
            <w:hyperlink r:id="rId31" w:history="1">
              <w:r w:rsidR="004B364B" w:rsidRPr="004B364B">
                <w:rPr>
                  <w:rStyle w:val="Hipercze"/>
                  <w:rFonts w:cstheme="minorBidi"/>
                  <w:lang w:val="en-US"/>
                </w:rPr>
                <w:t>https://stat.gov.pl/en/metainformation/glossary/terms-used-in-official-statistics/3073,term.html</w:t>
              </w:r>
            </w:hyperlink>
          </w:p>
          <w:p w14:paraId="6E8A633A" w14:textId="77777777" w:rsidR="004B364B" w:rsidRPr="004B364B" w:rsidRDefault="004B364B" w:rsidP="00F12A38">
            <w:pPr>
              <w:rPr>
                <w:b/>
                <w:color w:val="000000" w:themeColor="text1"/>
                <w:szCs w:val="24"/>
                <w:lang w:val="en-US"/>
              </w:rPr>
            </w:pPr>
          </w:p>
        </w:tc>
      </w:tr>
      <w:bookmarkEnd w:id="5"/>
      <w:bookmarkEnd w:id="6"/>
      <w:bookmarkEnd w:id="7"/>
    </w:tbl>
    <w:p w14:paraId="571A871A" w14:textId="12935002" w:rsidR="00D261A2" w:rsidRPr="004B364B" w:rsidRDefault="00D261A2" w:rsidP="004F73CE">
      <w:pPr>
        <w:rPr>
          <w:color w:val="000000" w:themeColor="text1"/>
          <w:sz w:val="18"/>
          <w:lang w:val="en-US"/>
        </w:rPr>
      </w:pPr>
    </w:p>
    <w:sectPr w:rsidR="00D261A2" w:rsidRPr="004B364B" w:rsidSect="003B18B6">
      <w:headerReference w:type="default" r:id="rId32"/>
      <w:footerReference w:type="default" r:id="rId33"/>
      <w:pgSz w:w="11906" w:h="16838"/>
      <w:pgMar w:top="720" w:right="3119" w:bottom="720" w:left="720" w:header="170" w:footer="28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355340" w16cid:durableId="2D5C336C"/>
  <w16cid:commentId w16cid:paraId="2CF41286" w16cid:durableId="2D5C35C4"/>
  <w16cid:commentId w16cid:paraId="2EAD8A82" w16cid:durableId="2D5C369E"/>
  <w16cid:commentId w16cid:paraId="0B192957" w16cid:durableId="2D5C37D9"/>
  <w16cid:commentId w16cid:paraId="1E8B8495" w16cid:durableId="2D5C37E7"/>
  <w16cid:commentId w16cid:paraId="1D044F67" w16cid:durableId="2D5C39FE"/>
  <w16cid:commentId w16cid:paraId="091BA776" w16cid:durableId="2D5C3A06"/>
  <w16cid:commentId w16cid:paraId="2DA0F946" w16cid:durableId="2D5C3B7C"/>
  <w16cid:commentId w16cid:paraId="7D0C31AE" w16cid:durableId="2D5C3FBE"/>
  <w16cid:commentId w16cid:paraId="44EF5B02" w16cid:durableId="2D5C440A"/>
  <w16cid:commentId w16cid:paraId="7EB6EFD3" w16cid:durableId="2D5C4424"/>
  <w16cid:commentId w16cid:paraId="7AEBDD1F" w16cid:durableId="2D5C44F3"/>
  <w16cid:commentId w16cid:paraId="26A2EA14" w16cid:durableId="2D5C451D"/>
  <w16cid:commentId w16cid:paraId="1BD28A16" w16cid:durableId="2D5C449F"/>
  <w16cid:commentId w16cid:paraId="4DDA9AD0" w16cid:durableId="2D5C44BF"/>
  <w16cid:commentId w16cid:paraId="112531AA" w16cid:durableId="2D5C4562"/>
  <w16cid:commentId w16cid:paraId="1BF18464" w16cid:durableId="2D5C4574"/>
  <w16cid:commentId w16cid:paraId="201EE108" w16cid:durableId="2D5C4602"/>
  <w16cid:commentId w16cid:paraId="46D73491" w16cid:durableId="2D5C460E"/>
  <w16cid:commentId w16cid:paraId="04C74CA9" w16cid:durableId="2D5C4EE4"/>
  <w16cid:commentId w16cid:paraId="67E800CE" w16cid:durableId="2D5C47EF"/>
  <w16cid:commentId w16cid:paraId="1CE48E79" w16cid:durableId="2D5C481C"/>
  <w16cid:commentId w16cid:paraId="611AD12A" w16cid:durableId="2D5C482A"/>
  <w16cid:commentId w16cid:paraId="3FEBB526" w16cid:durableId="2D5C488A"/>
  <w16cid:commentId w16cid:paraId="678604CF" w16cid:durableId="2D5C48DA"/>
  <w16cid:commentId w16cid:paraId="0DC21EEE" w16cid:durableId="2D5C4AEE"/>
  <w16cid:commentId w16cid:paraId="12B2DAF0" w16cid:durableId="2D5C4B15"/>
  <w16cid:commentId w16cid:paraId="115564D2" w16cid:durableId="2D5C4E7D"/>
  <w16cid:commentId w16cid:paraId="39350E5A" w16cid:durableId="2D5C4EA5"/>
  <w16cid:commentId w16cid:paraId="6315E538" w16cid:durableId="2D5C4EB9"/>
  <w16cid:commentId w16cid:paraId="0B7DF991" w16cid:durableId="2D5C4EC2"/>
  <w16cid:commentId w16cid:paraId="52C8387B" w16cid:durableId="2D5C4F3C"/>
  <w16cid:commentId w16cid:paraId="6909BAF4" w16cid:durableId="2D5C500D"/>
  <w16cid:commentId w16cid:paraId="7DF956A2" w16cid:durableId="2D5C4FF6"/>
  <w16cid:commentId w16cid:paraId="278DB9C7" w16cid:durableId="2D5C5058"/>
  <w16cid:commentId w16cid:paraId="1B21ED29" w16cid:durableId="2D5C5067"/>
  <w16cid:commentId w16cid:paraId="3E2D9F05" w16cid:durableId="2D5C50F6"/>
  <w16cid:commentId w16cid:paraId="40CE01B5" w16cid:durableId="2D5C5106"/>
  <w16cid:commentId w16cid:paraId="76D0B4B9" w16cid:durableId="2D5C55F4"/>
  <w16cid:commentId w16cid:paraId="17A7448E" w16cid:durableId="2D5C561E"/>
  <w16cid:commentId w16cid:paraId="05A2147C" w16cid:durableId="2D5C5635"/>
  <w16cid:commentId w16cid:paraId="1899AA2F" w16cid:durableId="2D5C5999"/>
  <w16cid:commentId w16cid:paraId="1E07E8DE" w16cid:durableId="2D5C599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EAFBB" w14:textId="77777777" w:rsidR="009616F0" w:rsidRDefault="009616F0" w:rsidP="000662E2">
      <w:pPr>
        <w:spacing w:after="0" w:line="240" w:lineRule="auto"/>
      </w:pPr>
      <w:r>
        <w:separator/>
      </w:r>
    </w:p>
  </w:endnote>
  <w:endnote w:type="continuationSeparator" w:id="0">
    <w:p w14:paraId="724808B5" w14:textId="77777777" w:rsidR="009616F0" w:rsidRDefault="009616F0" w:rsidP="000662E2">
      <w:pPr>
        <w:spacing w:after="0" w:line="240" w:lineRule="auto"/>
      </w:pPr>
      <w:r>
        <w:continuationSeparator/>
      </w:r>
    </w:p>
  </w:endnote>
  <w:endnote w:type="continuationNotice" w:id="1">
    <w:p w14:paraId="4AE3F5A2" w14:textId="77777777" w:rsidR="009616F0" w:rsidRDefault="009616F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410854"/>
      <w:docPartObj>
        <w:docPartGallery w:val="Page Numbers (Bottom of Page)"/>
        <w:docPartUnique/>
      </w:docPartObj>
    </w:sdtPr>
    <w:sdtEndPr/>
    <w:sdtContent>
      <w:p w14:paraId="0DAA7589" w14:textId="77777777" w:rsidR="00D65AC3" w:rsidRDefault="00D65AC3" w:rsidP="003B18B6">
        <w:pPr>
          <w:pStyle w:val="Stopka"/>
          <w:jc w:val="center"/>
        </w:pPr>
        <w:r>
          <w:fldChar w:fldCharType="begin"/>
        </w:r>
        <w:r>
          <w:instrText>PAGE   \* MERGEFORMAT</w:instrText>
        </w:r>
        <w:r>
          <w:fldChar w:fldCharType="separate"/>
        </w:r>
        <w:r w:rsidR="00A45554">
          <w:rPr>
            <w:noProof/>
          </w:rPr>
          <w:t>10</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3321397"/>
      <w:docPartObj>
        <w:docPartGallery w:val="Page Numbers (Bottom of Page)"/>
        <w:docPartUnique/>
      </w:docPartObj>
    </w:sdtPr>
    <w:sdtEndPr/>
    <w:sdtContent>
      <w:p w14:paraId="071C0ED7" w14:textId="77777777" w:rsidR="00D65AC3" w:rsidRDefault="00D65AC3" w:rsidP="003B18B6">
        <w:pPr>
          <w:pStyle w:val="Stopka"/>
          <w:jc w:val="center"/>
        </w:pPr>
        <w:r>
          <w:fldChar w:fldCharType="begin"/>
        </w:r>
        <w:r>
          <w:instrText>PAGE   \* MERGEFORMAT</w:instrText>
        </w:r>
        <w:r>
          <w:fldChar w:fldCharType="separate"/>
        </w:r>
        <w:r w:rsidR="00A45554">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14:paraId="4BE82E33" w14:textId="77777777" w:rsidR="00D65AC3" w:rsidRDefault="00D65AC3" w:rsidP="003B18B6">
        <w:pPr>
          <w:pStyle w:val="Stopka"/>
          <w:jc w:val="center"/>
        </w:pPr>
        <w:r>
          <w:fldChar w:fldCharType="begin"/>
        </w:r>
        <w:r>
          <w:instrText>PAGE   \* MERGEFORMAT</w:instrText>
        </w:r>
        <w:r>
          <w:fldChar w:fldCharType="separate"/>
        </w:r>
        <w:r w:rsidR="00A45554">
          <w:rPr>
            <w:noProof/>
          </w:rPr>
          <w:t>11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DCE37" w14:textId="77777777" w:rsidR="009616F0" w:rsidRDefault="009616F0" w:rsidP="000662E2">
      <w:pPr>
        <w:spacing w:after="0" w:line="240" w:lineRule="auto"/>
      </w:pPr>
      <w:r>
        <w:separator/>
      </w:r>
    </w:p>
  </w:footnote>
  <w:footnote w:type="continuationSeparator" w:id="0">
    <w:p w14:paraId="3AA424C6" w14:textId="77777777" w:rsidR="009616F0" w:rsidRDefault="009616F0" w:rsidP="000662E2">
      <w:pPr>
        <w:spacing w:after="0" w:line="240" w:lineRule="auto"/>
      </w:pPr>
      <w:r>
        <w:continuationSeparator/>
      </w:r>
    </w:p>
  </w:footnote>
  <w:footnote w:type="continuationNotice" w:id="1">
    <w:p w14:paraId="5BE38DDD" w14:textId="77777777" w:rsidR="009616F0" w:rsidRDefault="009616F0">
      <w:pPr>
        <w:spacing w:before="0" w:after="0" w:line="240" w:lineRule="auto"/>
      </w:pPr>
    </w:p>
  </w:footnote>
  <w:footnote w:id="2">
    <w:p w14:paraId="077867A5" w14:textId="150DFD50" w:rsidR="00D65AC3" w:rsidRPr="00CB1166" w:rsidRDefault="00D65AC3" w:rsidP="00CB1166">
      <w:pPr>
        <w:pStyle w:val="Tekstprzypisudolnego"/>
        <w:rPr>
          <w:sz w:val="19"/>
          <w:szCs w:val="19"/>
          <w:lang w:val="en-US"/>
        </w:rPr>
      </w:pPr>
      <w:r w:rsidRPr="00CB1166">
        <w:rPr>
          <w:rStyle w:val="Odwoanieprzypisudolnego"/>
          <w:sz w:val="19"/>
          <w:szCs w:val="19"/>
        </w:rPr>
        <w:footnoteRef/>
      </w:r>
      <w:r w:rsidRPr="00CB1166">
        <w:rPr>
          <w:sz w:val="19"/>
          <w:szCs w:val="19"/>
          <w:lang w:val="en-US"/>
        </w:rPr>
        <w:t>  Severe material and social deprivation rate concerns the percentage of people living in households in Poland (excluding collective households and institutions).</w:t>
      </w:r>
    </w:p>
  </w:footnote>
  <w:footnote w:id="3">
    <w:p w14:paraId="30FB15E4" w14:textId="5FC86589" w:rsidR="00F8119F" w:rsidRPr="00F8119F" w:rsidRDefault="00D65AC3" w:rsidP="00CB1166">
      <w:pPr>
        <w:pStyle w:val="Tekstprzypisudolnego"/>
        <w:rPr>
          <w:sz w:val="19"/>
          <w:szCs w:val="19"/>
          <w:lang w:val="en-US"/>
        </w:rPr>
      </w:pPr>
      <w:r w:rsidRPr="00CB1166">
        <w:rPr>
          <w:rStyle w:val="Odwoanieprzypisudolnego"/>
          <w:sz w:val="19"/>
          <w:szCs w:val="19"/>
        </w:rPr>
        <w:footnoteRef/>
      </w:r>
      <w:r w:rsidRPr="00CB1166">
        <w:rPr>
          <w:sz w:val="19"/>
          <w:szCs w:val="19"/>
          <w:lang w:val="en-US"/>
        </w:rPr>
        <w:t xml:space="preserve">  Regarding the need to replace </w:t>
      </w:r>
      <w:r w:rsidR="00F8119F" w:rsidRPr="00F8119F">
        <w:rPr>
          <w:sz w:val="19"/>
          <w:szCs w:val="19"/>
          <w:lang w:val="en-US"/>
        </w:rPr>
        <w:t>worn-out clothing with new ones</w:t>
      </w:r>
      <w:r w:rsidRPr="00CB1166">
        <w:rPr>
          <w:sz w:val="19"/>
          <w:szCs w:val="19"/>
          <w:lang w:val="en-US"/>
        </w:rPr>
        <w:t xml:space="preserve">, </w:t>
      </w:r>
      <w:r w:rsidR="00F8119F" w:rsidRPr="00F8119F">
        <w:rPr>
          <w:sz w:val="19"/>
          <w:szCs w:val="19"/>
          <w:lang w:val="en-US"/>
        </w:rPr>
        <w:t>the difference in the indicator value is at the level of statistical error,</w:t>
      </w:r>
      <w:r w:rsidR="00F8119F">
        <w:rPr>
          <w:sz w:val="19"/>
          <w:szCs w:val="19"/>
          <w:lang w:val="en-US"/>
        </w:rPr>
        <w:t xml:space="preserve"> </w:t>
      </w:r>
      <w:r w:rsidRPr="00CB1166">
        <w:rPr>
          <w:sz w:val="19"/>
          <w:szCs w:val="19"/>
          <w:lang w:val="en-US"/>
        </w:rPr>
        <w:t xml:space="preserve">and therefore cannot be considered a change, </w:t>
      </w:r>
      <w:r w:rsidR="00F8119F" w:rsidRPr="00F8119F">
        <w:rPr>
          <w:sz w:val="19"/>
          <w:szCs w:val="19"/>
          <w:lang w:val="en-US"/>
        </w:rPr>
        <w:t>it is treated as remaining at a similar level.</w:t>
      </w:r>
    </w:p>
  </w:footnote>
  <w:footnote w:id="4">
    <w:p w14:paraId="0FB4E778" w14:textId="1AF6782C" w:rsidR="00D65AC3" w:rsidRPr="009B7EEE" w:rsidRDefault="00D65AC3" w:rsidP="00CB1166">
      <w:pPr>
        <w:pStyle w:val="Tekstprzypisudolnego"/>
        <w:rPr>
          <w:rFonts w:eastAsia="Times New Roman" w:cs="Calibri"/>
          <w:color w:val="000000" w:themeColor="text1"/>
          <w:sz w:val="19"/>
          <w:szCs w:val="19"/>
          <w:lang w:val="en-US"/>
        </w:rPr>
      </w:pPr>
      <w:r w:rsidRPr="00CB1166">
        <w:rPr>
          <w:rStyle w:val="Odwoanieprzypisudolnego"/>
          <w:sz w:val="19"/>
          <w:szCs w:val="19"/>
        </w:rPr>
        <w:footnoteRef/>
      </w:r>
      <w:r w:rsidRPr="00CB1166">
        <w:rPr>
          <w:sz w:val="19"/>
          <w:szCs w:val="19"/>
          <w:lang w:val="en-US"/>
        </w:rPr>
        <w:t>  </w:t>
      </w:r>
      <w:r w:rsidRPr="009B7EEE">
        <w:rPr>
          <w:rFonts w:eastAsia="Times New Roman" w:cs="Calibri"/>
          <w:color w:val="000000" w:themeColor="text1"/>
          <w:sz w:val="19"/>
          <w:szCs w:val="19"/>
          <w:lang w:val="en-US"/>
        </w:rPr>
        <w:t xml:space="preserve">This Income is a measure used in statistics to </w:t>
      </w:r>
      <w:proofErr w:type="spellStart"/>
      <w:r w:rsidRPr="009B7EEE">
        <w:rPr>
          <w:rFonts w:eastAsia="Times New Roman" w:cs="Calibri"/>
          <w:color w:val="000000" w:themeColor="text1"/>
          <w:sz w:val="19"/>
          <w:szCs w:val="19"/>
          <w:lang w:val="en-US"/>
        </w:rPr>
        <w:t>analyse</w:t>
      </w:r>
      <w:proofErr w:type="spellEnd"/>
      <w:r w:rsidRPr="009B7EEE">
        <w:rPr>
          <w:rFonts w:eastAsia="Times New Roman" w:cs="Calibri"/>
          <w:color w:val="000000" w:themeColor="text1"/>
          <w:sz w:val="19"/>
          <w:szCs w:val="19"/>
          <w:lang w:val="en-US"/>
        </w:rPr>
        <w:t xml:space="preserve"> the income situation of household members, taking into account not only total income but also household size and structure. The modified OECD equivalence scale has been used: this assigns a value of 1 to the first household member; of 0.5 to each additional member aged 14 or more; of 0.3 to each child under 14.</w:t>
      </w:r>
    </w:p>
  </w:footnote>
  <w:footnote w:id="5">
    <w:p w14:paraId="2A20B08D" w14:textId="519DF112" w:rsidR="00D65AC3" w:rsidRPr="00CB1166" w:rsidRDefault="00D65AC3" w:rsidP="00CB1166">
      <w:pPr>
        <w:pStyle w:val="Tekstprzypisudolnego"/>
        <w:rPr>
          <w:rFonts w:eastAsia="Times New Roman" w:cs="Calibri"/>
          <w:color w:val="000000" w:themeColor="text1"/>
          <w:sz w:val="19"/>
          <w:szCs w:val="19"/>
          <w:lang w:val="en-US"/>
        </w:rPr>
      </w:pPr>
      <w:r w:rsidRPr="00CB1166">
        <w:rPr>
          <w:rStyle w:val="Odwoanieprzypisudolnego"/>
          <w:sz w:val="19"/>
          <w:szCs w:val="19"/>
        </w:rPr>
        <w:footnoteRef/>
      </w:r>
      <w:r w:rsidRPr="00CB1166">
        <w:rPr>
          <w:sz w:val="19"/>
          <w:szCs w:val="19"/>
          <w:lang w:val="en-US"/>
        </w:rPr>
        <w:t>  </w:t>
      </w:r>
      <w:r w:rsidRPr="00CB1166">
        <w:rPr>
          <w:rFonts w:eastAsia="Times New Roman" w:cs="Calibri"/>
          <w:color w:val="000000" w:themeColor="text1"/>
          <w:sz w:val="19"/>
          <w:szCs w:val="19"/>
          <w:lang w:val="en-US"/>
        </w:rPr>
        <w:t>This income was calculated on the basis of data from the survey carried out in 2024, but refers to the yearly income from the year preceding the survey, i.e. from January to December 2023. When indicating income, this publication uses the year of the survey, as done by the Eurostat.</w:t>
      </w:r>
    </w:p>
  </w:footnote>
  <w:footnote w:id="6">
    <w:p w14:paraId="62BBB648" w14:textId="335C7808" w:rsidR="00D65AC3" w:rsidRPr="00CB1166" w:rsidRDefault="00D65AC3" w:rsidP="001A38BB">
      <w:pPr>
        <w:pStyle w:val="Tekstprzypisudolnego"/>
        <w:rPr>
          <w:sz w:val="19"/>
          <w:szCs w:val="19"/>
          <w:lang w:val="en-US"/>
        </w:rPr>
      </w:pPr>
      <w:r w:rsidRPr="00CB1166">
        <w:rPr>
          <w:rStyle w:val="Odwoanieprzypisudolnego"/>
          <w:sz w:val="19"/>
          <w:szCs w:val="19"/>
        </w:rPr>
        <w:footnoteRef/>
      </w:r>
      <w:r w:rsidRPr="00CB1166">
        <w:rPr>
          <w:sz w:val="19"/>
          <w:szCs w:val="19"/>
          <w:lang w:val="en-US"/>
        </w:rPr>
        <w:t>  </w:t>
      </w:r>
      <w:r w:rsidRPr="00CB1166">
        <w:rPr>
          <w:rFonts w:eastAsia="Times New Roman" w:cs="Calibri"/>
          <w:color w:val="000000" w:themeColor="text1"/>
          <w:sz w:val="19"/>
          <w:szCs w:val="19"/>
          <w:lang w:val="en-US"/>
        </w:rPr>
        <w:t xml:space="preserve">In the following part of the study, the average annual </w:t>
      </w:r>
      <w:proofErr w:type="spellStart"/>
      <w:r w:rsidRPr="00CB1166">
        <w:rPr>
          <w:rFonts w:eastAsia="Times New Roman" w:cs="Calibri"/>
          <w:color w:val="000000" w:themeColor="text1"/>
          <w:sz w:val="19"/>
          <w:szCs w:val="19"/>
          <w:lang w:val="en-US"/>
        </w:rPr>
        <w:t>equivalised</w:t>
      </w:r>
      <w:proofErr w:type="spellEnd"/>
      <w:r w:rsidRPr="00CB1166">
        <w:rPr>
          <w:rFonts w:eastAsia="Times New Roman" w:cs="Calibri"/>
          <w:color w:val="000000" w:themeColor="text1"/>
          <w:sz w:val="19"/>
          <w:szCs w:val="19"/>
          <w:lang w:val="en-US"/>
        </w:rPr>
        <w:t xml:space="preserve"> disposable income per person is referred to simply as “disposable income” or “average disposable income”.</w:t>
      </w:r>
    </w:p>
  </w:footnote>
  <w:footnote w:id="7">
    <w:p w14:paraId="0D38E5C0" w14:textId="04726BB4" w:rsidR="00D65AC3" w:rsidRPr="00CB1166" w:rsidRDefault="00D65AC3" w:rsidP="00CB1166">
      <w:pPr>
        <w:pStyle w:val="Tekstprzypisudolnego"/>
        <w:rPr>
          <w:sz w:val="19"/>
          <w:szCs w:val="19"/>
          <w:lang w:val="en-US"/>
        </w:rPr>
      </w:pPr>
      <w:r w:rsidRPr="00CB1166">
        <w:rPr>
          <w:spacing w:val="-2"/>
          <w:sz w:val="19"/>
          <w:szCs w:val="19"/>
          <w:vertAlign w:val="superscript"/>
        </w:rPr>
        <w:footnoteRef/>
      </w:r>
      <w:r w:rsidRPr="00CB1166">
        <w:rPr>
          <w:spacing w:val="-2"/>
          <w:sz w:val="19"/>
          <w:szCs w:val="19"/>
          <w:lang w:val="en-US"/>
        </w:rPr>
        <w:t>  The differences in percentages between urban and rural areas were not statistically significant.</w:t>
      </w:r>
    </w:p>
  </w:footnote>
  <w:footnote w:id="8">
    <w:p w14:paraId="0EBC73E6" w14:textId="3416B9B9" w:rsidR="00D65AC3" w:rsidRPr="00CB1166" w:rsidRDefault="00D65AC3" w:rsidP="00CB1166">
      <w:pPr>
        <w:pStyle w:val="Tekstprzypisudolnego"/>
        <w:rPr>
          <w:sz w:val="19"/>
          <w:szCs w:val="19"/>
          <w:lang w:val="en-US"/>
        </w:rPr>
      </w:pPr>
      <w:r w:rsidRPr="00CB1166">
        <w:rPr>
          <w:rStyle w:val="Odwoanieprzypisudolnego"/>
          <w:sz w:val="19"/>
          <w:szCs w:val="19"/>
        </w:rPr>
        <w:footnoteRef/>
      </w:r>
      <w:r w:rsidRPr="00CB1166">
        <w:rPr>
          <w:sz w:val="19"/>
          <w:szCs w:val="19"/>
          <w:lang w:val="en-US"/>
        </w:rPr>
        <w:t>  </w:t>
      </w:r>
      <w:r w:rsidRPr="00CB1166">
        <w:rPr>
          <w:spacing w:val="-2"/>
          <w:sz w:val="19"/>
          <w:szCs w:val="19"/>
          <w:lang w:val="en-US"/>
        </w:rPr>
        <w:t>A classification of localities based on the number of inhabitants (KLM) was applied.</w:t>
      </w:r>
    </w:p>
  </w:footnote>
  <w:footnote w:id="9">
    <w:p w14:paraId="27EF24F1" w14:textId="738B94FF" w:rsidR="00D65AC3" w:rsidRPr="00CB1166" w:rsidRDefault="00D65AC3" w:rsidP="00CB1166">
      <w:pPr>
        <w:pStyle w:val="Tekstprzypisudolnego"/>
        <w:rPr>
          <w:sz w:val="19"/>
          <w:szCs w:val="19"/>
          <w:lang w:val="en-US"/>
        </w:rPr>
      </w:pPr>
      <w:r w:rsidRPr="00CB1166">
        <w:rPr>
          <w:rStyle w:val="Odwoanieprzypisudolnego"/>
          <w:sz w:val="19"/>
          <w:szCs w:val="19"/>
        </w:rPr>
        <w:footnoteRef/>
      </w:r>
      <w:r w:rsidR="000D4FC4" w:rsidRPr="00CB1166">
        <w:rPr>
          <w:sz w:val="19"/>
          <w:szCs w:val="19"/>
          <w:lang w:val="en-US"/>
        </w:rPr>
        <w:t>  </w:t>
      </w:r>
      <w:r w:rsidRPr="00CB1166">
        <w:rPr>
          <w:spacing w:val="-2"/>
          <w:sz w:val="19"/>
          <w:szCs w:val="19"/>
          <w:lang w:val="en-US"/>
        </w:rPr>
        <w:t>Based on the classification of rural area delimitations, which takes into account their diversity, population density, and functional links with cities (agglomeration areas: divided into high and low population density, located under the direct influence of large cities; non-agglomeration areas: areas located far from major urban centers, often with different socio-economic issues).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34751" w14:textId="77777777" w:rsidR="00D65AC3" w:rsidRDefault="00D65AC3">
    <w:pPr>
      <w:pStyle w:val="Nagwek"/>
    </w:pPr>
    <w:r>
      <w:rPr>
        <w:noProof/>
        <w:lang w:eastAsia="pl-PL"/>
      </w:rPr>
      <mc:AlternateContent>
        <mc:Choice Requires="wps">
          <w:drawing>
            <wp:anchor distT="0" distB="0" distL="114300" distR="114300" simplePos="0" relativeHeight="251658240" behindDoc="1" locked="0" layoutInCell="1" allowOverlap="1" wp14:anchorId="7608A58F" wp14:editId="44C463B9">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BBCFD8" id="Prostokąt 24" o:spid="_x0000_s1026" style="position:absolute;margin-left:410.6pt;margin-top:-14.05pt;width:147.6pt;height:178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30139910" w14:textId="77777777" w:rsidR="00D65AC3" w:rsidRDefault="00D65AC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E72A0" w14:textId="27564494" w:rsidR="00D65AC3" w:rsidRDefault="00D65AC3" w:rsidP="009B7EEE">
    <w:pPr>
      <w:pStyle w:val="Nagwek"/>
      <w:rPr>
        <w:noProof/>
        <w:lang w:eastAsia="pl-PL"/>
      </w:rPr>
    </w:pPr>
    <w:r w:rsidRPr="00F37172">
      <w:rPr>
        <w:noProof/>
        <w:lang w:eastAsia="pl-PL"/>
      </w:rPr>
      <mc:AlternateContent>
        <mc:Choice Requires="wps">
          <w:drawing>
            <wp:anchor distT="0" distB="0" distL="114300" distR="114300" simplePos="0" relativeHeight="251658242" behindDoc="0" locked="0" layoutInCell="1" allowOverlap="1" wp14:anchorId="3D3284F4" wp14:editId="562348D3">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informacje sygnalne"/>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99653F" w14:textId="4D4ECB60" w:rsidR="00D65AC3" w:rsidRPr="003C6C8D" w:rsidRDefault="009B7EEE" w:rsidP="009B7EEE">
                          <w:pPr>
                            <w:spacing w:before="0" w:after="0" w:line="240" w:lineRule="auto"/>
                            <w:ind w:left="227"/>
                            <w:jc w:val="center"/>
                            <w:rPr>
                              <w:rFonts w:ascii="Fira Sans SemiBold" w:hAnsi="Fira Sans SemiBold"/>
                            </w:rPr>
                          </w:pPr>
                          <w:r w:rsidRPr="00962B00">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284F4" id="Schemat blokowy: opóźnienie 6" o:spid="_x0000_s1032" alt="informacje sygnalne" style="position:absolute;margin-left:396.6pt;margin-top:15.65pt;width:162.25pt;height:28.15pt;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7F99653F" w14:textId="4D4ECB60" w:rsidR="00D65AC3" w:rsidRPr="003C6C8D" w:rsidRDefault="009B7EEE" w:rsidP="009B7EEE">
                    <w:pPr>
                      <w:spacing w:before="0" w:after="0" w:line="240" w:lineRule="auto"/>
                      <w:ind w:left="227"/>
                      <w:jc w:val="center"/>
                      <w:rPr>
                        <w:rFonts w:ascii="Fira Sans SemiBold" w:hAnsi="Fira Sans SemiBold"/>
                      </w:rPr>
                    </w:pPr>
                    <w:r w:rsidRPr="00962B00">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58241" behindDoc="1" locked="0" layoutInCell="1" allowOverlap="1" wp14:anchorId="22ADABBC" wp14:editId="17B18E40">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0D9185" id="Prostokąt 10" o:spid="_x0000_s1026" style="position:absolute;margin-left:410.95pt;margin-top:40.3pt;width:147.4pt;height:1803.5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sidR="009B7EEE">
      <w:rPr>
        <w:noProof/>
        <w:shd w:val="clear" w:color="auto" w:fill="FFFFFF"/>
        <w:lang w:eastAsia="pl-PL"/>
      </w:rPr>
      <w:drawing>
        <wp:anchor distT="0" distB="0" distL="114300" distR="114300" simplePos="0" relativeHeight="251660291" behindDoc="0" locked="0" layoutInCell="1" allowOverlap="1" wp14:anchorId="276A51C6" wp14:editId="34CFCDD4">
          <wp:simplePos x="0" y="0"/>
          <wp:positionH relativeFrom="column">
            <wp:posOffset>3976</wp:posOffset>
          </wp:positionH>
          <wp:positionV relativeFrom="paragraph">
            <wp:posOffset>74102</wp:posOffset>
          </wp:positionV>
          <wp:extent cx="1838325" cy="696595"/>
          <wp:effectExtent l="0" t="0" r="9525" b="0"/>
          <wp:wrapSquare wrapText="bothSides"/>
          <wp:docPr id="39" name="Obraz 39"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70228B" w14:textId="77777777" w:rsidR="009B7EEE" w:rsidRDefault="009B7EEE" w:rsidP="009B7EEE">
    <w:pPr>
      <w:pStyle w:val="Nagwek"/>
      <w:rPr>
        <w:noProof/>
        <w:lang w:eastAsia="pl-PL"/>
      </w:rPr>
    </w:pPr>
  </w:p>
  <w:p w14:paraId="10EA1021" w14:textId="77777777" w:rsidR="009B7EEE" w:rsidRDefault="009B7EEE" w:rsidP="009B7EEE">
    <w:pPr>
      <w:pStyle w:val="Nagwek"/>
      <w:rPr>
        <w:noProof/>
        <w:lang w:eastAsia="pl-PL"/>
      </w:rPr>
    </w:pPr>
  </w:p>
  <w:p w14:paraId="04D035BA" w14:textId="77777777" w:rsidR="00D65AC3" w:rsidRDefault="00D65AC3" w:rsidP="009B7EEE">
    <w:pPr>
      <w:pStyle w:val="Nagwek"/>
      <w:rPr>
        <w:noProof/>
        <w:lang w:eastAsia="pl-PL"/>
      </w:rPr>
    </w:pPr>
    <w:r w:rsidRPr="00F37172">
      <w:rPr>
        <w:noProof/>
        <w:lang w:eastAsia="pl-PL"/>
      </w:rPr>
      <mc:AlternateContent>
        <mc:Choice Requires="wps">
          <w:drawing>
            <wp:anchor distT="45720" distB="45720" distL="114300" distR="114300" simplePos="0" relativeHeight="251658243" behindDoc="0" locked="0" layoutInCell="1" allowOverlap="1" wp14:anchorId="4CA818C9" wp14:editId="67CBAF82">
              <wp:simplePos x="0" y="0"/>
              <wp:positionH relativeFrom="column">
                <wp:posOffset>5219700</wp:posOffset>
              </wp:positionH>
              <wp:positionV relativeFrom="paragraph">
                <wp:posOffset>266065</wp:posOffset>
              </wp:positionV>
              <wp:extent cx="1432293" cy="336589"/>
              <wp:effectExtent l="0" t="0" r="0" b="6350"/>
              <wp:wrapNone/>
              <wp:docPr id="8" name="Pole tekstowe 2" descr="data publikacji informacji sygnalnej 29 sierpnia 2024 roku"/>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104C6620" w14:textId="57E4C704" w:rsidR="00D65AC3" w:rsidRPr="00472DFC" w:rsidRDefault="00D65AC3" w:rsidP="00F37172">
                          <w:pPr>
                            <w:jc w:val="both"/>
                            <w:rPr>
                              <w:rFonts w:ascii="Fira Sans SemiBold" w:hAnsi="Fira Sans SemiBold"/>
                              <w:color w:val="001D77"/>
                              <w:sz w:val="20"/>
                            </w:rPr>
                          </w:pPr>
                          <w:r>
                            <w:rPr>
                              <w:rFonts w:ascii="Fira Sans SemiBold" w:hAnsi="Fira Sans SemiBold"/>
                              <w:color w:val="001D77"/>
                              <w:sz w:val="20"/>
                            </w:rPr>
                            <w:t>30</w:t>
                          </w:r>
                          <w:r w:rsidRPr="00472DFC">
                            <w:rPr>
                              <w:rFonts w:ascii="Fira Sans SemiBold" w:hAnsi="Fira Sans SemiBold"/>
                              <w:color w:val="001D77"/>
                              <w:sz w:val="20"/>
                            </w:rPr>
                            <w:t>.</w:t>
                          </w:r>
                          <w:r>
                            <w:rPr>
                              <w:rFonts w:ascii="Fira Sans SemiBold" w:hAnsi="Fira Sans SemiBold"/>
                              <w:color w:val="001D77"/>
                              <w:sz w:val="20"/>
                            </w:rPr>
                            <w:t>03</w:t>
                          </w:r>
                          <w:r w:rsidRPr="00472DFC">
                            <w:rPr>
                              <w:rFonts w:ascii="Fira Sans SemiBold" w:hAnsi="Fira Sans SemiBold"/>
                              <w:color w:val="001D77"/>
                              <w:sz w:val="20"/>
                            </w:rPr>
                            <w:t>.202</w:t>
                          </w:r>
                          <w:r>
                            <w:rPr>
                              <w:rFonts w:ascii="Fira Sans SemiBold" w:hAnsi="Fira Sans SemiBold"/>
                              <w:color w:val="001D77"/>
                              <w:sz w:val="2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A818C9" id="_x0000_t202" coordsize="21600,21600" o:spt="202" path="m,l,21600r21600,l21600,xe">
              <v:stroke joinstyle="miter"/>
              <v:path gradientshapeok="t" o:connecttype="rect"/>
            </v:shapetype>
            <v:shape id="_x0000_s1033" type="#_x0000_t202" alt="data publikacji informacji sygnalnej 29 sierpnia 2024 roku" style="position:absolute;margin-left:411pt;margin-top:20.95pt;width:112.8pt;height:26.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" filled="f" stroked="f">
              <v:textbox>
                <w:txbxContent>
                  <w:p w14:paraId="104C6620" w14:textId="57E4C704" w:rsidR="00D65AC3" w:rsidRPr="00472DFC" w:rsidRDefault="00D65AC3" w:rsidP="00F37172">
                    <w:pPr>
                      <w:jc w:val="both"/>
                      <w:rPr>
                        <w:rFonts w:ascii="Fira Sans SemiBold" w:hAnsi="Fira Sans SemiBold"/>
                        <w:color w:val="001D77"/>
                        <w:sz w:val="20"/>
                      </w:rPr>
                    </w:pPr>
                    <w:r>
                      <w:rPr>
                        <w:rFonts w:ascii="Fira Sans SemiBold" w:hAnsi="Fira Sans SemiBold"/>
                        <w:color w:val="001D77"/>
                        <w:sz w:val="20"/>
                      </w:rPr>
                      <w:t>30</w:t>
                    </w:r>
                    <w:r w:rsidRPr="00472DFC">
                      <w:rPr>
                        <w:rFonts w:ascii="Fira Sans SemiBold" w:hAnsi="Fira Sans SemiBold"/>
                        <w:color w:val="001D77"/>
                        <w:sz w:val="20"/>
                      </w:rPr>
                      <w:t>.</w:t>
                    </w:r>
                    <w:r>
                      <w:rPr>
                        <w:rFonts w:ascii="Fira Sans SemiBold" w:hAnsi="Fira Sans SemiBold"/>
                        <w:color w:val="001D77"/>
                        <w:sz w:val="20"/>
                      </w:rPr>
                      <w:t>03</w:t>
                    </w:r>
                    <w:r w:rsidRPr="00472DFC">
                      <w:rPr>
                        <w:rFonts w:ascii="Fira Sans SemiBold" w:hAnsi="Fira Sans SemiBold"/>
                        <w:color w:val="001D77"/>
                        <w:sz w:val="20"/>
                      </w:rPr>
                      <w:t>.202</w:t>
                    </w:r>
                    <w:r>
                      <w:rPr>
                        <w:rFonts w:ascii="Fira Sans SemiBold" w:hAnsi="Fira Sans SemiBold"/>
                        <w:color w:val="001D77"/>
                        <w:sz w:val="20"/>
                      </w:rPr>
                      <w:t>6</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8BBC2" w14:textId="77777777" w:rsidR="00D65AC3" w:rsidRDefault="00D65AC3">
    <w:pPr>
      <w:pStyle w:val="Nagwek"/>
    </w:pPr>
  </w:p>
  <w:p w14:paraId="7897F6F6" w14:textId="77777777" w:rsidR="00D65AC3" w:rsidRDefault="00D65AC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23.15pt;height:124.9pt;visibility:visible;mso-wrap-style:square" o:bullet="t">
        <v:imagedata r:id="rId1" o:title=""/>
      </v:shape>
    </w:pict>
  </w:numPicBullet>
  <w:numPicBullet w:numPicBulletId="1">
    <w:pict>
      <v:shape id="_x0000_i1069" type="#_x0000_t75" style="width:124pt;height:124.9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6781C6C"/>
    <w:multiLevelType w:val="multilevel"/>
    <w:tmpl w:val="2E14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CE2619"/>
    <w:multiLevelType w:val="hybridMultilevel"/>
    <w:tmpl w:val="776A7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D4102DF"/>
    <w:multiLevelType w:val="hybridMultilevel"/>
    <w:tmpl w:val="A2E238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63C7789"/>
    <w:multiLevelType w:val="hybridMultilevel"/>
    <w:tmpl w:val="38A2E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203E61"/>
    <w:multiLevelType w:val="hybridMultilevel"/>
    <w:tmpl w:val="AFEEC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6"/>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C5B"/>
    <w:rsid w:val="00002855"/>
    <w:rsid w:val="00002971"/>
    <w:rsid w:val="00003437"/>
    <w:rsid w:val="000062D4"/>
    <w:rsid w:val="0000709F"/>
    <w:rsid w:val="000070F4"/>
    <w:rsid w:val="0000766D"/>
    <w:rsid w:val="000108B8"/>
    <w:rsid w:val="00010CCB"/>
    <w:rsid w:val="000152F5"/>
    <w:rsid w:val="00015CDF"/>
    <w:rsid w:val="00015F32"/>
    <w:rsid w:val="0002006C"/>
    <w:rsid w:val="00020559"/>
    <w:rsid w:val="00024842"/>
    <w:rsid w:val="00024AAB"/>
    <w:rsid w:val="00025D10"/>
    <w:rsid w:val="00026486"/>
    <w:rsid w:val="00026729"/>
    <w:rsid w:val="00032195"/>
    <w:rsid w:val="00033D1A"/>
    <w:rsid w:val="00035D44"/>
    <w:rsid w:val="00040603"/>
    <w:rsid w:val="00040F2F"/>
    <w:rsid w:val="00041439"/>
    <w:rsid w:val="00041FD1"/>
    <w:rsid w:val="00042FA4"/>
    <w:rsid w:val="000432BD"/>
    <w:rsid w:val="000432BF"/>
    <w:rsid w:val="0004582E"/>
    <w:rsid w:val="00046133"/>
    <w:rsid w:val="000470AA"/>
    <w:rsid w:val="00050AAC"/>
    <w:rsid w:val="00050E1D"/>
    <w:rsid w:val="00054804"/>
    <w:rsid w:val="00054F68"/>
    <w:rsid w:val="00057CA1"/>
    <w:rsid w:val="00066268"/>
    <w:rsid w:val="000662E2"/>
    <w:rsid w:val="00066883"/>
    <w:rsid w:val="00067336"/>
    <w:rsid w:val="00071BAD"/>
    <w:rsid w:val="00071F95"/>
    <w:rsid w:val="00074DD8"/>
    <w:rsid w:val="00076129"/>
    <w:rsid w:val="00077D97"/>
    <w:rsid w:val="0008041E"/>
    <w:rsid w:val="000806F7"/>
    <w:rsid w:val="00083350"/>
    <w:rsid w:val="0008456A"/>
    <w:rsid w:val="000873EB"/>
    <w:rsid w:val="00090917"/>
    <w:rsid w:val="000909A4"/>
    <w:rsid w:val="0009225A"/>
    <w:rsid w:val="00093344"/>
    <w:rsid w:val="000949C0"/>
    <w:rsid w:val="00097840"/>
    <w:rsid w:val="00097CD2"/>
    <w:rsid w:val="000A17EC"/>
    <w:rsid w:val="000A450A"/>
    <w:rsid w:val="000A6269"/>
    <w:rsid w:val="000A646A"/>
    <w:rsid w:val="000B0727"/>
    <w:rsid w:val="000B10DE"/>
    <w:rsid w:val="000B5914"/>
    <w:rsid w:val="000B657A"/>
    <w:rsid w:val="000C135D"/>
    <w:rsid w:val="000C20F0"/>
    <w:rsid w:val="000C3DD4"/>
    <w:rsid w:val="000C4FD8"/>
    <w:rsid w:val="000C7FC6"/>
    <w:rsid w:val="000D002E"/>
    <w:rsid w:val="000D0AE4"/>
    <w:rsid w:val="000D1D43"/>
    <w:rsid w:val="000D225C"/>
    <w:rsid w:val="000D2A5C"/>
    <w:rsid w:val="000D2F11"/>
    <w:rsid w:val="000D4AF1"/>
    <w:rsid w:val="000D4F96"/>
    <w:rsid w:val="000D4FC4"/>
    <w:rsid w:val="000D67C7"/>
    <w:rsid w:val="000D7CE3"/>
    <w:rsid w:val="000E0918"/>
    <w:rsid w:val="000E0DF9"/>
    <w:rsid w:val="000E129F"/>
    <w:rsid w:val="000E1547"/>
    <w:rsid w:val="000E4137"/>
    <w:rsid w:val="000E4CAD"/>
    <w:rsid w:val="000E4D8B"/>
    <w:rsid w:val="000E53DC"/>
    <w:rsid w:val="000E66F1"/>
    <w:rsid w:val="000F0781"/>
    <w:rsid w:val="000F14A9"/>
    <w:rsid w:val="000F3988"/>
    <w:rsid w:val="000F5304"/>
    <w:rsid w:val="000F64E1"/>
    <w:rsid w:val="000F7459"/>
    <w:rsid w:val="0010116C"/>
    <w:rsid w:val="001011C3"/>
    <w:rsid w:val="001047B2"/>
    <w:rsid w:val="00106D2D"/>
    <w:rsid w:val="00106EC4"/>
    <w:rsid w:val="00107A25"/>
    <w:rsid w:val="00110C34"/>
    <w:rsid w:val="00110D87"/>
    <w:rsid w:val="00111805"/>
    <w:rsid w:val="00112542"/>
    <w:rsid w:val="001125B6"/>
    <w:rsid w:val="00112ACD"/>
    <w:rsid w:val="00112C96"/>
    <w:rsid w:val="001131BA"/>
    <w:rsid w:val="0011348B"/>
    <w:rsid w:val="001135EC"/>
    <w:rsid w:val="001139E6"/>
    <w:rsid w:val="00113AFA"/>
    <w:rsid w:val="00114A35"/>
    <w:rsid w:val="00114DB9"/>
    <w:rsid w:val="00116087"/>
    <w:rsid w:val="00120854"/>
    <w:rsid w:val="00120CCC"/>
    <w:rsid w:val="00122A28"/>
    <w:rsid w:val="001239D7"/>
    <w:rsid w:val="00123FB7"/>
    <w:rsid w:val="00124000"/>
    <w:rsid w:val="00124572"/>
    <w:rsid w:val="00126487"/>
    <w:rsid w:val="00126DDC"/>
    <w:rsid w:val="00130296"/>
    <w:rsid w:val="00130EE2"/>
    <w:rsid w:val="0013164C"/>
    <w:rsid w:val="00131A68"/>
    <w:rsid w:val="00131F52"/>
    <w:rsid w:val="00132415"/>
    <w:rsid w:val="001335F4"/>
    <w:rsid w:val="001352A7"/>
    <w:rsid w:val="0013584C"/>
    <w:rsid w:val="00137ED2"/>
    <w:rsid w:val="001423B6"/>
    <w:rsid w:val="0014340B"/>
    <w:rsid w:val="001448A7"/>
    <w:rsid w:val="00146621"/>
    <w:rsid w:val="00147013"/>
    <w:rsid w:val="001472BA"/>
    <w:rsid w:val="00147DA8"/>
    <w:rsid w:val="001526CE"/>
    <w:rsid w:val="0015274A"/>
    <w:rsid w:val="00152D45"/>
    <w:rsid w:val="00154A67"/>
    <w:rsid w:val="0015517D"/>
    <w:rsid w:val="001559A8"/>
    <w:rsid w:val="001565E9"/>
    <w:rsid w:val="001605E2"/>
    <w:rsid w:val="0016065C"/>
    <w:rsid w:val="00160A29"/>
    <w:rsid w:val="00162325"/>
    <w:rsid w:val="00162FA0"/>
    <w:rsid w:val="00163AF9"/>
    <w:rsid w:val="00165516"/>
    <w:rsid w:val="0016565D"/>
    <w:rsid w:val="001657D1"/>
    <w:rsid w:val="00167B38"/>
    <w:rsid w:val="00167EDE"/>
    <w:rsid w:val="0017072B"/>
    <w:rsid w:val="00172F9A"/>
    <w:rsid w:val="001734F2"/>
    <w:rsid w:val="00174E08"/>
    <w:rsid w:val="0017683E"/>
    <w:rsid w:val="0017689F"/>
    <w:rsid w:val="00177C1A"/>
    <w:rsid w:val="00177E65"/>
    <w:rsid w:val="00181E5C"/>
    <w:rsid w:val="00181FE0"/>
    <w:rsid w:val="0018311D"/>
    <w:rsid w:val="001839B5"/>
    <w:rsid w:val="001842EA"/>
    <w:rsid w:val="00185821"/>
    <w:rsid w:val="00187EAD"/>
    <w:rsid w:val="0019070D"/>
    <w:rsid w:val="001907F6"/>
    <w:rsid w:val="00191C99"/>
    <w:rsid w:val="00191F94"/>
    <w:rsid w:val="001951DA"/>
    <w:rsid w:val="001956FA"/>
    <w:rsid w:val="00196443"/>
    <w:rsid w:val="001968AA"/>
    <w:rsid w:val="001969D8"/>
    <w:rsid w:val="00196B65"/>
    <w:rsid w:val="001970A5"/>
    <w:rsid w:val="001A025E"/>
    <w:rsid w:val="001A081C"/>
    <w:rsid w:val="001A249D"/>
    <w:rsid w:val="001A38BB"/>
    <w:rsid w:val="001A3DEC"/>
    <w:rsid w:val="001A5370"/>
    <w:rsid w:val="001A7914"/>
    <w:rsid w:val="001B171E"/>
    <w:rsid w:val="001B262E"/>
    <w:rsid w:val="001B29A7"/>
    <w:rsid w:val="001B4234"/>
    <w:rsid w:val="001B4892"/>
    <w:rsid w:val="001B4C66"/>
    <w:rsid w:val="001C2B76"/>
    <w:rsid w:val="001C3269"/>
    <w:rsid w:val="001C5280"/>
    <w:rsid w:val="001D01A4"/>
    <w:rsid w:val="001D12AC"/>
    <w:rsid w:val="001D19EF"/>
    <w:rsid w:val="001D1DB4"/>
    <w:rsid w:val="001D3A94"/>
    <w:rsid w:val="001D4716"/>
    <w:rsid w:val="001D5166"/>
    <w:rsid w:val="001E08BE"/>
    <w:rsid w:val="001E18C6"/>
    <w:rsid w:val="001E1958"/>
    <w:rsid w:val="001E1D16"/>
    <w:rsid w:val="001E219A"/>
    <w:rsid w:val="001E252A"/>
    <w:rsid w:val="001E253E"/>
    <w:rsid w:val="001E349E"/>
    <w:rsid w:val="001E579C"/>
    <w:rsid w:val="001E5C01"/>
    <w:rsid w:val="001E5E64"/>
    <w:rsid w:val="001E6301"/>
    <w:rsid w:val="001E65CC"/>
    <w:rsid w:val="001F1CA5"/>
    <w:rsid w:val="001F1D37"/>
    <w:rsid w:val="001F2390"/>
    <w:rsid w:val="001F2D59"/>
    <w:rsid w:val="001F7849"/>
    <w:rsid w:val="00200428"/>
    <w:rsid w:val="0020423A"/>
    <w:rsid w:val="0020647F"/>
    <w:rsid w:val="00212160"/>
    <w:rsid w:val="002131A7"/>
    <w:rsid w:val="00214B46"/>
    <w:rsid w:val="00214BAB"/>
    <w:rsid w:val="00215371"/>
    <w:rsid w:val="00215939"/>
    <w:rsid w:val="0021623E"/>
    <w:rsid w:val="002201EE"/>
    <w:rsid w:val="00221859"/>
    <w:rsid w:val="00225144"/>
    <w:rsid w:val="002259A6"/>
    <w:rsid w:val="00225EDC"/>
    <w:rsid w:val="00230C38"/>
    <w:rsid w:val="00231272"/>
    <w:rsid w:val="002316A6"/>
    <w:rsid w:val="0023202C"/>
    <w:rsid w:val="0023226D"/>
    <w:rsid w:val="00235893"/>
    <w:rsid w:val="00236F54"/>
    <w:rsid w:val="002371B9"/>
    <w:rsid w:val="002376E6"/>
    <w:rsid w:val="00237B77"/>
    <w:rsid w:val="00237D20"/>
    <w:rsid w:val="00240797"/>
    <w:rsid w:val="00240DC2"/>
    <w:rsid w:val="0024139C"/>
    <w:rsid w:val="00243EE0"/>
    <w:rsid w:val="00243F8F"/>
    <w:rsid w:val="00245D74"/>
    <w:rsid w:val="00245DAA"/>
    <w:rsid w:val="00246A52"/>
    <w:rsid w:val="00247E17"/>
    <w:rsid w:val="00251168"/>
    <w:rsid w:val="002516E3"/>
    <w:rsid w:val="00252D1A"/>
    <w:rsid w:val="00252D78"/>
    <w:rsid w:val="00254CE0"/>
    <w:rsid w:val="00254EFA"/>
    <w:rsid w:val="0025568C"/>
    <w:rsid w:val="00256330"/>
    <w:rsid w:val="002574F9"/>
    <w:rsid w:val="00262B61"/>
    <w:rsid w:val="00266021"/>
    <w:rsid w:val="00266EBD"/>
    <w:rsid w:val="002670E9"/>
    <w:rsid w:val="00267FAC"/>
    <w:rsid w:val="002709DB"/>
    <w:rsid w:val="0027207B"/>
    <w:rsid w:val="002744AA"/>
    <w:rsid w:val="002747E4"/>
    <w:rsid w:val="002755D6"/>
    <w:rsid w:val="00275819"/>
    <w:rsid w:val="00275CD2"/>
    <w:rsid w:val="00276811"/>
    <w:rsid w:val="002769EC"/>
    <w:rsid w:val="00276A66"/>
    <w:rsid w:val="00276B7A"/>
    <w:rsid w:val="00276FCE"/>
    <w:rsid w:val="00282572"/>
    <w:rsid w:val="00282699"/>
    <w:rsid w:val="0028286A"/>
    <w:rsid w:val="00283B21"/>
    <w:rsid w:val="00285303"/>
    <w:rsid w:val="00285339"/>
    <w:rsid w:val="00287090"/>
    <w:rsid w:val="002904B8"/>
    <w:rsid w:val="00290591"/>
    <w:rsid w:val="00292356"/>
    <w:rsid w:val="002926DF"/>
    <w:rsid w:val="002931C1"/>
    <w:rsid w:val="002947D1"/>
    <w:rsid w:val="00296697"/>
    <w:rsid w:val="00297389"/>
    <w:rsid w:val="002974A6"/>
    <w:rsid w:val="00297D33"/>
    <w:rsid w:val="002A1B3A"/>
    <w:rsid w:val="002A1FB2"/>
    <w:rsid w:val="002A23A2"/>
    <w:rsid w:val="002A693E"/>
    <w:rsid w:val="002A6CB0"/>
    <w:rsid w:val="002A6E57"/>
    <w:rsid w:val="002A7740"/>
    <w:rsid w:val="002B0472"/>
    <w:rsid w:val="002B12AF"/>
    <w:rsid w:val="002B2583"/>
    <w:rsid w:val="002B4820"/>
    <w:rsid w:val="002B6B12"/>
    <w:rsid w:val="002C03A1"/>
    <w:rsid w:val="002C0B6A"/>
    <w:rsid w:val="002C2597"/>
    <w:rsid w:val="002C3670"/>
    <w:rsid w:val="002C4AD7"/>
    <w:rsid w:val="002C5BB2"/>
    <w:rsid w:val="002C664E"/>
    <w:rsid w:val="002D0C6D"/>
    <w:rsid w:val="002D1C60"/>
    <w:rsid w:val="002D49AA"/>
    <w:rsid w:val="002E5BF9"/>
    <w:rsid w:val="002E6140"/>
    <w:rsid w:val="002E6704"/>
    <w:rsid w:val="002E6985"/>
    <w:rsid w:val="002E7097"/>
    <w:rsid w:val="002E71B6"/>
    <w:rsid w:val="002E7D40"/>
    <w:rsid w:val="002F0E66"/>
    <w:rsid w:val="002F165F"/>
    <w:rsid w:val="002F21F7"/>
    <w:rsid w:val="002F4BA4"/>
    <w:rsid w:val="002F591B"/>
    <w:rsid w:val="002F6FA2"/>
    <w:rsid w:val="002F70EF"/>
    <w:rsid w:val="002F77C8"/>
    <w:rsid w:val="003017ED"/>
    <w:rsid w:val="00302D0A"/>
    <w:rsid w:val="00303E72"/>
    <w:rsid w:val="00303EB6"/>
    <w:rsid w:val="00304F22"/>
    <w:rsid w:val="00305899"/>
    <w:rsid w:val="00305A5B"/>
    <w:rsid w:val="00305F9C"/>
    <w:rsid w:val="00306C7C"/>
    <w:rsid w:val="00310266"/>
    <w:rsid w:val="00310585"/>
    <w:rsid w:val="00311ADE"/>
    <w:rsid w:val="0031440D"/>
    <w:rsid w:val="00314B4B"/>
    <w:rsid w:val="003153D0"/>
    <w:rsid w:val="00316609"/>
    <w:rsid w:val="00320371"/>
    <w:rsid w:val="00322EDD"/>
    <w:rsid w:val="00323529"/>
    <w:rsid w:val="00324D29"/>
    <w:rsid w:val="00326248"/>
    <w:rsid w:val="00326C15"/>
    <w:rsid w:val="00331386"/>
    <w:rsid w:val="00331B47"/>
    <w:rsid w:val="003321D1"/>
    <w:rsid w:val="00332320"/>
    <w:rsid w:val="00332F3D"/>
    <w:rsid w:val="00335AFB"/>
    <w:rsid w:val="0033688A"/>
    <w:rsid w:val="00336DB9"/>
    <w:rsid w:val="00336F71"/>
    <w:rsid w:val="00346D7F"/>
    <w:rsid w:val="00347D72"/>
    <w:rsid w:val="003509BC"/>
    <w:rsid w:val="00351487"/>
    <w:rsid w:val="00353E26"/>
    <w:rsid w:val="00354730"/>
    <w:rsid w:val="003552A7"/>
    <w:rsid w:val="00357611"/>
    <w:rsid w:val="00357750"/>
    <w:rsid w:val="00362582"/>
    <w:rsid w:val="003639C9"/>
    <w:rsid w:val="00364073"/>
    <w:rsid w:val="0036435E"/>
    <w:rsid w:val="0036439C"/>
    <w:rsid w:val="00364E97"/>
    <w:rsid w:val="00366181"/>
    <w:rsid w:val="00367237"/>
    <w:rsid w:val="0037077F"/>
    <w:rsid w:val="00370C69"/>
    <w:rsid w:val="00370E6F"/>
    <w:rsid w:val="00370F02"/>
    <w:rsid w:val="003723DC"/>
    <w:rsid w:val="00372411"/>
    <w:rsid w:val="00372FF1"/>
    <w:rsid w:val="00373882"/>
    <w:rsid w:val="00373D23"/>
    <w:rsid w:val="00373D46"/>
    <w:rsid w:val="00375056"/>
    <w:rsid w:val="003767A9"/>
    <w:rsid w:val="00381C26"/>
    <w:rsid w:val="0038314B"/>
    <w:rsid w:val="0038439F"/>
    <w:rsid w:val="003843DB"/>
    <w:rsid w:val="003844E5"/>
    <w:rsid w:val="00387CB1"/>
    <w:rsid w:val="003903E4"/>
    <w:rsid w:val="00391763"/>
    <w:rsid w:val="00392551"/>
    <w:rsid w:val="003927FC"/>
    <w:rsid w:val="00393761"/>
    <w:rsid w:val="00393B70"/>
    <w:rsid w:val="00393F5E"/>
    <w:rsid w:val="003943BF"/>
    <w:rsid w:val="0039457E"/>
    <w:rsid w:val="00395563"/>
    <w:rsid w:val="003976C9"/>
    <w:rsid w:val="00397D18"/>
    <w:rsid w:val="003A0E4D"/>
    <w:rsid w:val="003A1B36"/>
    <w:rsid w:val="003A27B2"/>
    <w:rsid w:val="003A28C8"/>
    <w:rsid w:val="003A48D2"/>
    <w:rsid w:val="003A51D8"/>
    <w:rsid w:val="003A5267"/>
    <w:rsid w:val="003A53A2"/>
    <w:rsid w:val="003A6335"/>
    <w:rsid w:val="003B1454"/>
    <w:rsid w:val="003B18B6"/>
    <w:rsid w:val="003B2337"/>
    <w:rsid w:val="003B2548"/>
    <w:rsid w:val="003B3073"/>
    <w:rsid w:val="003B3150"/>
    <w:rsid w:val="003B359E"/>
    <w:rsid w:val="003B377B"/>
    <w:rsid w:val="003B3DC8"/>
    <w:rsid w:val="003B4082"/>
    <w:rsid w:val="003B658C"/>
    <w:rsid w:val="003B7171"/>
    <w:rsid w:val="003B7A05"/>
    <w:rsid w:val="003C39FB"/>
    <w:rsid w:val="003C529D"/>
    <w:rsid w:val="003C59E0"/>
    <w:rsid w:val="003C6C8D"/>
    <w:rsid w:val="003C7E60"/>
    <w:rsid w:val="003D0205"/>
    <w:rsid w:val="003D0508"/>
    <w:rsid w:val="003D1997"/>
    <w:rsid w:val="003D22D2"/>
    <w:rsid w:val="003D26FB"/>
    <w:rsid w:val="003D275C"/>
    <w:rsid w:val="003D3470"/>
    <w:rsid w:val="003D41D2"/>
    <w:rsid w:val="003D4F95"/>
    <w:rsid w:val="003D5F42"/>
    <w:rsid w:val="003D60A9"/>
    <w:rsid w:val="003D60CC"/>
    <w:rsid w:val="003D77E5"/>
    <w:rsid w:val="003E0FCF"/>
    <w:rsid w:val="003E10FE"/>
    <w:rsid w:val="003E1AF9"/>
    <w:rsid w:val="003E26F8"/>
    <w:rsid w:val="003E2803"/>
    <w:rsid w:val="003E2F68"/>
    <w:rsid w:val="003E48DE"/>
    <w:rsid w:val="003E49B0"/>
    <w:rsid w:val="003E4E36"/>
    <w:rsid w:val="003E6158"/>
    <w:rsid w:val="003E6DAC"/>
    <w:rsid w:val="003E73D6"/>
    <w:rsid w:val="003E7C61"/>
    <w:rsid w:val="003F13B5"/>
    <w:rsid w:val="003F194C"/>
    <w:rsid w:val="003F22A8"/>
    <w:rsid w:val="003F33EE"/>
    <w:rsid w:val="003F4C97"/>
    <w:rsid w:val="003F6501"/>
    <w:rsid w:val="003F6C93"/>
    <w:rsid w:val="003F75AA"/>
    <w:rsid w:val="003F7698"/>
    <w:rsid w:val="003F7FE6"/>
    <w:rsid w:val="00400193"/>
    <w:rsid w:val="00403126"/>
    <w:rsid w:val="0040322A"/>
    <w:rsid w:val="00403B22"/>
    <w:rsid w:val="00404150"/>
    <w:rsid w:val="00405098"/>
    <w:rsid w:val="00410735"/>
    <w:rsid w:val="00411910"/>
    <w:rsid w:val="00411982"/>
    <w:rsid w:val="00413657"/>
    <w:rsid w:val="00415692"/>
    <w:rsid w:val="00416C29"/>
    <w:rsid w:val="004175C1"/>
    <w:rsid w:val="00420A27"/>
    <w:rsid w:val="00420DD0"/>
    <w:rsid w:val="004212E7"/>
    <w:rsid w:val="004217F8"/>
    <w:rsid w:val="00421ECA"/>
    <w:rsid w:val="0042446D"/>
    <w:rsid w:val="00426D5E"/>
    <w:rsid w:val="00427BF8"/>
    <w:rsid w:val="00427C93"/>
    <w:rsid w:val="00427D05"/>
    <w:rsid w:val="00427D53"/>
    <w:rsid w:val="0043091D"/>
    <w:rsid w:val="00431C02"/>
    <w:rsid w:val="00431D6A"/>
    <w:rsid w:val="00437395"/>
    <w:rsid w:val="004375A8"/>
    <w:rsid w:val="00442845"/>
    <w:rsid w:val="00443D93"/>
    <w:rsid w:val="0044472D"/>
    <w:rsid w:val="00445047"/>
    <w:rsid w:val="00445B70"/>
    <w:rsid w:val="00446478"/>
    <w:rsid w:val="00447FE1"/>
    <w:rsid w:val="004510CE"/>
    <w:rsid w:val="004523F9"/>
    <w:rsid w:val="00452FAB"/>
    <w:rsid w:val="00453BC9"/>
    <w:rsid w:val="004543CF"/>
    <w:rsid w:val="0046033D"/>
    <w:rsid w:val="004610B6"/>
    <w:rsid w:val="004612AC"/>
    <w:rsid w:val="00463E39"/>
    <w:rsid w:val="00463F4F"/>
    <w:rsid w:val="004648A2"/>
    <w:rsid w:val="004657FC"/>
    <w:rsid w:val="00467295"/>
    <w:rsid w:val="00467B62"/>
    <w:rsid w:val="00471AA8"/>
    <w:rsid w:val="00472DFC"/>
    <w:rsid w:val="004733F6"/>
    <w:rsid w:val="00474956"/>
    <w:rsid w:val="00474E69"/>
    <w:rsid w:val="00475CA5"/>
    <w:rsid w:val="00476FBF"/>
    <w:rsid w:val="00480292"/>
    <w:rsid w:val="00480F61"/>
    <w:rsid w:val="00482791"/>
    <w:rsid w:val="00482C6F"/>
    <w:rsid w:val="00483FF3"/>
    <w:rsid w:val="00484D9A"/>
    <w:rsid w:val="00485489"/>
    <w:rsid w:val="00486609"/>
    <w:rsid w:val="004869E1"/>
    <w:rsid w:val="00487C77"/>
    <w:rsid w:val="00490DCF"/>
    <w:rsid w:val="004914E0"/>
    <w:rsid w:val="0049621B"/>
    <w:rsid w:val="004A0D78"/>
    <w:rsid w:val="004A3458"/>
    <w:rsid w:val="004A60E1"/>
    <w:rsid w:val="004A6803"/>
    <w:rsid w:val="004B27F6"/>
    <w:rsid w:val="004B364B"/>
    <w:rsid w:val="004B3790"/>
    <w:rsid w:val="004B48B1"/>
    <w:rsid w:val="004B573A"/>
    <w:rsid w:val="004B688E"/>
    <w:rsid w:val="004B6CA9"/>
    <w:rsid w:val="004B7080"/>
    <w:rsid w:val="004B7A8E"/>
    <w:rsid w:val="004C0D77"/>
    <w:rsid w:val="004C1895"/>
    <w:rsid w:val="004C22E2"/>
    <w:rsid w:val="004C474F"/>
    <w:rsid w:val="004C5252"/>
    <w:rsid w:val="004C5D39"/>
    <w:rsid w:val="004C5DC8"/>
    <w:rsid w:val="004C6D40"/>
    <w:rsid w:val="004D10D4"/>
    <w:rsid w:val="004D1B4F"/>
    <w:rsid w:val="004D2453"/>
    <w:rsid w:val="004D2F17"/>
    <w:rsid w:val="004D36DF"/>
    <w:rsid w:val="004D405C"/>
    <w:rsid w:val="004D43B3"/>
    <w:rsid w:val="004D4C43"/>
    <w:rsid w:val="004D5C1A"/>
    <w:rsid w:val="004D71F6"/>
    <w:rsid w:val="004D785C"/>
    <w:rsid w:val="004D7ABD"/>
    <w:rsid w:val="004E0A8A"/>
    <w:rsid w:val="004E1079"/>
    <w:rsid w:val="004E3474"/>
    <w:rsid w:val="004E4180"/>
    <w:rsid w:val="004E5182"/>
    <w:rsid w:val="004E535A"/>
    <w:rsid w:val="004E729C"/>
    <w:rsid w:val="004E778C"/>
    <w:rsid w:val="004E78C1"/>
    <w:rsid w:val="004E793B"/>
    <w:rsid w:val="004E7C71"/>
    <w:rsid w:val="004F0C3C"/>
    <w:rsid w:val="004F1ABE"/>
    <w:rsid w:val="004F1C6B"/>
    <w:rsid w:val="004F389B"/>
    <w:rsid w:val="004F51F6"/>
    <w:rsid w:val="004F63FC"/>
    <w:rsid w:val="004F73CE"/>
    <w:rsid w:val="004F7B3A"/>
    <w:rsid w:val="0050059F"/>
    <w:rsid w:val="005030B3"/>
    <w:rsid w:val="00504795"/>
    <w:rsid w:val="00504CE6"/>
    <w:rsid w:val="00505A92"/>
    <w:rsid w:val="00506031"/>
    <w:rsid w:val="005068A9"/>
    <w:rsid w:val="00506B75"/>
    <w:rsid w:val="00506EC3"/>
    <w:rsid w:val="00507DD2"/>
    <w:rsid w:val="00512C1B"/>
    <w:rsid w:val="005137E9"/>
    <w:rsid w:val="00513957"/>
    <w:rsid w:val="005139C5"/>
    <w:rsid w:val="005145C4"/>
    <w:rsid w:val="00514BAC"/>
    <w:rsid w:val="00514DB5"/>
    <w:rsid w:val="00517366"/>
    <w:rsid w:val="005203DE"/>
    <w:rsid w:val="005203F1"/>
    <w:rsid w:val="00520424"/>
    <w:rsid w:val="00521023"/>
    <w:rsid w:val="00521BC3"/>
    <w:rsid w:val="00523355"/>
    <w:rsid w:val="005244C8"/>
    <w:rsid w:val="0053031F"/>
    <w:rsid w:val="00530664"/>
    <w:rsid w:val="00531A53"/>
    <w:rsid w:val="005321BC"/>
    <w:rsid w:val="00533054"/>
    <w:rsid w:val="00533632"/>
    <w:rsid w:val="00537DAD"/>
    <w:rsid w:val="00540491"/>
    <w:rsid w:val="00541E6E"/>
    <w:rsid w:val="0054251F"/>
    <w:rsid w:val="00543B96"/>
    <w:rsid w:val="00543F91"/>
    <w:rsid w:val="00545177"/>
    <w:rsid w:val="00545240"/>
    <w:rsid w:val="00545AF6"/>
    <w:rsid w:val="00545FA8"/>
    <w:rsid w:val="0054682E"/>
    <w:rsid w:val="00550491"/>
    <w:rsid w:val="00552030"/>
    <w:rsid w:val="005520D8"/>
    <w:rsid w:val="00553FB5"/>
    <w:rsid w:val="005554F4"/>
    <w:rsid w:val="00556CF1"/>
    <w:rsid w:val="00557D02"/>
    <w:rsid w:val="00560A41"/>
    <w:rsid w:val="00561562"/>
    <w:rsid w:val="00565638"/>
    <w:rsid w:val="00567431"/>
    <w:rsid w:val="00567446"/>
    <w:rsid w:val="00571506"/>
    <w:rsid w:val="00571D30"/>
    <w:rsid w:val="00571E98"/>
    <w:rsid w:val="00573186"/>
    <w:rsid w:val="00573DD4"/>
    <w:rsid w:val="00574848"/>
    <w:rsid w:val="005762A7"/>
    <w:rsid w:val="00576AE5"/>
    <w:rsid w:val="00577352"/>
    <w:rsid w:val="005774BF"/>
    <w:rsid w:val="005804C9"/>
    <w:rsid w:val="00580952"/>
    <w:rsid w:val="00581487"/>
    <w:rsid w:val="005833E1"/>
    <w:rsid w:val="005841B6"/>
    <w:rsid w:val="0058462B"/>
    <w:rsid w:val="0058514B"/>
    <w:rsid w:val="005853F8"/>
    <w:rsid w:val="0058565C"/>
    <w:rsid w:val="00590365"/>
    <w:rsid w:val="005916D7"/>
    <w:rsid w:val="00591B8B"/>
    <w:rsid w:val="00593B61"/>
    <w:rsid w:val="00595A98"/>
    <w:rsid w:val="005972A0"/>
    <w:rsid w:val="00597AE0"/>
    <w:rsid w:val="005A05A8"/>
    <w:rsid w:val="005A06E5"/>
    <w:rsid w:val="005A1053"/>
    <w:rsid w:val="005A1AAC"/>
    <w:rsid w:val="005A224F"/>
    <w:rsid w:val="005A36A0"/>
    <w:rsid w:val="005A37D5"/>
    <w:rsid w:val="005A5012"/>
    <w:rsid w:val="005A5560"/>
    <w:rsid w:val="005A698C"/>
    <w:rsid w:val="005A77EB"/>
    <w:rsid w:val="005B05F7"/>
    <w:rsid w:val="005B3613"/>
    <w:rsid w:val="005B5142"/>
    <w:rsid w:val="005B51F6"/>
    <w:rsid w:val="005B7FFA"/>
    <w:rsid w:val="005C0A74"/>
    <w:rsid w:val="005C0B93"/>
    <w:rsid w:val="005C1FFA"/>
    <w:rsid w:val="005C46FF"/>
    <w:rsid w:val="005C5FDC"/>
    <w:rsid w:val="005C6A13"/>
    <w:rsid w:val="005C746C"/>
    <w:rsid w:val="005C79D9"/>
    <w:rsid w:val="005D02F7"/>
    <w:rsid w:val="005D06AB"/>
    <w:rsid w:val="005D0E08"/>
    <w:rsid w:val="005D1BA4"/>
    <w:rsid w:val="005D54D2"/>
    <w:rsid w:val="005D5FAE"/>
    <w:rsid w:val="005D613D"/>
    <w:rsid w:val="005D66C3"/>
    <w:rsid w:val="005D765B"/>
    <w:rsid w:val="005D7EC6"/>
    <w:rsid w:val="005E0799"/>
    <w:rsid w:val="005E0C62"/>
    <w:rsid w:val="005E1B92"/>
    <w:rsid w:val="005E2344"/>
    <w:rsid w:val="005E2935"/>
    <w:rsid w:val="005E2AAD"/>
    <w:rsid w:val="005E2E04"/>
    <w:rsid w:val="005E5A41"/>
    <w:rsid w:val="005F01AF"/>
    <w:rsid w:val="005F0A46"/>
    <w:rsid w:val="005F0C8B"/>
    <w:rsid w:val="005F20EF"/>
    <w:rsid w:val="005F2C59"/>
    <w:rsid w:val="005F437C"/>
    <w:rsid w:val="005F583C"/>
    <w:rsid w:val="005F5A80"/>
    <w:rsid w:val="005F5CC5"/>
    <w:rsid w:val="005F685D"/>
    <w:rsid w:val="005F70F9"/>
    <w:rsid w:val="005F7C39"/>
    <w:rsid w:val="00600991"/>
    <w:rsid w:val="00600FD5"/>
    <w:rsid w:val="00603787"/>
    <w:rsid w:val="006044FF"/>
    <w:rsid w:val="00607CC5"/>
    <w:rsid w:val="00607D84"/>
    <w:rsid w:val="0061076A"/>
    <w:rsid w:val="00611B30"/>
    <w:rsid w:val="00611DE5"/>
    <w:rsid w:val="00613E1C"/>
    <w:rsid w:val="006168CD"/>
    <w:rsid w:val="00616CE1"/>
    <w:rsid w:val="00617223"/>
    <w:rsid w:val="00621623"/>
    <w:rsid w:val="00622D28"/>
    <w:rsid w:val="006236C6"/>
    <w:rsid w:val="006236F6"/>
    <w:rsid w:val="006244C7"/>
    <w:rsid w:val="0062550A"/>
    <w:rsid w:val="006260FE"/>
    <w:rsid w:val="0062680A"/>
    <w:rsid w:val="00626B5D"/>
    <w:rsid w:val="00626CA8"/>
    <w:rsid w:val="0063019D"/>
    <w:rsid w:val="00630A38"/>
    <w:rsid w:val="006324D7"/>
    <w:rsid w:val="00632CEC"/>
    <w:rsid w:val="00633014"/>
    <w:rsid w:val="0063437B"/>
    <w:rsid w:val="00635360"/>
    <w:rsid w:val="0063597C"/>
    <w:rsid w:val="00635E35"/>
    <w:rsid w:val="00636AB9"/>
    <w:rsid w:val="0063713B"/>
    <w:rsid w:val="00640074"/>
    <w:rsid w:val="00642151"/>
    <w:rsid w:val="006428AC"/>
    <w:rsid w:val="00643509"/>
    <w:rsid w:val="00643CCB"/>
    <w:rsid w:val="006442E9"/>
    <w:rsid w:val="006452B1"/>
    <w:rsid w:val="006507B9"/>
    <w:rsid w:val="00651609"/>
    <w:rsid w:val="00651634"/>
    <w:rsid w:val="00652704"/>
    <w:rsid w:val="006567FA"/>
    <w:rsid w:val="00657F7C"/>
    <w:rsid w:val="006616E5"/>
    <w:rsid w:val="006618A8"/>
    <w:rsid w:val="006619A4"/>
    <w:rsid w:val="00663646"/>
    <w:rsid w:val="006671F0"/>
    <w:rsid w:val="006673CA"/>
    <w:rsid w:val="00670D64"/>
    <w:rsid w:val="00670ECC"/>
    <w:rsid w:val="00672EB5"/>
    <w:rsid w:val="00673C26"/>
    <w:rsid w:val="00676244"/>
    <w:rsid w:val="0067726D"/>
    <w:rsid w:val="00677A41"/>
    <w:rsid w:val="006812AF"/>
    <w:rsid w:val="0068327D"/>
    <w:rsid w:val="006834E3"/>
    <w:rsid w:val="00685970"/>
    <w:rsid w:val="00685E7C"/>
    <w:rsid w:val="00685E95"/>
    <w:rsid w:val="006863E6"/>
    <w:rsid w:val="0068683C"/>
    <w:rsid w:val="006904FD"/>
    <w:rsid w:val="006917D6"/>
    <w:rsid w:val="006930DF"/>
    <w:rsid w:val="0069367C"/>
    <w:rsid w:val="00694AF0"/>
    <w:rsid w:val="00695BE2"/>
    <w:rsid w:val="0069709E"/>
    <w:rsid w:val="006979E0"/>
    <w:rsid w:val="00697F80"/>
    <w:rsid w:val="006A17C7"/>
    <w:rsid w:val="006A3C81"/>
    <w:rsid w:val="006A4686"/>
    <w:rsid w:val="006A5C91"/>
    <w:rsid w:val="006A6260"/>
    <w:rsid w:val="006A70AF"/>
    <w:rsid w:val="006B0701"/>
    <w:rsid w:val="006B0A59"/>
    <w:rsid w:val="006B0E9E"/>
    <w:rsid w:val="006B16EC"/>
    <w:rsid w:val="006B19D1"/>
    <w:rsid w:val="006B3778"/>
    <w:rsid w:val="006B3A16"/>
    <w:rsid w:val="006B4361"/>
    <w:rsid w:val="006B5AE4"/>
    <w:rsid w:val="006B71BB"/>
    <w:rsid w:val="006B735B"/>
    <w:rsid w:val="006B799F"/>
    <w:rsid w:val="006B7DD0"/>
    <w:rsid w:val="006C26C0"/>
    <w:rsid w:val="006C2A0E"/>
    <w:rsid w:val="006C3794"/>
    <w:rsid w:val="006C39F4"/>
    <w:rsid w:val="006C5854"/>
    <w:rsid w:val="006C62CF"/>
    <w:rsid w:val="006C7BB3"/>
    <w:rsid w:val="006D13FC"/>
    <w:rsid w:val="006D1507"/>
    <w:rsid w:val="006D18AF"/>
    <w:rsid w:val="006D3DD5"/>
    <w:rsid w:val="006D4054"/>
    <w:rsid w:val="006D6F64"/>
    <w:rsid w:val="006D7BA4"/>
    <w:rsid w:val="006E02EC"/>
    <w:rsid w:val="006E23B8"/>
    <w:rsid w:val="006E23BE"/>
    <w:rsid w:val="006E296E"/>
    <w:rsid w:val="006E5522"/>
    <w:rsid w:val="006E5DB5"/>
    <w:rsid w:val="006E66FF"/>
    <w:rsid w:val="006F00FD"/>
    <w:rsid w:val="006F1A40"/>
    <w:rsid w:val="006F73E0"/>
    <w:rsid w:val="006F7DCE"/>
    <w:rsid w:val="00700B87"/>
    <w:rsid w:val="007075D4"/>
    <w:rsid w:val="00710497"/>
    <w:rsid w:val="007107A1"/>
    <w:rsid w:val="0071156A"/>
    <w:rsid w:val="0071157D"/>
    <w:rsid w:val="00712BA3"/>
    <w:rsid w:val="00713B71"/>
    <w:rsid w:val="00713D7B"/>
    <w:rsid w:val="00714439"/>
    <w:rsid w:val="00715167"/>
    <w:rsid w:val="00716B61"/>
    <w:rsid w:val="007177E7"/>
    <w:rsid w:val="00720FE4"/>
    <w:rsid w:val="007211B1"/>
    <w:rsid w:val="007220C9"/>
    <w:rsid w:val="00722F3A"/>
    <w:rsid w:val="00722F86"/>
    <w:rsid w:val="0072379D"/>
    <w:rsid w:val="00724BE9"/>
    <w:rsid w:val="00726372"/>
    <w:rsid w:val="007268C5"/>
    <w:rsid w:val="007304D2"/>
    <w:rsid w:val="0073147D"/>
    <w:rsid w:val="00734865"/>
    <w:rsid w:val="007357BA"/>
    <w:rsid w:val="00735BFD"/>
    <w:rsid w:val="007373CF"/>
    <w:rsid w:val="00737A29"/>
    <w:rsid w:val="007411B8"/>
    <w:rsid w:val="00743653"/>
    <w:rsid w:val="0074534C"/>
    <w:rsid w:val="00746187"/>
    <w:rsid w:val="00746821"/>
    <w:rsid w:val="00746AE8"/>
    <w:rsid w:val="00750766"/>
    <w:rsid w:val="00752889"/>
    <w:rsid w:val="00752C8A"/>
    <w:rsid w:val="007532CD"/>
    <w:rsid w:val="0075352C"/>
    <w:rsid w:val="00753D9B"/>
    <w:rsid w:val="00754E89"/>
    <w:rsid w:val="00755D2E"/>
    <w:rsid w:val="00756D02"/>
    <w:rsid w:val="007571F6"/>
    <w:rsid w:val="007578DE"/>
    <w:rsid w:val="007618BF"/>
    <w:rsid w:val="007622EA"/>
    <w:rsid w:val="0076254F"/>
    <w:rsid w:val="0076406E"/>
    <w:rsid w:val="007644E6"/>
    <w:rsid w:val="00764F70"/>
    <w:rsid w:val="00765867"/>
    <w:rsid w:val="00766708"/>
    <w:rsid w:val="007732D0"/>
    <w:rsid w:val="0077376B"/>
    <w:rsid w:val="0077461A"/>
    <w:rsid w:val="00774D26"/>
    <w:rsid w:val="0077542A"/>
    <w:rsid w:val="00777F51"/>
    <w:rsid w:val="007801F5"/>
    <w:rsid w:val="00783274"/>
    <w:rsid w:val="00783A54"/>
    <w:rsid w:val="00783CA4"/>
    <w:rsid w:val="007842FB"/>
    <w:rsid w:val="00785221"/>
    <w:rsid w:val="00786124"/>
    <w:rsid w:val="00786139"/>
    <w:rsid w:val="00786CF4"/>
    <w:rsid w:val="007874C0"/>
    <w:rsid w:val="007909F7"/>
    <w:rsid w:val="00790A6C"/>
    <w:rsid w:val="0079514B"/>
    <w:rsid w:val="0079656B"/>
    <w:rsid w:val="00796AC7"/>
    <w:rsid w:val="007971CF"/>
    <w:rsid w:val="007A2DC1"/>
    <w:rsid w:val="007A30DF"/>
    <w:rsid w:val="007A52B1"/>
    <w:rsid w:val="007B18E5"/>
    <w:rsid w:val="007B1E34"/>
    <w:rsid w:val="007B3D1E"/>
    <w:rsid w:val="007B45B0"/>
    <w:rsid w:val="007B4E74"/>
    <w:rsid w:val="007C009B"/>
    <w:rsid w:val="007C10D3"/>
    <w:rsid w:val="007C1194"/>
    <w:rsid w:val="007C14C9"/>
    <w:rsid w:val="007C2800"/>
    <w:rsid w:val="007C4BD4"/>
    <w:rsid w:val="007C5111"/>
    <w:rsid w:val="007C6022"/>
    <w:rsid w:val="007C71C6"/>
    <w:rsid w:val="007D1F1F"/>
    <w:rsid w:val="007D21AD"/>
    <w:rsid w:val="007D3319"/>
    <w:rsid w:val="007D335D"/>
    <w:rsid w:val="007D3F2D"/>
    <w:rsid w:val="007D4DE9"/>
    <w:rsid w:val="007D5C15"/>
    <w:rsid w:val="007D6076"/>
    <w:rsid w:val="007D6147"/>
    <w:rsid w:val="007E005C"/>
    <w:rsid w:val="007E2239"/>
    <w:rsid w:val="007E3314"/>
    <w:rsid w:val="007E4B03"/>
    <w:rsid w:val="007E6FC5"/>
    <w:rsid w:val="007E7603"/>
    <w:rsid w:val="007E77B8"/>
    <w:rsid w:val="007F2C49"/>
    <w:rsid w:val="007F324B"/>
    <w:rsid w:val="007F34E3"/>
    <w:rsid w:val="007F377D"/>
    <w:rsid w:val="007F3C91"/>
    <w:rsid w:val="007F42A5"/>
    <w:rsid w:val="007F4985"/>
    <w:rsid w:val="007F54DD"/>
    <w:rsid w:val="0080468F"/>
    <w:rsid w:val="0080553C"/>
    <w:rsid w:val="00805B46"/>
    <w:rsid w:val="008076F3"/>
    <w:rsid w:val="00810ABC"/>
    <w:rsid w:val="00811802"/>
    <w:rsid w:val="008124CF"/>
    <w:rsid w:val="00812CFD"/>
    <w:rsid w:val="00812F75"/>
    <w:rsid w:val="00813AD5"/>
    <w:rsid w:val="0081624D"/>
    <w:rsid w:val="00816A15"/>
    <w:rsid w:val="00817AF8"/>
    <w:rsid w:val="00820B1E"/>
    <w:rsid w:val="00821A68"/>
    <w:rsid w:val="00823328"/>
    <w:rsid w:val="00823C20"/>
    <w:rsid w:val="00824796"/>
    <w:rsid w:val="0082503E"/>
    <w:rsid w:val="008258A8"/>
    <w:rsid w:val="00825DC2"/>
    <w:rsid w:val="00826442"/>
    <w:rsid w:val="00827F8D"/>
    <w:rsid w:val="00831131"/>
    <w:rsid w:val="008321B2"/>
    <w:rsid w:val="00833231"/>
    <w:rsid w:val="008348BF"/>
    <w:rsid w:val="00834AD3"/>
    <w:rsid w:val="00834B13"/>
    <w:rsid w:val="00837334"/>
    <w:rsid w:val="00841F2E"/>
    <w:rsid w:val="008429BF"/>
    <w:rsid w:val="00842EB6"/>
    <w:rsid w:val="00842FC4"/>
    <w:rsid w:val="00843795"/>
    <w:rsid w:val="00843CAA"/>
    <w:rsid w:val="008450E1"/>
    <w:rsid w:val="00845DCE"/>
    <w:rsid w:val="008461B7"/>
    <w:rsid w:val="00846CB0"/>
    <w:rsid w:val="0084759D"/>
    <w:rsid w:val="00847C96"/>
    <w:rsid w:val="00847F0F"/>
    <w:rsid w:val="00851E70"/>
    <w:rsid w:val="00852342"/>
    <w:rsid w:val="00852448"/>
    <w:rsid w:val="0085283D"/>
    <w:rsid w:val="00852E87"/>
    <w:rsid w:val="008543E4"/>
    <w:rsid w:val="00855422"/>
    <w:rsid w:val="00862823"/>
    <w:rsid w:val="00863304"/>
    <w:rsid w:val="00864921"/>
    <w:rsid w:val="00865A20"/>
    <w:rsid w:val="008703D0"/>
    <w:rsid w:val="0087059B"/>
    <w:rsid w:val="00870F49"/>
    <w:rsid w:val="00871F96"/>
    <w:rsid w:val="0087225C"/>
    <w:rsid w:val="0087282F"/>
    <w:rsid w:val="0087457A"/>
    <w:rsid w:val="00875C7A"/>
    <w:rsid w:val="008770E1"/>
    <w:rsid w:val="0088090C"/>
    <w:rsid w:val="008819EE"/>
    <w:rsid w:val="008820C1"/>
    <w:rsid w:val="0088258A"/>
    <w:rsid w:val="00882950"/>
    <w:rsid w:val="00885FD4"/>
    <w:rsid w:val="00886332"/>
    <w:rsid w:val="008865A6"/>
    <w:rsid w:val="008903E1"/>
    <w:rsid w:val="00891952"/>
    <w:rsid w:val="0089293B"/>
    <w:rsid w:val="00893E86"/>
    <w:rsid w:val="00894451"/>
    <w:rsid w:val="0089696C"/>
    <w:rsid w:val="008A0282"/>
    <w:rsid w:val="008A0A62"/>
    <w:rsid w:val="008A1278"/>
    <w:rsid w:val="008A26D9"/>
    <w:rsid w:val="008A38D4"/>
    <w:rsid w:val="008A3C30"/>
    <w:rsid w:val="008A638B"/>
    <w:rsid w:val="008A6E10"/>
    <w:rsid w:val="008B18B8"/>
    <w:rsid w:val="008B1C96"/>
    <w:rsid w:val="008B2072"/>
    <w:rsid w:val="008B28F1"/>
    <w:rsid w:val="008B2C18"/>
    <w:rsid w:val="008B2C5C"/>
    <w:rsid w:val="008B425D"/>
    <w:rsid w:val="008B4361"/>
    <w:rsid w:val="008B53BC"/>
    <w:rsid w:val="008B714D"/>
    <w:rsid w:val="008B72CC"/>
    <w:rsid w:val="008C070A"/>
    <w:rsid w:val="008C0C29"/>
    <w:rsid w:val="008C530D"/>
    <w:rsid w:val="008C5C57"/>
    <w:rsid w:val="008C6F82"/>
    <w:rsid w:val="008C7FB0"/>
    <w:rsid w:val="008D0649"/>
    <w:rsid w:val="008D0DD2"/>
    <w:rsid w:val="008D13FE"/>
    <w:rsid w:val="008D16AE"/>
    <w:rsid w:val="008D53B0"/>
    <w:rsid w:val="008D5686"/>
    <w:rsid w:val="008D771C"/>
    <w:rsid w:val="008D77EC"/>
    <w:rsid w:val="008D7975"/>
    <w:rsid w:val="008D7A29"/>
    <w:rsid w:val="008D7B71"/>
    <w:rsid w:val="008E16EE"/>
    <w:rsid w:val="008E1B90"/>
    <w:rsid w:val="008E4322"/>
    <w:rsid w:val="008E58A6"/>
    <w:rsid w:val="008E5ADB"/>
    <w:rsid w:val="008E6EB0"/>
    <w:rsid w:val="008E7D6A"/>
    <w:rsid w:val="008F085F"/>
    <w:rsid w:val="008F16DF"/>
    <w:rsid w:val="008F2B1B"/>
    <w:rsid w:val="008F3638"/>
    <w:rsid w:val="008F4441"/>
    <w:rsid w:val="008F472B"/>
    <w:rsid w:val="008F4B7E"/>
    <w:rsid w:val="008F5FCC"/>
    <w:rsid w:val="008F6C08"/>
    <w:rsid w:val="008F6F31"/>
    <w:rsid w:val="008F74DF"/>
    <w:rsid w:val="009039E8"/>
    <w:rsid w:val="00904252"/>
    <w:rsid w:val="00904259"/>
    <w:rsid w:val="009045C7"/>
    <w:rsid w:val="00905BCD"/>
    <w:rsid w:val="00907DFD"/>
    <w:rsid w:val="0091061F"/>
    <w:rsid w:val="00911092"/>
    <w:rsid w:val="0091170E"/>
    <w:rsid w:val="009127BA"/>
    <w:rsid w:val="009135F9"/>
    <w:rsid w:val="00915163"/>
    <w:rsid w:val="00915332"/>
    <w:rsid w:val="0091565E"/>
    <w:rsid w:val="00915AD2"/>
    <w:rsid w:val="00916CF7"/>
    <w:rsid w:val="00916DA9"/>
    <w:rsid w:val="009203F6"/>
    <w:rsid w:val="00921D51"/>
    <w:rsid w:val="00921E21"/>
    <w:rsid w:val="00921FE7"/>
    <w:rsid w:val="009220AB"/>
    <w:rsid w:val="009227A6"/>
    <w:rsid w:val="00922D1B"/>
    <w:rsid w:val="00923AD2"/>
    <w:rsid w:val="009250D0"/>
    <w:rsid w:val="00927009"/>
    <w:rsid w:val="00927312"/>
    <w:rsid w:val="00930CAE"/>
    <w:rsid w:val="00930CBD"/>
    <w:rsid w:val="00931A70"/>
    <w:rsid w:val="00933EC1"/>
    <w:rsid w:val="00934DF4"/>
    <w:rsid w:val="00935EE5"/>
    <w:rsid w:val="009361FF"/>
    <w:rsid w:val="00936735"/>
    <w:rsid w:val="00937303"/>
    <w:rsid w:val="00937AC0"/>
    <w:rsid w:val="00940058"/>
    <w:rsid w:val="009406FC"/>
    <w:rsid w:val="009408E5"/>
    <w:rsid w:val="00943AAE"/>
    <w:rsid w:val="00944315"/>
    <w:rsid w:val="009450CA"/>
    <w:rsid w:val="00946D55"/>
    <w:rsid w:val="00947024"/>
    <w:rsid w:val="00947F13"/>
    <w:rsid w:val="009530DB"/>
    <w:rsid w:val="00953222"/>
    <w:rsid w:val="009532EE"/>
    <w:rsid w:val="009533BA"/>
    <w:rsid w:val="00953676"/>
    <w:rsid w:val="00953F78"/>
    <w:rsid w:val="009566D4"/>
    <w:rsid w:val="00957A69"/>
    <w:rsid w:val="00957CAD"/>
    <w:rsid w:val="009606CE"/>
    <w:rsid w:val="00960CFD"/>
    <w:rsid w:val="009610EC"/>
    <w:rsid w:val="009612CE"/>
    <w:rsid w:val="009616F0"/>
    <w:rsid w:val="00963626"/>
    <w:rsid w:val="0096548B"/>
    <w:rsid w:val="00966079"/>
    <w:rsid w:val="00966732"/>
    <w:rsid w:val="00967878"/>
    <w:rsid w:val="00970513"/>
    <w:rsid w:val="009705EE"/>
    <w:rsid w:val="0097160E"/>
    <w:rsid w:val="00971E20"/>
    <w:rsid w:val="0097315E"/>
    <w:rsid w:val="0097372F"/>
    <w:rsid w:val="0097391E"/>
    <w:rsid w:val="009745A3"/>
    <w:rsid w:val="00975480"/>
    <w:rsid w:val="00977927"/>
    <w:rsid w:val="00980088"/>
    <w:rsid w:val="0098043D"/>
    <w:rsid w:val="009808E5"/>
    <w:rsid w:val="0098135C"/>
    <w:rsid w:val="0098156A"/>
    <w:rsid w:val="009817DF"/>
    <w:rsid w:val="00984F11"/>
    <w:rsid w:val="00986B21"/>
    <w:rsid w:val="009873B5"/>
    <w:rsid w:val="00991BAC"/>
    <w:rsid w:val="009932BD"/>
    <w:rsid w:val="00994B9E"/>
    <w:rsid w:val="00995CFF"/>
    <w:rsid w:val="009A10DC"/>
    <w:rsid w:val="009A28AE"/>
    <w:rsid w:val="009A5B8B"/>
    <w:rsid w:val="009A5D91"/>
    <w:rsid w:val="009A5F43"/>
    <w:rsid w:val="009A6EA0"/>
    <w:rsid w:val="009A7582"/>
    <w:rsid w:val="009B0726"/>
    <w:rsid w:val="009B12C4"/>
    <w:rsid w:val="009B17DB"/>
    <w:rsid w:val="009B2E3B"/>
    <w:rsid w:val="009B384E"/>
    <w:rsid w:val="009B425E"/>
    <w:rsid w:val="009B4B18"/>
    <w:rsid w:val="009B7539"/>
    <w:rsid w:val="009B7827"/>
    <w:rsid w:val="009B7E7E"/>
    <w:rsid w:val="009B7EEE"/>
    <w:rsid w:val="009C1335"/>
    <w:rsid w:val="009C1AB2"/>
    <w:rsid w:val="009C1C64"/>
    <w:rsid w:val="009C23D0"/>
    <w:rsid w:val="009C37AC"/>
    <w:rsid w:val="009C6642"/>
    <w:rsid w:val="009C6C5F"/>
    <w:rsid w:val="009C7251"/>
    <w:rsid w:val="009C72B5"/>
    <w:rsid w:val="009C72FA"/>
    <w:rsid w:val="009D2B07"/>
    <w:rsid w:val="009D54B5"/>
    <w:rsid w:val="009D5A7A"/>
    <w:rsid w:val="009D7715"/>
    <w:rsid w:val="009E2E91"/>
    <w:rsid w:val="009E31EC"/>
    <w:rsid w:val="009E5248"/>
    <w:rsid w:val="009E60EF"/>
    <w:rsid w:val="009E7834"/>
    <w:rsid w:val="009E7D72"/>
    <w:rsid w:val="009F1CF6"/>
    <w:rsid w:val="009F76DE"/>
    <w:rsid w:val="00A00986"/>
    <w:rsid w:val="00A00EFF"/>
    <w:rsid w:val="00A0125E"/>
    <w:rsid w:val="00A0147D"/>
    <w:rsid w:val="00A01E4A"/>
    <w:rsid w:val="00A04291"/>
    <w:rsid w:val="00A051D5"/>
    <w:rsid w:val="00A06532"/>
    <w:rsid w:val="00A076BB"/>
    <w:rsid w:val="00A07F56"/>
    <w:rsid w:val="00A10611"/>
    <w:rsid w:val="00A123E9"/>
    <w:rsid w:val="00A12D60"/>
    <w:rsid w:val="00A132FF"/>
    <w:rsid w:val="00A139F5"/>
    <w:rsid w:val="00A143C5"/>
    <w:rsid w:val="00A1622C"/>
    <w:rsid w:val="00A16BBA"/>
    <w:rsid w:val="00A176A6"/>
    <w:rsid w:val="00A26424"/>
    <w:rsid w:val="00A26A52"/>
    <w:rsid w:val="00A26C83"/>
    <w:rsid w:val="00A27C0D"/>
    <w:rsid w:val="00A30EC5"/>
    <w:rsid w:val="00A33578"/>
    <w:rsid w:val="00A352D4"/>
    <w:rsid w:val="00A35656"/>
    <w:rsid w:val="00A35B44"/>
    <w:rsid w:val="00A365F4"/>
    <w:rsid w:val="00A36CAA"/>
    <w:rsid w:val="00A3767F"/>
    <w:rsid w:val="00A42831"/>
    <w:rsid w:val="00A444F7"/>
    <w:rsid w:val="00A44AEF"/>
    <w:rsid w:val="00A45554"/>
    <w:rsid w:val="00A4661B"/>
    <w:rsid w:val="00A47D80"/>
    <w:rsid w:val="00A50EA8"/>
    <w:rsid w:val="00A51021"/>
    <w:rsid w:val="00A5229F"/>
    <w:rsid w:val="00A53132"/>
    <w:rsid w:val="00A563F2"/>
    <w:rsid w:val="00A566E8"/>
    <w:rsid w:val="00A6122D"/>
    <w:rsid w:val="00A614CE"/>
    <w:rsid w:val="00A61E6A"/>
    <w:rsid w:val="00A6263F"/>
    <w:rsid w:val="00A63254"/>
    <w:rsid w:val="00A6467F"/>
    <w:rsid w:val="00A64DD2"/>
    <w:rsid w:val="00A65AD8"/>
    <w:rsid w:val="00A65D2C"/>
    <w:rsid w:val="00A6611B"/>
    <w:rsid w:val="00A7195D"/>
    <w:rsid w:val="00A71C44"/>
    <w:rsid w:val="00A73061"/>
    <w:rsid w:val="00A75793"/>
    <w:rsid w:val="00A75A56"/>
    <w:rsid w:val="00A765C8"/>
    <w:rsid w:val="00A803F2"/>
    <w:rsid w:val="00A810F9"/>
    <w:rsid w:val="00A821A5"/>
    <w:rsid w:val="00A82590"/>
    <w:rsid w:val="00A83645"/>
    <w:rsid w:val="00A83769"/>
    <w:rsid w:val="00A8381F"/>
    <w:rsid w:val="00A83B95"/>
    <w:rsid w:val="00A859CD"/>
    <w:rsid w:val="00A85CFC"/>
    <w:rsid w:val="00A86C2F"/>
    <w:rsid w:val="00A86ECC"/>
    <w:rsid w:val="00A86FCC"/>
    <w:rsid w:val="00A87CEB"/>
    <w:rsid w:val="00A90653"/>
    <w:rsid w:val="00A91795"/>
    <w:rsid w:val="00A92B50"/>
    <w:rsid w:val="00A92FB0"/>
    <w:rsid w:val="00A947BD"/>
    <w:rsid w:val="00A9608A"/>
    <w:rsid w:val="00A96298"/>
    <w:rsid w:val="00AA00BD"/>
    <w:rsid w:val="00AA327A"/>
    <w:rsid w:val="00AA349A"/>
    <w:rsid w:val="00AA355E"/>
    <w:rsid w:val="00AA43EE"/>
    <w:rsid w:val="00AA4FF2"/>
    <w:rsid w:val="00AA54D6"/>
    <w:rsid w:val="00AA6CC4"/>
    <w:rsid w:val="00AA710D"/>
    <w:rsid w:val="00AB04E6"/>
    <w:rsid w:val="00AB18F2"/>
    <w:rsid w:val="00AB1F50"/>
    <w:rsid w:val="00AB28B7"/>
    <w:rsid w:val="00AB4665"/>
    <w:rsid w:val="00AB50B6"/>
    <w:rsid w:val="00AB6D25"/>
    <w:rsid w:val="00AB7A88"/>
    <w:rsid w:val="00AC062C"/>
    <w:rsid w:val="00AC1843"/>
    <w:rsid w:val="00AC195B"/>
    <w:rsid w:val="00AC1C54"/>
    <w:rsid w:val="00AC28D2"/>
    <w:rsid w:val="00AC43A1"/>
    <w:rsid w:val="00AC5789"/>
    <w:rsid w:val="00AC5809"/>
    <w:rsid w:val="00AC5A7A"/>
    <w:rsid w:val="00AC61AB"/>
    <w:rsid w:val="00AC6D6F"/>
    <w:rsid w:val="00AD031C"/>
    <w:rsid w:val="00AD12F6"/>
    <w:rsid w:val="00AD3570"/>
    <w:rsid w:val="00AD51AB"/>
    <w:rsid w:val="00AD608D"/>
    <w:rsid w:val="00AD70F7"/>
    <w:rsid w:val="00AE2D4B"/>
    <w:rsid w:val="00AE3EE4"/>
    <w:rsid w:val="00AE4F99"/>
    <w:rsid w:val="00AE6453"/>
    <w:rsid w:val="00AE6C75"/>
    <w:rsid w:val="00AF0A1F"/>
    <w:rsid w:val="00AF1763"/>
    <w:rsid w:val="00AF1DFF"/>
    <w:rsid w:val="00AF22B4"/>
    <w:rsid w:val="00AF285F"/>
    <w:rsid w:val="00AF3FA0"/>
    <w:rsid w:val="00AF76F8"/>
    <w:rsid w:val="00B00171"/>
    <w:rsid w:val="00B01D4C"/>
    <w:rsid w:val="00B03CA4"/>
    <w:rsid w:val="00B06716"/>
    <w:rsid w:val="00B07BB1"/>
    <w:rsid w:val="00B1030A"/>
    <w:rsid w:val="00B11B69"/>
    <w:rsid w:val="00B1216A"/>
    <w:rsid w:val="00B13D0E"/>
    <w:rsid w:val="00B13FCA"/>
    <w:rsid w:val="00B14952"/>
    <w:rsid w:val="00B14FDF"/>
    <w:rsid w:val="00B21AF9"/>
    <w:rsid w:val="00B22266"/>
    <w:rsid w:val="00B24778"/>
    <w:rsid w:val="00B253FF"/>
    <w:rsid w:val="00B278CA"/>
    <w:rsid w:val="00B31E5A"/>
    <w:rsid w:val="00B327CC"/>
    <w:rsid w:val="00B33B27"/>
    <w:rsid w:val="00B36249"/>
    <w:rsid w:val="00B36C17"/>
    <w:rsid w:val="00B41B6A"/>
    <w:rsid w:val="00B42820"/>
    <w:rsid w:val="00B42CCA"/>
    <w:rsid w:val="00B442F6"/>
    <w:rsid w:val="00B44E41"/>
    <w:rsid w:val="00B465BF"/>
    <w:rsid w:val="00B501BA"/>
    <w:rsid w:val="00B51ED0"/>
    <w:rsid w:val="00B523C0"/>
    <w:rsid w:val="00B53785"/>
    <w:rsid w:val="00B6166B"/>
    <w:rsid w:val="00B621F4"/>
    <w:rsid w:val="00B6352E"/>
    <w:rsid w:val="00B6485C"/>
    <w:rsid w:val="00B653AB"/>
    <w:rsid w:val="00B65F9E"/>
    <w:rsid w:val="00B66581"/>
    <w:rsid w:val="00B66B19"/>
    <w:rsid w:val="00B674DB"/>
    <w:rsid w:val="00B67A25"/>
    <w:rsid w:val="00B67FE2"/>
    <w:rsid w:val="00B737C5"/>
    <w:rsid w:val="00B73E4F"/>
    <w:rsid w:val="00B74DEA"/>
    <w:rsid w:val="00B753E9"/>
    <w:rsid w:val="00B7774F"/>
    <w:rsid w:val="00B80A27"/>
    <w:rsid w:val="00B81A03"/>
    <w:rsid w:val="00B8228C"/>
    <w:rsid w:val="00B82E80"/>
    <w:rsid w:val="00B858D6"/>
    <w:rsid w:val="00B87AD8"/>
    <w:rsid w:val="00B87DA7"/>
    <w:rsid w:val="00B91069"/>
    <w:rsid w:val="00B914E9"/>
    <w:rsid w:val="00B92C0C"/>
    <w:rsid w:val="00B92F9E"/>
    <w:rsid w:val="00B94143"/>
    <w:rsid w:val="00B942CD"/>
    <w:rsid w:val="00B947F0"/>
    <w:rsid w:val="00B9511F"/>
    <w:rsid w:val="00B956EE"/>
    <w:rsid w:val="00B95AA6"/>
    <w:rsid w:val="00B97ADC"/>
    <w:rsid w:val="00BA036D"/>
    <w:rsid w:val="00BA2BA1"/>
    <w:rsid w:val="00BA2C49"/>
    <w:rsid w:val="00BA30AB"/>
    <w:rsid w:val="00BA3562"/>
    <w:rsid w:val="00BA3D10"/>
    <w:rsid w:val="00BA6B4D"/>
    <w:rsid w:val="00BA6B80"/>
    <w:rsid w:val="00BA6F55"/>
    <w:rsid w:val="00BB0070"/>
    <w:rsid w:val="00BB1DF6"/>
    <w:rsid w:val="00BB2989"/>
    <w:rsid w:val="00BB2996"/>
    <w:rsid w:val="00BB2AC6"/>
    <w:rsid w:val="00BB426F"/>
    <w:rsid w:val="00BB4F09"/>
    <w:rsid w:val="00BB65ED"/>
    <w:rsid w:val="00BB6C98"/>
    <w:rsid w:val="00BB780F"/>
    <w:rsid w:val="00BB7A7A"/>
    <w:rsid w:val="00BC2900"/>
    <w:rsid w:val="00BC30A6"/>
    <w:rsid w:val="00BC3FA4"/>
    <w:rsid w:val="00BC3FE6"/>
    <w:rsid w:val="00BC400B"/>
    <w:rsid w:val="00BC4394"/>
    <w:rsid w:val="00BC62F1"/>
    <w:rsid w:val="00BC701C"/>
    <w:rsid w:val="00BC7B61"/>
    <w:rsid w:val="00BD0114"/>
    <w:rsid w:val="00BD03E1"/>
    <w:rsid w:val="00BD14DD"/>
    <w:rsid w:val="00BD1666"/>
    <w:rsid w:val="00BD1F56"/>
    <w:rsid w:val="00BD27C2"/>
    <w:rsid w:val="00BD3512"/>
    <w:rsid w:val="00BD354E"/>
    <w:rsid w:val="00BD3A8B"/>
    <w:rsid w:val="00BD3E8E"/>
    <w:rsid w:val="00BD4E33"/>
    <w:rsid w:val="00BD5B24"/>
    <w:rsid w:val="00BE0088"/>
    <w:rsid w:val="00BE09A5"/>
    <w:rsid w:val="00BE26BB"/>
    <w:rsid w:val="00BE281D"/>
    <w:rsid w:val="00BE43E9"/>
    <w:rsid w:val="00BE4775"/>
    <w:rsid w:val="00BE5065"/>
    <w:rsid w:val="00BE5565"/>
    <w:rsid w:val="00BE5BD7"/>
    <w:rsid w:val="00BE76EB"/>
    <w:rsid w:val="00BF0285"/>
    <w:rsid w:val="00BF2453"/>
    <w:rsid w:val="00BF3D0C"/>
    <w:rsid w:val="00BF4350"/>
    <w:rsid w:val="00BF5F60"/>
    <w:rsid w:val="00BF6E3D"/>
    <w:rsid w:val="00C0050B"/>
    <w:rsid w:val="00C01366"/>
    <w:rsid w:val="00C02AD3"/>
    <w:rsid w:val="00C030DE"/>
    <w:rsid w:val="00C05326"/>
    <w:rsid w:val="00C05654"/>
    <w:rsid w:val="00C05DA1"/>
    <w:rsid w:val="00C0676C"/>
    <w:rsid w:val="00C07114"/>
    <w:rsid w:val="00C07EB3"/>
    <w:rsid w:val="00C11B13"/>
    <w:rsid w:val="00C126B1"/>
    <w:rsid w:val="00C13045"/>
    <w:rsid w:val="00C13389"/>
    <w:rsid w:val="00C1440D"/>
    <w:rsid w:val="00C14E78"/>
    <w:rsid w:val="00C161DF"/>
    <w:rsid w:val="00C1654D"/>
    <w:rsid w:val="00C21252"/>
    <w:rsid w:val="00C21691"/>
    <w:rsid w:val="00C22105"/>
    <w:rsid w:val="00C22B9A"/>
    <w:rsid w:val="00C23993"/>
    <w:rsid w:val="00C2413C"/>
    <w:rsid w:val="00C244B6"/>
    <w:rsid w:val="00C24C3F"/>
    <w:rsid w:val="00C27963"/>
    <w:rsid w:val="00C3006A"/>
    <w:rsid w:val="00C30CCF"/>
    <w:rsid w:val="00C323D2"/>
    <w:rsid w:val="00C355B6"/>
    <w:rsid w:val="00C3702F"/>
    <w:rsid w:val="00C41A10"/>
    <w:rsid w:val="00C426FA"/>
    <w:rsid w:val="00C42999"/>
    <w:rsid w:val="00C42FE4"/>
    <w:rsid w:val="00C430E3"/>
    <w:rsid w:val="00C4316D"/>
    <w:rsid w:val="00C4500A"/>
    <w:rsid w:val="00C45DC4"/>
    <w:rsid w:val="00C50E45"/>
    <w:rsid w:val="00C5110E"/>
    <w:rsid w:val="00C53AAE"/>
    <w:rsid w:val="00C552A9"/>
    <w:rsid w:val="00C55CC2"/>
    <w:rsid w:val="00C5671C"/>
    <w:rsid w:val="00C60FAD"/>
    <w:rsid w:val="00C61B6E"/>
    <w:rsid w:val="00C64A37"/>
    <w:rsid w:val="00C65124"/>
    <w:rsid w:val="00C6736F"/>
    <w:rsid w:val="00C70F26"/>
    <w:rsid w:val="00C7158E"/>
    <w:rsid w:val="00C7250B"/>
    <w:rsid w:val="00C72984"/>
    <w:rsid w:val="00C72DDF"/>
    <w:rsid w:val="00C7346B"/>
    <w:rsid w:val="00C76A37"/>
    <w:rsid w:val="00C76E14"/>
    <w:rsid w:val="00C77C0E"/>
    <w:rsid w:val="00C80003"/>
    <w:rsid w:val="00C80D78"/>
    <w:rsid w:val="00C8572F"/>
    <w:rsid w:val="00C85934"/>
    <w:rsid w:val="00C91048"/>
    <w:rsid w:val="00C91687"/>
    <w:rsid w:val="00C916A8"/>
    <w:rsid w:val="00C91736"/>
    <w:rsid w:val="00C92398"/>
    <w:rsid w:val="00C924A8"/>
    <w:rsid w:val="00C945FE"/>
    <w:rsid w:val="00C94AC3"/>
    <w:rsid w:val="00C9696B"/>
    <w:rsid w:val="00C96B98"/>
    <w:rsid w:val="00C96FAA"/>
    <w:rsid w:val="00C97670"/>
    <w:rsid w:val="00C97680"/>
    <w:rsid w:val="00C97A04"/>
    <w:rsid w:val="00C97A54"/>
    <w:rsid w:val="00C97B14"/>
    <w:rsid w:val="00CA107B"/>
    <w:rsid w:val="00CA1323"/>
    <w:rsid w:val="00CA1513"/>
    <w:rsid w:val="00CA1EA1"/>
    <w:rsid w:val="00CA27D5"/>
    <w:rsid w:val="00CA2CC0"/>
    <w:rsid w:val="00CA2D5C"/>
    <w:rsid w:val="00CA2DC4"/>
    <w:rsid w:val="00CA3D1A"/>
    <w:rsid w:val="00CA438E"/>
    <w:rsid w:val="00CA484D"/>
    <w:rsid w:val="00CA4FB6"/>
    <w:rsid w:val="00CA78CE"/>
    <w:rsid w:val="00CB0AB0"/>
    <w:rsid w:val="00CB0D13"/>
    <w:rsid w:val="00CB0EA3"/>
    <w:rsid w:val="00CB1166"/>
    <w:rsid w:val="00CB3139"/>
    <w:rsid w:val="00CB31B6"/>
    <w:rsid w:val="00CB3462"/>
    <w:rsid w:val="00CB3EDE"/>
    <w:rsid w:val="00CC0A73"/>
    <w:rsid w:val="00CC1B57"/>
    <w:rsid w:val="00CC1C44"/>
    <w:rsid w:val="00CC2E02"/>
    <w:rsid w:val="00CC4C7E"/>
    <w:rsid w:val="00CC5B09"/>
    <w:rsid w:val="00CC60CB"/>
    <w:rsid w:val="00CC739E"/>
    <w:rsid w:val="00CD1AD0"/>
    <w:rsid w:val="00CD1B06"/>
    <w:rsid w:val="00CD36BB"/>
    <w:rsid w:val="00CD40C1"/>
    <w:rsid w:val="00CD46CC"/>
    <w:rsid w:val="00CD49E4"/>
    <w:rsid w:val="00CD50B0"/>
    <w:rsid w:val="00CD579C"/>
    <w:rsid w:val="00CD58B7"/>
    <w:rsid w:val="00CD5A17"/>
    <w:rsid w:val="00CD63AF"/>
    <w:rsid w:val="00CD6FC2"/>
    <w:rsid w:val="00CD7CBE"/>
    <w:rsid w:val="00CE19E2"/>
    <w:rsid w:val="00CE2515"/>
    <w:rsid w:val="00CE48A5"/>
    <w:rsid w:val="00CE49B9"/>
    <w:rsid w:val="00CE4F79"/>
    <w:rsid w:val="00CF225E"/>
    <w:rsid w:val="00CF2C5D"/>
    <w:rsid w:val="00CF4099"/>
    <w:rsid w:val="00CF5F62"/>
    <w:rsid w:val="00CF79E7"/>
    <w:rsid w:val="00CF7AE7"/>
    <w:rsid w:val="00D005AF"/>
    <w:rsid w:val="00D00796"/>
    <w:rsid w:val="00D02414"/>
    <w:rsid w:val="00D0260F"/>
    <w:rsid w:val="00D03B83"/>
    <w:rsid w:val="00D04621"/>
    <w:rsid w:val="00D0496E"/>
    <w:rsid w:val="00D04EBE"/>
    <w:rsid w:val="00D07D66"/>
    <w:rsid w:val="00D10074"/>
    <w:rsid w:val="00D10828"/>
    <w:rsid w:val="00D10ED4"/>
    <w:rsid w:val="00D11956"/>
    <w:rsid w:val="00D11A44"/>
    <w:rsid w:val="00D13E4E"/>
    <w:rsid w:val="00D207DA"/>
    <w:rsid w:val="00D20ACD"/>
    <w:rsid w:val="00D211B2"/>
    <w:rsid w:val="00D21F8B"/>
    <w:rsid w:val="00D23AD5"/>
    <w:rsid w:val="00D261A2"/>
    <w:rsid w:val="00D2676A"/>
    <w:rsid w:val="00D26AE6"/>
    <w:rsid w:val="00D308D3"/>
    <w:rsid w:val="00D32E6F"/>
    <w:rsid w:val="00D372D3"/>
    <w:rsid w:val="00D378CD"/>
    <w:rsid w:val="00D416FD"/>
    <w:rsid w:val="00D41D60"/>
    <w:rsid w:val="00D420A5"/>
    <w:rsid w:val="00D421EA"/>
    <w:rsid w:val="00D45820"/>
    <w:rsid w:val="00D50AFC"/>
    <w:rsid w:val="00D53E46"/>
    <w:rsid w:val="00D55305"/>
    <w:rsid w:val="00D616D2"/>
    <w:rsid w:val="00D62353"/>
    <w:rsid w:val="00D62C79"/>
    <w:rsid w:val="00D63B5F"/>
    <w:rsid w:val="00D6498D"/>
    <w:rsid w:val="00D64E4C"/>
    <w:rsid w:val="00D65AC3"/>
    <w:rsid w:val="00D66167"/>
    <w:rsid w:val="00D6678B"/>
    <w:rsid w:val="00D6759F"/>
    <w:rsid w:val="00D7064E"/>
    <w:rsid w:val="00D708BA"/>
    <w:rsid w:val="00D70EF7"/>
    <w:rsid w:val="00D71767"/>
    <w:rsid w:val="00D72FF9"/>
    <w:rsid w:val="00D73EF2"/>
    <w:rsid w:val="00D742AF"/>
    <w:rsid w:val="00D74406"/>
    <w:rsid w:val="00D747A6"/>
    <w:rsid w:val="00D74D8D"/>
    <w:rsid w:val="00D74F52"/>
    <w:rsid w:val="00D74FF6"/>
    <w:rsid w:val="00D759DB"/>
    <w:rsid w:val="00D76548"/>
    <w:rsid w:val="00D80DF7"/>
    <w:rsid w:val="00D8397C"/>
    <w:rsid w:val="00D84331"/>
    <w:rsid w:val="00D86597"/>
    <w:rsid w:val="00D86A1A"/>
    <w:rsid w:val="00D8763F"/>
    <w:rsid w:val="00D900C3"/>
    <w:rsid w:val="00D90A76"/>
    <w:rsid w:val="00D916DD"/>
    <w:rsid w:val="00D93098"/>
    <w:rsid w:val="00D93CC6"/>
    <w:rsid w:val="00D94786"/>
    <w:rsid w:val="00D94EED"/>
    <w:rsid w:val="00D94F67"/>
    <w:rsid w:val="00D96026"/>
    <w:rsid w:val="00D966BB"/>
    <w:rsid w:val="00D96B1F"/>
    <w:rsid w:val="00D9778C"/>
    <w:rsid w:val="00D97A50"/>
    <w:rsid w:val="00D97B5B"/>
    <w:rsid w:val="00D97E45"/>
    <w:rsid w:val="00DA0158"/>
    <w:rsid w:val="00DA01A1"/>
    <w:rsid w:val="00DA73C2"/>
    <w:rsid w:val="00DA7C1C"/>
    <w:rsid w:val="00DB08FA"/>
    <w:rsid w:val="00DB0AA3"/>
    <w:rsid w:val="00DB11C6"/>
    <w:rsid w:val="00DB147A"/>
    <w:rsid w:val="00DB1B7A"/>
    <w:rsid w:val="00DB1B98"/>
    <w:rsid w:val="00DB2846"/>
    <w:rsid w:val="00DB2D88"/>
    <w:rsid w:val="00DB31CD"/>
    <w:rsid w:val="00DB383A"/>
    <w:rsid w:val="00DB3F2C"/>
    <w:rsid w:val="00DB678A"/>
    <w:rsid w:val="00DB6D01"/>
    <w:rsid w:val="00DC169A"/>
    <w:rsid w:val="00DC25E5"/>
    <w:rsid w:val="00DC5D4F"/>
    <w:rsid w:val="00DC6708"/>
    <w:rsid w:val="00DC7E62"/>
    <w:rsid w:val="00DD1B62"/>
    <w:rsid w:val="00DD2B92"/>
    <w:rsid w:val="00DD2D66"/>
    <w:rsid w:val="00DD400B"/>
    <w:rsid w:val="00DD50B2"/>
    <w:rsid w:val="00DD599A"/>
    <w:rsid w:val="00DE0294"/>
    <w:rsid w:val="00DE2961"/>
    <w:rsid w:val="00DE4194"/>
    <w:rsid w:val="00DE45E1"/>
    <w:rsid w:val="00DE689A"/>
    <w:rsid w:val="00DE73F8"/>
    <w:rsid w:val="00DE74E8"/>
    <w:rsid w:val="00DF0476"/>
    <w:rsid w:val="00DF12CC"/>
    <w:rsid w:val="00DF16F1"/>
    <w:rsid w:val="00DF1D64"/>
    <w:rsid w:val="00DF3260"/>
    <w:rsid w:val="00DF5CE0"/>
    <w:rsid w:val="00DF6BD7"/>
    <w:rsid w:val="00DF6BF1"/>
    <w:rsid w:val="00E00094"/>
    <w:rsid w:val="00E000FC"/>
    <w:rsid w:val="00E00A12"/>
    <w:rsid w:val="00E01201"/>
    <w:rsid w:val="00E01436"/>
    <w:rsid w:val="00E03567"/>
    <w:rsid w:val="00E045BD"/>
    <w:rsid w:val="00E049C6"/>
    <w:rsid w:val="00E06B8C"/>
    <w:rsid w:val="00E070BD"/>
    <w:rsid w:val="00E0790D"/>
    <w:rsid w:val="00E10EE2"/>
    <w:rsid w:val="00E10F24"/>
    <w:rsid w:val="00E1190E"/>
    <w:rsid w:val="00E15D82"/>
    <w:rsid w:val="00E16807"/>
    <w:rsid w:val="00E16CAC"/>
    <w:rsid w:val="00E17B77"/>
    <w:rsid w:val="00E17FC1"/>
    <w:rsid w:val="00E20597"/>
    <w:rsid w:val="00E20D1F"/>
    <w:rsid w:val="00E20F7B"/>
    <w:rsid w:val="00E23337"/>
    <w:rsid w:val="00E238A2"/>
    <w:rsid w:val="00E259EA"/>
    <w:rsid w:val="00E26FB9"/>
    <w:rsid w:val="00E27F31"/>
    <w:rsid w:val="00E31A6A"/>
    <w:rsid w:val="00E32061"/>
    <w:rsid w:val="00E3221A"/>
    <w:rsid w:val="00E32C42"/>
    <w:rsid w:val="00E355B5"/>
    <w:rsid w:val="00E36281"/>
    <w:rsid w:val="00E362E0"/>
    <w:rsid w:val="00E3796A"/>
    <w:rsid w:val="00E37D26"/>
    <w:rsid w:val="00E40FBA"/>
    <w:rsid w:val="00E416E1"/>
    <w:rsid w:val="00E42FF9"/>
    <w:rsid w:val="00E438CB"/>
    <w:rsid w:val="00E4714C"/>
    <w:rsid w:val="00E50798"/>
    <w:rsid w:val="00E50E07"/>
    <w:rsid w:val="00E517C5"/>
    <w:rsid w:val="00E51AEB"/>
    <w:rsid w:val="00E51DE2"/>
    <w:rsid w:val="00E52018"/>
    <w:rsid w:val="00E522A7"/>
    <w:rsid w:val="00E526C7"/>
    <w:rsid w:val="00E5291B"/>
    <w:rsid w:val="00E5377B"/>
    <w:rsid w:val="00E53E16"/>
    <w:rsid w:val="00E53FF5"/>
    <w:rsid w:val="00E54452"/>
    <w:rsid w:val="00E562B8"/>
    <w:rsid w:val="00E61701"/>
    <w:rsid w:val="00E631BC"/>
    <w:rsid w:val="00E63C17"/>
    <w:rsid w:val="00E63FE5"/>
    <w:rsid w:val="00E64706"/>
    <w:rsid w:val="00E64AAF"/>
    <w:rsid w:val="00E664C5"/>
    <w:rsid w:val="00E66BF7"/>
    <w:rsid w:val="00E66E1B"/>
    <w:rsid w:val="00E671A2"/>
    <w:rsid w:val="00E6794C"/>
    <w:rsid w:val="00E707DE"/>
    <w:rsid w:val="00E7168D"/>
    <w:rsid w:val="00E71E3D"/>
    <w:rsid w:val="00E71E45"/>
    <w:rsid w:val="00E72312"/>
    <w:rsid w:val="00E73EE9"/>
    <w:rsid w:val="00E748C4"/>
    <w:rsid w:val="00E7539D"/>
    <w:rsid w:val="00E76D26"/>
    <w:rsid w:val="00E814EF"/>
    <w:rsid w:val="00E82F7C"/>
    <w:rsid w:val="00E84AD2"/>
    <w:rsid w:val="00E84C47"/>
    <w:rsid w:val="00E854D1"/>
    <w:rsid w:val="00E85DA2"/>
    <w:rsid w:val="00E86100"/>
    <w:rsid w:val="00E864E6"/>
    <w:rsid w:val="00E87AD4"/>
    <w:rsid w:val="00E903ED"/>
    <w:rsid w:val="00E9094D"/>
    <w:rsid w:val="00E9220D"/>
    <w:rsid w:val="00E92973"/>
    <w:rsid w:val="00E92C0F"/>
    <w:rsid w:val="00E94F8E"/>
    <w:rsid w:val="00EA21A9"/>
    <w:rsid w:val="00EA78F1"/>
    <w:rsid w:val="00EA7E93"/>
    <w:rsid w:val="00EA7F46"/>
    <w:rsid w:val="00EB1390"/>
    <w:rsid w:val="00EB1E1E"/>
    <w:rsid w:val="00EB2100"/>
    <w:rsid w:val="00EB25C1"/>
    <w:rsid w:val="00EB2900"/>
    <w:rsid w:val="00EB2C71"/>
    <w:rsid w:val="00EB3031"/>
    <w:rsid w:val="00EB3C57"/>
    <w:rsid w:val="00EB4340"/>
    <w:rsid w:val="00EB54E0"/>
    <w:rsid w:val="00EB556D"/>
    <w:rsid w:val="00EB5A7D"/>
    <w:rsid w:val="00EB614A"/>
    <w:rsid w:val="00EB6A0B"/>
    <w:rsid w:val="00EB6C74"/>
    <w:rsid w:val="00EB77CF"/>
    <w:rsid w:val="00EC0AC3"/>
    <w:rsid w:val="00EC0BA7"/>
    <w:rsid w:val="00EC2182"/>
    <w:rsid w:val="00EC21BF"/>
    <w:rsid w:val="00EC2382"/>
    <w:rsid w:val="00EC2474"/>
    <w:rsid w:val="00EC2B84"/>
    <w:rsid w:val="00EC36F0"/>
    <w:rsid w:val="00EC3B99"/>
    <w:rsid w:val="00EC3EB9"/>
    <w:rsid w:val="00EC4DA5"/>
    <w:rsid w:val="00EC5781"/>
    <w:rsid w:val="00EC6A27"/>
    <w:rsid w:val="00EC7D51"/>
    <w:rsid w:val="00ED18FD"/>
    <w:rsid w:val="00ED1BB0"/>
    <w:rsid w:val="00ED2A63"/>
    <w:rsid w:val="00ED51A0"/>
    <w:rsid w:val="00ED51DF"/>
    <w:rsid w:val="00ED55C0"/>
    <w:rsid w:val="00ED682B"/>
    <w:rsid w:val="00EE16D3"/>
    <w:rsid w:val="00EE1AC8"/>
    <w:rsid w:val="00EE36F8"/>
    <w:rsid w:val="00EE41D5"/>
    <w:rsid w:val="00EE4AE5"/>
    <w:rsid w:val="00EE5874"/>
    <w:rsid w:val="00EE59EA"/>
    <w:rsid w:val="00EE7EB1"/>
    <w:rsid w:val="00EF04BC"/>
    <w:rsid w:val="00EF11EF"/>
    <w:rsid w:val="00EF1B0C"/>
    <w:rsid w:val="00EF1C78"/>
    <w:rsid w:val="00EF1EEF"/>
    <w:rsid w:val="00EF2BC7"/>
    <w:rsid w:val="00EF2D09"/>
    <w:rsid w:val="00EF4761"/>
    <w:rsid w:val="00EF4E5C"/>
    <w:rsid w:val="00EF51EB"/>
    <w:rsid w:val="00EF53F1"/>
    <w:rsid w:val="00EF579F"/>
    <w:rsid w:val="00EF7A13"/>
    <w:rsid w:val="00EF7B1E"/>
    <w:rsid w:val="00F037A4"/>
    <w:rsid w:val="00F03BDD"/>
    <w:rsid w:val="00F04B9E"/>
    <w:rsid w:val="00F05070"/>
    <w:rsid w:val="00F05181"/>
    <w:rsid w:val="00F10BBB"/>
    <w:rsid w:val="00F1199B"/>
    <w:rsid w:val="00F1434E"/>
    <w:rsid w:val="00F16478"/>
    <w:rsid w:val="00F16784"/>
    <w:rsid w:val="00F176AB"/>
    <w:rsid w:val="00F178A1"/>
    <w:rsid w:val="00F20111"/>
    <w:rsid w:val="00F233AF"/>
    <w:rsid w:val="00F234A2"/>
    <w:rsid w:val="00F236EE"/>
    <w:rsid w:val="00F25FBF"/>
    <w:rsid w:val="00F264D7"/>
    <w:rsid w:val="00F27C8F"/>
    <w:rsid w:val="00F27FEE"/>
    <w:rsid w:val="00F31E89"/>
    <w:rsid w:val="00F32749"/>
    <w:rsid w:val="00F32D49"/>
    <w:rsid w:val="00F341BF"/>
    <w:rsid w:val="00F343F7"/>
    <w:rsid w:val="00F3604F"/>
    <w:rsid w:val="00F37172"/>
    <w:rsid w:val="00F37E16"/>
    <w:rsid w:val="00F4226B"/>
    <w:rsid w:val="00F43E5C"/>
    <w:rsid w:val="00F4477E"/>
    <w:rsid w:val="00F45A1E"/>
    <w:rsid w:val="00F46339"/>
    <w:rsid w:val="00F50C6E"/>
    <w:rsid w:val="00F51EA1"/>
    <w:rsid w:val="00F575EC"/>
    <w:rsid w:val="00F629DA"/>
    <w:rsid w:val="00F62BC1"/>
    <w:rsid w:val="00F635A8"/>
    <w:rsid w:val="00F64364"/>
    <w:rsid w:val="00F644A1"/>
    <w:rsid w:val="00F645ED"/>
    <w:rsid w:val="00F67474"/>
    <w:rsid w:val="00F67D8F"/>
    <w:rsid w:val="00F71055"/>
    <w:rsid w:val="00F72C1D"/>
    <w:rsid w:val="00F74691"/>
    <w:rsid w:val="00F75745"/>
    <w:rsid w:val="00F76027"/>
    <w:rsid w:val="00F76357"/>
    <w:rsid w:val="00F802BE"/>
    <w:rsid w:val="00F806A8"/>
    <w:rsid w:val="00F80E19"/>
    <w:rsid w:val="00F80E93"/>
    <w:rsid w:val="00F8119F"/>
    <w:rsid w:val="00F820C3"/>
    <w:rsid w:val="00F82943"/>
    <w:rsid w:val="00F82FB6"/>
    <w:rsid w:val="00F84063"/>
    <w:rsid w:val="00F86024"/>
    <w:rsid w:val="00F8611A"/>
    <w:rsid w:val="00F879E2"/>
    <w:rsid w:val="00F90B4F"/>
    <w:rsid w:val="00F944C9"/>
    <w:rsid w:val="00F94E26"/>
    <w:rsid w:val="00F95F1B"/>
    <w:rsid w:val="00FA34A0"/>
    <w:rsid w:val="00FA3744"/>
    <w:rsid w:val="00FA3FAE"/>
    <w:rsid w:val="00FA4A87"/>
    <w:rsid w:val="00FA4EBE"/>
    <w:rsid w:val="00FA5128"/>
    <w:rsid w:val="00FA5167"/>
    <w:rsid w:val="00FA7CAE"/>
    <w:rsid w:val="00FB04E5"/>
    <w:rsid w:val="00FB0CE4"/>
    <w:rsid w:val="00FB294F"/>
    <w:rsid w:val="00FB2D78"/>
    <w:rsid w:val="00FB3BFD"/>
    <w:rsid w:val="00FB4036"/>
    <w:rsid w:val="00FB42D4"/>
    <w:rsid w:val="00FB4516"/>
    <w:rsid w:val="00FB534A"/>
    <w:rsid w:val="00FB5906"/>
    <w:rsid w:val="00FB5BE1"/>
    <w:rsid w:val="00FB762F"/>
    <w:rsid w:val="00FC0395"/>
    <w:rsid w:val="00FC1EF7"/>
    <w:rsid w:val="00FC2023"/>
    <w:rsid w:val="00FC2175"/>
    <w:rsid w:val="00FC2AED"/>
    <w:rsid w:val="00FC3D1F"/>
    <w:rsid w:val="00FC4F38"/>
    <w:rsid w:val="00FC517E"/>
    <w:rsid w:val="00FC5592"/>
    <w:rsid w:val="00FC5C95"/>
    <w:rsid w:val="00FC7913"/>
    <w:rsid w:val="00FD325A"/>
    <w:rsid w:val="00FD3B8F"/>
    <w:rsid w:val="00FD3FB4"/>
    <w:rsid w:val="00FD4980"/>
    <w:rsid w:val="00FD5B33"/>
    <w:rsid w:val="00FD5EA7"/>
    <w:rsid w:val="00FD6604"/>
    <w:rsid w:val="00FE1C7D"/>
    <w:rsid w:val="00FE1F76"/>
    <w:rsid w:val="00FE36D5"/>
    <w:rsid w:val="00FE3C70"/>
    <w:rsid w:val="00FE4D2F"/>
    <w:rsid w:val="00FE6530"/>
    <w:rsid w:val="00FF1140"/>
    <w:rsid w:val="00FF3E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2D46F"/>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unhideWhenUsed/>
    <w:qFormat/>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basedOn w:val="Domylnaczcionkaakapitu"/>
    <w:uiPriority w:val="99"/>
    <w:semiHidden/>
    <w:unhideWhenUsed/>
    <w:rsid w:val="00746AE8"/>
    <w:rPr>
      <w:color w:val="954F72" w:themeColor="followedHyperlink"/>
      <w:u w:val="single"/>
    </w:rPr>
  </w:style>
  <w:style w:type="paragraph" w:styleId="Poprawka">
    <w:name w:val="Revision"/>
    <w:hidden/>
    <w:uiPriority w:val="99"/>
    <w:semiHidden/>
    <w:rsid w:val="000C20F0"/>
    <w:pPr>
      <w:spacing w:after="0" w:line="240" w:lineRule="auto"/>
    </w:pPr>
    <w:rPr>
      <w:rFonts w:ascii="Fira Sans" w:hAnsi="Fira Sans"/>
      <w:sz w:val="19"/>
    </w:rPr>
  </w:style>
  <w:style w:type="paragraph" w:customStyle="1" w:styleId="Ikonawskanika">
    <w:name w:val="Ikona wskaźnika"/>
    <w:basedOn w:val="Normalny"/>
    <w:link w:val="IkonawskanikaZnak"/>
    <w:qFormat/>
    <w:rsid w:val="007D3F2D"/>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IkonawskanikaZnak">
    <w:name w:val="Ikona wskaźnika Znak"/>
    <w:basedOn w:val="Domylnaczcionkaakapitu"/>
    <w:link w:val="Ikonawskanika"/>
    <w:rsid w:val="007D3F2D"/>
    <w:rPr>
      <w:rFonts w:ascii="Fira Sans SemiBold" w:hAnsi="Fira Sans SemiBold"/>
      <w:color w:val="66AFDE"/>
      <w:sz w:val="60"/>
      <w:szCs w:val="60"/>
    </w:rPr>
  </w:style>
  <w:style w:type="character" w:customStyle="1" w:styleId="Nierozpoznanawzmianka1">
    <w:name w:val="Nierozpoznana wzmianka1"/>
    <w:basedOn w:val="Domylnaczcionkaakapitu"/>
    <w:uiPriority w:val="99"/>
    <w:semiHidden/>
    <w:unhideWhenUsed/>
    <w:rsid w:val="00002855"/>
    <w:rPr>
      <w:color w:val="605E5C"/>
      <w:shd w:val="clear" w:color="auto" w:fill="E1DFDD"/>
    </w:rPr>
  </w:style>
  <w:style w:type="paragraph" w:styleId="Tekstprzypisukocowego">
    <w:name w:val="endnote text"/>
    <w:basedOn w:val="Normalny"/>
    <w:link w:val="TekstprzypisukocowegoZnak"/>
    <w:uiPriority w:val="99"/>
    <w:semiHidden/>
    <w:unhideWhenUsed/>
    <w:rsid w:val="007571F6"/>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571F6"/>
    <w:rPr>
      <w:rFonts w:ascii="Fira Sans" w:hAnsi="Fira Sans"/>
      <w:sz w:val="20"/>
      <w:szCs w:val="20"/>
    </w:rPr>
  </w:style>
  <w:style w:type="character" w:styleId="Odwoanieprzypisukocowego">
    <w:name w:val="endnote reference"/>
    <w:basedOn w:val="Domylnaczcionkaakapitu"/>
    <w:uiPriority w:val="99"/>
    <w:semiHidden/>
    <w:unhideWhenUsed/>
    <w:rsid w:val="007571F6"/>
    <w:rPr>
      <w:vertAlign w:val="superscript"/>
    </w:rPr>
  </w:style>
  <w:style w:type="character" w:styleId="Odwoaniedokomentarza">
    <w:name w:val="annotation reference"/>
    <w:basedOn w:val="Domylnaczcionkaakapitu"/>
    <w:uiPriority w:val="99"/>
    <w:semiHidden/>
    <w:unhideWhenUsed/>
    <w:rsid w:val="00B24778"/>
    <w:rPr>
      <w:sz w:val="16"/>
      <w:szCs w:val="16"/>
    </w:rPr>
  </w:style>
  <w:style w:type="paragraph" w:styleId="Tekstkomentarza">
    <w:name w:val="annotation text"/>
    <w:basedOn w:val="Normalny"/>
    <w:link w:val="TekstkomentarzaZnak"/>
    <w:uiPriority w:val="99"/>
    <w:unhideWhenUsed/>
    <w:rsid w:val="00B24778"/>
    <w:pPr>
      <w:spacing w:line="240" w:lineRule="auto"/>
    </w:pPr>
    <w:rPr>
      <w:sz w:val="20"/>
      <w:szCs w:val="20"/>
    </w:rPr>
  </w:style>
  <w:style w:type="character" w:customStyle="1" w:styleId="TekstkomentarzaZnak">
    <w:name w:val="Tekst komentarza Znak"/>
    <w:basedOn w:val="Domylnaczcionkaakapitu"/>
    <w:link w:val="Tekstkomentarza"/>
    <w:uiPriority w:val="99"/>
    <w:rsid w:val="00B24778"/>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B24778"/>
    <w:rPr>
      <w:b/>
      <w:bCs/>
    </w:rPr>
  </w:style>
  <w:style w:type="character" w:customStyle="1" w:styleId="TematkomentarzaZnak">
    <w:name w:val="Temat komentarza Znak"/>
    <w:basedOn w:val="TekstkomentarzaZnak"/>
    <w:link w:val="Tematkomentarza"/>
    <w:uiPriority w:val="99"/>
    <w:semiHidden/>
    <w:rsid w:val="00B24778"/>
    <w:rPr>
      <w:rFonts w:ascii="Fira Sans" w:hAnsi="Fira Sans"/>
      <w:b/>
      <w:bCs/>
      <w:sz w:val="20"/>
      <w:szCs w:val="20"/>
    </w:rPr>
  </w:style>
  <w:style w:type="table" w:customStyle="1" w:styleId="Tabela-Siatka1">
    <w:name w:val="Tabela - Siatka1"/>
    <w:basedOn w:val="Standardowy"/>
    <w:next w:val="Tabela-Siatka"/>
    <w:uiPriority w:val="39"/>
    <w:rsid w:val="00966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utablicy">
    <w:name w:val="Tytuł tablicy"/>
    <w:basedOn w:val="Nagwek1"/>
    <w:link w:val="TytutablicyZnak"/>
    <w:qFormat/>
    <w:rsid w:val="004A60E1"/>
    <w:pPr>
      <w:spacing w:before="360"/>
    </w:pPr>
    <w:rPr>
      <w:rFonts w:ascii="Fira Sans" w:hAnsi="Fira Sans"/>
      <w:b/>
      <w:color w:val="000000" w:themeColor="text1"/>
      <w:szCs w:val="19"/>
    </w:rPr>
  </w:style>
  <w:style w:type="character" w:customStyle="1" w:styleId="TytutablicyZnak">
    <w:name w:val="Tytuł tablicy Znak"/>
    <w:basedOn w:val="Nagwek1Znak"/>
    <w:link w:val="Tytutablicy"/>
    <w:rsid w:val="004A60E1"/>
    <w:rPr>
      <w:rFonts w:ascii="Fira Sans" w:eastAsia="Times New Roman" w:hAnsi="Fira Sans" w:cs="Times New Roman"/>
      <w:b/>
      <w:bCs/>
      <w:color w:val="000000" w:themeColor="text1"/>
      <w:sz w:val="19"/>
      <w:szCs w:val="19"/>
      <w:lang w:eastAsia="pl-PL"/>
    </w:rPr>
  </w:style>
  <w:style w:type="character" w:customStyle="1" w:styleId="Nierozpoznanawzmianka2">
    <w:name w:val="Nierozpoznana wzmianka2"/>
    <w:basedOn w:val="Domylnaczcionkaakapitu"/>
    <w:uiPriority w:val="99"/>
    <w:semiHidden/>
    <w:unhideWhenUsed/>
    <w:rsid w:val="0010116C"/>
    <w:rPr>
      <w:color w:val="605E5C"/>
      <w:shd w:val="clear" w:color="auto" w:fill="E1DFDD"/>
    </w:rPr>
  </w:style>
  <w:style w:type="character" w:customStyle="1" w:styleId="vkekvd">
    <w:name w:val="vkekvd"/>
    <w:basedOn w:val="Domylnaczcionkaakapitu"/>
    <w:rsid w:val="009220AB"/>
  </w:style>
  <w:style w:type="paragraph" w:styleId="NormalnyWeb">
    <w:name w:val="Normal (Web)"/>
    <w:basedOn w:val="Normalny"/>
    <w:uiPriority w:val="99"/>
    <w:semiHidden/>
    <w:unhideWhenUsed/>
    <w:rsid w:val="00375056"/>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customStyle="1" w:styleId="t286pc">
    <w:name w:val="t286pc"/>
    <w:basedOn w:val="Domylnaczcionkaakapitu"/>
    <w:rsid w:val="006A3C81"/>
  </w:style>
  <w:style w:type="character" w:customStyle="1" w:styleId="AkapitzlistZnak">
    <w:name w:val="Akapit z listą Znak"/>
    <w:basedOn w:val="Domylnaczcionkaakapitu"/>
    <w:link w:val="Akapitzlist"/>
    <w:uiPriority w:val="34"/>
    <w:rsid w:val="00657F7C"/>
    <w:rPr>
      <w:rFonts w:ascii="Fira Sans" w:hAnsi="Fira Sans"/>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45032">
      <w:bodyDiv w:val="1"/>
      <w:marLeft w:val="0"/>
      <w:marRight w:val="0"/>
      <w:marTop w:val="0"/>
      <w:marBottom w:val="0"/>
      <w:divBdr>
        <w:top w:val="none" w:sz="0" w:space="0" w:color="auto"/>
        <w:left w:val="none" w:sz="0" w:space="0" w:color="auto"/>
        <w:bottom w:val="none" w:sz="0" w:space="0" w:color="auto"/>
        <w:right w:val="none" w:sz="0" w:space="0" w:color="auto"/>
      </w:divBdr>
    </w:div>
    <w:div w:id="196815166">
      <w:bodyDiv w:val="1"/>
      <w:marLeft w:val="0"/>
      <w:marRight w:val="0"/>
      <w:marTop w:val="0"/>
      <w:marBottom w:val="0"/>
      <w:divBdr>
        <w:top w:val="none" w:sz="0" w:space="0" w:color="auto"/>
        <w:left w:val="none" w:sz="0" w:space="0" w:color="auto"/>
        <w:bottom w:val="none" w:sz="0" w:space="0" w:color="auto"/>
        <w:right w:val="none" w:sz="0" w:space="0" w:color="auto"/>
      </w:divBdr>
    </w:div>
    <w:div w:id="244850499">
      <w:bodyDiv w:val="1"/>
      <w:marLeft w:val="0"/>
      <w:marRight w:val="0"/>
      <w:marTop w:val="0"/>
      <w:marBottom w:val="0"/>
      <w:divBdr>
        <w:top w:val="none" w:sz="0" w:space="0" w:color="auto"/>
        <w:left w:val="none" w:sz="0" w:space="0" w:color="auto"/>
        <w:bottom w:val="none" w:sz="0" w:space="0" w:color="auto"/>
        <w:right w:val="none" w:sz="0" w:space="0" w:color="auto"/>
      </w:divBdr>
    </w:div>
    <w:div w:id="25009033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0922248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567617700">
      <w:bodyDiv w:val="1"/>
      <w:marLeft w:val="0"/>
      <w:marRight w:val="0"/>
      <w:marTop w:val="0"/>
      <w:marBottom w:val="0"/>
      <w:divBdr>
        <w:top w:val="none" w:sz="0" w:space="0" w:color="auto"/>
        <w:left w:val="none" w:sz="0" w:space="0" w:color="auto"/>
        <w:bottom w:val="none" w:sz="0" w:space="0" w:color="auto"/>
        <w:right w:val="none" w:sz="0" w:space="0" w:color="auto"/>
      </w:divBdr>
    </w:div>
    <w:div w:id="641544207">
      <w:bodyDiv w:val="1"/>
      <w:marLeft w:val="0"/>
      <w:marRight w:val="0"/>
      <w:marTop w:val="0"/>
      <w:marBottom w:val="0"/>
      <w:divBdr>
        <w:top w:val="none" w:sz="0" w:space="0" w:color="auto"/>
        <w:left w:val="none" w:sz="0" w:space="0" w:color="auto"/>
        <w:bottom w:val="none" w:sz="0" w:space="0" w:color="auto"/>
        <w:right w:val="none" w:sz="0" w:space="0" w:color="auto"/>
      </w:divBdr>
    </w:div>
    <w:div w:id="644242700">
      <w:bodyDiv w:val="1"/>
      <w:marLeft w:val="0"/>
      <w:marRight w:val="0"/>
      <w:marTop w:val="0"/>
      <w:marBottom w:val="0"/>
      <w:divBdr>
        <w:top w:val="none" w:sz="0" w:space="0" w:color="auto"/>
        <w:left w:val="none" w:sz="0" w:space="0" w:color="auto"/>
        <w:bottom w:val="none" w:sz="0" w:space="0" w:color="auto"/>
        <w:right w:val="none" w:sz="0" w:space="0" w:color="auto"/>
      </w:divBdr>
    </w:div>
    <w:div w:id="709493422">
      <w:bodyDiv w:val="1"/>
      <w:marLeft w:val="0"/>
      <w:marRight w:val="0"/>
      <w:marTop w:val="0"/>
      <w:marBottom w:val="0"/>
      <w:divBdr>
        <w:top w:val="none" w:sz="0" w:space="0" w:color="auto"/>
        <w:left w:val="none" w:sz="0" w:space="0" w:color="auto"/>
        <w:bottom w:val="none" w:sz="0" w:space="0" w:color="auto"/>
        <w:right w:val="none" w:sz="0" w:space="0" w:color="auto"/>
      </w:divBdr>
      <w:divsChild>
        <w:div w:id="1456288816">
          <w:marLeft w:val="0"/>
          <w:marRight w:val="0"/>
          <w:marTop w:val="0"/>
          <w:marBottom w:val="0"/>
          <w:divBdr>
            <w:top w:val="none" w:sz="0" w:space="0" w:color="auto"/>
            <w:left w:val="none" w:sz="0" w:space="0" w:color="auto"/>
            <w:bottom w:val="none" w:sz="0" w:space="0" w:color="auto"/>
            <w:right w:val="none" w:sz="0" w:space="0" w:color="auto"/>
          </w:divBdr>
        </w:div>
        <w:div w:id="677149365">
          <w:marLeft w:val="0"/>
          <w:marRight w:val="0"/>
          <w:marTop w:val="0"/>
          <w:marBottom w:val="0"/>
          <w:divBdr>
            <w:top w:val="none" w:sz="0" w:space="0" w:color="auto"/>
            <w:left w:val="none" w:sz="0" w:space="0" w:color="auto"/>
            <w:bottom w:val="none" w:sz="0" w:space="0" w:color="auto"/>
            <w:right w:val="none" w:sz="0" w:space="0" w:color="auto"/>
          </w:divBdr>
        </w:div>
      </w:divsChild>
    </w:div>
    <w:div w:id="713844727">
      <w:bodyDiv w:val="1"/>
      <w:marLeft w:val="0"/>
      <w:marRight w:val="0"/>
      <w:marTop w:val="0"/>
      <w:marBottom w:val="0"/>
      <w:divBdr>
        <w:top w:val="none" w:sz="0" w:space="0" w:color="auto"/>
        <w:left w:val="none" w:sz="0" w:space="0" w:color="auto"/>
        <w:bottom w:val="none" w:sz="0" w:space="0" w:color="auto"/>
        <w:right w:val="none" w:sz="0" w:space="0" w:color="auto"/>
      </w:divBdr>
      <w:divsChild>
        <w:div w:id="1307395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20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477237">
      <w:bodyDiv w:val="1"/>
      <w:marLeft w:val="0"/>
      <w:marRight w:val="0"/>
      <w:marTop w:val="0"/>
      <w:marBottom w:val="0"/>
      <w:divBdr>
        <w:top w:val="none" w:sz="0" w:space="0" w:color="auto"/>
        <w:left w:val="none" w:sz="0" w:space="0" w:color="auto"/>
        <w:bottom w:val="none" w:sz="0" w:space="0" w:color="auto"/>
        <w:right w:val="none" w:sz="0" w:space="0" w:color="auto"/>
      </w:divBdr>
    </w:div>
    <w:div w:id="806699147">
      <w:bodyDiv w:val="1"/>
      <w:marLeft w:val="0"/>
      <w:marRight w:val="0"/>
      <w:marTop w:val="0"/>
      <w:marBottom w:val="0"/>
      <w:divBdr>
        <w:top w:val="none" w:sz="0" w:space="0" w:color="auto"/>
        <w:left w:val="none" w:sz="0" w:space="0" w:color="auto"/>
        <w:bottom w:val="none" w:sz="0" w:space="0" w:color="auto"/>
        <w:right w:val="none" w:sz="0" w:space="0" w:color="auto"/>
      </w:divBdr>
    </w:div>
    <w:div w:id="847714755">
      <w:bodyDiv w:val="1"/>
      <w:marLeft w:val="0"/>
      <w:marRight w:val="0"/>
      <w:marTop w:val="0"/>
      <w:marBottom w:val="0"/>
      <w:divBdr>
        <w:top w:val="none" w:sz="0" w:space="0" w:color="auto"/>
        <w:left w:val="none" w:sz="0" w:space="0" w:color="auto"/>
        <w:bottom w:val="none" w:sz="0" w:space="0" w:color="auto"/>
        <w:right w:val="none" w:sz="0" w:space="0" w:color="auto"/>
      </w:divBdr>
    </w:div>
    <w:div w:id="921987641">
      <w:bodyDiv w:val="1"/>
      <w:marLeft w:val="0"/>
      <w:marRight w:val="0"/>
      <w:marTop w:val="0"/>
      <w:marBottom w:val="0"/>
      <w:divBdr>
        <w:top w:val="none" w:sz="0" w:space="0" w:color="auto"/>
        <w:left w:val="none" w:sz="0" w:space="0" w:color="auto"/>
        <w:bottom w:val="none" w:sz="0" w:space="0" w:color="auto"/>
        <w:right w:val="none" w:sz="0" w:space="0" w:color="auto"/>
      </w:divBdr>
    </w:div>
    <w:div w:id="1122268676">
      <w:bodyDiv w:val="1"/>
      <w:marLeft w:val="0"/>
      <w:marRight w:val="0"/>
      <w:marTop w:val="0"/>
      <w:marBottom w:val="0"/>
      <w:divBdr>
        <w:top w:val="none" w:sz="0" w:space="0" w:color="auto"/>
        <w:left w:val="none" w:sz="0" w:space="0" w:color="auto"/>
        <w:bottom w:val="none" w:sz="0" w:space="0" w:color="auto"/>
        <w:right w:val="none" w:sz="0" w:space="0" w:color="auto"/>
      </w:divBdr>
    </w:div>
    <w:div w:id="1212644795">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83339877">
      <w:bodyDiv w:val="1"/>
      <w:marLeft w:val="0"/>
      <w:marRight w:val="0"/>
      <w:marTop w:val="0"/>
      <w:marBottom w:val="0"/>
      <w:divBdr>
        <w:top w:val="none" w:sz="0" w:space="0" w:color="auto"/>
        <w:left w:val="none" w:sz="0" w:space="0" w:color="auto"/>
        <w:bottom w:val="none" w:sz="0" w:space="0" w:color="auto"/>
        <w:right w:val="none" w:sz="0" w:space="0" w:color="auto"/>
      </w:divBdr>
    </w:div>
    <w:div w:id="1344160482">
      <w:bodyDiv w:val="1"/>
      <w:marLeft w:val="0"/>
      <w:marRight w:val="0"/>
      <w:marTop w:val="0"/>
      <w:marBottom w:val="0"/>
      <w:divBdr>
        <w:top w:val="none" w:sz="0" w:space="0" w:color="auto"/>
        <w:left w:val="none" w:sz="0" w:space="0" w:color="auto"/>
        <w:bottom w:val="none" w:sz="0" w:space="0" w:color="auto"/>
        <w:right w:val="none" w:sz="0" w:space="0" w:color="auto"/>
      </w:divBdr>
      <w:divsChild>
        <w:div w:id="1471435137">
          <w:marLeft w:val="0"/>
          <w:marRight w:val="0"/>
          <w:marTop w:val="0"/>
          <w:marBottom w:val="0"/>
          <w:divBdr>
            <w:top w:val="none" w:sz="0" w:space="0" w:color="auto"/>
            <w:left w:val="none" w:sz="0" w:space="0" w:color="auto"/>
            <w:bottom w:val="none" w:sz="0" w:space="0" w:color="auto"/>
            <w:right w:val="none" w:sz="0" w:space="0" w:color="auto"/>
          </w:divBdr>
        </w:div>
      </w:divsChild>
    </w:div>
    <w:div w:id="1345863075">
      <w:bodyDiv w:val="1"/>
      <w:marLeft w:val="0"/>
      <w:marRight w:val="0"/>
      <w:marTop w:val="0"/>
      <w:marBottom w:val="0"/>
      <w:divBdr>
        <w:top w:val="none" w:sz="0" w:space="0" w:color="auto"/>
        <w:left w:val="none" w:sz="0" w:space="0" w:color="auto"/>
        <w:bottom w:val="none" w:sz="0" w:space="0" w:color="auto"/>
        <w:right w:val="none" w:sz="0" w:space="0" w:color="auto"/>
      </w:divBdr>
    </w:div>
    <w:div w:id="1352336894">
      <w:bodyDiv w:val="1"/>
      <w:marLeft w:val="0"/>
      <w:marRight w:val="0"/>
      <w:marTop w:val="0"/>
      <w:marBottom w:val="0"/>
      <w:divBdr>
        <w:top w:val="none" w:sz="0" w:space="0" w:color="auto"/>
        <w:left w:val="none" w:sz="0" w:space="0" w:color="auto"/>
        <w:bottom w:val="none" w:sz="0" w:space="0" w:color="auto"/>
        <w:right w:val="none" w:sz="0" w:space="0" w:color="auto"/>
      </w:divBdr>
    </w:div>
    <w:div w:id="1498111519">
      <w:bodyDiv w:val="1"/>
      <w:marLeft w:val="0"/>
      <w:marRight w:val="0"/>
      <w:marTop w:val="0"/>
      <w:marBottom w:val="0"/>
      <w:divBdr>
        <w:top w:val="none" w:sz="0" w:space="0" w:color="auto"/>
        <w:left w:val="none" w:sz="0" w:space="0" w:color="auto"/>
        <w:bottom w:val="none" w:sz="0" w:space="0" w:color="auto"/>
        <w:right w:val="none" w:sz="0" w:space="0" w:color="auto"/>
      </w:divBdr>
    </w:div>
    <w:div w:id="1507598350">
      <w:bodyDiv w:val="1"/>
      <w:marLeft w:val="0"/>
      <w:marRight w:val="0"/>
      <w:marTop w:val="0"/>
      <w:marBottom w:val="0"/>
      <w:divBdr>
        <w:top w:val="none" w:sz="0" w:space="0" w:color="auto"/>
        <w:left w:val="none" w:sz="0" w:space="0" w:color="auto"/>
        <w:bottom w:val="none" w:sz="0" w:space="0" w:color="auto"/>
        <w:right w:val="none" w:sz="0" w:space="0" w:color="auto"/>
      </w:divBdr>
    </w:div>
    <w:div w:id="1538422703">
      <w:bodyDiv w:val="1"/>
      <w:marLeft w:val="0"/>
      <w:marRight w:val="0"/>
      <w:marTop w:val="0"/>
      <w:marBottom w:val="0"/>
      <w:divBdr>
        <w:top w:val="none" w:sz="0" w:space="0" w:color="auto"/>
        <w:left w:val="none" w:sz="0" w:space="0" w:color="auto"/>
        <w:bottom w:val="none" w:sz="0" w:space="0" w:color="auto"/>
        <w:right w:val="none" w:sz="0" w:space="0" w:color="auto"/>
      </w:divBdr>
    </w:div>
    <w:div w:id="1618246884">
      <w:bodyDiv w:val="1"/>
      <w:marLeft w:val="0"/>
      <w:marRight w:val="0"/>
      <w:marTop w:val="0"/>
      <w:marBottom w:val="0"/>
      <w:divBdr>
        <w:top w:val="none" w:sz="0" w:space="0" w:color="auto"/>
        <w:left w:val="none" w:sz="0" w:space="0" w:color="auto"/>
        <w:bottom w:val="none" w:sz="0" w:space="0" w:color="auto"/>
        <w:right w:val="none" w:sz="0" w:space="0" w:color="auto"/>
      </w:divBdr>
    </w:div>
    <w:div w:id="1671717938">
      <w:bodyDiv w:val="1"/>
      <w:marLeft w:val="0"/>
      <w:marRight w:val="0"/>
      <w:marTop w:val="0"/>
      <w:marBottom w:val="0"/>
      <w:divBdr>
        <w:top w:val="none" w:sz="0" w:space="0" w:color="auto"/>
        <w:left w:val="none" w:sz="0" w:space="0" w:color="auto"/>
        <w:bottom w:val="none" w:sz="0" w:space="0" w:color="auto"/>
        <w:right w:val="none" w:sz="0" w:space="0" w:color="auto"/>
      </w:divBdr>
    </w:div>
    <w:div w:id="1730835969">
      <w:bodyDiv w:val="1"/>
      <w:marLeft w:val="0"/>
      <w:marRight w:val="0"/>
      <w:marTop w:val="0"/>
      <w:marBottom w:val="0"/>
      <w:divBdr>
        <w:top w:val="none" w:sz="0" w:space="0" w:color="auto"/>
        <w:left w:val="none" w:sz="0" w:space="0" w:color="auto"/>
        <w:bottom w:val="none" w:sz="0" w:space="0" w:color="auto"/>
        <w:right w:val="none" w:sz="0" w:space="0" w:color="auto"/>
      </w:divBdr>
      <w:divsChild>
        <w:div w:id="1303579511">
          <w:marLeft w:val="0"/>
          <w:marRight w:val="0"/>
          <w:marTop w:val="0"/>
          <w:marBottom w:val="0"/>
          <w:divBdr>
            <w:top w:val="none" w:sz="0" w:space="0" w:color="auto"/>
            <w:left w:val="none" w:sz="0" w:space="0" w:color="auto"/>
            <w:bottom w:val="none" w:sz="0" w:space="0" w:color="auto"/>
            <w:right w:val="none" w:sz="0" w:space="0" w:color="auto"/>
          </w:divBdr>
        </w:div>
      </w:divsChild>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92368528">
      <w:bodyDiv w:val="1"/>
      <w:marLeft w:val="0"/>
      <w:marRight w:val="0"/>
      <w:marTop w:val="0"/>
      <w:marBottom w:val="0"/>
      <w:divBdr>
        <w:top w:val="none" w:sz="0" w:space="0" w:color="auto"/>
        <w:left w:val="none" w:sz="0" w:space="0" w:color="auto"/>
        <w:bottom w:val="none" w:sz="0" w:space="0" w:color="auto"/>
        <w:right w:val="none" w:sz="0" w:space="0" w:color="auto"/>
      </w:divBdr>
    </w:div>
    <w:div w:id="2032872684">
      <w:bodyDiv w:val="1"/>
      <w:marLeft w:val="0"/>
      <w:marRight w:val="0"/>
      <w:marTop w:val="0"/>
      <w:marBottom w:val="0"/>
      <w:divBdr>
        <w:top w:val="none" w:sz="0" w:space="0" w:color="auto"/>
        <w:left w:val="none" w:sz="0" w:space="0" w:color="auto"/>
        <w:bottom w:val="none" w:sz="0" w:space="0" w:color="auto"/>
        <w:right w:val="none" w:sz="0" w:space="0" w:color="auto"/>
      </w:divBdr>
    </w:div>
    <w:div w:id="2062753195">
      <w:bodyDiv w:val="1"/>
      <w:marLeft w:val="0"/>
      <w:marRight w:val="0"/>
      <w:marTop w:val="0"/>
      <w:marBottom w:val="0"/>
      <w:divBdr>
        <w:top w:val="none" w:sz="0" w:space="0" w:color="auto"/>
        <w:left w:val="none" w:sz="0" w:space="0" w:color="auto"/>
        <w:bottom w:val="none" w:sz="0" w:space="0" w:color="auto"/>
        <w:right w:val="none" w:sz="0" w:space="0" w:color="auto"/>
      </w:divBdr>
    </w:div>
    <w:div w:id="214515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eader" Target="header1.xml"/><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2.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2.xml"/><Relationship Id="rId29" Type="http://schemas.openxmlformats.org/officeDocument/2006/relationships/hyperlink" Target="https://stat.gov.pl/en/search/search.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1.png"/><Relationship Id="rId32" Type="http://schemas.openxmlformats.org/officeDocument/2006/relationships/header" Target="header3.xml"/><Relationship Id="rId37"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s://stat.gov.pl/en/metainformation/glossary/terms-used-in-official-statistics/3073,term.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png"/><Relationship Id="rId22" Type="http://schemas.openxmlformats.org/officeDocument/2006/relationships/hyperlink" Target="mailto:obslugaprasowa@stat.gov.pl" TargetMode="External"/><Relationship Id="rId27" Type="http://schemas.openxmlformats.org/officeDocument/2006/relationships/image" Target="media/image14.png"/><Relationship Id="rId30" Type="http://schemas.openxmlformats.org/officeDocument/2006/relationships/hyperlink" Target="https://bdl.stat.gov.pl/bdl/dane/podgrup/temat" TargetMode="External"/><Relationship Id="rId35" Type="http://schemas.openxmlformats.org/officeDocument/2006/relationships/theme" Target="theme/theme1.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773995C1A8BE469F1A00343CCDDA33" ma:contentTypeVersion="7" ma:contentTypeDescription="Utwórz nowy dokument." ma:contentTypeScope="" ma:versionID="7871ddd2aee2a5f69ad733bb5125d043">
  <xsd:schema xmlns:xsd="http://www.w3.org/2001/XMLSchema" xmlns:xs="http://www.w3.org/2001/XMLSchema" xmlns:p="http://schemas.microsoft.com/office/2006/metadata/properties" xmlns:ns2="http://schemas.microsoft.com/sharepoint/v3/fields" xmlns:ns3="044b8e35-bece-49ff-aeb3-9f5d3f4329b3" targetNamespace="http://schemas.microsoft.com/office/2006/metadata/properties" ma:root="true" ma:fieldsID="bee52a4a3d34607da501a3c1a457acde" ns2:_="" ns3:_="">
    <xsd:import namespace="http://schemas.microsoft.com/sharepoint/v3/fields"/>
    <xsd:import namespace="044b8e35-bece-49ff-aeb3-9f5d3f4329b3"/>
    <xsd:element name="properties">
      <xsd:complexType>
        <xsd:sequence>
          <xsd:element name="documentManagement">
            <xsd:complexType>
              <xsd:all>
                <xsd:element ref="ns2:_DCDateModified" minOccurs="0"/>
                <xsd:element ref="ns2:_Version" minOccurs="0"/>
                <xsd:element ref="ns3:Temat" minOccurs="0"/>
                <xsd:element ref="ns3:Departament_x002f_Instytucj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a modyfikacji" ma:default="" ma:description="Data ostatniej modyfikacji tego zasobu" ma:format="DateTime" ma:internalName="_DCDateModified">
      <xsd:simpleType>
        <xsd:restriction base="dms:DateTime"/>
      </xsd:simpleType>
    </xsd:element>
    <xsd:element name="_Version" ma:index="9" nillable="true" ma:displayName="Wersja"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4b8e35-bece-49ff-aeb3-9f5d3f4329b3" elementFormDefault="qualified">
    <xsd:import namespace="http://schemas.microsoft.com/office/2006/documentManagement/types"/>
    <xsd:import namespace="http://schemas.microsoft.com/office/infopath/2007/PartnerControls"/>
    <xsd:element name="Temat" ma:index="10" nillable="true" ma:displayName="Temat" ma:internalName="Temat">
      <xsd:simpleType>
        <xsd:restriction base="dms:Text">
          <xsd:maxLength value="255"/>
        </xsd:restriction>
      </xsd:simpleType>
    </xsd:element>
    <xsd:element name="Departament_x002f_Instytucja" ma:index="11" nillable="true" ma:displayName="Dep/Inst" ma:default="PK" ma:format="Dropdown" ma:internalName="Departament_x002f_Instytucja">
      <xsd:simpleType>
        <xsd:union memberTypes="dms:Text">
          <xsd:simpleType>
            <xsd:restriction base="dms:Choice">
              <xsd:enumeration value="AZ"/>
              <xsd:enumeration value="BAK"/>
              <xsd:enumeration value="BD"/>
              <xsd:enumeration value="BDG"/>
              <xsd:enumeration value="BOK"/>
              <xsd:enumeration value="BR"/>
              <xsd:enumeration value="BR"/>
              <xsd:enumeration value="BS"/>
              <xsd:enumeration value="DI"/>
              <xsd:enumeration value="DP"/>
              <xsd:enumeration value="DR"/>
              <xsd:enumeration value="GP"/>
              <xsd:enumeration value="HU"/>
              <xsd:enumeration value="MS"/>
              <xsd:enumeration value="PK"/>
              <xsd:enumeration value="PR"/>
              <xsd:enumeration value="PZ"/>
              <xsd:enumeration value="RN"/>
              <xsd:enumeration value="SM"/>
              <xsd:enumeration value="WM"/>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_DCDateModified xmlns="http://schemas.microsoft.com/sharepoint/v3/fields" xsi:nil="true"/>
    <Departament_x002f_Instytucja xmlns="044b8e35-bece-49ff-aeb3-9f5d3f4329b3">PK</Departament_x002f_Instytucja>
    <Temat xmlns="044b8e35-bece-49ff-aeb3-9f5d3f4329b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70152-BDAC-4979-B873-545DD36E7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44b8e35-bece-49ff-aeb3-9f5d3f4329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56AAFE-12B0-4AF3-9F8D-C59ADE945902}">
  <ds:schemaRefs>
    <ds:schemaRef ds:uri="http://schemas.microsoft.com/sharepoint/events"/>
  </ds:schemaRefs>
</ds:datastoreItem>
</file>

<file path=customXml/itemProps3.xml><?xml version="1.0" encoding="utf-8"?>
<ds:datastoreItem xmlns:ds="http://schemas.openxmlformats.org/officeDocument/2006/customXml" ds:itemID="{C9326D0F-4F86-4475-90BF-BD88E58C7CCB}">
  <ds:schemaRefs>
    <ds:schemaRef ds:uri="http://schemas.microsoft.com/sharepoint/v3/contenttype/forms"/>
  </ds:schemaRefs>
</ds:datastoreItem>
</file>

<file path=customXml/itemProps4.xml><?xml version="1.0" encoding="utf-8"?>
<ds:datastoreItem xmlns:ds="http://schemas.openxmlformats.org/officeDocument/2006/customXml" ds:itemID="{7AD39804-E15D-40D9-A3F2-808567566B96}">
  <ds:schemaRefs>
    <ds:schemaRef ds:uri="http://schemas.microsoft.com/office/2006/metadata/properties"/>
    <ds:schemaRef ds:uri="http://schemas.microsoft.com/office/infopath/2007/PartnerControls"/>
    <ds:schemaRef ds:uri="http://schemas.microsoft.com/sharepoint/v3/fields"/>
    <ds:schemaRef ds:uri="044b8e35-bece-49ff-aeb3-9f5d3f4329b3"/>
  </ds:schemaRefs>
</ds:datastoreItem>
</file>

<file path=customXml/itemProps5.xml><?xml version="1.0" encoding="utf-8"?>
<ds:datastoreItem xmlns:ds="http://schemas.openxmlformats.org/officeDocument/2006/customXml" ds:itemID="{C4AAE464-36F0-4B4F-8FB4-C54C55EAD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11</Pages>
  <Words>2895</Words>
  <Characters>17374</Characters>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conditions - material and social deprivation in year 2025</dc:title>
  <dc:subject/>
  <dc:creator>Statistics Poland</dc:creator>
  <cp:keywords/>
  <dc:description/>
  <cp:lastPrinted>2026-03-24T18:29:00Z</cp:lastPrinted>
  <dcterms:created xsi:type="dcterms:W3CDTF">2026-03-25T12:20:00Z</dcterms:created>
  <dcterms:modified xsi:type="dcterms:W3CDTF">2026-03-27T12:32:00Z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0x010100F7773995C1A8BE469F1A00343CCDDA33</vt:lpwstr>
  </property>
  <property fmtid="{D5CDD505-2E9C-101B-9397-08002B2CF9AE}" pid="3" name="xd_Signature">
    <vt:bool>false</vt:bool>
  </property>
  <property fmtid="{D5CDD505-2E9C-101B-9397-08002B2CF9AE}" pid="4" name="xd_ProgID">
    <vt:lpwstr/>
  </property>
  <property fmtid="{D5CDD505-2E9C-101B-9397-08002B2CF9AE}" pid="5" name="_dlc_Exempt">
    <vt:bool>false</vt:bool>
  </property>
  <property fmtid="{D5CDD505-2E9C-101B-9397-08002B2CF9AE}" pid="6" name="TemplateUrl">
    <vt:lpwstr/>
  </property>
</Properties>
</file>