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A25DB" w14:textId="45E49749" w:rsidR="000F4581" w:rsidRPr="00185238" w:rsidRDefault="00185238" w:rsidP="00185238">
      <w:pPr>
        <w:spacing w:before="120" w:after="600" w:line="240" w:lineRule="auto"/>
        <w:rPr>
          <w:rFonts w:ascii="Fira Sans Extra Condensed SemiB" w:hAnsi="Fira Sans Extra Condensed SemiB"/>
          <w:color w:val="000000" w:themeColor="text1"/>
          <w:sz w:val="40"/>
          <w:szCs w:val="26"/>
        </w:rPr>
      </w:pPr>
      <w:r w:rsidRPr="00185238">
        <w:rPr>
          <w:rFonts w:ascii="Fira Sans" w:hAnsi="Fira Sans"/>
          <w:b/>
          <w:bCs/>
          <w:noProof/>
          <w:color w:val="000000" w:themeColor="text1"/>
          <w:sz w:val="19"/>
          <w:szCs w:val="19"/>
          <w:lang w:eastAsia="pl-PL"/>
        </w:rPr>
        <mc:AlternateContent>
          <mc:Choice Requires="wps">
            <w:drawing>
              <wp:anchor distT="45720" distB="45720" distL="114300" distR="114300" simplePos="0" relativeHeight="252947456" behindDoc="0" locked="0" layoutInCell="1" allowOverlap="1" wp14:anchorId="6031C157" wp14:editId="5F7615F9">
                <wp:simplePos x="0" y="0"/>
                <wp:positionH relativeFrom="margin">
                  <wp:align>left</wp:align>
                </wp:positionH>
                <wp:positionV relativeFrom="paragraph">
                  <wp:posOffset>985520</wp:posOffset>
                </wp:positionV>
                <wp:extent cx="2150110" cy="1316990"/>
                <wp:effectExtent l="0" t="0" r="2540" b="0"/>
                <wp:wrapSquare wrapText="bothSides"/>
                <wp:docPr id="6" name="Pole tekstowe 2" descr="11,9 pkt&#10;Wzrost wskaźnika zmiany ogólnej sytuacji &#10;w gospodarstwach rolnych&#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98" cy="1316990"/>
                        </a:xfrm>
                        <a:prstGeom prst="roundRect">
                          <a:avLst/>
                        </a:prstGeom>
                        <a:solidFill>
                          <a:srgbClr val="001D77"/>
                        </a:solidFill>
                        <a:ln w="9525">
                          <a:noFill/>
                          <a:miter lim="800000"/>
                          <a:headEnd/>
                          <a:tailEnd/>
                        </a:ln>
                      </wps:spPr>
                      <wps:txbx>
                        <w:txbxContent>
                          <w:p w14:paraId="63493326" w14:textId="0A3C24EE" w:rsidR="00FA6DDB" w:rsidRPr="00FA6DDB" w:rsidRDefault="00FA6DDB" w:rsidP="00185238">
                            <w:pPr>
                              <w:suppressAutoHyphens/>
                              <w:spacing w:after="0" w:line="240" w:lineRule="auto"/>
                              <w:rPr>
                                <w:rStyle w:val="IkonawskanikaZnak"/>
                                <w:color w:val="FFFFFF" w:themeColor="background1"/>
                                <w:sz w:val="44"/>
                                <w:szCs w:val="44"/>
                              </w:rPr>
                            </w:pPr>
                            <w:r>
                              <w:rPr>
                                <w:rStyle w:val="IkonawskanikaZnak"/>
                              </w:rPr>
                              <w:sym w:font="Wingdings" w:char="F0F1"/>
                            </w:r>
                            <w:r>
                              <w:rPr>
                                <w:rStyle w:val="IkonawskanikaZnak"/>
                              </w:rPr>
                              <w:t xml:space="preserve"> </w:t>
                            </w:r>
                            <w:r w:rsidRPr="00FA6DDB">
                              <w:rPr>
                                <w:rStyle w:val="IkonawskanikaZnak"/>
                                <w:color w:val="FFFFFF" w:themeColor="background1"/>
                                <w:sz w:val="44"/>
                                <w:szCs w:val="44"/>
                              </w:rPr>
                              <w:t>11,9 pkt</w:t>
                            </w:r>
                          </w:p>
                          <w:p w14:paraId="6D7D1EEE" w14:textId="6051DD69" w:rsidR="004429EF" w:rsidRPr="00FA6DDB" w:rsidRDefault="00CF67BA" w:rsidP="00FA6DDB">
                            <w:pPr>
                              <w:suppressAutoHyphens/>
                              <w:spacing w:after="0" w:line="240" w:lineRule="auto"/>
                              <w:rPr>
                                <w:rFonts w:ascii="Fira Sans" w:hAnsi="Fira Sans"/>
                                <w:sz w:val="19"/>
                                <w:szCs w:val="19"/>
                              </w:rPr>
                            </w:pPr>
                            <w:r>
                              <w:rPr>
                                <w:rFonts w:ascii="Fira Sans" w:hAnsi="Fira Sans"/>
                                <w:color w:val="FFFFFF" w:themeColor="background1"/>
                                <w:sz w:val="19"/>
                                <w:szCs w:val="19"/>
                              </w:rPr>
                              <w:t>Poprawa</w:t>
                            </w:r>
                            <w:r w:rsidR="00FA6DDB">
                              <w:rPr>
                                <w:rFonts w:ascii="Fira Sans" w:hAnsi="Fira Sans"/>
                                <w:color w:val="FFFFFF" w:themeColor="background1"/>
                                <w:sz w:val="19"/>
                                <w:szCs w:val="19"/>
                              </w:rPr>
                              <w:t xml:space="preserve"> </w:t>
                            </w:r>
                            <w:r>
                              <w:rPr>
                                <w:rFonts w:ascii="Fira Sans" w:hAnsi="Fira Sans"/>
                                <w:color w:val="FFFFFF" w:themeColor="background1"/>
                                <w:sz w:val="19"/>
                                <w:szCs w:val="19"/>
                              </w:rPr>
                              <w:t>ocen</w:t>
                            </w:r>
                            <w:r w:rsidR="00FA6DDB">
                              <w:rPr>
                                <w:rFonts w:ascii="Fira Sans" w:hAnsi="Fira Sans"/>
                                <w:color w:val="FFFFFF" w:themeColor="background1"/>
                                <w:sz w:val="19"/>
                                <w:szCs w:val="19"/>
                              </w:rPr>
                              <w:t xml:space="preserve"> ogólnej sytuacji </w:t>
                            </w:r>
                            <w:r w:rsidR="00FA6DDB">
                              <w:rPr>
                                <w:rFonts w:ascii="Fira Sans" w:hAnsi="Fira Sans"/>
                                <w:color w:val="FFFFFF" w:themeColor="background1"/>
                                <w:sz w:val="19"/>
                                <w:szCs w:val="19"/>
                              </w:rPr>
                              <w:br/>
                              <w:t>w gospodarstwach rolnych</w:t>
                            </w:r>
                            <w:r>
                              <w:rPr>
                                <w:rFonts w:ascii="Fira Sans" w:hAnsi="Fira Sans"/>
                                <w:color w:val="FFFFFF" w:themeColor="background1"/>
                                <w:sz w:val="19"/>
                                <w:szCs w:val="19"/>
                              </w:rPr>
                              <w:t xml:space="preserve"> w porównaniu z 1 półroczem 2024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31C157" id="Pole tekstowe 2" o:spid="_x0000_s1026" alt="11,9 pkt&#10;Wzrost wskaźnika zmiany ogólnej sytuacji &#10;w gospodarstwach rolnych&#10;" style="position:absolute;margin-left:0;margin-top:77.6pt;width:169.3pt;height:103.7pt;z-index:25294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" fillcolor="#001d77" stroked="f">
                <v:stroke joinstyle="miter"/>
                <v:textbox>
                  <w:txbxContent>
                    <w:p w14:paraId="63493326" w14:textId="0A3C24EE" w:rsidR="00FA6DDB" w:rsidRPr="00FA6DDB" w:rsidRDefault="00FA6DDB" w:rsidP="00185238">
                      <w:pPr>
                        <w:suppressAutoHyphens/>
                        <w:spacing w:after="0" w:line="240" w:lineRule="auto"/>
                        <w:rPr>
                          <w:rStyle w:val="IkonawskanikaZnak"/>
                          <w:color w:val="FFFFFF" w:themeColor="background1"/>
                          <w:sz w:val="44"/>
                          <w:szCs w:val="44"/>
                        </w:rPr>
                      </w:pPr>
                      <w:r>
                        <w:rPr>
                          <w:rStyle w:val="IkonawskanikaZnak"/>
                        </w:rPr>
                        <w:sym w:font="Wingdings" w:char="F0F1"/>
                      </w:r>
                      <w:r>
                        <w:rPr>
                          <w:rStyle w:val="IkonawskanikaZnak"/>
                        </w:rPr>
                        <w:t xml:space="preserve"> </w:t>
                      </w:r>
                      <w:r w:rsidRPr="00FA6DDB">
                        <w:rPr>
                          <w:rStyle w:val="IkonawskanikaZnak"/>
                          <w:color w:val="FFFFFF" w:themeColor="background1"/>
                          <w:sz w:val="44"/>
                          <w:szCs w:val="44"/>
                        </w:rPr>
                        <w:t>11,9 pkt</w:t>
                      </w:r>
                    </w:p>
                    <w:p w14:paraId="6D7D1EEE" w14:textId="6051DD69" w:rsidR="004429EF" w:rsidRPr="00FA6DDB" w:rsidRDefault="00CF67BA" w:rsidP="00FA6DDB">
                      <w:pPr>
                        <w:suppressAutoHyphens/>
                        <w:spacing w:after="0" w:line="240" w:lineRule="auto"/>
                        <w:rPr>
                          <w:rFonts w:ascii="Fira Sans" w:hAnsi="Fira Sans"/>
                          <w:sz w:val="19"/>
                          <w:szCs w:val="19"/>
                        </w:rPr>
                      </w:pPr>
                      <w:r>
                        <w:rPr>
                          <w:rFonts w:ascii="Fira Sans" w:hAnsi="Fira Sans"/>
                          <w:color w:val="FFFFFF" w:themeColor="background1"/>
                          <w:sz w:val="19"/>
                          <w:szCs w:val="19"/>
                        </w:rPr>
                        <w:t>Poprawa</w:t>
                      </w:r>
                      <w:r w:rsidR="00FA6DDB">
                        <w:rPr>
                          <w:rFonts w:ascii="Fira Sans" w:hAnsi="Fira Sans"/>
                          <w:color w:val="FFFFFF" w:themeColor="background1"/>
                          <w:sz w:val="19"/>
                          <w:szCs w:val="19"/>
                        </w:rPr>
                        <w:t xml:space="preserve"> </w:t>
                      </w:r>
                      <w:r>
                        <w:rPr>
                          <w:rFonts w:ascii="Fira Sans" w:hAnsi="Fira Sans"/>
                          <w:color w:val="FFFFFF" w:themeColor="background1"/>
                          <w:sz w:val="19"/>
                          <w:szCs w:val="19"/>
                        </w:rPr>
                        <w:t>ocen</w:t>
                      </w:r>
                      <w:r w:rsidR="00FA6DDB">
                        <w:rPr>
                          <w:rFonts w:ascii="Fira Sans" w:hAnsi="Fira Sans"/>
                          <w:color w:val="FFFFFF" w:themeColor="background1"/>
                          <w:sz w:val="19"/>
                          <w:szCs w:val="19"/>
                        </w:rPr>
                        <w:t xml:space="preserve"> ogólnej sytuacji </w:t>
                      </w:r>
                      <w:r w:rsidR="00FA6DDB">
                        <w:rPr>
                          <w:rFonts w:ascii="Fira Sans" w:hAnsi="Fira Sans"/>
                          <w:color w:val="FFFFFF" w:themeColor="background1"/>
                          <w:sz w:val="19"/>
                          <w:szCs w:val="19"/>
                        </w:rPr>
                        <w:br/>
                        <w:t>w gospodarstwach rolnych</w:t>
                      </w:r>
                      <w:r>
                        <w:rPr>
                          <w:rFonts w:ascii="Fira Sans" w:hAnsi="Fira Sans"/>
                          <w:color w:val="FFFFFF" w:themeColor="background1"/>
                          <w:sz w:val="19"/>
                          <w:szCs w:val="19"/>
                        </w:rPr>
                        <w:t xml:space="preserve"> w porównaniu z 1 półroczem 2024 r.</w:t>
                      </w:r>
                    </w:p>
                  </w:txbxContent>
                </v:textbox>
                <w10:wrap type="square" anchorx="margin"/>
              </v:roundrect>
            </w:pict>
          </mc:Fallback>
        </mc:AlternateContent>
      </w:r>
      <w:r w:rsidR="009C0FB5" w:rsidRPr="00185238">
        <w:rPr>
          <w:rFonts w:ascii="Fira Sans Extra Condensed SemiB" w:hAnsi="Fira Sans Extra Condensed SemiB"/>
          <w:color w:val="000000" w:themeColor="text1"/>
          <w:sz w:val="40"/>
          <w:szCs w:val="26"/>
        </w:rPr>
        <w:t xml:space="preserve">Koniunktura </w:t>
      </w:r>
      <w:r w:rsidR="00A00D1C" w:rsidRPr="00185238">
        <w:rPr>
          <w:rFonts w:ascii="Fira Sans Extra Condensed SemiB" w:hAnsi="Fira Sans Extra Condensed SemiB"/>
          <w:color w:val="000000" w:themeColor="text1"/>
          <w:sz w:val="40"/>
          <w:szCs w:val="26"/>
        </w:rPr>
        <w:t xml:space="preserve">w gospodarstwach rolnych </w:t>
      </w:r>
      <w:r w:rsidRPr="00185238">
        <w:rPr>
          <w:rFonts w:ascii="Fira Sans Extra Condensed SemiB" w:hAnsi="Fira Sans Extra Condensed SemiB"/>
          <w:color w:val="000000" w:themeColor="text1"/>
          <w:sz w:val="40"/>
          <w:szCs w:val="26"/>
        </w:rPr>
        <w:br/>
      </w:r>
      <w:r w:rsidR="0032208A" w:rsidRPr="00185238">
        <w:rPr>
          <w:rFonts w:ascii="Fira Sans Extra Condensed SemiB" w:hAnsi="Fira Sans Extra Condensed SemiB"/>
          <w:color w:val="000000" w:themeColor="text1"/>
          <w:sz w:val="40"/>
          <w:szCs w:val="26"/>
        </w:rPr>
        <w:t xml:space="preserve">w </w:t>
      </w:r>
      <w:r w:rsidR="00622B3D" w:rsidRPr="00185238">
        <w:rPr>
          <w:rFonts w:ascii="Fira Sans Extra Condensed SemiB" w:hAnsi="Fira Sans Extra Condensed SemiB"/>
          <w:color w:val="000000" w:themeColor="text1"/>
          <w:sz w:val="40"/>
          <w:szCs w:val="26"/>
        </w:rPr>
        <w:t>1</w:t>
      </w:r>
      <w:r w:rsidR="0032208A" w:rsidRPr="00185238">
        <w:rPr>
          <w:rFonts w:ascii="Fira Sans Extra Condensed SemiB" w:hAnsi="Fira Sans Extra Condensed SemiB"/>
          <w:color w:val="000000" w:themeColor="text1"/>
          <w:sz w:val="40"/>
          <w:szCs w:val="26"/>
        </w:rPr>
        <w:t xml:space="preserve"> półroczu 202</w:t>
      </w:r>
      <w:r w:rsidR="00622B3D" w:rsidRPr="00185238">
        <w:rPr>
          <w:rFonts w:ascii="Fira Sans Extra Condensed SemiB" w:hAnsi="Fira Sans Extra Condensed SemiB"/>
          <w:color w:val="000000" w:themeColor="text1"/>
          <w:sz w:val="40"/>
          <w:szCs w:val="26"/>
        </w:rPr>
        <w:t>5</w:t>
      </w:r>
      <w:r w:rsidR="00A00D1C" w:rsidRPr="00185238">
        <w:rPr>
          <w:rFonts w:ascii="Fira Sans Extra Condensed SemiB" w:hAnsi="Fira Sans Extra Condensed SemiB"/>
          <w:color w:val="000000" w:themeColor="text1"/>
          <w:sz w:val="40"/>
          <w:szCs w:val="26"/>
        </w:rPr>
        <w:t xml:space="preserve"> r.</w:t>
      </w:r>
    </w:p>
    <w:p w14:paraId="3AAFFCFD" w14:textId="3182520B" w:rsidR="00E46BA1" w:rsidRPr="00185238" w:rsidRDefault="000F0118" w:rsidP="00185238">
      <w:pPr>
        <w:spacing w:before="360" w:after="120"/>
        <w:rPr>
          <w:rFonts w:ascii="Fira Sans" w:hAnsi="Fira Sans"/>
          <w:b/>
          <w:noProof/>
          <w:color w:val="000000" w:themeColor="text1"/>
          <w:sz w:val="19"/>
          <w:szCs w:val="19"/>
          <w:lang w:eastAsia="pl-PL"/>
        </w:rPr>
      </w:pPr>
      <w:r w:rsidRPr="00185238">
        <w:rPr>
          <w:rStyle w:val="cf01"/>
          <w:rFonts w:ascii="Fira Sans" w:hAnsi="Fira Sans"/>
          <w:b/>
          <w:bCs/>
          <w:sz w:val="19"/>
          <w:szCs w:val="19"/>
        </w:rPr>
        <w:t>Użytkownicy gospodarstw rolnych ocenili zmiany ogólnej sytuacji swoich gospodarstw jakie miały miejsce w 1 półroczu 2025 r. lepiej niż w poprzednich okresach. Wartość wskaźnika zmiany ogólnej sytuacji w</w:t>
      </w:r>
      <w:r w:rsidR="00E12CDC">
        <w:rPr>
          <w:rStyle w:val="cf01"/>
          <w:rFonts w:ascii="Fira Sans" w:hAnsi="Fira Sans"/>
          <w:b/>
          <w:bCs/>
          <w:sz w:val="19"/>
          <w:szCs w:val="19"/>
        </w:rPr>
        <w:t> </w:t>
      </w:r>
      <w:r w:rsidRPr="00185238">
        <w:rPr>
          <w:rStyle w:val="cf01"/>
          <w:rFonts w:ascii="Fira Sans" w:hAnsi="Fira Sans"/>
          <w:b/>
          <w:bCs/>
          <w:sz w:val="19"/>
          <w:szCs w:val="19"/>
        </w:rPr>
        <w:t xml:space="preserve">gospodarstwach rolnych </w:t>
      </w:r>
      <w:r w:rsidR="00FA6DDB">
        <w:rPr>
          <w:rStyle w:val="cf01"/>
          <w:rFonts w:ascii="Fira Sans" w:hAnsi="Fira Sans"/>
          <w:b/>
          <w:bCs/>
          <w:sz w:val="19"/>
          <w:szCs w:val="19"/>
        </w:rPr>
        <w:t>wyniosła minus 23,6</w:t>
      </w:r>
      <w:r w:rsidR="00CF67BA">
        <w:rPr>
          <w:rStyle w:val="cf01"/>
          <w:rFonts w:ascii="Fira Sans" w:hAnsi="Fira Sans"/>
          <w:b/>
          <w:bCs/>
          <w:sz w:val="19"/>
          <w:szCs w:val="19"/>
        </w:rPr>
        <w:t>,</w:t>
      </w:r>
      <w:r w:rsidR="00FA6DDB">
        <w:rPr>
          <w:rStyle w:val="cf01"/>
          <w:rFonts w:ascii="Fira Sans" w:hAnsi="Fira Sans"/>
          <w:b/>
          <w:bCs/>
          <w:sz w:val="19"/>
          <w:szCs w:val="19"/>
        </w:rPr>
        <w:t xml:space="preserve"> tj. </w:t>
      </w:r>
      <w:r w:rsidRPr="00185238">
        <w:rPr>
          <w:rStyle w:val="cf01"/>
          <w:rFonts w:ascii="Fira Sans" w:hAnsi="Fira Sans"/>
          <w:b/>
          <w:bCs/>
          <w:sz w:val="19"/>
          <w:szCs w:val="19"/>
        </w:rPr>
        <w:t>wzrosła w porównaniu zarówno z 1 jak i 2 półroczem 2024 r.</w:t>
      </w:r>
      <w:r w:rsidR="00FA6DDB">
        <w:rPr>
          <w:rStyle w:val="cf01"/>
          <w:rFonts w:ascii="Fira Sans" w:hAnsi="Fira Sans"/>
          <w:b/>
          <w:bCs/>
          <w:sz w:val="19"/>
          <w:szCs w:val="19"/>
        </w:rPr>
        <w:t xml:space="preserve"> </w:t>
      </w:r>
      <w:r w:rsidRPr="00185238">
        <w:rPr>
          <w:rStyle w:val="cf01"/>
          <w:rFonts w:ascii="Fira Sans" w:hAnsi="Fira Sans"/>
          <w:b/>
          <w:bCs/>
          <w:sz w:val="19"/>
          <w:szCs w:val="19"/>
        </w:rPr>
        <w:t>Również prognozy na 2</w:t>
      </w:r>
      <w:r w:rsidR="00185238" w:rsidRPr="00185238">
        <w:rPr>
          <w:rStyle w:val="cf01"/>
          <w:rFonts w:ascii="Fira Sans" w:hAnsi="Fira Sans"/>
          <w:b/>
          <w:bCs/>
          <w:sz w:val="19"/>
          <w:szCs w:val="19"/>
        </w:rPr>
        <w:t> </w:t>
      </w:r>
      <w:r w:rsidRPr="00185238">
        <w:rPr>
          <w:rStyle w:val="cf01"/>
          <w:rFonts w:ascii="Fira Sans" w:hAnsi="Fira Sans"/>
          <w:b/>
          <w:bCs/>
          <w:sz w:val="19"/>
          <w:szCs w:val="19"/>
        </w:rPr>
        <w:t>półrocze 2025 r. okazały się mniej pesymistyczne</w:t>
      </w:r>
      <w:r w:rsidRPr="00185238">
        <w:rPr>
          <w:rStyle w:val="cf01"/>
        </w:rPr>
        <w:t>.</w:t>
      </w:r>
      <w:r w:rsidR="00E46BA1" w:rsidRPr="00185238">
        <w:rPr>
          <w:rFonts w:ascii="Fira Sans" w:hAnsi="Fira Sans"/>
          <w:b/>
          <w:noProof/>
          <w:color w:val="000000" w:themeColor="text1"/>
          <w:sz w:val="19"/>
          <w:szCs w:val="19"/>
          <w:lang w:eastAsia="pl-PL"/>
        </w:rPr>
        <w:t xml:space="preserve"> </w:t>
      </w:r>
    </w:p>
    <w:p w14:paraId="08B1825A" w14:textId="195A1239" w:rsidR="00E64B1E" w:rsidRPr="00185238" w:rsidRDefault="00C942D0" w:rsidP="00484F8D">
      <w:pPr>
        <w:spacing w:before="360" w:after="240" w:line="288" w:lineRule="auto"/>
        <w:rPr>
          <w:rFonts w:ascii="Fira Sans" w:hAnsi="Fira Sans"/>
          <w:color w:val="000000" w:themeColor="text1"/>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2948480" behindDoc="1" locked="0" layoutInCell="1" allowOverlap="1" wp14:anchorId="1059DDD6" wp14:editId="4C723D43">
                <wp:simplePos x="0" y="0"/>
                <wp:positionH relativeFrom="page">
                  <wp:posOffset>5724525</wp:posOffset>
                </wp:positionH>
                <wp:positionV relativeFrom="paragraph">
                  <wp:posOffset>446405</wp:posOffset>
                </wp:positionV>
                <wp:extent cx="1800000" cy="3427200"/>
                <wp:effectExtent l="0" t="0" r="0" b="1905"/>
                <wp:wrapTight wrapText="bothSides">
                  <wp:wrapPolygon edited="0">
                    <wp:start x="686" y="0"/>
                    <wp:lineTo x="686" y="21492"/>
                    <wp:lineTo x="20807" y="21492"/>
                    <wp:lineTo x="20807" y="0"/>
                    <wp:lineTo x="686" y="0"/>
                  </wp:wrapPolygon>
                </wp:wrapTight>
                <wp:docPr id="12" name="Pole tekstowe 12" descr="Wskaźnik zmiany ogólnej sytuacji (WZOS) w gospodarstwach rolnych jest wskaźnikiem złożonym. Obliczany jest jako średnia arytmetyczna sald odpowiedzi na pytania dotyczące zmiany w ostatnim półroczu i przewidywanej sytuacji w gospodarstwach rolnych w najbliższym półroczu. Przyjmuje wartości od -100 do +100, przy czym wartości poniżej zera są oceniane jako negatywne (wskazujące na gorszą koniunkturę), a powyżej zera – jako pozytywne (wskazujące na dobrą koniunkturę). Wskaźnik przyjmujący wartość równą zero oznacza sytuację, gdy koniunktura nie zmienia się"/>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3427200"/>
                        </a:xfrm>
                        <a:prstGeom prst="rect">
                          <a:avLst/>
                        </a:prstGeom>
                        <a:noFill/>
                        <a:ln w="9525">
                          <a:noFill/>
                          <a:miter lim="800000"/>
                          <a:headEnd/>
                          <a:tailEnd/>
                        </a:ln>
                      </wps:spPr>
                      <wps:txbx>
                        <w:txbxContent>
                          <w:p w14:paraId="6CC62343" w14:textId="0726FE6B" w:rsidR="004429EF" w:rsidRPr="00081471" w:rsidRDefault="004429EF" w:rsidP="00D52EBA">
                            <w:pPr>
                              <w:pStyle w:val="Tekstkomentarza"/>
                              <w:rPr>
                                <w:rFonts w:ascii="Fira Sans" w:hAnsi="Fira Sans"/>
                                <w:color w:val="002060"/>
                                <w:sz w:val="18"/>
                                <w:szCs w:val="16"/>
                              </w:rPr>
                            </w:pPr>
                            <w:r w:rsidRPr="00081471">
                              <w:rPr>
                                <w:rFonts w:ascii="Fira Sans" w:hAnsi="Fira Sans"/>
                                <w:color w:val="002060"/>
                                <w:sz w:val="18"/>
                                <w:szCs w:val="16"/>
                              </w:rPr>
                              <w:t xml:space="preserve">Wskaźnik zmiany </w:t>
                            </w:r>
                            <w:r>
                              <w:rPr>
                                <w:rFonts w:ascii="Fira Sans" w:hAnsi="Fira Sans"/>
                                <w:color w:val="002060"/>
                                <w:sz w:val="18"/>
                                <w:szCs w:val="16"/>
                              </w:rPr>
                              <w:t xml:space="preserve">ogólnej </w:t>
                            </w:r>
                            <w:r w:rsidRPr="00081471">
                              <w:rPr>
                                <w:rFonts w:ascii="Fira Sans" w:hAnsi="Fira Sans"/>
                                <w:color w:val="002060"/>
                                <w:sz w:val="18"/>
                                <w:szCs w:val="16"/>
                              </w:rPr>
                              <w:t>sytuacji</w:t>
                            </w:r>
                            <w:r>
                              <w:rPr>
                                <w:rFonts w:ascii="Fira Sans" w:hAnsi="Fira Sans"/>
                                <w:color w:val="002060"/>
                                <w:sz w:val="18"/>
                                <w:szCs w:val="16"/>
                              </w:rPr>
                              <w:t xml:space="preserve"> (WZOS)</w:t>
                            </w:r>
                            <w:r w:rsidRPr="00081471">
                              <w:rPr>
                                <w:rFonts w:ascii="Fira Sans" w:hAnsi="Fira Sans"/>
                                <w:color w:val="002060"/>
                                <w:sz w:val="18"/>
                                <w:szCs w:val="16"/>
                              </w:rPr>
                              <w:t xml:space="preserve"> </w:t>
                            </w:r>
                            <w:r>
                              <w:rPr>
                                <w:rFonts w:ascii="Fira Sans" w:hAnsi="Fira Sans"/>
                                <w:color w:val="002060"/>
                                <w:sz w:val="18"/>
                                <w:szCs w:val="16"/>
                              </w:rPr>
                              <w:t>w</w:t>
                            </w:r>
                            <w:r w:rsidR="00D32051">
                              <w:rPr>
                                <w:rFonts w:ascii="Fira Sans" w:hAnsi="Fira Sans"/>
                                <w:color w:val="002060"/>
                                <w:sz w:val="18"/>
                                <w:szCs w:val="16"/>
                              </w:rPr>
                              <w:t> </w:t>
                            </w:r>
                            <w:r w:rsidRPr="00081471">
                              <w:rPr>
                                <w:rFonts w:ascii="Fira Sans" w:hAnsi="Fira Sans"/>
                                <w:color w:val="002060"/>
                                <w:sz w:val="18"/>
                                <w:szCs w:val="16"/>
                              </w:rPr>
                              <w:t>gospodarstw</w:t>
                            </w:r>
                            <w:r>
                              <w:rPr>
                                <w:rFonts w:ascii="Fira Sans" w:hAnsi="Fira Sans"/>
                                <w:color w:val="002060"/>
                                <w:sz w:val="18"/>
                                <w:szCs w:val="16"/>
                              </w:rPr>
                              <w:t>ach</w:t>
                            </w:r>
                            <w:r w:rsidRPr="00081471">
                              <w:rPr>
                                <w:rFonts w:ascii="Fira Sans" w:hAnsi="Fira Sans"/>
                                <w:color w:val="002060"/>
                                <w:sz w:val="18"/>
                                <w:szCs w:val="16"/>
                              </w:rPr>
                              <w:t xml:space="preserve"> roln</w:t>
                            </w:r>
                            <w:r>
                              <w:rPr>
                                <w:rFonts w:ascii="Fira Sans" w:hAnsi="Fira Sans"/>
                                <w:color w:val="002060"/>
                                <w:sz w:val="18"/>
                                <w:szCs w:val="16"/>
                              </w:rPr>
                              <w:t xml:space="preserve">ych </w:t>
                            </w:r>
                            <w:r w:rsidRPr="00081471">
                              <w:rPr>
                                <w:rFonts w:ascii="Fira Sans" w:hAnsi="Fira Sans"/>
                                <w:color w:val="002060"/>
                                <w:sz w:val="18"/>
                                <w:szCs w:val="16"/>
                              </w:rPr>
                              <w:t>jest wskaźnikiem złożonym.</w:t>
                            </w:r>
                            <w:r>
                              <w:rPr>
                                <w:rFonts w:ascii="Fira Sans" w:hAnsi="Fira Sans"/>
                                <w:color w:val="002060"/>
                                <w:sz w:val="18"/>
                                <w:szCs w:val="16"/>
                              </w:rPr>
                              <w:t xml:space="preserve"> </w:t>
                            </w:r>
                            <w:r w:rsidRPr="00D52EBA">
                              <w:rPr>
                                <w:rFonts w:ascii="Fira Sans" w:hAnsi="Fira Sans"/>
                                <w:color w:val="002060"/>
                                <w:sz w:val="18"/>
                                <w:szCs w:val="16"/>
                              </w:rPr>
                              <w:t>Obliczany jest jako średnia arytmetyczna sald odpowiedzi na pytania dotyczące zmiany w</w:t>
                            </w:r>
                            <w:r w:rsidR="00185238">
                              <w:rPr>
                                <w:rFonts w:ascii="Fira Sans" w:hAnsi="Fira Sans"/>
                                <w:color w:val="002060"/>
                                <w:sz w:val="18"/>
                                <w:szCs w:val="16"/>
                              </w:rPr>
                              <w:t> </w:t>
                            </w:r>
                            <w:r w:rsidRPr="00D52EBA">
                              <w:rPr>
                                <w:rFonts w:ascii="Fira Sans" w:hAnsi="Fira Sans"/>
                                <w:color w:val="002060"/>
                                <w:sz w:val="18"/>
                                <w:szCs w:val="16"/>
                              </w:rPr>
                              <w:t>ostatnim półroczu i</w:t>
                            </w:r>
                            <w:r w:rsidR="00D32051">
                              <w:rPr>
                                <w:rFonts w:ascii="Fira Sans" w:hAnsi="Fira Sans"/>
                                <w:color w:val="002060"/>
                                <w:sz w:val="18"/>
                                <w:szCs w:val="16"/>
                              </w:rPr>
                              <w:t> </w:t>
                            </w:r>
                            <w:r w:rsidRPr="00D52EBA">
                              <w:rPr>
                                <w:rFonts w:ascii="Fira Sans" w:hAnsi="Fira Sans"/>
                                <w:color w:val="002060"/>
                                <w:sz w:val="18"/>
                                <w:szCs w:val="16"/>
                              </w:rPr>
                              <w:t>przewidywanej sytuacji w</w:t>
                            </w:r>
                            <w:r w:rsidR="00D32051">
                              <w:rPr>
                                <w:rFonts w:ascii="Fira Sans" w:hAnsi="Fira Sans"/>
                                <w:color w:val="002060"/>
                                <w:sz w:val="18"/>
                                <w:szCs w:val="16"/>
                              </w:rPr>
                              <w:t> </w:t>
                            </w:r>
                            <w:r w:rsidRPr="00D52EBA">
                              <w:rPr>
                                <w:rFonts w:ascii="Fira Sans" w:hAnsi="Fira Sans"/>
                                <w:color w:val="002060"/>
                                <w:sz w:val="18"/>
                                <w:szCs w:val="16"/>
                              </w:rPr>
                              <w:t>gospodarstwach rolnych w</w:t>
                            </w:r>
                            <w:r w:rsidR="00D32051">
                              <w:rPr>
                                <w:rFonts w:ascii="Fira Sans" w:hAnsi="Fira Sans"/>
                                <w:color w:val="002060"/>
                                <w:sz w:val="18"/>
                                <w:szCs w:val="16"/>
                              </w:rPr>
                              <w:t> </w:t>
                            </w:r>
                            <w:r w:rsidRPr="00D52EBA">
                              <w:rPr>
                                <w:rFonts w:ascii="Fira Sans" w:hAnsi="Fira Sans"/>
                                <w:color w:val="002060"/>
                                <w:sz w:val="18"/>
                                <w:szCs w:val="16"/>
                              </w:rPr>
                              <w:t xml:space="preserve">najbliższym półroczu. </w:t>
                            </w:r>
                            <w:r w:rsidRPr="00081471">
                              <w:rPr>
                                <w:rFonts w:ascii="Fira Sans" w:hAnsi="Fira Sans"/>
                                <w:color w:val="002060"/>
                                <w:sz w:val="18"/>
                                <w:szCs w:val="16"/>
                              </w:rPr>
                              <w:t>Przyjmuje wartości od -100 do +100, przy czym wartości poniżej zera są oceniane jako negatywne (wskazujące na gorszą koniunkturę), a powyżej zera – jako pozytywne (wskazujące na dobrą koniunkturę). Wskaźnik przyjmujący wartość równą zero oznacza sytuację, gdy koniunktura nie zmienia się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59DDD6" id="_x0000_t202" coordsize="21600,21600" o:spt="202" path="m,l,21600r21600,l21600,xe">
                <v:stroke joinstyle="miter"/>
                <v:path gradientshapeok="t" o:connecttype="rect"/>
              </v:shapetype>
              <v:shape id="Pole tekstowe 12" o:spid="_x0000_s1027" type="#_x0000_t202" alt="Wskaźnik zmiany ogólnej sytuacji (WZOS) w gospodarstwach rolnych jest wskaźnikiem złożonym. Obliczany jest jako średnia arytmetyczna sald odpowiedzi na pytania dotyczące zmiany w ostatnim półroczu i przewidywanej sytuacji w gospodarstwach rolnych w najbliższym półroczu. Przyjmuje wartości od -100 do +100, przy czym wartości poniżej zera są oceniane jako negatywne (wskazujące na gorszą koniunkturę), a powyżej zera – jako pozytywne (wskazujące na dobrą koniunkturę). Wskaźnik przyjmujący wartość równą zero oznacza sytuację, gdy koniunktura nie zmienia się" style="position:absolute;margin-left:450.75pt;margin-top:35.15pt;width:141.75pt;height:269.85pt;z-index:-25036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" filled="f" stroked="f">
                <v:textbox>
                  <w:txbxContent>
                    <w:p w14:paraId="6CC62343" w14:textId="0726FE6B" w:rsidR="004429EF" w:rsidRPr="00081471" w:rsidRDefault="004429EF" w:rsidP="00D52EBA">
                      <w:pPr>
                        <w:pStyle w:val="Tekstkomentarza"/>
                        <w:rPr>
                          <w:rFonts w:ascii="Fira Sans" w:hAnsi="Fira Sans"/>
                          <w:color w:val="002060"/>
                          <w:sz w:val="18"/>
                          <w:szCs w:val="16"/>
                        </w:rPr>
                      </w:pPr>
                      <w:r w:rsidRPr="00081471">
                        <w:rPr>
                          <w:rFonts w:ascii="Fira Sans" w:hAnsi="Fira Sans"/>
                          <w:color w:val="002060"/>
                          <w:sz w:val="18"/>
                          <w:szCs w:val="16"/>
                        </w:rPr>
                        <w:t xml:space="preserve">Wskaźnik zmiany </w:t>
                      </w:r>
                      <w:r>
                        <w:rPr>
                          <w:rFonts w:ascii="Fira Sans" w:hAnsi="Fira Sans"/>
                          <w:color w:val="002060"/>
                          <w:sz w:val="18"/>
                          <w:szCs w:val="16"/>
                        </w:rPr>
                        <w:t xml:space="preserve">ogólnej </w:t>
                      </w:r>
                      <w:r w:rsidRPr="00081471">
                        <w:rPr>
                          <w:rFonts w:ascii="Fira Sans" w:hAnsi="Fira Sans"/>
                          <w:color w:val="002060"/>
                          <w:sz w:val="18"/>
                          <w:szCs w:val="16"/>
                        </w:rPr>
                        <w:t>sytuacji</w:t>
                      </w:r>
                      <w:r>
                        <w:rPr>
                          <w:rFonts w:ascii="Fira Sans" w:hAnsi="Fira Sans"/>
                          <w:color w:val="002060"/>
                          <w:sz w:val="18"/>
                          <w:szCs w:val="16"/>
                        </w:rPr>
                        <w:t xml:space="preserve"> (WZOS)</w:t>
                      </w:r>
                      <w:r w:rsidRPr="00081471">
                        <w:rPr>
                          <w:rFonts w:ascii="Fira Sans" w:hAnsi="Fira Sans"/>
                          <w:color w:val="002060"/>
                          <w:sz w:val="18"/>
                          <w:szCs w:val="16"/>
                        </w:rPr>
                        <w:t xml:space="preserve"> </w:t>
                      </w:r>
                      <w:r>
                        <w:rPr>
                          <w:rFonts w:ascii="Fira Sans" w:hAnsi="Fira Sans"/>
                          <w:color w:val="002060"/>
                          <w:sz w:val="18"/>
                          <w:szCs w:val="16"/>
                        </w:rPr>
                        <w:t>w</w:t>
                      </w:r>
                      <w:r w:rsidR="00D32051">
                        <w:rPr>
                          <w:rFonts w:ascii="Fira Sans" w:hAnsi="Fira Sans"/>
                          <w:color w:val="002060"/>
                          <w:sz w:val="18"/>
                          <w:szCs w:val="16"/>
                        </w:rPr>
                        <w:t> </w:t>
                      </w:r>
                      <w:r w:rsidRPr="00081471">
                        <w:rPr>
                          <w:rFonts w:ascii="Fira Sans" w:hAnsi="Fira Sans"/>
                          <w:color w:val="002060"/>
                          <w:sz w:val="18"/>
                          <w:szCs w:val="16"/>
                        </w:rPr>
                        <w:t>gospodarstw</w:t>
                      </w:r>
                      <w:r>
                        <w:rPr>
                          <w:rFonts w:ascii="Fira Sans" w:hAnsi="Fira Sans"/>
                          <w:color w:val="002060"/>
                          <w:sz w:val="18"/>
                          <w:szCs w:val="16"/>
                        </w:rPr>
                        <w:t>ach</w:t>
                      </w:r>
                      <w:r w:rsidRPr="00081471">
                        <w:rPr>
                          <w:rFonts w:ascii="Fira Sans" w:hAnsi="Fira Sans"/>
                          <w:color w:val="002060"/>
                          <w:sz w:val="18"/>
                          <w:szCs w:val="16"/>
                        </w:rPr>
                        <w:t xml:space="preserve"> roln</w:t>
                      </w:r>
                      <w:r>
                        <w:rPr>
                          <w:rFonts w:ascii="Fira Sans" w:hAnsi="Fira Sans"/>
                          <w:color w:val="002060"/>
                          <w:sz w:val="18"/>
                          <w:szCs w:val="16"/>
                        </w:rPr>
                        <w:t xml:space="preserve">ych </w:t>
                      </w:r>
                      <w:r w:rsidRPr="00081471">
                        <w:rPr>
                          <w:rFonts w:ascii="Fira Sans" w:hAnsi="Fira Sans"/>
                          <w:color w:val="002060"/>
                          <w:sz w:val="18"/>
                          <w:szCs w:val="16"/>
                        </w:rPr>
                        <w:t>jest wskaźnikiem złożonym.</w:t>
                      </w:r>
                      <w:r>
                        <w:rPr>
                          <w:rFonts w:ascii="Fira Sans" w:hAnsi="Fira Sans"/>
                          <w:color w:val="002060"/>
                          <w:sz w:val="18"/>
                          <w:szCs w:val="16"/>
                        </w:rPr>
                        <w:t xml:space="preserve"> </w:t>
                      </w:r>
                      <w:r w:rsidRPr="00D52EBA">
                        <w:rPr>
                          <w:rFonts w:ascii="Fira Sans" w:hAnsi="Fira Sans"/>
                          <w:color w:val="002060"/>
                          <w:sz w:val="18"/>
                          <w:szCs w:val="16"/>
                        </w:rPr>
                        <w:t>Obliczany jest jako średnia arytmetyczna sald odpowiedzi na pytania dotyczące zmiany w</w:t>
                      </w:r>
                      <w:r w:rsidR="00185238">
                        <w:rPr>
                          <w:rFonts w:ascii="Fira Sans" w:hAnsi="Fira Sans"/>
                          <w:color w:val="002060"/>
                          <w:sz w:val="18"/>
                          <w:szCs w:val="16"/>
                        </w:rPr>
                        <w:t> </w:t>
                      </w:r>
                      <w:r w:rsidRPr="00D52EBA">
                        <w:rPr>
                          <w:rFonts w:ascii="Fira Sans" w:hAnsi="Fira Sans"/>
                          <w:color w:val="002060"/>
                          <w:sz w:val="18"/>
                          <w:szCs w:val="16"/>
                        </w:rPr>
                        <w:t>ostatnim półroczu i</w:t>
                      </w:r>
                      <w:r w:rsidR="00D32051">
                        <w:rPr>
                          <w:rFonts w:ascii="Fira Sans" w:hAnsi="Fira Sans"/>
                          <w:color w:val="002060"/>
                          <w:sz w:val="18"/>
                          <w:szCs w:val="16"/>
                        </w:rPr>
                        <w:t> </w:t>
                      </w:r>
                      <w:r w:rsidRPr="00D52EBA">
                        <w:rPr>
                          <w:rFonts w:ascii="Fira Sans" w:hAnsi="Fira Sans"/>
                          <w:color w:val="002060"/>
                          <w:sz w:val="18"/>
                          <w:szCs w:val="16"/>
                        </w:rPr>
                        <w:t>przewidywanej sytuacji w</w:t>
                      </w:r>
                      <w:r w:rsidR="00D32051">
                        <w:rPr>
                          <w:rFonts w:ascii="Fira Sans" w:hAnsi="Fira Sans"/>
                          <w:color w:val="002060"/>
                          <w:sz w:val="18"/>
                          <w:szCs w:val="16"/>
                        </w:rPr>
                        <w:t> </w:t>
                      </w:r>
                      <w:r w:rsidRPr="00D52EBA">
                        <w:rPr>
                          <w:rFonts w:ascii="Fira Sans" w:hAnsi="Fira Sans"/>
                          <w:color w:val="002060"/>
                          <w:sz w:val="18"/>
                          <w:szCs w:val="16"/>
                        </w:rPr>
                        <w:t>gospodarstwach rolnych w</w:t>
                      </w:r>
                      <w:r w:rsidR="00D32051">
                        <w:rPr>
                          <w:rFonts w:ascii="Fira Sans" w:hAnsi="Fira Sans"/>
                          <w:color w:val="002060"/>
                          <w:sz w:val="18"/>
                          <w:szCs w:val="16"/>
                        </w:rPr>
                        <w:t> </w:t>
                      </w:r>
                      <w:r w:rsidRPr="00D52EBA">
                        <w:rPr>
                          <w:rFonts w:ascii="Fira Sans" w:hAnsi="Fira Sans"/>
                          <w:color w:val="002060"/>
                          <w:sz w:val="18"/>
                          <w:szCs w:val="16"/>
                        </w:rPr>
                        <w:t xml:space="preserve">najbliższym półroczu. </w:t>
                      </w:r>
                      <w:r w:rsidRPr="00081471">
                        <w:rPr>
                          <w:rFonts w:ascii="Fira Sans" w:hAnsi="Fira Sans"/>
                          <w:color w:val="002060"/>
                          <w:sz w:val="18"/>
                          <w:szCs w:val="16"/>
                        </w:rPr>
                        <w:t>Przyjmuje wartości od -100 do +100, przy czym wartości poniżej zera są oceniane jako negatywne (wskazujące na gorszą koniunkturę), a powyżej zera – jako pozytywne (wskazujące na dobrą koniunkturę). Wskaźnik przyjmujący wartość równą zero oznacza sytuację, gdy koniunktura nie zmienia się</w:t>
                      </w:r>
                    </w:p>
                  </w:txbxContent>
                </v:textbox>
                <w10:wrap type="tight" anchorx="page"/>
              </v:shape>
            </w:pict>
          </mc:Fallback>
        </mc:AlternateContent>
      </w:r>
      <w:r w:rsidR="00FA6DDB">
        <w:rPr>
          <w:rFonts w:ascii="Fira Sans" w:hAnsi="Fira Sans"/>
          <w:color w:val="000000" w:themeColor="text1"/>
          <w:sz w:val="19"/>
          <w:szCs w:val="19"/>
        </w:rPr>
        <w:t>Negatywne oceny ogólnej sytuacji w gospodarstwach</w:t>
      </w:r>
      <w:bookmarkStart w:id="0" w:name="_GoBack"/>
      <w:bookmarkEnd w:id="0"/>
      <w:r w:rsidR="00FA6DDB">
        <w:rPr>
          <w:rFonts w:ascii="Fira Sans" w:hAnsi="Fira Sans"/>
          <w:color w:val="000000" w:themeColor="text1"/>
          <w:sz w:val="19"/>
          <w:szCs w:val="19"/>
        </w:rPr>
        <w:t xml:space="preserve"> rolnych</w:t>
      </w:r>
      <w:r w:rsidR="00E64B1E" w:rsidRPr="00185238">
        <w:rPr>
          <w:rFonts w:ascii="Fira Sans" w:hAnsi="Fira Sans"/>
          <w:color w:val="000000" w:themeColor="text1"/>
          <w:sz w:val="19"/>
          <w:szCs w:val="19"/>
        </w:rPr>
        <w:t xml:space="preserve"> </w:t>
      </w:r>
      <w:r w:rsidR="00FA6DDB">
        <w:rPr>
          <w:rFonts w:ascii="Fira Sans" w:hAnsi="Fira Sans"/>
          <w:color w:val="000000" w:themeColor="text1"/>
          <w:sz w:val="19"/>
          <w:szCs w:val="19"/>
        </w:rPr>
        <w:t>r</w:t>
      </w:r>
      <w:r w:rsidR="00E64B1E" w:rsidRPr="00185238">
        <w:rPr>
          <w:rFonts w:ascii="Fira Sans" w:hAnsi="Fira Sans"/>
          <w:color w:val="000000" w:themeColor="text1"/>
          <w:sz w:val="19"/>
          <w:szCs w:val="19"/>
        </w:rPr>
        <w:t xml:space="preserve">óżniły się </w:t>
      </w:r>
      <w:r w:rsidR="00470014">
        <w:rPr>
          <w:rFonts w:ascii="Fira Sans" w:hAnsi="Fira Sans"/>
          <w:color w:val="000000" w:themeColor="text1"/>
          <w:sz w:val="19"/>
          <w:szCs w:val="19"/>
        </w:rPr>
        <w:t>pomiędzy gospodarstwami</w:t>
      </w:r>
      <w:r w:rsidR="00E64B1E" w:rsidRPr="00185238">
        <w:rPr>
          <w:rFonts w:ascii="Fira Sans" w:hAnsi="Fira Sans"/>
          <w:color w:val="000000" w:themeColor="text1"/>
          <w:sz w:val="19"/>
          <w:szCs w:val="19"/>
        </w:rPr>
        <w:t xml:space="preserve"> w zależności od kilku czynników, takich jak: forma prawna gospodarstwa rolnego, powierzchnia użytków rolnych, specjalizacja gospodarstw rolnych, rodzaj prowadzonych upraw i gatunków/grup użytkowych utrzymywanych zwierząt gospodarskich, a także wiek i wykształcenie osoby kierującej gospodarstwem rolnym.</w:t>
      </w:r>
    </w:p>
    <w:p w14:paraId="1CE264DB" w14:textId="77777777" w:rsidR="00E46BA1" w:rsidRPr="00185238" w:rsidRDefault="00E46BA1" w:rsidP="00185238">
      <w:pPr>
        <w:pStyle w:val="pf0"/>
        <w:spacing w:before="120" w:beforeAutospacing="0" w:after="120" w:afterAutospacing="0"/>
        <w:rPr>
          <w:rFonts w:ascii="Fira Sans" w:hAnsi="Fira Sans" w:cs="Arial"/>
          <w:sz w:val="19"/>
          <w:szCs w:val="19"/>
        </w:rPr>
      </w:pPr>
      <w:r w:rsidRPr="00185238">
        <w:rPr>
          <w:rStyle w:val="cf01"/>
          <w:rFonts w:ascii="Fira Sans" w:eastAsiaTheme="majorEastAsia" w:hAnsi="Fira Sans"/>
          <w:sz w:val="19"/>
          <w:szCs w:val="19"/>
        </w:rPr>
        <w:t xml:space="preserve">Wartość wskaźnika zmiany ogólnej sytuacji </w:t>
      </w:r>
      <w:r w:rsidR="008B3D3A" w:rsidRPr="00185238">
        <w:rPr>
          <w:rStyle w:val="cf01"/>
          <w:rFonts w:ascii="Fira Sans" w:eastAsiaTheme="majorEastAsia" w:hAnsi="Fira Sans"/>
          <w:sz w:val="19"/>
          <w:szCs w:val="19"/>
        </w:rPr>
        <w:t xml:space="preserve">w </w:t>
      </w:r>
      <w:r w:rsidRPr="00185238">
        <w:rPr>
          <w:rStyle w:val="cf01"/>
          <w:rFonts w:ascii="Fira Sans" w:eastAsiaTheme="majorEastAsia" w:hAnsi="Fira Sans"/>
          <w:sz w:val="19"/>
          <w:szCs w:val="19"/>
        </w:rPr>
        <w:t>gospodarstw</w:t>
      </w:r>
      <w:r w:rsidR="008B3D3A" w:rsidRPr="00185238">
        <w:rPr>
          <w:rStyle w:val="cf01"/>
          <w:rFonts w:ascii="Fira Sans" w:eastAsiaTheme="majorEastAsia" w:hAnsi="Fira Sans"/>
          <w:sz w:val="19"/>
          <w:szCs w:val="19"/>
        </w:rPr>
        <w:t>ach</w:t>
      </w:r>
      <w:r w:rsidRPr="00185238">
        <w:rPr>
          <w:rStyle w:val="cf01"/>
          <w:rFonts w:ascii="Fira Sans" w:eastAsiaTheme="majorEastAsia" w:hAnsi="Fira Sans"/>
          <w:sz w:val="19"/>
          <w:szCs w:val="19"/>
        </w:rPr>
        <w:t xml:space="preserve"> rolnych, tj. WZOS, wskazuje m.in., że:</w:t>
      </w:r>
    </w:p>
    <w:p w14:paraId="3443D4D7" w14:textId="77777777" w:rsidR="00E64B1E" w:rsidRPr="00185238" w:rsidRDefault="00E64B1E" w:rsidP="00185238">
      <w:pPr>
        <w:pStyle w:val="Akapitzlist"/>
        <w:numPr>
          <w:ilvl w:val="0"/>
          <w:numId w:val="4"/>
        </w:numPr>
        <w:spacing w:after="120"/>
        <w:ind w:left="357" w:hanging="357"/>
        <w:contextualSpacing w:val="0"/>
        <w:rPr>
          <w:rFonts w:ascii="Fira Sans" w:hAnsi="Fira Sans"/>
          <w:color w:val="000000" w:themeColor="text1"/>
          <w:sz w:val="19"/>
          <w:szCs w:val="19"/>
        </w:rPr>
      </w:pPr>
      <w:r w:rsidRPr="00185238">
        <w:rPr>
          <w:rFonts w:ascii="Fira Sans" w:hAnsi="Fira Sans"/>
          <w:color w:val="000000" w:themeColor="text1"/>
          <w:sz w:val="19"/>
          <w:szCs w:val="19"/>
        </w:rPr>
        <w:t>kierujący gospodarstwami indywidualnymi ocenili koniunkturę bardziej negatywnie</w:t>
      </w:r>
      <w:r w:rsidR="008B3D3A" w:rsidRPr="00185238">
        <w:rPr>
          <w:rFonts w:ascii="Fira Sans" w:hAnsi="Fira Sans"/>
          <w:color w:val="000000" w:themeColor="text1"/>
          <w:sz w:val="19"/>
          <w:szCs w:val="19"/>
        </w:rPr>
        <w:t xml:space="preserve"> (wskaźnik minus 23,6) </w:t>
      </w:r>
      <w:r w:rsidRPr="00185238">
        <w:rPr>
          <w:rFonts w:ascii="Fira Sans" w:hAnsi="Fira Sans"/>
          <w:color w:val="000000" w:themeColor="text1"/>
          <w:sz w:val="19"/>
          <w:szCs w:val="19"/>
        </w:rPr>
        <w:t>niż kierujący gospodarstwami osób prawnych i niemających osobowości prawnej (minus 21,3),</w:t>
      </w:r>
    </w:p>
    <w:p w14:paraId="2949072F" w14:textId="2F79D320" w:rsidR="00E46BA1" w:rsidRPr="00185238" w:rsidRDefault="00E46BA1" w:rsidP="00185238">
      <w:pPr>
        <w:pStyle w:val="Akapitzlist"/>
        <w:numPr>
          <w:ilvl w:val="0"/>
          <w:numId w:val="4"/>
        </w:numPr>
        <w:spacing w:after="120"/>
        <w:ind w:left="357" w:hanging="357"/>
        <w:contextualSpacing w:val="0"/>
        <w:rPr>
          <w:rStyle w:val="cf01"/>
          <w:rFonts w:ascii="Fira Sans" w:hAnsi="Fira Sans" w:cstheme="minorBidi"/>
          <w:color w:val="000000" w:themeColor="text1"/>
          <w:sz w:val="19"/>
          <w:szCs w:val="19"/>
        </w:rPr>
      </w:pPr>
      <w:r w:rsidRPr="00185238">
        <w:rPr>
          <w:rFonts w:ascii="Fira Sans" w:hAnsi="Fira Sans"/>
          <w:color w:val="000000" w:themeColor="text1"/>
          <w:sz w:val="19"/>
          <w:szCs w:val="19"/>
        </w:rPr>
        <w:t>rolnicy zajmujący się produkcją roślinną wyrazili najbardziej pesymistyczne opinie</w:t>
      </w:r>
      <w:r w:rsidR="0014698C" w:rsidRPr="00185238">
        <w:rPr>
          <w:rFonts w:ascii="Fira Sans" w:hAnsi="Fira Sans"/>
          <w:color w:val="000000" w:themeColor="text1"/>
          <w:sz w:val="19"/>
          <w:szCs w:val="19"/>
        </w:rPr>
        <w:t xml:space="preserve"> (</w:t>
      </w:r>
      <w:r w:rsidR="003055C3" w:rsidRPr="00185238">
        <w:rPr>
          <w:rFonts w:ascii="Fira Sans" w:hAnsi="Fira Sans"/>
          <w:color w:val="000000" w:themeColor="text1"/>
          <w:sz w:val="19"/>
          <w:szCs w:val="19"/>
        </w:rPr>
        <w:t xml:space="preserve">wskaźnik </w:t>
      </w:r>
      <w:r w:rsidR="0014698C" w:rsidRPr="00185238">
        <w:rPr>
          <w:rFonts w:ascii="Fira Sans" w:hAnsi="Fira Sans"/>
          <w:color w:val="000000" w:themeColor="text1"/>
          <w:sz w:val="19"/>
          <w:szCs w:val="19"/>
        </w:rPr>
        <w:t>minus 25,7)</w:t>
      </w:r>
      <w:r w:rsidR="000665CB" w:rsidRPr="00185238">
        <w:rPr>
          <w:rFonts w:ascii="Fira Sans" w:hAnsi="Fira Sans"/>
          <w:color w:val="000000" w:themeColor="text1"/>
          <w:sz w:val="19"/>
          <w:szCs w:val="19"/>
        </w:rPr>
        <w:t>,</w:t>
      </w:r>
      <w:r w:rsidRPr="00185238">
        <w:rPr>
          <w:rFonts w:ascii="Fira Sans" w:hAnsi="Fira Sans"/>
          <w:color w:val="000000" w:themeColor="text1"/>
          <w:sz w:val="19"/>
          <w:szCs w:val="19"/>
        </w:rPr>
        <w:t xml:space="preserve"> </w:t>
      </w:r>
      <w:r w:rsidR="000665CB" w:rsidRPr="00185238">
        <w:rPr>
          <w:rFonts w:ascii="Fira Sans" w:hAnsi="Fira Sans"/>
          <w:color w:val="000000" w:themeColor="text1"/>
          <w:sz w:val="19"/>
          <w:szCs w:val="19"/>
        </w:rPr>
        <w:t>n</w:t>
      </w:r>
      <w:r w:rsidRPr="00185238">
        <w:rPr>
          <w:rFonts w:ascii="Fira Sans" w:hAnsi="Fira Sans"/>
          <w:color w:val="000000" w:themeColor="text1"/>
          <w:sz w:val="19"/>
          <w:szCs w:val="19"/>
        </w:rPr>
        <w:t xml:space="preserve">atomiast </w:t>
      </w:r>
      <w:r w:rsidR="000665CB" w:rsidRPr="00185238">
        <w:rPr>
          <w:rFonts w:ascii="Fira Sans" w:hAnsi="Fira Sans"/>
          <w:color w:val="000000" w:themeColor="text1"/>
          <w:sz w:val="19"/>
          <w:szCs w:val="19"/>
        </w:rPr>
        <w:t xml:space="preserve">najmniej negatywne oceny zaobserwowano wśród </w:t>
      </w:r>
      <w:r w:rsidRPr="00185238">
        <w:rPr>
          <w:rFonts w:ascii="Fira Sans" w:hAnsi="Fira Sans"/>
          <w:color w:val="000000" w:themeColor="text1"/>
          <w:sz w:val="19"/>
          <w:szCs w:val="19"/>
        </w:rPr>
        <w:t>użytkowni</w:t>
      </w:r>
      <w:r w:rsidR="000665CB" w:rsidRPr="00185238">
        <w:rPr>
          <w:rFonts w:ascii="Fira Sans" w:hAnsi="Fira Sans"/>
          <w:color w:val="000000" w:themeColor="text1"/>
          <w:sz w:val="19"/>
          <w:szCs w:val="19"/>
        </w:rPr>
        <w:t>ków</w:t>
      </w:r>
      <w:r w:rsidRPr="00185238">
        <w:rPr>
          <w:rFonts w:ascii="Fira Sans" w:hAnsi="Fira Sans"/>
          <w:color w:val="000000" w:themeColor="text1"/>
          <w:sz w:val="19"/>
          <w:szCs w:val="19"/>
        </w:rPr>
        <w:t xml:space="preserve"> gospodarstw ukierunkowanych na produkcję zwierzęcą (minus 13,6),</w:t>
      </w:r>
    </w:p>
    <w:p w14:paraId="71A5700F" w14:textId="7460D49E" w:rsidR="009D22A1" w:rsidRPr="00185238" w:rsidRDefault="009D22A1" w:rsidP="00185238">
      <w:pPr>
        <w:pStyle w:val="Akapitzlist"/>
        <w:numPr>
          <w:ilvl w:val="0"/>
          <w:numId w:val="4"/>
        </w:numPr>
        <w:spacing w:after="120"/>
        <w:ind w:left="357" w:hanging="357"/>
        <w:contextualSpacing w:val="0"/>
        <w:rPr>
          <w:rFonts w:ascii="Fira Sans" w:hAnsi="Fira Sans"/>
          <w:b/>
          <w:sz w:val="19"/>
          <w:szCs w:val="19"/>
        </w:rPr>
      </w:pPr>
      <w:r w:rsidRPr="00185238">
        <w:rPr>
          <w:rFonts w:ascii="Fira Sans" w:hAnsi="Fira Sans"/>
          <w:color w:val="000000" w:themeColor="text1"/>
          <w:sz w:val="19"/>
          <w:szCs w:val="19"/>
        </w:rPr>
        <w:t xml:space="preserve">najbardziej </w:t>
      </w:r>
      <w:r w:rsidR="000665CB" w:rsidRPr="00185238">
        <w:rPr>
          <w:rFonts w:ascii="Fira Sans" w:hAnsi="Fira Sans"/>
          <w:color w:val="000000" w:themeColor="text1"/>
          <w:sz w:val="19"/>
          <w:szCs w:val="19"/>
        </w:rPr>
        <w:t>pesymistyczne</w:t>
      </w:r>
      <w:r w:rsidRPr="00185238">
        <w:rPr>
          <w:rFonts w:ascii="Fira Sans" w:hAnsi="Fira Sans"/>
          <w:color w:val="000000" w:themeColor="text1"/>
          <w:sz w:val="19"/>
          <w:szCs w:val="19"/>
        </w:rPr>
        <w:t xml:space="preserve"> oceny koniunktury </w:t>
      </w:r>
      <w:r w:rsidR="000665CB" w:rsidRPr="00185238">
        <w:rPr>
          <w:rFonts w:ascii="Fira Sans" w:hAnsi="Fira Sans"/>
          <w:color w:val="000000" w:themeColor="text1"/>
          <w:sz w:val="19"/>
          <w:szCs w:val="19"/>
        </w:rPr>
        <w:t xml:space="preserve">formułowali </w:t>
      </w:r>
      <w:r w:rsidR="000A638A" w:rsidRPr="00185238">
        <w:rPr>
          <w:rFonts w:ascii="Fira Sans" w:hAnsi="Fira Sans"/>
          <w:sz w:val="19"/>
          <w:szCs w:val="19"/>
        </w:rPr>
        <w:t>użytkownicy</w:t>
      </w:r>
      <w:r w:rsidR="000A638A" w:rsidRPr="00185238">
        <w:rPr>
          <w:rFonts w:ascii="Fira Sans" w:hAnsi="Fira Sans"/>
          <w:color w:val="000000" w:themeColor="text1"/>
          <w:sz w:val="19"/>
          <w:szCs w:val="19"/>
        </w:rPr>
        <w:t xml:space="preserve"> </w:t>
      </w:r>
      <w:r w:rsidRPr="00185238">
        <w:rPr>
          <w:rFonts w:ascii="Fira Sans" w:hAnsi="Fira Sans"/>
          <w:color w:val="000000" w:themeColor="text1"/>
          <w:sz w:val="19"/>
          <w:szCs w:val="19"/>
        </w:rPr>
        <w:t>gospodarstw o</w:t>
      </w:r>
      <w:r w:rsidR="00185238" w:rsidRPr="00185238">
        <w:rPr>
          <w:rFonts w:ascii="Fira Sans" w:hAnsi="Fira Sans"/>
          <w:color w:val="000000" w:themeColor="text1"/>
          <w:sz w:val="19"/>
          <w:szCs w:val="19"/>
        </w:rPr>
        <w:t> </w:t>
      </w:r>
      <w:r w:rsidRPr="00185238">
        <w:rPr>
          <w:rFonts w:ascii="Fira Sans" w:hAnsi="Fira Sans"/>
          <w:color w:val="000000" w:themeColor="text1"/>
          <w:sz w:val="19"/>
          <w:szCs w:val="19"/>
        </w:rPr>
        <w:t>powierzchni co najmniej 100 ha (</w:t>
      </w:r>
      <w:r w:rsidR="003B4893" w:rsidRPr="00185238">
        <w:rPr>
          <w:rFonts w:ascii="Fira Sans" w:hAnsi="Fira Sans"/>
          <w:color w:val="000000" w:themeColor="text1"/>
          <w:sz w:val="19"/>
          <w:szCs w:val="19"/>
        </w:rPr>
        <w:t xml:space="preserve">wskaźnik </w:t>
      </w:r>
      <w:r w:rsidRPr="00185238">
        <w:rPr>
          <w:rFonts w:ascii="Fira Sans" w:hAnsi="Fira Sans"/>
          <w:color w:val="000000" w:themeColor="text1"/>
          <w:sz w:val="19"/>
          <w:szCs w:val="19"/>
        </w:rPr>
        <w:t xml:space="preserve">minus 26,9), natomiast najmniej pesymistyczne </w:t>
      </w:r>
      <w:r w:rsidRPr="00185238">
        <w:rPr>
          <w:rFonts w:ascii="Fira Sans" w:hAnsi="Fira Sans"/>
          <w:sz w:val="19"/>
          <w:szCs w:val="19"/>
        </w:rPr>
        <w:t>użytkownicy</w:t>
      </w:r>
      <w:r w:rsidRPr="00185238">
        <w:rPr>
          <w:rFonts w:ascii="Fira Sans" w:hAnsi="Fira Sans"/>
          <w:color w:val="000000" w:themeColor="text1"/>
          <w:sz w:val="19"/>
          <w:szCs w:val="19"/>
        </w:rPr>
        <w:t xml:space="preserve"> gospodarstw o powierzchni użytków rolnych od 1 do 2 ha (minus 19,6)</w:t>
      </w:r>
      <w:r w:rsidR="000665CB" w:rsidRPr="00185238">
        <w:rPr>
          <w:rFonts w:ascii="Fira Sans" w:hAnsi="Fira Sans"/>
          <w:color w:val="000000" w:themeColor="text1"/>
          <w:sz w:val="19"/>
          <w:szCs w:val="19"/>
        </w:rPr>
        <w:t>,</w:t>
      </w:r>
    </w:p>
    <w:p w14:paraId="72C8F56B" w14:textId="718BE18C" w:rsidR="009D22A1" w:rsidRPr="00185238" w:rsidRDefault="009D22A1" w:rsidP="00185238">
      <w:pPr>
        <w:pStyle w:val="Akapitzlist"/>
        <w:numPr>
          <w:ilvl w:val="0"/>
          <w:numId w:val="4"/>
        </w:numPr>
        <w:spacing w:after="120"/>
        <w:ind w:left="357" w:hanging="357"/>
        <w:contextualSpacing w:val="0"/>
        <w:rPr>
          <w:rFonts w:ascii="Fira Sans" w:hAnsi="Fira Sans"/>
          <w:b/>
          <w:sz w:val="19"/>
          <w:szCs w:val="19"/>
        </w:rPr>
      </w:pPr>
      <w:r w:rsidRPr="00185238">
        <w:rPr>
          <w:rFonts w:ascii="Fira Sans" w:hAnsi="Fira Sans"/>
          <w:color w:val="000000" w:themeColor="text1"/>
          <w:sz w:val="19"/>
          <w:szCs w:val="19"/>
        </w:rPr>
        <w:t>najbardziej negatywne oceny koniunktury wyrazili kierujący gospodarstwami rolnymi w</w:t>
      </w:r>
      <w:r w:rsidR="00185238" w:rsidRPr="00185238">
        <w:rPr>
          <w:rFonts w:ascii="Fira Sans" w:hAnsi="Fira Sans"/>
          <w:color w:val="000000" w:themeColor="text1"/>
          <w:sz w:val="19"/>
          <w:szCs w:val="19"/>
        </w:rPr>
        <w:t> </w:t>
      </w:r>
      <w:r w:rsidRPr="00185238">
        <w:rPr>
          <w:rFonts w:ascii="Fira Sans" w:hAnsi="Fira Sans"/>
          <w:color w:val="000000" w:themeColor="text1"/>
          <w:sz w:val="19"/>
          <w:szCs w:val="19"/>
        </w:rPr>
        <w:t>wieku 55-64 lata (minus 27,7), osoby z wykształceniem policealnym rolniczym (minus</w:t>
      </w:r>
      <w:r w:rsidR="0068547F">
        <w:rPr>
          <w:rFonts w:ascii="Fira Sans" w:hAnsi="Fira Sans"/>
          <w:color w:val="000000" w:themeColor="text1"/>
          <w:sz w:val="19"/>
          <w:szCs w:val="19"/>
        </w:rPr>
        <w:t> </w:t>
      </w:r>
      <w:r w:rsidRPr="00185238">
        <w:rPr>
          <w:rFonts w:ascii="Fira Sans" w:hAnsi="Fira Sans"/>
          <w:color w:val="000000" w:themeColor="text1"/>
          <w:sz w:val="19"/>
          <w:szCs w:val="19"/>
        </w:rPr>
        <w:t>30,7), a także prowadzący gospodarstwa przez okres dłuższy niż 20 lat (minus</w:t>
      </w:r>
      <w:r w:rsidR="0068547F">
        <w:rPr>
          <w:rFonts w:ascii="Fira Sans" w:hAnsi="Fira Sans"/>
          <w:color w:val="000000" w:themeColor="text1"/>
          <w:sz w:val="19"/>
          <w:szCs w:val="19"/>
        </w:rPr>
        <w:t> </w:t>
      </w:r>
      <w:r w:rsidRPr="00185238">
        <w:rPr>
          <w:rFonts w:ascii="Fira Sans" w:hAnsi="Fira Sans"/>
          <w:color w:val="000000" w:themeColor="text1"/>
          <w:sz w:val="19"/>
          <w:szCs w:val="19"/>
        </w:rPr>
        <w:t>27,6).</w:t>
      </w:r>
    </w:p>
    <w:p w14:paraId="227C0162" w14:textId="5E8F81F7" w:rsidR="00903778" w:rsidRPr="00185238" w:rsidRDefault="00A00B80" w:rsidP="00F32B43">
      <w:pPr>
        <w:pStyle w:val="Akapitzlist"/>
        <w:spacing w:before="360" w:after="120" w:line="240" w:lineRule="auto"/>
        <w:ind w:left="0"/>
        <w:contextualSpacing w:val="0"/>
        <w:rPr>
          <w:rFonts w:ascii="Fira Sans" w:hAnsi="Fira Sans"/>
          <w:b/>
          <w:sz w:val="19"/>
          <w:szCs w:val="19"/>
        </w:rPr>
      </w:pPr>
      <w:r w:rsidRPr="00185238">
        <w:rPr>
          <w:rFonts w:ascii="Fira Sans" w:hAnsi="Fira Sans"/>
          <w:b/>
          <w:sz w:val="19"/>
          <w:szCs w:val="19"/>
        </w:rPr>
        <w:t xml:space="preserve">Wykres </w:t>
      </w:r>
      <w:r w:rsidR="004F1585" w:rsidRPr="00185238">
        <w:rPr>
          <w:rFonts w:ascii="Fira Sans" w:hAnsi="Fira Sans"/>
          <w:b/>
          <w:sz w:val="19"/>
          <w:szCs w:val="19"/>
        </w:rPr>
        <w:t>1</w:t>
      </w:r>
      <w:r w:rsidRPr="00185238">
        <w:rPr>
          <w:rFonts w:ascii="Fira Sans" w:hAnsi="Fira Sans"/>
          <w:b/>
          <w:sz w:val="19"/>
          <w:szCs w:val="19"/>
        </w:rPr>
        <w:t>.</w:t>
      </w:r>
      <w:r w:rsidR="00BB6EB5" w:rsidRPr="00185238">
        <w:rPr>
          <w:rFonts w:ascii="Fira Sans" w:hAnsi="Fira Sans"/>
          <w:b/>
          <w:sz w:val="19"/>
          <w:szCs w:val="19"/>
        </w:rPr>
        <w:t xml:space="preserve"> </w:t>
      </w:r>
      <w:r w:rsidRPr="00185238">
        <w:rPr>
          <w:rFonts w:ascii="Fira Sans" w:hAnsi="Fira Sans"/>
          <w:b/>
          <w:sz w:val="19"/>
          <w:szCs w:val="19"/>
        </w:rPr>
        <w:t xml:space="preserve">Wskaźnik zmiany ogólnej </w:t>
      </w:r>
      <w:r w:rsidR="007945B4" w:rsidRPr="00185238">
        <w:rPr>
          <w:rFonts w:ascii="Fira Sans" w:hAnsi="Fira Sans"/>
          <w:b/>
          <w:sz w:val="19"/>
          <w:szCs w:val="19"/>
        </w:rPr>
        <w:t xml:space="preserve">sytuacji w </w:t>
      </w:r>
      <w:r w:rsidRPr="00185238">
        <w:rPr>
          <w:rFonts w:ascii="Fira Sans" w:hAnsi="Fira Sans"/>
          <w:b/>
          <w:sz w:val="19"/>
          <w:szCs w:val="19"/>
        </w:rPr>
        <w:t>gospodarstwa</w:t>
      </w:r>
      <w:r w:rsidR="007945B4" w:rsidRPr="00185238">
        <w:rPr>
          <w:rFonts w:ascii="Fira Sans" w:hAnsi="Fira Sans"/>
          <w:b/>
          <w:sz w:val="19"/>
          <w:szCs w:val="19"/>
        </w:rPr>
        <w:t>ch</w:t>
      </w:r>
      <w:r w:rsidRPr="00185238">
        <w:rPr>
          <w:rFonts w:ascii="Fira Sans" w:hAnsi="Fira Sans"/>
          <w:b/>
          <w:sz w:val="19"/>
          <w:szCs w:val="19"/>
        </w:rPr>
        <w:t xml:space="preserve"> roln</w:t>
      </w:r>
      <w:r w:rsidR="007945B4" w:rsidRPr="00185238">
        <w:rPr>
          <w:rFonts w:ascii="Fira Sans" w:hAnsi="Fira Sans"/>
          <w:b/>
          <w:sz w:val="19"/>
          <w:szCs w:val="19"/>
        </w:rPr>
        <w:t>yc</w:t>
      </w:r>
      <w:r w:rsidR="006C6432" w:rsidRPr="00185238">
        <w:rPr>
          <w:rFonts w:ascii="Fira Sans" w:hAnsi="Fira Sans"/>
          <w:b/>
          <w:sz w:val="19"/>
          <w:szCs w:val="19"/>
        </w:rPr>
        <w:t>h</w:t>
      </w:r>
    </w:p>
    <w:p w14:paraId="4279D698" w14:textId="31CDCA64" w:rsidR="00185238" w:rsidRPr="00185238" w:rsidRDefault="00185238" w:rsidP="00484F8D">
      <w:pPr>
        <w:pStyle w:val="Akapitzlist"/>
        <w:spacing w:before="120" w:after="120" w:line="240" w:lineRule="auto"/>
        <w:ind w:left="0"/>
        <w:contextualSpacing w:val="0"/>
        <w:rPr>
          <w:rFonts w:ascii="Fira Sans" w:hAnsi="Fira Sans"/>
          <w:b/>
          <w:sz w:val="19"/>
          <w:szCs w:val="19"/>
        </w:rPr>
      </w:pPr>
      <w:r w:rsidRPr="00185238">
        <w:rPr>
          <w:rFonts w:ascii="Fira Sans" w:hAnsi="Fira Sans"/>
          <w:b/>
          <w:noProof/>
          <w:sz w:val="19"/>
          <w:szCs w:val="19"/>
        </w:rPr>
        <w:drawing>
          <wp:inline distT="0" distB="0" distL="0" distR="0" wp14:anchorId="05041E06" wp14:editId="5F016419">
            <wp:extent cx="5162967" cy="1901825"/>
            <wp:effectExtent l="0" t="0" r="0" b="3175"/>
            <wp:docPr id="4" name="Obraz 4" descr="Wykres 1. Wskaźnik zmiany ogólnej sytuacji w gospodarstwach rolnych - wartości prezentowane w częstotliwości co pół roku w latach 2012-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Wykres 1. Wskaźnik zmiany ogólnej sytuacji w gospodarstwach rolnych - wartości prezentowane w częstotliwości co pół roku w latach 2012-202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162967" cy="1901825"/>
                    </a:xfrm>
                    <a:prstGeom prst="rect">
                      <a:avLst/>
                    </a:prstGeom>
                    <a:noFill/>
                  </pic:spPr>
                </pic:pic>
              </a:graphicData>
            </a:graphic>
          </wp:inline>
        </w:drawing>
      </w:r>
    </w:p>
    <w:p w14:paraId="0A4DDBA8" w14:textId="7309A9B2" w:rsidR="009E6553" w:rsidRPr="00185238" w:rsidRDefault="009E6553" w:rsidP="00484F8D">
      <w:pPr>
        <w:spacing w:before="360" w:after="120" w:line="259" w:lineRule="auto"/>
        <w:rPr>
          <w:rFonts w:ascii="Fira Sans" w:hAnsi="Fira Sans"/>
          <w:b/>
          <w:color w:val="FF0000"/>
          <w:sz w:val="24"/>
          <w:szCs w:val="24"/>
        </w:rPr>
      </w:pPr>
      <w:r w:rsidRPr="00185238">
        <w:rPr>
          <w:rFonts w:ascii="Fira Sans" w:hAnsi="Fira Sans"/>
          <w:b/>
          <w:color w:val="002060"/>
          <w:sz w:val="24"/>
          <w:szCs w:val="24"/>
        </w:rPr>
        <w:lastRenderedPageBreak/>
        <w:t>Diagnoza</w:t>
      </w:r>
      <w:r w:rsidR="006C3918" w:rsidRPr="00185238">
        <w:rPr>
          <w:rFonts w:ascii="Fira Sans" w:hAnsi="Fira Sans"/>
          <w:b/>
          <w:color w:val="002060"/>
          <w:sz w:val="24"/>
          <w:szCs w:val="24"/>
        </w:rPr>
        <w:t xml:space="preserve"> sytuacj</w:t>
      </w:r>
      <w:r w:rsidRPr="00185238">
        <w:rPr>
          <w:rFonts w:ascii="Fira Sans" w:hAnsi="Fira Sans"/>
          <w:b/>
          <w:color w:val="002060"/>
          <w:sz w:val="24"/>
          <w:szCs w:val="24"/>
        </w:rPr>
        <w:t>i</w:t>
      </w:r>
      <w:r w:rsidR="006C3918" w:rsidRPr="00185238">
        <w:rPr>
          <w:rFonts w:ascii="Fira Sans" w:hAnsi="Fira Sans"/>
          <w:b/>
          <w:color w:val="002060"/>
          <w:sz w:val="24"/>
          <w:szCs w:val="24"/>
        </w:rPr>
        <w:t xml:space="preserve"> w gospodarstwach rolnych </w:t>
      </w:r>
      <w:r w:rsidRPr="00185238">
        <w:rPr>
          <w:rFonts w:ascii="Fira Sans" w:hAnsi="Fira Sans"/>
          <w:b/>
          <w:color w:val="002060"/>
          <w:sz w:val="24"/>
          <w:szCs w:val="24"/>
        </w:rPr>
        <w:t xml:space="preserve">w </w:t>
      </w:r>
      <w:r w:rsidR="000A638A" w:rsidRPr="00185238">
        <w:rPr>
          <w:rFonts w:ascii="Fira Sans" w:hAnsi="Fira Sans"/>
          <w:b/>
          <w:color w:val="002060"/>
          <w:sz w:val="24"/>
          <w:szCs w:val="24"/>
        </w:rPr>
        <w:t xml:space="preserve">czerwcu 2025 </w:t>
      </w:r>
      <w:r w:rsidRPr="00185238">
        <w:rPr>
          <w:rFonts w:ascii="Fira Sans" w:hAnsi="Fira Sans"/>
          <w:b/>
          <w:color w:val="002060"/>
          <w:sz w:val="24"/>
          <w:szCs w:val="24"/>
        </w:rPr>
        <w:t>r.</w:t>
      </w:r>
    </w:p>
    <w:p w14:paraId="67F06158" w14:textId="77777777" w:rsidR="006C3918" w:rsidRPr="00185238" w:rsidRDefault="00341F92" w:rsidP="00E360C7">
      <w:pPr>
        <w:spacing w:before="360" w:after="120"/>
        <w:rPr>
          <w:rFonts w:ascii="Fira Sans" w:hAnsi="Fira Sans"/>
          <w:b/>
          <w:color w:val="002060"/>
          <w:sz w:val="19"/>
          <w:szCs w:val="19"/>
        </w:rPr>
      </w:pPr>
      <w:r w:rsidRPr="00185238">
        <w:rPr>
          <w:rFonts w:ascii="Fira Sans" w:hAnsi="Fira Sans"/>
          <w:noProof/>
          <w:color w:val="000000" w:themeColor="text1"/>
          <w:sz w:val="24"/>
          <w:szCs w:val="24"/>
          <w:lang w:eastAsia="pl-PL"/>
        </w:rPr>
        <mc:AlternateContent>
          <mc:Choice Requires="wps">
            <w:drawing>
              <wp:anchor distT="45720" distB="45720" distL="114300" distR="114300" simplePos="0" relativeHeight="253033472" behindDoc="1" locked="0" layoutInCell="1" allowOverlap="1" wp14:anchorId="523CC5E6" wp14:editId="3AF3EB94">
                <wp:simplePos x="0" y="0"/>
                <wp:positionH relativeFrom="page">
                  <wp:posOffset>5724525</wp:posOffset>
                </wp:positionH>
                <wp:positionV relativeFrom="paragraph">
                  <wp:posOffset>129540</wp:posOffset>
                </wp:positionV>
                <wp:extent cx="1800000" cy="1404000"/>
                <wp:effectExtent l="0" t="0" r="0" b="5715"/>
                <wp:wrapTight wrapText="bothSides">
                  <wp:wrapPolygon edited="0">
                    <wp:start x="686" y="0"/>
                    <wp:lineTo x="686" y="21395"/>
                    <wp:lineTo x="20807" y="21395"/>
                    <wp:lineTo x="20807" y="0"/>
                    <wp:lineTo x="686" y="0"/>
                  </wp:wrapPolygon>
                </wp:wrapTight>
                <wp:docPr id="483443242" name="Pole tekstowe 483443242" descr="Saldo jest różnicą między procentowym udziałem odpowiedzi pozytywnych oraz procentowym udziałem odpowiedzi negatywnych. Saldo odpowiedzi nie uwzględnia wariantu neutralne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404000"/>
                        </a:xfrm>
                        <a:prstGeom prst="rect">
                          <a:avLst/>
                        </a:prstGeom>
                        <a:noFill/>
                        <a:ln w="9525">
                          <a:noFill/>
                          <a:miter lim="800000"/>
                          <a:headEnd/>
                          <a:tailEnd/>
                        </a:ln>
                      </wps:spPr>
                      <wps:txbx>
                        <w:txbxContent>
                          <w:p w14:paraId="28315C98" w14:textId="77777777" w:rsidR="004429EF" w:rsidRPr="00C06378" w:rsidRDefault="004429EF" w:rsidP="0073187B">
                            <w:pPr>
                              <w:pStyle w:val="Tekstkomentarza"/>
                              <w:rPr>
                                <w:rFonts w:ascii="Fira Sans" w:hAnsi="Fira Sans"/>
                                <w:color w:val="002060"/>
                                <w:sz w:val="19"/>
                                <w:szCs w:val="19"/>
                              </w:rPr>
                            </w:pPr>
                            <w:r w:rsidRPr="00C06378">
                              <w:rPr>
                                <w:rFonts w:ascii="Fira Sans" w:hAnsi="Fira Sans"/>
                                <w:color w:val="002060"/>
                                <w:sz w:val="19"/>
                                <w:szCs w:val="19"/>
                              </w:rPr>
                              <w:t>Saldo jest różnicą między procentowym udziałem odpowiedzi pozytywnych oraz procentowym udziałem odpowiedzi negatywnych. Saldo odpowiedzi</w:t>
                            </w:r>
                            <w:r>
                              <w:rPr>
                                <w:rFonts w:ascii="Fira Sans" w:hAnsi="Fira Sans"/>
                                <w:color w:val="002060"/>
                                <w:sz w:val="19"/>
                                <w:szCs w:val="19"/>
                              </w:rPr>
                              <w:t xml:space="preserve"> </w:t>
                            </w:r>
                            <w:r w:rsidRPr="00C06378">
                              <w:rPr>
                                <w:rFonts w:ascii="Fira Sans" w:hAnsi="Fira Sans"/>
                                <w:color w:val="002060"/>
                                <w:sz w:val="19"/>
                                <w:szCs w:val="19"/>
                              </w:rPr>
                              <w:t>nie uwzględnia wariantu neutralnego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3CC5E6" id="Pole tekstowe 483443242" o:spid="_x0000_s1028" type="#_x0000_t202" alt="Saldo jest różnicą między procentowym udziałem odpowiedzi pozytywnych oraz procentowym udziałem odpowiedzi negatywnych. Saldo odpowiedzi nie uwzględnia wariantu neutralnego" style="position:absolute;margin-left:450.75pt;margin-top:10.2pt;width:141.75pt;height:110.55pt;z-index:-250283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" filled="f" stroked="f">
                <v:textbox>
                  <w:txbxContent>
                    <w:p w14:paraId="28315C98" w14:textId="77777777" w:rsidR="004429EF" w:rsidRPr="00C06378" w:rsidRDefault="004429EF" w:rsidP="0073187B">
                      <w:pPr>
                        <w:pStyle w:val="Tekstkomentarza"/>
                        <w:rPr>
                          <w:rFonts w:ascii="Fira Sans" w:hAnsi="Fira Sans"/>
                          <w:color w:val="002060"/>
                          <w:sz w:val="19"/>
                          <w:szCs w:val="19"/>
                        </w:rPr>
                      </w:pPr>
                      <w:r w:rsidRPr="00C06378">
                        <w:rPr>
                          <w:rFonts w:ascii="Fira Sans" w:hAnsi="Fira Sans"/>
                          <w:color w:val="002060"/>
                          <w:sz w:val="19"/>
                          <w:szCs w:val="19"/>
                        </w:rPr>
                        <w:t>Saldo jest różnicą między procentowym udziałem odpowiedzi pozytywnych oraz procentowym udziałem odpowiedzi negatywnych. Saldo odpowiedzi</w:t>
                      </w:r>
                      <w:r>
                        <w:rPr>
                          <w:rFonts w:ascii="Fira Sans" w:hAnsi="Fira Sans"/>
                          <w:color w:val="002060"/>
                          <w:sz w:val="19"/>
                          <w:szCs w:val="19"/>
                        </w:rPr>
                        <w:t xml:space="preserve"> </w:t>
                      </w:r>
                      <w:r w:rsidRPr="00C06378">
                        <w:rPr>
                          <w:rFonts w:ascii="Fira Sans" w:hAnsi="Fira Sans"/>
                          <w:color w:val="002060"/>
                          <w:sz w:val="19"/>
                          <w:szCs w:val="19"/>
                        </w:rPr>
                        <w:t>nie uwzględnia wariantu neutralnego</w:t>
                      </w:r>
                    </w:p>
                  </w:txbxContent>
                </v:textbox>
                <w10:wrap type="tight" anchorx="page"/>
              </v:shape>
            </w:pict>
          </mc:Fallback>
        </mc:AlternateContent>
      </w:r>
      <w:r w:rsidR="006C3918" w:rsidRPr="00185238">
        <w:rPr>
          <w:rFonts w:ascii="Fira Sans" w:hAnsi="Fira Sans"/>
          <w:b/>
          <w:color w:val="002060"/>
          <w:sz w:val="19"/>
          <w:szCs w:val="19"/>
        </w:rPr>
        <w:t>Opłacalność produkcji rolniczej</w:t>
      </w:r>
    </w:p>
    <w:p w14:paraId="0BD35858" w14:textId="77777777" w:rsidR="000C5AB5" w:rsidRPr="00185238" w:rsidRDefault="000C5AB5" w:rsidP="00484F8D">
      <w:pPr>
        <w:spacing w:before="120" w:after="120" w:line="288" w:lineRule="auto"/>
        <w:rPr>
          <w:rFonts w:ascii="Fira Sans" w:hAnsi="Fira Sans"/>
          <w:color w:val="000000" w:themeColor="text1"/>
          <w:sz w:val="19"/>
          <w:szCs w:val="19"/>
        </w:rPr>
      </w:pPr>
      <w:r w:rsidRPr="00185238">
        <w:rPr>
          <w:rFonts w:ascii="Fira Sans" w:hAnsi="Fira Sans"/>
          <w:color w:val="000000" w:themeColor="text1"/>
          <w:sz w:val="19"/>
          <w:szCs w:val="19"/>
        </w:rPr>
        <w:t>Użytkownicy gospodarstw rolnych ocenili opłacalność produkcji prowadzonej w czerwcu br. lepiej niż produkcji prowadzonej w grudniu 2024 r. i czerwcu 2024 r. Saldo odpowiedzi na pytania dotyczące opłacalności produkcji wzrosło odpowiednio o 5,8 pkt i 16,6 pkt. Pomimo tej poprawy, w opinii większości rolników, produkcja w czerwcu br. była nieopłacalna (saldo odpowiedzi wyniosło minus 11,5).</w:t>
      </w:r>
    </w:p>
    <w:p w14:paraId="45F0E69C" w14:textId="6AD929D9" w:rsidR="006E3C23" w:rsidRPr="00185238" w:rsidRDefault="001B0EB6" w:rsidP="00484F8D">
      <w:pPr>
        <w:spacing w:before="120" w:after="120" w:line="288" w:lineRule="auto"/>
        <w:rPr>
          <w:rFonts w:ascii="Fira Sans" w:hAnsi="Fira Sans"/>
          <w:color w:val="000000" w:themeColor="text1"/>
          <w:sz w:val="19"/>
          <w:szCs w:val="19"/>
        </w:rPr>
      </w:pPr>
      <w:r w:rsidRPr="00185238">
        <w:rPr>
          <w:rFonts w:ascii="Fira Sans" w:hAnsi="Fira Sans"/>
          <w:color w:val="000000" w:themeColor="text1"/>
          <w:sz w:val="19"/>
          <w:szCs w:val="19"/>
        </w:rPr>
        <w:t>Biorąc pod uwagę specjalizację produkcji n</w:t>
      </w:r>
      <w:r w:rsidR="00CF059E" w:rsidRPr="00185238">
        <w:rPr>
          <w:rFonts w:ascii="Fira Sans" w:hAnsi="Fira Sans"/>
          <w:color w:val="000000" w:themeColor="text1"/>
          <w:sz w:val="19"/>
          <w:szCs w:val="19"/>
        </w:rPr>
        <w:t>ajbardziej pesymistyczne opinie</w:t>
      </w:r>
      <w:r w:rsidR="006E3C23" w:rsidRPr="00185238">
        <w:rPr>
          <w:rFonts w:ascii="Fira Sans" w:hAnsi="Fira Sans"/>
          <w:color w:val="000000" w:themeColor="text1"/>
          <w:sz w:val="19"/>
          <w:szCs w:val="19"/>
        </w:rPr>
        <w:t xml:space="preserve"> na temat bieżącej opłacalności produkcji rolniczej wyrazili użytkownicy gospodarstw ukierunkowanych na produkcję roślinną (saldo minus 17,4). </w:t>
      </w:r>
      <w:r w:rsidR="000C5AB5" w:rsidRPr="00185238">
        <w:rPr>
          <w:rFonts w:ascii="Fira Sans" w:hAnsi="Fira Sans"/>
          <w:color w:val="000000" w:themeColor="text1"/>
          <w:sz w:val="19"/>
          <w:szCs w:val="19"/>
        </w:rPr>
        <w:t>W tej grupie gospodarstw najczęściej na nieopłacalność bieżącej produkcji wskazywali rolnicy zajmujący się uprawą roślin zaliczanych do grupy „pozostałe przemysłowe” (saldo minus 23,3) oraz uprawą zbóż (minus 20,6).</w:t>
      </w:r>
      <w:r w:rsidR="006E3C23" w:rsidRPr="00185238">
        <w:rPr>
          <w:rFonts w:ascii="Fira Sans" w:hAnsi="Fira Sans"/>
          <w:color w:val="000000" w:themeColor="text1"/>
          <w:sz w:val="19"/>
          <w:szCs w:val="19"/>
        </w:rPr>
        <w:t xml:space="preserve"> Optymistyczne oceny odnotowano jedynie wśród prowadzących uprawy pod osłonami (saldo</w:t>
      </w:r>
      <w:r w:rsidR="0068547F">
        <w:rPr>
          <w:rFonts w:ascii="Fira Sans" w:hAnsi="Fira Sans"/>
          <w:color w:val="000000" w:themeColor="text1"/>
          <w:sz w:val="19"/>
          <w:szCs w:val="19"/>
        </w:rPr>
        <w:t> </w:t>
      </w:r>
      <w:r w:rsidR="006E3C23" w:rsidRPr="00185238">
        <w:rPr>
          <w:rFonts w:ascii="Fira Sans" w:hAnsi="Fira Sans"/>
          <w:color w:val="000000" w:themeColor="text1"/>
          <w:sz w:val="19"/>
          <w:szCs w:val="19"/>
        </w:rPr>
        <w:t>2,2).</w:t>
      </w:r>
    </w:p>
    <w:p w14:paraId="45CBC2D1" w14:textId="0827AEF5" w:rsidR="000C5AB5" w:rsidRPr="00185238" w:rsidRDefault="00C06378" w:rsidP="00484F8D">
      <w:pPr>
        <w:spacing w:before="120" w:after="120" w:line="288" w:lineRule="auto"/>
        <w:rPr>
          <w:rFonts w:ascii="Fira Sans" w:hAnsi="Fira Sans"/>
          <w:noProof/>
          <w:sz w:val="19"/>
          <w:szCs w:val="19"/>
          <w:lang w:eastAsia="pl-PL"/>
        </w:rPr>
      </w:pPr>
      <w:r w:rsidRPr="00185238">
        <w:rPr>
          <w:rFonts w:ascii="Fira Sans" w:hAnsi="Fira Sans"/>
          <w:noProof/>
          <w:sz w:val="19"/>
          <w:szCs w:val="19"/>
          <w:lang w:eastAsia="pl-PL"/>
        </w:rPr>
        <mc:AlternateContent>
          <mc:Choice Requires="wps">
            <w:drawing>
              <wp:anchor distT="45720" distB="45720" distL="114300" distR="114300" simplePos="0" relativeHeight="253035520" behindDoc="1" locked="0" layoutInCell="1" allowOverlap="1" wp14:anchorId="6F56E1DF" wp14:editId="3001A01C">
                <wp:simplePos x="0" y="0"/>
                <wp:positionH relativeFrom="page">
                  <wp:posOffset>5724525</wp:posOffset>
                </wp:positionH>
                <wp:positionV relativeFrom="paragraph">
                  <wp:posOffset>6985</wp:posOffset>
                </wp:positionV>
                <wp:extent cx="1800000" cy="1425600"/>
                <wp:effectExtent l="0" t="0" r="0" b="3175"/>
                <wp:wrapTight wrapText="bothSides">
                  <wp:wrapPolygon edited="0">
                    <wp:start x="686" y="0"/>
                    <wp:lineTo x="686" y="21359"/>
                    <wp:lineTo x="20807" y="21359"/>
                    <wp:lineTo x="20807" y="0"/>
                    <wp:lineTo x="686" y="0"/>
                  </wp:wrapPolygon>
                </wp:wrapTight>
                <wp:docPr id="1516934698" name="Pole tekstowe 1516934698" descr="30,6% użytkowników gospodarstw rolnych prowadzących uprawy ziemniaków uznało, że bieżąca produkcja rolnicza jest nieopłacalna, a 11,7%, że jest opłacalna. Pozostali nie mieli zdecydowanej opinii na ten tem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425600"/>
                        </a:xfrm>
                        <a:prstGeom prst="rect">
                          <a:avLst/>
                        </a:prstGeom>
                        <a:noFill/>
                        <a:ln w="9525">
                          <a:noFill/>
                          <a:miter lim="800000"/>
                          <a:headEnd/>
                          <a:tailEnd/>
                        </a:ln>
                      </wps:spPr>
                      <wps:txbx>
                        <w:txbxContent>
                          <w:p w14:paraId="601E9D76" w14:textId="38A41726" w:rsidR="00E64B1E" w:rsidRPr="00E64B1E" w:rsidRDefault="00E64B1E" w:rsidP="00E64B1E">
                            <w:pPr>
                              <w:pStyle w:val="Tekstkomentarza"/>
                              <w:rPr>
                                <w:rFonts w:ascii="Fira Sans" w:hAnsi="Fira Sans"/>
                                <w:color w:val="002060"/>
                                <w:sz w:val="19"/>
                                <w:szCs w:val="19"/>
                              </w:rPr>
                            </w:pPr>
                            <w:r w:rsidRPr="00E64B1E">
                              <w:rPr>
                                <w:rFonts w:ascii="Fira Sans" w:hAnsi="Fira Sans"/>
                                <w:color w:val="002060"/>
                                <w:sz w:val="19"/>
                                <w:szCs w:val="19"/>
                              </w:rPr>
                              <w:t xml:space="preserve">30,6% </w:t>
                            </w:r>
                            <w:r w:rsidR="000665CB">
                              <w:rPr>
                                <w:rFonts w:ascii="Fira Sans" w:hAnsi="Fira Sans"/>
                                <w:color w:val="002060"/>
                                <w:sz w:val="19"/>
                                <w:szCs w:val="19"/>
                              </w:rPr>
                              <w:t>użytkowników gospodarstw rolnych</w:t>
                            </w:r>
                            <w:r w:rsidRPr="00E64B1E">
                              <w:rPr>
                                <w:rFonts w:ascii="Fira Sans" w:hAnsi="Fira Sans"/>
                                <w:color w:val="002060"/>
                                <w:sz w:val="19"/>
                                <w:szCs w:val="19"/>
                              </w:rPr>
                              <w:t xml:space="preserve"> prowadzących uprawy ziemniaków </w:t>
                            </w:r>
                            <w:r w:rsidR="00C27CD1">
                              <w:rPr>
                                <w:rFonts w:ascii="Fira Sans" w:hAnsi="Fira Sans"/>
                                <w:color w:val="002060"/>
                                <w:sz w:val="19"/>
                                <w:szCs w:val="19"/>
                              </w:rPr>
                              <w:t>uznało</w:t>
                            </w:r>
                            <w:r w:rsidRPr="00E64B1E">
                              <w:rPr>
                                <w:rFonts w:ascii="Fira Sans" w:hAnsi="Fira Sans"/>
                                <w:color w:val="002060"/>
                                <w:sz w:val="19"/>
                                <w:szCs w:val="19"/>
                              </w:rPr>
                              <w:t>, że bieżąca produkcja rolnicza jest nieopłacalna, a 11,7%, że jest opłacalna. Pozostali nie mieli zdecydowanej opinii na ten temat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6E1DF" id="Pole tekstowe 1516934698" o:spid="_x0000_s1029" type="#_x0000_t202" alt="30,6% użytkowników gospodarstw rolnych prowadzących uprawy ziemniaków uznało, że bieżąca produkcja rolnicza jest nieopłacalna, a 11,7%, że jest opłacalna. Pozostali nie mieli zdecydowanej opinii na ten temat" style="position:absolute;margin-left:450.75pt;margin-top:.55pt;width:141.75pt;height:112.25pt;z-index:-250280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" filled="f" stroked="f">
                <v:textbox>
                  <w:txbxContent>
                    <w:p w14:paraId="601E9D76" w14:textId="38A41726" w:rsidR="00E64B1E" w:rsidRPr="00E64B1E" w:rsidRDefault="00E64B1E" w:rsidP="00E64B1E">
                      <w:pPr>
                        <w:pStyle w:val="Tekstkomentarza"/>
                        <w:rPr>
                          <w:rFonts w:ascii="Fira Sans" w:hAnsi="Fira Sans"/>
                          <w:color w:val="002060"/>
                          <w:sz w:val="19"/>
                          <w:szCs w:val="19"/>
                        </w:rPr>
                      </w:pPr>
                      <w:r w:rsidRPr="00E64B1E">
                        <w:rPr>
                          <w:rFonts w:ascii="Fira Sans" w:hAnsi="Fira Sans"/>
                          <w:color w:val="002060"/>
                          <w:sz w:val="19"/>
                          <w:szCs w:val="19"/>
                        </w:rPr>
                        <w:t xml:space="preserve">30,6% </w:t>
                      </w:r>
                      <w:r w:rsidR="000665CB">
                        <w:rPr>
                          <w:rFonts w:ascii="Fira Sans" w:hAnsi="Fira Sans"/>
                          <w:color w:val="002060"/>
                          <w:sz w:val="19"/>
                          <w:szCs w:val="19"/>
                        </w:rPr>
                        <w:t>użytkowników gospodarstw rolnych</w:t>
                      </w:r>
                      <w:r w:rsidRPr="00E64B1E">
                        <w:rPr>
                          <w:rFonts w:ascii="Fira Sans" w:hAnsi="Fira Sans"/>
                          <w:color w:val="002060"/>
                          <w:sz w:val="19"/>
                          <w:szCs w:val="19"/>
                        </w:rPr>
                        <w:t xml:space="preserve"> prowadzących uprawy ziemniaków </w:t>
                      </w:r>
                      <w:r w:rsidR="00C27CD1">
                        <w:rPr>
                          <w:rFonts w:ascii="Fira Sans" w:hAnsi="Fira Sans"/>
                          <w:color w:val="002060"/>
                          <w:sz w:val="19"/>
                          <w:szCs w:val="19"/>
                        </w:rPr>
                        <w:t>uznało</w:t>
                      </w:r>
                      <w:r w:rsidRPr="00E64B1E">
                        <w:rPr>
                          <w:rFonts w:ascii="Fira Sans" w:hAnsi="Fira Sans"/>
                          <w:color w:val="002060"/>
                          <w:sz w:val="19"/>
                          <w:szCs w:val="19"/>
                        </w:rPr>
                        <w:t>, że bieżąca produkcja rolnicza jest nieopłacalna, a 11,7%, że jest opłacalna. Pozostali nie mieli zdecydowanej opinii na ten temat</w:t>
                      </w:r>
                    </w:p>
                  </w:txbxContent>
                </v:textbox>
                <w10:wrap type="tight" anchorx="page"/>
              </v:shape>
            </w:pict>
          </mc:Fallback>
        </mc:AlternateContent>
      </w:r>
      <w:r w:rsidR="006E3C23" w:rsidRPr="00185238">
        <w:rPr>
          <w:rFonts w:ascii="Fira Sans" w:hAnsi="Fira Sans"/>
          <w:noProof/>
          <w:sz w:val="19"/>
          <w:szCs w:val="19"/>
          <w:lang w:eastAsia="pl-PL"/>
        </w:rPr>
        <w:t>Pozytywnie bieżącą opłacalność produkcji rolniczej ocenili prowadzący produkcję zwierzęcą - saldo odpowiedzi wyniosło</w:t>
      </w:r>
      <w:r w:rsidR="000C5AB5" w:rsidRPr="00185238">
        <w:rPr>
          <w:rFonts w:ascii="Fira Sans" w:hAnsi="Fira Sans"/>
          <w:noProof/>
          <w:sz w:val="19"/>
          <w:szCs w:val="19"/>
          <w:lang w:eastAsia="pl-PL"/>
        </w:rPr>
        <w:t xml:space="preserve"> </w:t>
      </w:r>
      <w:r w:rsidR="006E3C23" w:rsidRPr="00185238">
        <w:rPr>
          <w:rFonts w:ascii="Fira Sans" w:hAnsi="Fira Sans"/>
          <w:noProof/>
          <w:sz w:val="19"/>
          <w:szCs w:val="19"/>
          <w:lang w:eastAsia="pl-PL"/>
        </w:rPr>
        <w:t>13,2</w:t>
      </w:r>
      <w:r w:rsidR="000C5AB5" w:rsidRPr="00185238">
        <w:rPr>
          <w:rFonts w:ascii="Fira Sans" w:hAnsi="Fira Sans"/>
          <w:noProof/>
          <w:sz w:val="19"/>
          <w:szCs w:val="19"/>
          <w:lang w:eastAsia="pl-PL"/>
        </w:rPr>
        <w:t>.</w:t>
      </w:r>
      <w:r w:rsidR="006E3C23" w:rsidRPr="00185238">
        <w:rPr>
          <w:rFonts w:ascii="Fira Sans" w:hAnsi="Fira Sans"/>
          <w:noProof/>
          <w:sz w:val="19"/>
          <w:szCs w:val="19"/>
          <w:lang w:eastAsia="pl-PL"/>
        </w:rPr>
        <w:t xml:space="preserve"> </w:t>
      </w:r>
      <w:r w:rsidR="000C5AB5" w:rsidRPr="00185238">
        <w:rPr>
          <w:rFonts w:ascii="Fira Sans" w:hAnsi="Fira Sans"/>
          <w:noProof/>
          <w:sz w:val="19"/>
          <w:szCs w:val="19"/>
          <w:lang w:eastAsia="pl-PL"/>
        </w:rPr>
        <w:t>W tej grupie gospodarstw zaobserwowano także największą poprawę ocen, zarówno w porównaniu z grudniem 2024 r. (wzrost salda o 11,7 pkt) jak i</w:t>
      </w:r>
      <w:r w:rsidR="00C926EB">
        <w:rPr>
          <w:rFonts w:ascii="Fira Sans" w:hAnsi="Fira Sans"/>
          <w:noProof/>
          <w:sz w:val="19"/>
          <w:szCs w:val="19"/>
          <w:lang w:eastAsia="pl-PL"/>
        </w:rPr>
        <w:t> </w:t>
      </w:r>
      <w:r w:rsidR="000C5AB5" w:rsidRPr="00185238">
        <w:rPr>
          <w:rFonts w:ascii="Fira Sans" w:hAnsi="Fira Sans"/>
          <w:noProof/>
          <w:sz w:val="19"/>
          <w:szCs w:val="19"/>
          <w:lang w:eastAsia="pl-PL"/>
        </w:rPr>
        <w:t>z</w:t>
      </w:r>
      <w:r w:rsidR="00C926EB">
        <w:rPr>
          <w:rFonts w:ascii="Fira Sans" w:hAnsi="Fira Sans"/>
          <w:noProof/>
          <w:sz w:val="19"/>
          <w:szCs w:val="19"/>
          <w:lang w:eastAsia="pl-PL"/>
        </w:rPr>
        <w:t> </w:t>
      </w:r>
      <w:r w:rsidR="000C5AB5" w:rsidRPr="00185238">
        <w:rPr>
          <w:rFonts w:ascii="Fira Sans" w:hAnsi="Fira Sans"/>
          <w:noProof/>
          <w:sz w:val="19"/>
          <w:szCs w:val="19"/>
          <w:lang w:eastAsia="pl-PL"/>
        </w:rPr>
        <w:t>czerwcem 2024 r. (</w:t>
      </w:r>
      <w:r w:rsidR="0003726B" w:rsidRPr="00185238">
        <w:rPr>
          <w:rFonts w:ascii="Fira Sans" w:hAnsi="Fira Sans"/>
          <w:noProof/>
          <w:sz w:val="19"/>
          <w:szCs w:val="19"/>
          <w:lang w:eastAsia="pl-PL"/>
        </w:rPr>
        <w:t xml:space="preserve">wzrost </w:t>
      </w:r>
      <w:r w:rsidR="000C5AB5" w:rsidRPr="00185238">
        <w:rPr>
          <w:rFonts w:ascii="Fira Sans" w:hAnsi="Fira Sans"/>
          <w:noProof/>
          <w:sz w:val="19"/>
          <w:szCs w:val="19"/>
          <w:lang w:eastAsia="pl-PL"/>
        </w:rPr>
        <w:t>o 33,3 pkt). Najbardziej optymistyczne oceny odnotowano w</w:t>
      </w:r>
      <w:r w:rsidR="00C926EB">
        <w:rPr>
          <w:rFonts w:ascii="Fira Sans" w:hAnsi="Fira Sans"/>
          <w:noProof/>
          <w:sz w:val="19"/>
          <w:szCs w:val="19"/>
          <w:lang w:eastAsia="pl-PL"/>
        </w:rPr>
        <w:t> </w:t>
      </w:r>
      <w:r w:rsidR="000C5AB5" w:rsidRPr="00185238">
        <w:rPr>
          <w:rFonts w:ascii="Fira Sans" w:hAnsi="Fira Sans"/>
          <w:noProof/>
          <w:sz w:val="19"/>
          <w:szCs w:val="19"/>
          <w:lang w:eastAsia="pl-PL"/>
        </w:rPr>
        <w:t>gospodarstwach specjalizujących się w chowie brojlerów (saldo 46,9). Z kolei najbardziej negatywnie opłacalność bieżącej produkcji ocenili hodowcy trzody chlewnej (saldo minus</w:t>
      </w:r>
      <w:r w:rsidR="0068547F">
        <w:rPr>
          <w:rFonts w:ascii="Fira Sans" w:hAnsi="Fira Sans"/>
          <w:noProof/>
          <w:sz w:val="19"/>
          <w:szCs w:val="19"/>
          <w:lang w:eastAsia="pl-PL"/>
        </w:rPr>
        <w:t> </w:t>
      </w:r>
      <w:r w:rsidR="000C5AB5" w:rsidRPr="00185238">
        <w:rPr>
          <w:rFonts w:ascii="Fira Sans" w:hAnsi="Fira Sans"/>
          <w:noProof/>
          <w:sz w:val="19"/>
          <w:szCs w:val="19"/>
          <w:lang w:eastAsia="pl-PL"/>
        </w:rPr>
        <w:t>22,5) oraz hodowcy owiec (minus 15,0).</w:t>
      </w:r>
    </w:p>
    <w:p w14:paraId="34FDA517" w14:textId="4E93413F" w:rsidR="00DB555A" w:rsidRDefault="00185238" w:rsidP="00F32B43">
      <w:pPr>
        <w:pStyle w:val="LID"/>
        <w:spacing w:before="180" w:after="120" w:line="240" w:lineRule="auto"/>
        <w:rPr>
          <w:rFonts w:eastAsia="Times New Roman" w:cs="Calibri"/>
          <w:bCs/>
          <w:color w:val="000000"/>
        </w:rPr>
      </w:pPr>
      <w:r w:rsidRPr="00185238">
        <mc:AlternateContent>
          <mc:Choice Requires="wps">
            <w:drawing>
              <wp:anchor distT="45720" distB="45720" distL="114300" distR="114300" simplePos="0" relativeHeight="253093888" behindDoc="1" locked="0" layoutInCell="1" allowOverlap="1" wp14:anchorId="2225C37B" wp14:editId="1AA13156">
                <wp:simplePos x="0" y="0"/>
                <wp:positionH relativeFrom="page">
                  <wp:posOffset>5724525</wp:posOffset>
                </wp:positionH>
                <wp:positionV relativeFrom="paragraph">
                  <wp:posOffset>1020445</wp:posOffset>
                </wp:positionV>
                <wp:extent cx="1800000" cy="1548000"/>
                <wp:effectExtent l="0" t="0" r="0" b="0"/>
                <wp:wrapTight wrapText="bothSides">
                  <wp:wrapPolygon edited="0">
                    <wp:start x="686" y="0"/>
                    <wp:lineTo x="686" y="21272"/>
                    <wp:lineTo x="20807" y="21272"/>
                    <wp:lineTo x="20807" y="0"/>
                    <wp:lineTo x="686" y="0"/>
                  </wp:wrapPolygon>
                </wp:wrapTight>
                <wp:docPr id="3" name="Pole tekstowe 3" descr="53,3% rolników zajmujących się chowem brojlerów uznało, że bieżąca produkcja rolnicza jest opłacalna, natomiast 6,4%, że nieopłacalna. Reszta respondentów nie miała zdecydowanej opinii w tej spraw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548000"/>
                        </a:xfrm>
                        <a:prstGeom prst="rect">
                          <a:avLst/>
                        </a:prstGeom>
                        <a:noFill/>
                        <a:ln w="9525">
                          <a:noFill/>
                          <a:miter lim="800000"/>
                          <a:headEnd/>
                          <a:tailEnd/>
                        </a:ln>
                      </wps:spPr>
                      <wps:txbx>
                        <w:txbxContent>
                          <w:p w14:paraId="49B6DAC3" w14:textId="3480F203" w:rsidR="00185238" w:rsidRPr="00E64B1E" w:rsidRDefault="00185238" w:rsidP="00185238">
                            <w:pPr>
                              <w:pStyle w:val="Tekstkomentarza"/>
                              <w:rPr>
                                <w:rFonts w:ascii="Fira Sans" w:hAnsi="Fira Sans"/>
                                <w:color w:val="002060"/>
                                <w:sz w:val="19"/>
                                <w:szCs w:val="19"/>
                              </w:rPr>
                            </w:pPr>
                            <w:r w:rsidRPr="00E64B1E">
                              <w:rPr>
                                <w:rFonts w:ascii="Fira Sans" w:hAnsi="Fira Sans"/>
                                <w:color w:val="002060"/>
                                <w:sz w:val="19"/>
                                <w:szCs w:val="19"/>
                              </w:rPr>
                              <w:t xml:space="preserve">53,3% rolników zajmujących się chowem brojlerów uznało, że bieżąca produkcja rolnicza jest opłacalna, </w:t>
                            </w:r>
                            <w:r>
                              <w:rPr>
                                <w:rFonts w:ascii="Fira Sans" w:hAnsi="Fira Sans"/>
                                <w:color w:val="002060"/>
                                <w:sz w:val="19"/>
                                <w:szCs w:val="19"/>
                              </w:rPr>
                              <w:t>natomiast</w:t>
                            </w:r>
                            <w:r w:rsidRPr="00E64B1E">
                              <w:rPr>
                                <w:rFonts w:ascii="Fira Sans" w:hAnsi="Fira Sans"/>
                                <w:color w:val="002060"/>
                                <w:sz w:val="19"/>
                                <w:szCs w:val="19"/>
                              </w:rPr>
                              <w:t xml:space="preserve"> 6,4%</w:t>
                            </w:r>
                            <w:r>
                              <w:rPr>
                                <w:rFonts w:ascii="Fira Sans" w:hAnsi="Fira Sans"/>
                                <w:color w:val="002060"/>
                                <w:sz w:val="19"/>
                                <w:szCs w:val="19"/>
                              </w:rPr>
                              <w:t>,</w:t>
                            </w:r>
                            <w:r w:rsidRPr="00E64B1E">
                              <w:rPr>
                                <w:rFonts w:ascii="Fira Sans" w:hAnsi="Fira Sans"/>
                                <w:color w:val="002060"/>
                                <w:sz w:val="19"/>
                                <w:szCs w:val="19"/>
                              </w:rPr>
                              <w:t xml:space="preserve"> że nieopłacalna. Reszta respondentów nie miała zdecydowanej opinii w tej sprawie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25C37B" id="Pole tekstowe 3" o:spid="_x0000_s1030" type="#_x0000_t202" alt="53,3% rolników zajmujących się chowem brojlerów uznało, że bieżąca produkcja rolnicza jest opłacalna, natomiast 6,4%, że nieopłacalna. Reszta respondentów nie miała zdecydowanej opinii w tej sprawie" style="position:absolute;margin-left:450.75pt;margin-top:80.35pt;width:141.75pt;height:121.9pt;z-index:-250222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" filled="f" stroked="f">
                <v:textbox>
                  <w:txbxContent>
                    <w:p w14:paraId="49B6DAC3" w14:textId="3480F203" w:rsidR="00185238" w:rsidRPr="00E64B1E" w:rsidRDefault="00185238" w:rsidP="00185238">
                      <w:pPr>
                        <w:pStyle w:val="Tekstkomentarza"/>
                        <w:rPr>
                          <w:rFonts w:ascii="Fira Sans" w:hAnsi="Fira Sans"/>
                          <w:color w:val="002060"/>
                          <w:sz w:val="19"/>
                          <w:szCs w:val="19"/>
                        </w:rPr>
                      </w:pPr>
                      <w:r w:rsidRPr="00E64B1E">
                        <w:rPr>
                          <w:rFonts w:ascii="Fira Sans" w:hAnsi="Fira Sans"/>
                          <w:color w:val="002060"/>
                          <w:sz w:val="19"/>
                          <w:szCs w:val="19"/>
                        </w:rPr>
                        <w:t xml:space="preserve">53,3% rolników zajmujących się chowem brojlerów uznało, że bieżąca produkcja rolnicza jest opłacalna, </w:t>
                      </w:r>
                      <w:r>
                        <w:rPr>
                          <w:rFonts w:ascii="Fira Sans" w:hAnsi="Fira Sans"/>
                          <w:color w:val="002060"/>
                          <w:sz w:val="19"/>
                          <w:szCs w:val="19"/>
                        </w:rPr>
                        <w:t>natomiast</w:t>
                      </w:r>
                      <w:r w:rsidRPr="00E64B1E">
                        <w:rPr>
                          <w:rFonts w:ascii="Fira Sans" w:hAnsi="Fira Sans"/>
                          <w:color w:val="002060"/>
                          <w:sz w:val="19"/>
                          <w:szCs w:val="19"/>
                        </w:rPr>
                        <w:t xml:space="preserve"> 6,4%</w:t>
                      </w:r>
                      <w:r>
                        <w:rPr>
                          <w:rFonts w:ascii="Fira Sans" w:hAnsi="Fira Sans"/>
                          <w:color w:val="002060"/>
                          <w:sz w:val="19"/>
                          <w:szCs w:val="19"/>
                        </w:rPr>
                        <w:t>,</w:t>
                      </w:r>
                      <w:r w:rsidRPr="00E64B1E">
                        <w:rPr>
                          <w:rFonts w:ascii="Fira Sans" w:hAnsi="Fira Sans"/>
                          <w:color w:val="002060"/>
                          <w:sz w:val="19"/>
                          <w:szCs w:val="19"/>
                        </w:rPr>
                        <w:t xml:space="preserve"> że nieopłacalna. Reszta respondentów nie miała zdecydowanej opinii w tej sprawie</w:t>
                      </w:r>
                    </w:p>
                  </w:txbxContent>
                </v:textbox>
                <w10:wrap type="tight" anchorx="page"/>
              </v:shape>
            </w:pict>
          </mc:Fallback>
        </mc:AlternateContent>
      </w:r>
      <w:r w:rsidR="00673E12" w:rsidRPr="00185238">
        <w:rPr>
          <w:rFonts w:eastAsia="Times New Roman" w:cs="Calibri"/>
          <w:bCs/>
          <w:color w:val="000000"/>
        </w:rPr>
        <w:t xml:space="preserve">Wykres </w:t>
      </w:r>
      <w:r w:rsidR="0003657C" w:rsidRPr="00185238">
        <w:rPr>
          <w:rFonts w:eastAsia="Times New Roman" w:cs="Calibri"/>
          <w:bCs/>
          <w:color w:val="000000"/>
        </w:rPr>
        <w:t>2</w:t>
      </w:r>
      <w:r w:rsidR="00673E12" w:rsidRPr="00185238">
        <w:rPr>
          <w:rFonts w:eastAsia="Times New Roman" w:cs="Calibri"/>
          <w:bCs/>
          <w:color w:val="000000"/>
        </w:rPr>
        <w:t xml:space="preserve">. Salda odpowiedzi dotyczące ocen bieżącej opłacalności produkcji rolniczej </w:t>
      </w:r>
      <w:r w:rsidR="00D93123" w:rsidRPr="00185238">
        <w:rPr>
          <w:rFonts w:eastAsia="Times New Roman" w:cs="Calibri"/>
          <w:bCs/>
          <w:color w:val="000000"/>
        </w:rPr>
        <w:t>według ukierunkowania produkcyjnego</w:t>
      </w:r>
    </w:p>
    <w:p w14:paraId="023AFF42" w14:textId="35792228" w:rsidR="00C926EB" w:rsidRPr="00185238" w:rsidRDefault="00C926EB" w:rsidP="00484F8D">
      <w:pPr>
        <w:pStyle w:val="LID"/>
        <w:spacing w:after="120" w:line="240" w:lineRule="auto"/>
        <w:rPr>
          <w:rFonts w:eastAsia="Times New Roman" w:cs="Calibri"/>
          <w:bCs/>
          <w:color w:val="000000"/>
        </w:rPr>
      </w:pPr>
      <w:r>
        <w:rPr>
          <w:rFonts w:eastAsia="Times New Roman" w:cs="Calibri"/>
          <w:bCs/>
          <w:color w:val="000000"/>
        </w:rPr>
        <w:drawing>
          <wp:inline distT="0" distB="0" distL="0" distR="0" wp14:anchorId="606E1190" wp14:editId="4B6D6A38">
            <wp:extent cx="5182235" cy="2444750"/>
            <wp:effectExtent l="0" t="0" r="0" b="0"/>
            <wp:docPr id="5" name="Obraz 5" descr="Wykres 2. Salda odpowiedzi dotyczące ocen bieżącej opłacalności produkcji rolniczej według ukierunkowania produkcyjnego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Wykres 2. Salda odpowiedzi dotyczące ocen bieżącej opłacalności produkcji rolniczej według ukierunkowania produkcyjnego -wartości prezentowane w częstotliwości co pół roku w latach 2020-20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2235" cy="2444750"/>
                    </a:xfrm>
                    <a:prstGeom prst="rect">
                      <a:avLst/>
                    </a:prstGeom>
                    <a:noFill/>
                  </pic:spPr>
                </pic:pic>
              </a:graphicData>
            </a:graphic>
          </wp:inline>
        </w:drawing>
      </w:r>
    </w:p>
    <w:p w14:paraId="551FAEBF" w14:textId="7ACCFBF8" w:rsidR="006E3C23" w:rsidRPr="00185238" w:rsidRDefault="006E3C23" w:rsidP="00484F8D">
      <w:pPr>
        <w:spacing w:before="180" w:after="120" w:line="288" w:lineRule="auto"/>
        <w:rPr>
          <w:rFonts w:ascii="Fira Sans" w:hAnsi="Fira Sans"/>
          <w:color w:val="000000" w:themeColor="text1"/>
          <w:sz w:val="19"/>
          <w:szCs w:val="19"/>
        </w:rPr>
      </w:pPr>
      <w:r w:rsidRPr="00185238">
        <w:rPr>
          <w:rFonts w:ascii="Fira Sans" w:hAnsi="Fira Sans"/>
          <w:color w:val="000000" w:themeColor="text1"/>
          <w:sz w:val="19"/>
          <w:szCs w:val="19"/>
        </w:rPr>
        <w:t xml:space="preserve">Biorąc pod uwagę wielkość gospodarstwa, </w:t>
      </w:r>
      <w:r w:rsidR="00F76F0A" w:rsidRPr="00185238">
        <w:rPr>
          <w:rFonts w:ascii="Fira Sans" w:hAnsi="Fira Sans"/>
          <w:color w:val="000000" w:themeColor="text1"/>
          <w:sz w:val="19"/>
          <w:szCs w:val="19"/>
        </w:rPr>
        <w:t>n</w:t>
      </w:r>
      <w:r w:rsidRPr="00185238">
        <w:rPr>
          <w:rFonts w:ascii="Fira Sans" w:hAnsi="Fira Sans"/>
          <w:color w:val="000000" w:themeColor="text1"/>
          <w:sz w:val="19"/>
          <w:szCs w:val="19"/>
        </w:rPr>
        <w:t xml:space="preserve">ajbardziej negatywne oceny formułowali </w:t>
      </w:r>
      <w:r w:rsidR="000C5AB5" w:rsidRPr="00185238">
        <w:rPr>
          <w:rFonts w:ascii="Fira Sans" w:hAnsi="Fira Sans"/>
          <w:sz w:val="19"/>
          <w:szCs w:val="19"/>
        </w:rPr>
        <w:t>użytkownicy</w:t>
      </w:r>
      <w:r w:rsidRPr="00185238">
        <w:rPr>
          <w:rFonts w:ascii="Fira Sans" w:hAnsi="Fira Sans"/>
          <w:color w:val="FF0000"/>
          <w:sz w:val="19"/>
          <w:szCs w:val="19"/>
        </w:rPr>
        <w:t xml:space="preserve"> </w:t>
      </w:r>
      <w:r w:rsidRPr="00185238">
        <w:rPr>
          <w:rFonts w:ascii="Fira Sans" w:hAnsi="Fira Sans"/>
          <w:color w:val="000000" w:themeColor="text1"/>
          <w:sz w:val="19"/>
          <w:szCs w:val="19"/>
        </w:rPr>
        <w:t>gospodarstw o powierzchni od 2 do 5 ha oraz od 5 do 10 ha. Wartość salda odpowiedzi udzielonych przez rolników w tych dwóch grupach gospodarstw wyniosła odpowiednio minus 18,5 oraz minus 17,9. Przewagę opinii pozytywnych dotyczących opłacalności produkcji rolniczej zanotowano jedynie wśród użytkowników gospodarstw o</w:t>
      </w:r>
      <w:r w:rsidR="00C926EB">
        <w:rPr>
          <w:rFonts w:ascii="Fira Sans" w:hAnsi="Fira Sans"/>
          <w:color w:val="000000" w:themeColor="text1"/>
          <w:sz w:val="19"/>
          <w:szCs w:val="19"/>
        </w:rPr>
        <w:t> </w:t>
      </w:r>
      <w:r w:rsidRPr="00185238">
        <w:rPr>
          <w:rFonts w:ascii="Fira Sans" w:hAnsi="Fira Sans"/>
          <w:color w:val="000000" w:themeColor="text1"/>
          <w:sz w:val="19"/>
          <w:szCs w:val="19"/>
        </w:rPr>
        <w:t>powierzchni od 30 do 50 ha (saldo 2,6) oraz od 50 do 100 ha (4,3).</w:t>
      </w:r>
    </w:p>
    <w:p w14:paraId="3B7FC69B" w14:textId="77777777" w:rsidR="006C3918" w:rsidRPr="00185238" w:rsidRDefault="006C3918" w:rsidP="00484F8D">
      <w:pPr>
        <w:spacing w:before="240" w:after="120"/>
        <w:rPr>
          <w:rFonts w:ascii="Fira Sans" w:hAnsi="Fira Sans"/>
          <w:b/>
          <w:color w:val="002060"/>
          <w:sz w:val="19"/>
          <w:szCs w:val="19"/>
        </w:rPr>
      </w:pPr>
      <w:r w:rsidRPr="00185238">
        <w:rPr>
          <w:rFonts w:ascii="Fira Sans" w:hAnsi="Fira Sans"/>
          <w:b/>
          <w:color w:val="002060"/>
          <w:sz w:val="19"/>
          <w:szCs w:val="19"/>
        </w:rPr>
        <w:t>Popyt na produkty wytwarzane w produkcji rolniczej</w:t>
      </w:r>
    </w:p>
    <w:p w14:paraId="2FF30466" w14:textId="2A955FA1" w:rsidR="00A40BC7" w:rsidRPr="00185238" w:rsidRDefault="00A40BC7" w:rsidP="00484F8D">
      <w:pPr>
        <w:spacing w:before="120" w:after="120" w:line="288" w:lineRule="auto"/>
        <w:rPr>
          <w:rFonts w:ascii="Fira Sans" w:hAnsi="Fira Sans"/>
          <w:sz w:val="19"/>
          <w:szCs w:val="19"/>
        </w:rPr>
      </w:pPr>
      <w:r w:rsidRPr="00185238">
        <w:rPr>
          <w:rFonts w:ascii="Fira Sans" w:hAnsi="Fira Sans"/>
          <w:sz w:val="19"/>
          <w:szCs w:val="19"/>
        </w:rPr>
        <w:t>O</w:t>
      </w:r>
      <w:r w:rsidR="008879B5" w:rsidRPr="00185238">
        <w:rPr>
          <w:rFonts w:ascii="Fira Sans" w:hAnsi="Fira Sans"/>
          <w:sz w:val="19"/>
          <w:szCs w:val="19"/>
        </w:rPr>
        <w:t>pinie</w:t>
      </w:r>
      <w:r w:rsidRPr="00185238">
        <w:rPr>
          <w:rFonts w:ascii="Fira Sans" w:hAnsi="Fira Sans"/>
          <w:sz w:val="19"/>
          <w:szCs w:val="19"/>
        </w:rPr>
        <w:t xml:space="preserve"> użytkowników gospodarstw rolnych dotyczące popytu na produkty wytwarzane w ich gospodarstwach w czerwcu br. były lepsze niż te odnoszące się do grudnia i czerwca 2024 r. Saldo odpowiedzi na pytania dotyczące popytu wzrosło odpowiednio o 4,9 pkt i 12,8 pkt. Mimo to większość rolników uznała, że popyt na produkty rolne wytwarzane w ich gospodarstwach w czerwcu br. pozostał poniżej ich oczekiwań.</w:t>
      </w:r>
    </w:p>
    <w:p w14:paraId="18FC7999" w14:textId="2F697E44" w:rsidR="00770359" w:rsidRPr="00185238" w:rsidRDefault="0025215D" w:rsidP="00F32B43">
      <w:pPr>
        <w:spacing w:before="360" w:after="120" w:line="240" w:lineRule="auto"/>
        <w:rPr>
          <w:rFonts w:ascii="Fira Sans" w:hAnsi="Fira Sans"/>
          <w:b/>
          <w:bCs/>
          <w:sz w:val="19"/>
          <w:szCs w:val="19"/>
        </w:rPr>
      </w:pPr>
      <w:r w:rsidRPr="00185238">
        <w:rPr>
          <w:rFonts w:ascii="Fira Sans" w:hAnsi="Fira Sans"/>
          <w:b/>
          <w:bCs/>
          <w:sz w:val="19"/>
          <w:szCs w:val="19"/>
        </w:rPr>
        <w:lastRenderedPageBreak/>
        <w:t xml:space="preserve">Wykres </w:t>
      </w:r>
      <w:r w:rsidR="00DE060D" w:rsidRPr="00185238">
        <w:rPr>
          <w:rFonts w:ascii="Fira Sans" w:hAnsi="Fira Sans"/>
          <w:b/>
          <w:bCs/>
          <w:sz w:val="19"/>
          <w:szCs w:val="19"/>
        </w:rPr>
        <w:t>3</w:t>
      </w:r>
      <w:r w:rsidRPr="00185238">
        <w:rPr>
          <w:rFonts w:ascii="Fira Sans" w:hAnsi="Fira Sans"/>
          <w:b/>
          <w:bCs/>
          <w:sz w:val="19"/>
          <w:szCs w:val="19"/>
        </w:rPr>
        <w:t>. Salda odpowiedzi dotyczące ocen bieżącego popytu na produkty wytwarzane w</w:t>
      </w:r>
      <w:r w:rsidR="005D28CA" w:rsidRPr="00185238">
        <w:rPr>
          <w:rFonts w:ascii="Fira Sans" w:hAnsi="Fira Sans"/>
          <w:b/>
          <w:bCs/>
          <w:sz w:val="19"/>
          <w:szCs w:val="19"/>
        </w:rPr>
        <w:t> </w:t>
      </w:r>
      <w:r w:rsidRPr="00185238">
        <w:rPr>
          <w:rFonts w:ascii="Fira Sans" w:hAnsi="Fira Sans"/>
          <w:b/>
          <w:bCs/>
          <w:sz w:val="19"/>
          <w:szCs w:val="19"/>
        </w:rPr>
        <w:t>gospodarstwach rolnych według ukierunkowania produkcyjnego</w:t>
      </w:r>
    </w:p>
    <w:p w14:paraId="28D1B36E" w14:textId="4DE94A97" w:rsidR="005D28CA" w:rsidRPr="00185238" w:rsidRDefault="00C926EB" w:rsidP="005D28CA">
      <w:pPr>
        <w:spacing w:before="120" w:after="120" w:line="240" w:lineRule="auto"/>
        <w:rPr>
          <w:rFonts w:ascii="Fira Sans" w:hAnsi="Fira Sans"/>
          <w:b/>
          <w:bCs/>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39616" behindDoc="1" locked="0" layoutInCell="1" allowOverlap="1" wp14:anchorId="0EA49D40" wp14:editId="6FFD4473">
                <wp:simplePos x="0" y="0"/>
                <wp:positionH relativeFrom="page">
                  <wp:posOffset>5724525</wp:posOffset>
                </wp:positionH>
                <wp:positionV relativeFrom="paragraph">
                  <wp:posOffset>37465</wp:posOffset>
                </wp:positionV>
                <wp:extent cx="1800000" cy="1432800"/>
                <wp:effectExtent l="0" t="0" r="0" b="0"/>
                <wp:wrapTight wrapText="bothSides">
                  <wp:wrapPolygon edited="0">
                    <wp:start x="686" y="0"/>
                    <wp:lineTo x="686" y="21255"/>
                    <wp:lineTo x="20807" y="21255"/>
                    <wp:lineTo x="20807" y="0"/>
                    <wp:lineTo x="686" y="0"/>
                  </wp:wrapPolygon>
                </wp:wrapTight>
                <wp:docPr id="813725819" name="Pole tekstowe 813725819" descr="43,6% producentów buraków cukrowych stwierdziło, że popyt na produkty wytwarzane w ich gospodarstwach rolnych jest poniżej oczekiwań, a 1,2%, że przewyższył ich oczekiwania. Pozostali ocenili, że jest zgodny z ich oczekiwaniam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432800"/>
                        </a:xfrm>
                        <a:prstGeom prst="rect">
                          <a:avLst/>
                        </a:prstGeom>
                        <a:noFill/>
                        <a:ln w="9525">
                          <a:noFill/>
                          <a:miter lim="800000"/>
                          <a:headEnd/>
                          <a:tailEnd/>
                        </a:ln>
                      </wps:spPr>
                      <wps:txbx>
                        <w:txbxContent>
                          <w:p w14:paraId="026BB62B" w14:textId="089101BC" w:rsidR="00E64B1E" w:rsidRPr="00E64B1E" w:rsidRDefault="00E64B1E" w:rsidP="00E64B1E">
                            <w:pPr>
                              <w:pStyle w:val="Tekstkomentarza"/>
                              <w:rPr>
                                <w:rFonts w:ascii="Fira Sans" w:hAnsi="Fira Sans"/>
                                <w:color w:val="002060"/>
                                <w:sz w:val="19"/>
                                <w:szCs w:val="19"/>
                              </w:rPr>
                            </w:pPr>
                            <w:r w:rsidRPr="00E64B1E">
                              <w:rPr>
                                <w:rFonts w:ascii="Fira Sans" w:hAnsi="Fira Sans"/>
                                <w:color w:val="002060"/>
                                <w:sz w:val="19"/>
                                <w:szCs w:val="19"/>
                              </w:rPr>
                              <w:t xml:space="preserve">43,6% producentów buraków cukrowych stwierdziło, że popyt na produkty wytwarzane w ich gospodarstwach rolnych jest poniżej oczekiwań, a 1,2%, że </w:t>
                            </w:r>
                            <w:r w:rsidR="008879B5">
                              <w:rPr>
                                <w:rFonts w:ascii="Fira Sans" w:hAnsi="Fira Sans"/>
                                <w:color w:val="002060"/>
                                <w:sz w:val="19"/>
                                <w:szCs w:val="19"/>
                              </w:rPr>
                              <w:t>przewyższył ich oczekiwania</w:t>
                            </w:r>
                            <w:r w:rsidRPr="00E64B1E">
                              <w:rPr>
                                <w:rFonts w:ascii="Fira Sans" w:hAnsi="Fira Sans"/>
                                <w:color w:val="002060"/>
                                <w:sz w:val="19"/>
                                <w:szCs w:val="19"/>
                              </w:rPr>
                              <w:t xml:space="preserve">. Pozostali ocenili, że jest zgodny z </w:t>
                            </w:r>
                            <w:r w:rsidR="008879B5">
                              <w:rPr>
                                <w:rFonts w:ascii="Fira Sans" w:hAnsi="Fira Sans"/>
                                <w:color w:val="002060"/>
                                <w:sz w:val="19"/>
                                <w:szCs w:val="19"/>
                              </w:rPr>
                              <w:t xml:space="preserve">ich </w:t>
                            </w:r>
                            <w:r w:rsidRPr="00E64B1E">
                              <w:rPr>
                                <w:rFonts w:ascii="Fira Sans" w:hAnsi="Fira Sans"/>
                                <w:color w:val="002060"/>
                                <w:sz w:val="19"/>
                                <w:szCs w:val="19"/>
                              </w:rPr>
                              <w:t>oczekiwaniami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A49D40" id="Pole tekstowe 813725819" o:spid="_x0000_s1031" type="#_x0000_t202" alt="43,6% producentów buraków cukrowych stwierdziło, że popyt na produkty wytwarzane w ich gospodarstwach rolnych jest poniżej oczekiwań, a 1,2%, że przewyższył ich oczekiwania. Pozostali ocenili, że jest zgodny z ich oczekiwaniami" style="position:absolute;margin-left:450.75pt;margin-top:2.95pt;width:141.75pt;height:112.8pt;z-index:-250276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" filled="f" stroked="f">
                <v:textbox>
                  <w:txbxContent>
                    <w:p w14:paraId="026BB62B" w14:textId="089101BC" w:rsidR="00E64B1E" w:rsidRPr="00E64B1E" w:rsidRDefault="00E64B1E" w:rsidP="00E64B1E">
                      <w:pPr>
                        <w:pStyle w:val="Tekstkomentarza"/>
                        <w:rPr>
                          <w:rFonts w:ascii="Fira Sans" w:hAnsi="Fira Sans"/>
                          <w:color w:val="002060"/>
                          <w:sz w:val="19"/>
                          <w:szCs w:val="19"/>
                        </w:rPr>
                      </w:pPr>
                      <w:r w:rsidRPr="00E64B1E">
                        <w:rPr>
                          <w:rFonts w:ascii="Fira Sans" w:hAnsi="Fira Sans"/>
                          <w:color w:val="002060"/>
                          <w:sz w:val="19"/>
                          <w:szCs w:val="19"/>
                        </w:rPr>
                        <w:t xml:space="preserve">43,6% producentów buraków cukrowych stwierdziło, że popyt na produkty wytwarzane w ich gospodarstwach rolnych jest poniżej oczekiwań, a 1,2%, że </w:t>
                      </w:r>
                      <w:r w:rsidR="008879B5">
                        <w:rPr>
                          <w:rFonts w:ascii="Fira Sans" w:hAnsi="Fira Sans"/>
                          <w:color w:val="002060"/>
                          <w:sz w:val="19"/>
                          <w:szCs w:val="19"/>
                        </w:rPr>
                        <w:t>przewyższył ich oczekiwania</w:t>
                      </w:r>
                      <w:r w:rsidRPr="00E64B1E">
                        <w:rPr>
                          <w:rFonts w:ascii="Fira Sans" w:hAnsi="Fira Sans"/>
                          <w:color w:val="002060"/>
                          <w:sz w:val="19"/>
                          <w:szCs w:val="19"/>
                        </w:rPr>
                        <w:t xml:space="preserve">. Pozostali ocenili, że jest zgodny z </w:t>
                      </w:r>
                      <w:r w:rsidR="008879B5">
                        <w:rPr>
                          <w:rFonts w:ascii="Fira Sans" w:hAnsi="Fira Sans"/>
                          <w:color w:val="002060"/>
                          <w:sz w:val="19"/>
                          <w:szCs w:val="19"/>
                        </w:rPr>
                        <w:t xml:space="preserve">ich </w:t>
                      </w:r>
                      <w:r w:rsidRPr="00E64B1E">
                        <w:rPr>
                          <w:rFonts w:ascii="Fira Sans" w:hAnsi="Fira Sans"/>
                          <w:color w:val="002060"/>
                          <w:sz w:val="19"/>
                          <w:szCs w:val="19"/>
                        </w:rPr>
                        <w:t>oczekiwaniami</w:t>
                      </w:r>
                    </w:p>
                  </w:txbxContent>
                </v:textbox>
                <w10:wrap type="tight" anchorx="page"/>
              </v:shape>
            </w:pict>
          </mc:Fallback>
        </mc:AlternateContent>
      </w:r>
      <w:r>
        <w:rPr>
          <w:rFonts w:ascii="Fira Sans" w:hAnsi="Fira Sans"/>
          <w:b/>
          <w:bCs/>
          <w:noProof/>
          <w:sz w:val="19"/>
          <w:szCs w:val="19"/>
        </w:rPr>
        <w:drawing>
          <wp:inline distT="0" distB="0" distL="0" distR="0" wp14:anchorId="2180A7F2" wp14:editId="3781FBD4">
            <wp:extent cx="5187950" cy="2414270"/>
            <wp:effectExtent l="0" t="0" r="0" b="5080"/>
            <wp:docPr id="7" name="Obraz 7" descr="Wykres 3. Salda odpowiedzi dotyczące ocen bieżącego popytu na produkty wytwarzane w gospodarstwach rolnych według ukierunkowania produkcyjnego -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Wykres 3. Salda odpowiedzi dotyczące ocen bieżącego popytu na produkty wytwarzane w gospodarstwach rolnych według ukierunkowania produkcyjnego - wartości prezentowane w częstotliwości co pół roku w latach 2020-20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7950" cy="2414270"/>
                    </a:xfrm>
                    <a:prstGeom prst="rect">
                      <a:avLst/>
                    </a:prstGeom>
                    <a:noFill/>
                  </pic:spPr>
                </pic:pic>
              </a:graphicData>
            </a:graphic>
          </wp:inline>
        </w:drawing>
      </w:r>
    </w:p>
    <w:p w14:paraId="0FDD5C6E" w14:textId="460D9D0C" w:rsidR="00A40BC7" w:rsidRPr="00185238" w:rsidRDefault="00C926EB" w:rsidP="00484F8D">
      <w:pPr>
        <w:spacing w:before="120" w:after="120" w:line="288" w:lineRule="auto"/>
        <w:rPr>
          <w:rFonts w:ascii="Fira Sans" w:hAnsi="Fira Sans"/>
          <w:color w:val="000000" w:themeColor="text1"/>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95936" behindDoc="1" locked="0" layoutInCell="1" allowOverlap="1" wp14:anchorId="660F2926" wp14:editId="7EB4CAC4">
                <wp:simplePos x="0" y="0"/>
                <wp:positionH relativeFrom="page">
                  <wp:posOffset>5724525</wp:posOffset>
                </wp:positionH>
                <wp:positionV relativeFrom="paragraph">
                  <wp:posOffset>960394</wp:posOffset>
                </wp:positionV>
                <wp:extent cx="1800000" cy="1706400"/>
                <wp:effectExtent l="0" t="0" r="0" b="0"/>
                <wp:wrapTight wrapText="bothSides">
                  <wp:wrapPolygon edited="0">
                    <wp:start x="686" y="0"/>
                    <wp:lineTo x="686" y="21222"/>
                    <wp:lineTo x="20807" y="21222"/>
                    <wp:lineTo x="20807" y="0"/>
                    <wp:lineTo x="686" y="0"/>
                  </wp:wrapPolygon>
                </wp:wrapTight>
                <wp:docPr id="16" name="Pole tekstowe 16" descr="52,8% użytkowników gospodarstw rolnych prowadzących chów owiec oceniło, że popyt na produkty wytwarzane w ich gospodarstwach jest poniżej oczekiwań, a 21,4%, że powyżej oczekiwań. Pozostali odpowiedzieli, że popyt utrzymał się na oczekiwanym poziom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706400"/>
                        </a:xfrm>
                        <a:prstGeom prst="rect">
                          <a:avLst/>
                        </a:prstGeom>
                        <a:noFill/>
                        <a:ln w="9525">
                          <a:noFill/>
                          <a:miter lim="800000"/>
                          <a:headEnd/>
                          <a:tailEnd/>
                        </a:ln>
                      </wps:spPr>
                      <wps:txbx>
                        <w:txbxContent>
                          <w:p w14:paraId="787F3BCC" w14:textId="77777777" w:rsidR="00C926EB" w:rsidRPr="0073187B" w:rsidRDefault="00C926EB" w:rsidP="00C926EB">
                            <w:pPr>
                              <w:pStyle w:val="Tekstkomentarza"/>
                              <w:rPr>
                                <w:rFonts w:ascii="Fira Sans" w:hAnsi="Fira Sans"/>
                                <w:color w:val="002060"/>
                                <w:sz w:val="18"/>
                                <w:szCs w:val="16"/>
                              </w:rPr>
                            </w:pPr>
                            <w:r w:rsidRPr="00E64B1E">
                              <w:rPr>
                                <w:rFonts w:ascii="Fira Sans" w:hAnsi="Fira Sans"/>
                                <w:color w:val="002060"/>
                                <w:sz w:val="19"/>
                                <w:szCs w:val="19"/>
                              </w:rPr>
                              <w:t>52,8% użytkowników gospodarstw rolnych prowadzących chów owiec oceniło, że popyt na produkty wytwarzane w ich gospodarstwach jest poniżej oczekiwań, a 21,4%</w:t>
                            </w:r>
                            <w:r>
                              <w:rPr>
                                <w:rFonts w:ascii="Fira Sans" w:hAnsi="Fira Sans"/>
                                <w:color w:val="002060"/>
                                <w:sz w:val="19"/>
                                <w:szCs w:val="19"/>
                              </w:rPr>
                              <w:t>,</w:t>
                            </w:r>
                            <w:r w:rsidRPr="00E64B1E">
                              <w:rPr>
                                <w:rFonts w:ascii="Fira Sans" w:hAnsi="Fira Sans"/>
                                <w:color w:val="002060"/>
                                <w:sz w:val="19"/>
                                <w:szCs w:val="19"/>
                              </w:rPr>
                              <w:t xml:space="preserve"> że powyżej oczekiwań. Pozostali odpowiedzieli, że </w:t>
                            </w:r>
                            <w:r>
                              <w:rPr>
                                <w:rFonts w:ascii="Fira Sans" w:hAnsi="Fira Sans"/>
                                <w:color w:val="002060"/>
                                <w:sz w:val="19"/>
                                <w:szCs w:val="19"/>
                              </w:rPr>
                              <w:t>popyt utrzymał się na oczekiwanym poziomie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0F2926" id="Pole tekstowe 16" o:spid="_x0000_s1032" type="#_x0000_t202" alt="52,8% użytkowników gospodarstw rolnych prowadzących chów owiec oceniło, że popyt na produkty wytwarzane w ich gospodarstwach jest poniżej oczekiwań, a 21,4%, że powyżej oczekiwań. Pozostali odpowiedzieli, że popyt utrzymał się na oczekiwanym poziomie" style="position:absolute;margin-left:450.75pt;margin-top:75.6pt;width:141.75pt;height:134.35pt;z-index:-2502205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" filled="f" stroked="f">
                <v:textbox>
                  <w:txbxContent>
                    <w:p w14:paraId="787F3BCC" w14:textId="77777777" w:rsidR="00C926EB" w:rsidRPr="0073187B" w:rsidRDefault="00C926EB" w:rsidP="00C926EB">
                      <w:pPr>
                        <w:pStyle w:val="Tekstkomentarza"/>
                        <w:rPr>
                          <w:rFonts w:ascii="Fira Sans" w:hAnsi="Fira Sans"/>
                          <w:color w:val="002060"/>
                          <w:sz w:val="18"/>
                          <w:szCs w:val="16"/>
                        </w:rPr>
                      </w:pPr>
                      <w:r w:rsidRPr="00E64B1E">
                        <w:rPr>
                          <w:rFonts w:ascii="Fira Sans" w:hAnsi="Fira Sans"/>
                          <w:color w:val="002060"/>
                          <w:sz w:val="19"/>
                          <w:szCs w:val="19"/>
                        </w:rPr>
                        <w:t>52,8% użytkowników gospodarstw rolnych prowadzących chów owiec oceniło, że popyt na produkty wytwarzane w ich gospodarstwach jest poniżej oczekiwań, a 21,4%</w:t>
                      </w:r>
                      <w:r>
                        <w:rPr>
                          <w:rFonts w:ascii="Fira Sans" w:hAnsi="Fira Sans"/>
                          <w:color w:val="002060"/>
                          <w:sz w:val="19"/>
                          <w:szCs w:val="19"/>
                        </w:rPr>
                        <w:t>,</w:t>
                      </w:r>
                      <w:r w:rsidRPr="00E64B1E">
                        <w:rPr>
                          <w:rFonts w:ascii="Fira Sans" w:hAnsi="Fira Sans"/>
                          <w:color w:val="002060"/>
                          <w:sz w:val="19"/>
                          <w:szCs w:val="19"/>
                        </w:rPr>
                        <w:t xml:space="preserve"> że powyżej oczekiwań. Pozostali odpowiedzieli, że </w:t>
                      </w:r>
                      <w:r>
                        <w:rPr>
                          <w:rFonts w:ascii="Fira Sans" w:hAnsi="Fira Sans"/>
                          <w:color w:val="002060"/>
                          <w:sz w:val="19"/>
                          <w:szCs w:val="19"/>
                        </w:rPr>
                        <w:t>popyt utrzymał się na oczekiwanym poziomie</w:t>
                      </w:r>
                    </w:p>
                  </w:txbxContent>
                </v:textbox>
                <w10:wrap type="tight" anchorx="page"/>
              </v:shape>
            </w:pict>
          </mc:Fallback>
        </mc:AlternateContent>
      </w:r>
      <w:r w:rsidR="006E3C23" w:rsidRPr="00185238">
        <w:rPr>
          <w:rFonts w:ascii="Fira Sans" w:hAnsi="Fira Sans"/>
          <w:color w:val="000000" w:themeColor="text1"/>
          <w:sz w:val="19"/>
          <w:szCs w:val="19"/>
        </w:rPr>
        <w:t xml:space="preserve">Biorąc pod uwagę rodzaj działalności gospodarstw rolnych najbardziej pesymistyczne opinie </w:t>
      </w:r>
      <w:r w:rsidR="00FB5A7F" w:rsidRPr="00185238">
        <w:rPr>
          <w:rFonts w:ascii="Fira Sans" w:hAnsi="Fira Sans"/>
          <w:color w:val="000000" w:themeColor="text1"/>
          <w:sz w:val="19"/>
          <w:szCs w:val="19"/>
        </w:rPr>
        <w:t xml:space="preserve">dotyczące bieżącego popytu </w:t>
      </w:r>
      <w:r w:rsidR="006E3C23" w:rsidRPr="00185238">
        <w:rPr>
          <w:rFonts w:ascii="Fira Sans" w:hAnsi="Fira Sans"/>
          <w:color w:val="000000" w:themeColor="text1"/>
          <w:sz w:val="19"/>
          <w:szCs w:val="19"/>
        </w:rPr>
        <w:t xml:space="preserve">odnotowano wśród </w:t>
      </w:r>
      <w:r w:rsidR="00E85383" w:rsidRPr="00185238">
        <w:rPr>
          <w:rFonts w:ascii="Fira Sans" w:hAnsi="Fira Sans"/>
          <w:color w:val="000000" w:themeColor="text1"/>
          <w:sz w:val="19"/>
          <w:szCs w:val="19"/>
        </w:rPr>
        <w:t xml:space="preserve">użytkowników </w:t>
      </w:r>
      <w:r w:rsidR="006E3C23" w:rsidRPr="00185238">
        <w:rPr>
          <w:rFonts w:ascii="Fira Sans" w:hAnsi="Fira Sans"/>
          <w:color w:val="000000" w:themeColor="text1"/>
          <w:sz w:val="19"/>
          <w:szCs w:val="19"/>
        </w:rPr>
        <w:t xml:space="preserve">gospodarstw specjalizujących się w produkcji roślinnej (saldo minus 32,7). </w:t>
      </w:r>
      <w:r w:rsidR="00A40BC7" w:rsidRPr="00185238">
        <w:rPr>
          <w:rFonts w:ascii="Fira Sans" w:hAnsi="Fira Sans"/>
          <w:color w:val="000000" w:themeColor="text1"/>
          <w:sz w:val="19"/>
          <w:szCs w:val="19"/>
        </w:rPr>
        <w:t xml:space="preserve">W tej grupie gospodarstw na popyt poniżej oczekiwań najczęściej wskazywano w gospodarstwach prowadzących uprawę buraków cukrowych (saldo minus 42,4) oraz ziemniaków (saldo minus 40,4). </w:t>
      </w:r>
      <w:r w:rsidR="006E3C23" w:rsidRPr="00185238">
        <w:rPr>
          <w:rFonts w:ascii="Fira Sans" w:hAnsi="Fira Sans"/>
          <w:color w:val="000000" w:themeColor="text1"/>
          <w:sz w:val="19"/>
          <w:szCs w:val="19"/>
        </w:rPr>
        <w:t xml:space="preserve">Najmniej negatywne opinie </w:t>
      </w:r>
      <w:r w:rsidR="00A40BC7" w:rsidRPr="00185238">
        <w:rPr>
          <w:rFonts w:ascii="Fira Sans" w:hAnsi="Fira Sans"/>
          <w:color w:val="000000" w:themeColor="text1"/>
          <w:sz w:val="19"/>
          <w:szCs w:val="19"/>
        </w:rPr>
        <w:t>s</w:t>
      </w:r>
      <w:r w:rsidR="006E3C23" w:rsidRPr="00185238">
        <w:rPr>
          <w:rFonts w:ascii="Fira Sans" w:hAnsi="Fira Sans"/>
          <w:color w:val="000000" w:themeColor="text1"/>
          <w:sz w:val="19"/>
          <w:szCs w:val="19"/>
        </w:rPr>
        <w:t xml:space="preserve">formułowali rolnicy prowadzący produkcję zwierzęcą (saldo minus 15,6). Wśród nich </w:t>
      </w:r>
      <w:r w:rsidR="00FB5A7F" w:rsidRPr="00185238">
        <w:rPr>
          <w:rFonts w:ascii="Fira Sans" w:hAnsi="Fira Sans"/>
          <w:color w:val="000000" w:themeColor="text1"/>
          <w:sz w:val="19"/>
          <w:szCs w:val="19"/>
        </w:rPr>
        <w:t>najbardziej pesymistyczne oceny</w:t>
      </w:r>
      <w:r w:rsidR="00FB5A7F" w:rsidRPr="00185238" w:rsidDel="00FB5A7F">
        <w:rPr>
          <w:rFonts w:ascii="Fira Sans" w:hAnsi="Fira Sans"/>
          <w:color w:val="000000" w:themeColor="text1"/>
          <w:sz w:val="19"/>
          <w:szCs w:val="19"/>
        </w:rPr>
        <w:t xml:space="preserve"> </w:t>
      </w:r>
      <w:r w:rsidR="00142FFB" w:rsidRPr="00185238">
        <w:rPr>
          <w:rFonts w:ascii="Fira Sans" w:hAnsi="Fira Sans"/>
          <w:color w:val="000000" w:themeColor="text1"/>
          <w:sz w:val="19"/>
          <w:szCs w:val="19"/>
        </w:rPr>
        <w:t>odnotowano w gospodarstwach</w:t>
      </w:r>
      <w:r w:rsidR="006E3C23" w:rsidRPr="00185238">
        <w:rPr>
          <w:rFonts w:ascii="Fira Sans" w:hAnsi="Fira Sans"/>
          <w:color w:val="000000" w:themeColor="text1"/>
          <w:sz w:val="19"/>
          <w:szCs w:val="19"/>
        </w:rPr>
        <w:t xml:space="preserve"> zajmujący</w:t>
      </w:r>
      <w:r w:rsidR="00142FFB" w:rsidRPr="00185238">
        <w:rPr>
          <w:rFonts w:ascii="Fira Sans" w:hAnsi="Fira Sans"/>
          <w:color w:val="000000" w:themeColor="text1"/>
          <w:sz w:val="19"/>
          <w:szCs w:val="19"/>
        </w:rPr>
        <w:t>ch</w:t>
      </w:r>
      <w:r w:rsidR="006E3C23" w:rsidRPr="00185238">
        <w:rPr>
          <w:rFonts w:ascii="Fira Sans" w:hAnsi="Fira Sans"/>
          <w:color w:val="000000" w:themeColor="text1"/>
          <w:sz w:val="19"/>
          <w:szCs w:val="19"/>
        </w:rPr>
        <w:t xml:space="preserve"> się chowem koni (saldo minus 38,2) i chowem trzody chlewnej (minus 35,9). </w:t>
      </w:r>
      <w:r w:rsidR="00A40BC7" w:rsidRPr="00185238">
        <w:rPr>
          <w:rFonts w:ascii="Fira Sans" w:hAnsi="Fira Sans"/>
          <w:color w:val="000000" w:themeColor="text1"/>
          <w:sz w:val="19"/>
          <w:szCs w:val="19"/>
        </w:rPr>
        <w:t xml:space="preserve">Wyjątek stanowili hodowcy brojlerów, wśród których przeważały opinie, że popyt na ich produkty w czerwcu br. </w:t>
      </w:r>
      <w:r w:rsidR="007519BB">
        <w:rPr>
          <w:rFonts w:ascii="Fira Sans" w:hAnsi="Fira Sans"/>
          <w:color w:val="000000" w:themeColor="text1"/>
          <w:sz w:val="19"/>
          <w:szCs w:val="19"/>
        </w:rPr>
        <w:t xml:space="preserve">kształtował się </w:t>
      </w:r>
      <w:r w:rsidR="00A40BC7" w:rsidRPr="00185238">
        <w:rPr>
          <w:rFonts w:ascii="Fira Sans" w:hAnsi="Fira Sans"/>
          <w:color w:val="000000" w:themeColor="text1"/>
          <w:sz w:val="19"/>
          <w:szCs w:val="19"/>
        </w:rPr>
        <w:t xml:space="preserve">powyżej ich oczekiwań (saldo 3,9). </w:t>
      </w:r>
    </w:p>
    <w:p w14:paraId="3A2F96CB" w14:textId="2D48FC49" w:rsidR="00A40BC7" w:rsidRPr="00185238" w:rsidRDefault="00A40BC7" w:rsidP="00484F8D">
      <w:pPr>
        <w:spacing w:before="120" w:after="120" w:line="288" w:lineRule="auto"/>
        <w:rPr>
          <w:rFonts w:ascii="Fira Sans" w:hAnsi="Fira Sans" w:cs="Myriad Pro"/>
          <w:color w:val="000000"/>
          <w:sz w:val="19"/>
          <w:szCs w:val="19"/>
        </w:rPr>
      </w:pPr>
      <w:r w:rsidRPr="00185238">
        <w:rPr>
          <w:rFonts w:ascii="Fira Sans" w:hAnsi="Fira Sans" w:cs="Myriad Pro"/>
          <w:color w:val="000000"/>
          <w:sz w:val="19"/>
          <w:szCs w:val="19"/>
        </w:rPr>
        <w:t>Uwzględniając wielkość gospodarstw rolnych, najczęściej na popyt poniżej oczekiwań wskazywali rolnicy prowadzący gospodarstwa najmniejsze (do 1 ha) oraz największe (100</w:t>
      </w:r>
      <w:r w:rsidR="0068547F">
        <w:rPr>
          <w:rFonts w:ascii="Fira Sans" w:hAnsi="Fira Sans" w:cs="Myriad Pro"/>
          <w:color w:val="000000"/>
          <w:sz w:val="19"/>
          <w:szCs w:val="19"/>
        </w:rPr>
        <w:t> </w:t>
      </w:r>
      <w:r w:rsidRPr="00185238">
        <w:rPr>
          <w:rFonts w:ascii="Fira Sans" w:hAnsi="Fira Sans" w:cs="Myriad Pro"/>
          <w:color w:val="000000"/>
          <w:sz w:val="19"/>
          <w:szCs w:val="19"/>
        </w:rPr>
        <w:t>ha</w:t>
      </w:r>
      <w:r w:rsidR="0068547F">
        <w:rPr>
          <w:rFonts w:ascii="Fira Sans" w:hAnsi="Fira Sans" w:cs="Myriad Pro"/>
          <w:color w:val="000000"/>
          <w:sz w:val="19"/>
          <w:szCs w:val="19"/>
        </w:rPr>
        <w:t> </w:t>
      </w:r>
      <w:r w:rsidRPr="00185238">
        <w:rPr>
          <w:rFonts w:ascii="Fira Sans" w:hAnsi="Fira Sans" w:cs="Myriad Pro"/>
          <w:color w:val="000000"/>
          <w:sz w:val="19"/>
          <w:szCs w:val="19"/>
        </w:rPr>
        <w:t>i</w:t>
      </w:r>
      <w:r w:rsidR="00C926EB">
        <w:rPr>
          <w:rFonts w:ascii="Fira Sans" w:hAnsi="Fira Sans" w:cs="Myriad Pro"/>
          <w:color w:val="000000"/>
          <w:sz w:val="19"/>
          <w:szCs w:val="19"/>
        </w:rPr>
        <w:t> </w:t>
      </w:r>
      <w:r w:rsidRPr="00185238">
        <w:rPr>
          <w:rFonts w:ascii="Fira Sans" w:hAnsi="Fira Sans" w:cs="Myriad Pro"/>
          <w:color w:val="000000"/>
          <w:sz w:val="19"/>
          <w:szCs w:val="19"/>
        </w:rPr>
        <w:t>więcej). Saldo odpowiedzi w tych grupach gospodarstw wyniosło odpowiednio minus 37,2 oraz minus 33,6. Jednocześnie, były to jedyne grupy, w których w porównaniu z</w:t>
      </w:r>
      <w:r w:rsidR="0068547F">
        <w:rPr>
          <w:rFonts w:ascii="Fira Sans" w:hAnsi="Fira Sans" w:cs="Myriad Pro"/>
          <w:color w:val="000000"/>
          <w:sz w:val="19"/>
          <w:szCs w:val="19"/>
        </w:rPr>
        <w:t> </w:t>
      </w:r>
      <w:r w:rsidRPr="00185238">
        <w:rPr>
          <w:rFonts w:ascii="Fira Sans" w:hAnsi="Fira Sans" w:cs="Myriad Pro"/>
          <w:color w:val="000000"/>
          <w:sz w:val="19"/>
          <w:szCs w:val="19"/>
        </w:rPr>
        <w:t>grudniem 2024 r. odnotowano spadek salda – odpowiednio o 11,8 pkt i o 0,2 pkt.</w:t>
      </w:r>
    </w:p>
    <w:p w14:paraId="3B5F5837" w14:textId="0ACC2629" w:rsidR="00AE432E" w:rsidRPr="00185238" w:rsidRDefault="00164874" w:rsidP="00185238">
      <w:pPr>
        <w:spacing w:before="360" w:after="120" w:line="240" w:lineRule="auto"/>
        <w:rPr>
          <w:rFonts w:ascii="Fira Sans" w:hAnsi="Fira Sans" w:cs="Myriad Pro"/>
          <w:color w:val="000000"/>
          <w:sz w:val="19"/>
          <w:szCs w:val="19"/>
        </w:rPr>
      </w:pPr>
      <w:r w:rsidRPr="00185238">
        <w:rPr>
          <w:rFonts w:ascii="Fira Sans" w:hAnsi="Fira Sans" w:cs="Myriad Pro"/>
          <w:b/>
          <w:bCs/>
          <w:color w:val="000000"/>
          <w:sz w:val="19"/>
          <w:szCs w:val="19"/>
        </w:rPr>
        <w:t xml:space="preserve">Wykres </w:t>
      </w:r>
      <w:r w:rsidR="005E6146" w:rsidRPr="00185238">
        <w:rPr>
          <w:rFonts w:ascii="Fira Sans" w:hAnsi="Fira Sans" w:cs="Myriad Pro"/>
          <w:b/>
          <w:bCs/>
          <w:color w:val="000000"/>
          <w:sz w:val="19"/>
          <w:szCs w:val="19"/>
        </w:rPr>
        <w:t>4</w:t>
      </w:r>
      <w:r w:rsidRPr="00185238">
        <w:rPr>
          <w:rFonts w:ascii="Fira Sans" w:hAnsi="Fira Sans" w:cs="Myriad Pro"/>
          <w:b/>
          <w:bCs/>
          <w:color w:val="000000"/>
          <w:sz w:val="19"/>
          <w:szCs w:val="19"/>
        </w:rPr>
        <w:t>. Salda odpowiedzi dotyczące bieżącej (</w:t>
      </w:r>
      <w:r w:rsidR="001311B5" w:rsidRPr="00185238">
        <w:rPr>
          <w:rFonts w:ascii="Fira Sans" w:hAnsi="Fira Sans" w:cs="Myriad Pro"/>
          <w:b/>
          <w:bCs/>
          <w:color w:val="000000"/>
          <w:sz w:val="19"/>
          <w:szCs w:val="19"/>
        </w:rPr>
        <w:t>czerwiec</w:t>
      </w:r>
      <w:r w:rsidRPr="00185238">
        <w:rPr>
          <w:rFonts w:ascii="Fira Sans" w:hAnsi="Fira Sans" w:cs="Myriad Pro"/>
          <w:b/>
          <w:bCs/>
          <w:color w:val="000000"/>
          <w:sz w:val="19"/>
          <w:szCs w:val="19"/>
        </w:rPr>
        <w:t xml:space="preserve"> 202</w:t>
      </w:r>
      <w:r w:rsidR="001311B5" w:rsidRPr="00185238">
        <w:rPr>
          <w:rFonts w:ascii="Fira Sans" w:hAnsi="Fira Sans" w:cs="Myriad Pro"/>
          <w:b/>
          <w:bCs/>
          <w:color w:val="000000"/>
          <w:sz w:val="19"/>
          <w:szCs w:val="19"/>
        </w:rPr>
        <w:t>5</w:t>
      </w:r>
      <w:r w:rsidRPr="00185238">
        <w:rPr>
          <w:rFonts w:ascii="Fira Sans" w:hAnsi="Fira Sans" w:cs="Myriad Pro"/>
          <w:b/>
          <w:bCs/>
          <w:color w:val="000000"/>
          <w:sz w:val="19"/>
          <w:szCs w:val="19"/>
        </w:rPr>
        <w:t xml:space="preserve"> r.) </w:t>
      </w:r>
      <w:r w:rsidR="0006060F" w:rsidRPr="00185238">
        <w:rPr>
          <w:rFonts w:ascii="Fira Sans" w:hAnsi="Fira Sans" w:cs="Myriad Pro"/>
          <w:b/>
          <w:bCs/>
          <w:color w:val="000000"/>
          <w:sz w:val="19"/>
          <w:szCs w:val="19"/>
        </w:rPr>
        <w:t>o</w:t>
      </w:r>
      <w:r w:rsidRPr="00185238">
        <w:rPr>
          <w:rFonts w:ascii="Fira Sans" w:hAnsi="Fira Sans" w:cs="Myriad Pro"/>
          <w:b/>
          <w:bCs/>
          <w:color w:val="000000"/>
          <w:sz w:val="19"/>
          <w:szCs w:val="19"/>
        </w:rPr>
        <w:t xml:space="preserve">płacalności produkcji rolniczej i </w:t>
      </w:r>
      <w:r w:rsidR="001340A2" w:rsidRPr="00185238">
        <w:rPr>
          <w:rFonts w:ascii="Fira Sans" w:hAnsi="Fira Sans" w:cs="Myriad Pro"/>
          <w:b/>
          <w:bCs/>
          <w:color w:val="000000"/>
          <w:sz w:val="19"/>
          <w:szCs w:val="19"/>
        </w:rPr>
        <w:t>p</w:t>
      </w:r>
      <w:r w:rsidRPr="00185238">
        <w:rPr>
          <w:rFonts w:ascii="Fira Sans" w:hAnsi="Fira Sans" w:cs="Myriad Pro"/>
          <w:b/>
          <w:bCs/>
          <w:color w:val="000000"/>
          <w:sz w:val="19"/>
          <w:szCs w:val="19"/>
        </w:rPr>
        <w:t>opytu na produkty rolne według ukierunkowania produkcyjnego</w:t>
      </w:r>
    </w:p>
    <w:p w14:paraId="53C81C42" w14:textId="6962C744" w:rsidR="007B3A7A" w:rsidRPr="00185238" w:rsidRDefault="00C926EB" w:rsidP="009E03B7">
      <w:pPr>
        <w:spacing w:before="120" w:after="120" w:line="240" w:lineRule="auto"/>
        <w:rPr>
          <w:rFonts w:ascii="Fira Sans" w:hAnsi="Fira Sans"/>
          <w:b/>
          <w:color w:val="002060"/>
          <w:sz w:val="24"/>
          <w:szCs w:val="24"/>
        </w:rPr>
      </w:pPr>
      <w:r>
        <w:rPr>
          <w:rFonts w:ascii="Fira Sans" w:hAnsi="Fira Sans"/>
          <w:b/>
          <w:noProof/>
          <w:color w:val="002060"/>
          <w:sz w:val="24"/>
          <w:szCs w:val="24"/>
        </w:rPr>
        <w:drawing>
          <wp:inline distT="0" distB="0" distL="0" distR="0" wp14:anchorId="186DFFAA" wp14:editId="73E23E29">
            <wp:extent cx="5181598" cy="2164080"/>
            <wp:effectExtent l="0" t="0" r="0" b="7620"/>
            <wp:docPr id="9" name="Obraz 9" descr="Wykres 4. Salda odpowiedzi dotyczące bieżącej (czerwiec 2025 r.) opłacalności produkcji rolniczej i popytu na produkty rolne według ukierunkowania produk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Wykres 4. Salda odpowiedzi dotyczące bieżącej (czerwiec 2025 r.) opłacalności produkcji rolniczej i popytu na produkty rolne według ukierunkowania produkcyjne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181598" cy="2164080"/>
                    </a:xfrm>
                    <a:prstGeom prst="rect">
                      <a:avLst/>
                    </a:prstGeom>
                    <a:noFill/>
                  </pic:spPr>
                </pic:pic>
              </a:graphicData>
            </a:graphic>
          </wp:inline>
        </w:drawing>
      </w:r>
    </w:p>
    <w:p w14:paraId="25825DE3" w14:textId="77777777" w:rsidR="00D62BAC" w:rsidRDefault="00D62BAC">
      <w:pPr>
        <w:spacing w:line="259" w:lineRule="auto"/>
        <w:rPr>
          <w:rFonts w:ascii="Fira Sans" w:hAnsi="Fira Sans"/>
          <w:b/>
          <w:color w:val="002060"/>
          <w:sz w:val="24"/>
          <w:szCs w:val="24"/>
        </w:rPr>
      </w:pPr>
      <w:r>
        <w:rPr>
          <w:rFonts w:ascii="Fira Sans" w:hAnsi="Fira Sans"/>
          <w:b/>
          <w:color w:val="002060"/>
          <w:sz w:val="24"/>
          <w:szCs w:val="24"/>
        </w:rPr>
        <w:br w:type="page"/>
      </w:r>
    </w:p>
    <w:p w14:paraId="3EF0E77E" w14:textId="074963B2" w:rsidR="004E2A40" w:rsidRPr="00185238" w:rsidRDefault="004E2A40" w:rsidP="00341F92">
      <w:pPr>
        <w:spacing w:before="360" w:after="120"/>
        <w:rPr>
          <w:rFonts w:ascii="Fira Sans" w:hAnsi="Fira Sans"/>
          <w:b/>
          <w:color w:val="002060"/>
          <w:sz w:val="24"/>
          <w:szCs w:val="24"/>
        </w:rPr>
      </w:pPr>
      <w:r w:rsidRPr="00185238">
        <w:rPr>
          <w:rFonts w:ascii="Fira Sans" w:hAnsi="Fira Sans"/>
          <w:b/>
          <w:color w:val="002060"/>
          <w:sz w:val="24"/>
          <w:szCs w:val="24"/>
        </w:rPr>
        <w:lastRenderedPageBreak/>
        <w:t>Zmian</w:t>
      </w:r>
      <w:r w:rsidR="0056126B" w:rsidRPr="00185238">
        <w:rPr>
          <w:rFonts w:ascii="Fira Sans" w:hAnsi="Fira Sans"/>
          <w:b/>
          <w:color w:val="002060"/>
          <w:sz w:val="24"/>
          <w:szCs w:val="24"/>
        </w:rPr>
        <w:t>y</w:t>
      </w:r>
      <w:r w:rsidRPr="00185238">
        <w:rPr>
          <w:rFonts w:ascii="Fira Sans" w:hAnsi="Fira Sans"/>
          <w:b/>
          <w:color w:val="002060"/>
          <w:sz w:val="24"/>
          <w:szCs w:val="24"/>
        </w:rPr>
        <w:t xml:space="preserve"> w</w:t>
      </w:r>
      <w:r w:rsidR="00BC6C00" w:rsidRPr="00185238">
        <w:rPr>
          <w:rFonts w:ascii="Fira Sans" w:hAnsi="Fira Sans"/>
          <w:b/>
          <w:color w:val="002060"/>
          <w:sz w:val="24"/>
          <w:szCs w:val="24"/>
        </w:rPr>
        <w:t xml:space="preserve"> </w:t>
      </w:r>
      <w:r w:rsidR="007D274B" w:rsidRPr="00185238">
        <w:rPr>
          <w:rFonts w:ascii="Fira Sans" w:hAnsi="Fira Sans"/>
          <w:b/>
          <w:color w:val="002060"/>
          <w:sz w:val="24"/>
          <w:szCs w:val="24"/>
        </w:rPr>
        <w:t xml:space="preserve">gospodarstwach rolnych w </w:t>
      </w:r>
      <w:r w:rsidR="001311B5" w:rsidRPr="00185238">
        <w:rPr>
          <w:rFonts w:ascii="Fira Sans" w:hAnsi="Fira Sans"/>
          <w:b/>
          <w:color w:val="002060"/>
          <w:sz w:val="24"/>
          <w:szCs w:val="24"/>
        </w:rPr>
        <w:t>1</w:t>
      </w:r>
      <w:r w:rsidR="00BC6C00" w:rsidRPr="00185238">
        <w:rPr>
          <w:rFonts w:ascii="Fira Sans" w:hAnsi="Fira Sans"/>
          <w:b/>
          <w:color w:val="002060"/>
          <w:sz w:val="24"/>
          <w:szCs w:val="24"/>
        </w:rPr>
        <w:t xml:space="preserve"> półroczu 202</w:t>
      </w:r>
      <w:r w:rsidR="001311B5" w:rsidRPr="00185238">
        <w:rPr>
          <w:rFonts w:ascii="Fira Sans" w:hAnsi="Fira Sans"/>
          <w:b/>
          <w:color w:val="002060"/>
          <w:sz w:val="24"/>
          <w:szCs w:val="24"/>
        </w:rPr>
        <w:t>5</w:t>
      </w:r>
      <w:r w:rsidRPr="00185238">
        <w:rPr>
          <w:rFonts w:ascii="Fira Sans" w:hAnsi="Fira Sans"/>
          <w:b/>
          <w:color w:val="002060"/>
          <w:sz w:val="24"/>
          <w:szCs w:val="24"/>
        </w:rPr>
        <w:t xml:space="preserve"> r.</w:t>
      </w:r>
    </w:p>
    <w:p w14:paraId="3AEDAC9B" w14:textId="77777777" w:rsidR="007D274B" w:rsidRPr="00185238" w:rsidRDefault="007D274B" w:rsidP="00484F8D">
      <w:pPr>
        <w:spacing w:before="300" w:after="120"/>
        <w:rPr>
          <w:rFonts w:ascii="Fira Sans" w:hAnsi="Fira Sans"/>
          <w:b/>
          <w:color w:val="002060"/>
          <w:sz w:val="19"/>
          <w:szCs w:val="19"/>
        </w:rPr>
      </w:pPr>
      <w:r w:rsidRPr="00185238">
        <w:rPr>
          <w:rFonts w:ascii="Fira Sans" w:hAnsi="Fira Sans"/>
          <w:b/>
          <w:color w:val="002060"/>
          <w:sz w:val="19"/>
          <w:szCs w:val="19"/>
        </w:rPr>
        <w:t>Opłacalność produkcji rolniczej</w:t>
      </w:r>
    </w:p>
    <w:p w14:paraId="4B039C5C" w14:textId="505EF9BE" w:rsidR="00D10D57" w:rsidRPr="00185238" w:rsidRDefault="00D10D57" w:rsidP="00484F8D">
      <w:pPr>
        <w:spacing w:before="120" w:after="120" w:line="288" w:lineRule="auto"/>
        <w:rPr>
          <w:rFonts w:ascii="Fira Sans" w:hAnsi="Fira Sans" w:cs="Myriad Pro"/>
          <w:color w:val="000000"/>
          <w:sz w:val="19"/>
          <w:szCs w:val="19"/>
        </w:rPr>
      </w:pPr>
      <w:bookmarkStart w:id="1" w:name="_Hlk193372314"/>
      <w:r w:rsidRPr="00185238">
        <w:rPr>
          <w:rFonts w:ascii="Fira Sans" w:hAnsi="Fira Sans" w:cs="Myriad Pro"/>
          <w:color w:val="000000"/>
          <w:sz w:val="19"/>
          <w:szCs w:val="19"/>
        </w:rPr>
        <w:t>Użytkownicy gospodarstw rolnych ocenili zmiany w opłacalności produkcji rolniczej w</w:t>
      </w:r>
      <w:r w:rsidR="00C926EB">
        <w:rPr>
          <w:rFonts w:ascii="Fira Sans" w:hAnsi="Fira Sans" w:cs="Myriad Pro"/>
          <w:color w:val="000000"/>
          <w:sz w:val="19"/>
          <w:szCs w:val="19"/>
        </w:rPr>
        <w:t> </w:t>
      </w:r>
      <w:r w:rsidRPr="00185238">
        <w:rPr>
          <w:rFonts w:ascii="Fira Sans" w:hAnsi="Fira Sans" w:cs="Myriad Pro"/>
          <w:color w:val="000000"/>
          <w:sz w:val="19"/>
          <w:szCs w:val="19"/>
        </w:rPr>
        <w:t>1</w:t>
      </w:r>
      <w:r w:rsidR="00C926EB">
        <w:rPr>
          <w:rFonts w:ascii="Fira Sans" w:hAnsi="Fira Sans" w:cs="Myriad Pro"/>
          <w:color w:val="000000"/>
          <w:sz w:val="19"/>
          <w:szCs w:val="19"/>
        </w:rPr>
        <w:t> </w:t>
      </w:r>
      <w:r w:rsidRPr="00185238">
        <w:rPr>
          <w:rFonts w:ascii="Fira Sans" w:hAnsi="Fira Sans" w:cs="Myriad Pro"/>
          <w:color w:val="000000"/>
          <w:sz w:val="19"/>
          <w:szCs w:val="19"/>
        </w:rPr>
        <w:t xml:space="preserve">półroczu 2025 r. bardziej optymistycznie niż przed rokiem oraz w porównaniu ze zmianami jakie zaszły w 2 półroczu 2024 r. Saldo odpowiedzi na pytanie o opłacalność </w:t>
      </w:r>
      <w:r w:rsidR="00C926EB" w:rsidRPr="00185238">
        <w:rPr>
          <w:rFonts w:ascii="Fira Sans" w:hAnsi="Fira Sans"/>
          <w:noProof/>
          <w:color w:val="000000" w:themeColor="text1"/>
          <w:sz w:val="24"/>
          <w:szCs w:val="24"/>
          <w:lang w:eastAsia="pl-PL"/>
        </w:rPr>
        <mc:AlternateContent>
          <mc:Choice Requires="wps">
            <w:drawing>
              <wp:anchor distT="45720" distB="45720" distL="114300" distR="114300" simplePos="0" relativeHeight="253041664" behindDoc="1" locked="0" layoutInCell="1" allowOverlap="1" wp14:anchorId="004D39B8" wp14:editId="1C446C70">
                <wp:simplePos x="0" y="0"/>
                <wp:positionH relativeFrom="page">
                  <wp:posOffset>5724525</wp:posOffset>
                </wp:positionH>
                <wp:positionV relativeFrom="paragraph">
                  <wp:posOffset>3810</wp:posOffset>
                </wp:positionV>
                <wp:extent cx="1800000" cy="1540800"/>
                <wp:effectExtent l="0" t="0" r="0" b="2540"/>
                <wp:wrapTight wrapText="bothSides">
                  <wp:wrapPolygon edited="0">
                    <wp:start x="686" y="0"/>
                    <wp:lineTo x="686" y="21369"/>
                    <wp:lineTo x="20807" y="21369"/>
                    <wp:lineTo x="20807" y="0"/>
                    <wp:lineTo x="686" y="0"/>
                  </wp:wrapPolygon>
                </wp:wrapTight>
                <wp:docPr id="1921257301" name="Pole tekstowe 1921257301" descr="51,2% producentów roślin stwierdziło, że w 1 półroczu 2025 r. opłacalność produkcji rolniczej pogorszyła się, a 3,2% wskazało na jej poprawę. Pozostali ocenili, że opłacalność produkcji pozostała bez zmia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540800"/>
                        </a:xfrm>
                        <a:prstGeom prst="rect">
                          <a:avLst/>
                        </a:prstGeom>
                        <a:noFill/>
                        <a:ln w="9525">
                          <a:noFill/>
                          <a:miter lim="800000"/>
                          <a:headEnd/>
                          <a:tailEnd/>
                        </a:ln>
                      </wps:spPr>
                      <wps:txbx>
                        <w:txbxContent>
                          <w:p w14:paraId="63E45EF2" w14:textId="4B721F7B" w:rsidR="004429EF" w:rsidRPr="0073187B" w:rsidRDefault="00E64B1E" w:rsidP="00E64B1E">
                            <w:pPr>
                              <w:pStyle w:val="Tekstkomentarza"/>
                              <w:rPr>
                                <w:rFonts w:ascii="Fira Sans" w:hAnsi="Fira Sans"/>
                                <w:color w:val="002060"/>
                                <w:sz w:val="18"/>
                                <w:szCs w:val="16"/>
                              </w:rPr>
                            </w:pPr>
                            <w:r w:rsidRPr="00E64B1E">
                              <w:rPr>
                                <w:rFonts w:ascii="Fira Sans" w:hAnsi="Fira Sans"/>
                                <w:color w:val="002060"/>
                                <w:sz w:val="19"/>
                                <w:szCs w:val="19"/>
                              </w:rPr>
                              <w:t>51,2% producentów roślin stwierdziło, że w</w:t>
                            </w:r>
                            <w:r w:rsidR="00C926EB">
                              <w:rPr>
                                <w:rFonts w:ascii="Fira Sans" w:hAnsi="Fira Sans"/>
                                <w:color w:val="002060"/>
                                <w:sz w:val="19"/>
                                <w:szCs w:val="19"/>
                              </w:rPr>
                              <w:t> </w:t>
                            </w:r>
                            <w:r w:rsidRPr="00E64B1E">
                              <w:rPr>
                                <w:rFonts w:ascii="Fira Sans" w:hAnsi="Fira Sans"/>
                                <w:color w:val="002060"/>
                                <w:sz w:val="19"/>
                                <w:szCs w:val="19"/>
                              </w:rPr>
                              <w:t>1</w:t>
                            </w:r>
                            <w:r w:rsidR="00C926EB">
                              <w:rPr>
                                <w:rFonts w:ascii="Fira Sans" w:hAnsi="Fira Sans"/>
                                <w:color w:val="002060"/>
                                <w:sz w:val="19"/>
                                <w:szCs w:val="19"/>
                              </w:rPr>
                              <w:t> </w:t>
                            </w:r>
                            <w:r w:rsidRPr="00E64B1E">
                              <w:rPr>
                                <w:rFonts w:ascii="Fira Sans" w:hAnsi="Fira Sans"/>
                                <w:color w:val="002060"/>
                                <w:sz w:val="19"/>
                                <w:szCs w:val="19"/>
                              </w:rPr>
                              <w:t>półroczu 2025 r. opłacalność produkcji rolniczej pogorszyła się, a</w:t>
                            </w:r>
                            <w:r w:rsidR="00484F8D">
                              <w:rPr>
                                <w:rFonts w:ascii="Fira Sans" w:hAnsi="Fira Sans"/>
                                <w:color w:val="002060"/>
                                <w:sz w:val="19"/>
                                <w:szCs w:val="19"/>
                              </w:rPr>
                              <w:t> </w:t>
                            </w:r>
                            <w:r w:rsidRPr="00E64B1E">
                              <w:rPr>
                                <w:rFonts w:ascii="Fira Sans" w:hAnsi="Fira Sans"/>
                                <w:color w:val="002060"/>
                                <w:sz w:val="19"/>
                                <w:szCs w:val="19"/>
                              </w:rPr>
                              <w:t xml:space="preserve">3,2% wskazało na </w:t>
                            </w:r>
                            <w:r w:rsidR="00E20F26">
                              <w:rPr>
                                <w:rFonts w:ascii="Fira Sans" w:hAnsi="Fira Sans"/>
                                <w:color w:val="002060"/>
                                <w:sz w:val="19"/>
                                <w:szCs w:val="19"/>
                              </w:rPr>
                              <w:t xml:space="preserve">jej </w:t>
                            </w:r>
                            <w:r w:rsidRPr="00E64B1E">
                              <w:rPr>
                                <w:rFonts w:ascii="Fira Sans" w:hAnsi="Fira Sans"/>
                                <w:color w:val="002060"/>
                                <w:sz w:val="19"/>
                                <w:szCs w:val="19"/>
                              </w:rPr>
                              <w:t>poprawę. Pozostali o</w:t>
                            </w:r>
                            <w:r w:rsidR="008879B5">
                              <w:rPr>
                                <w:rFonts w:ascii="Fira Sans" w:hAnsi="Fira Sans"/>
                                <w:color w:val="002060"/>
                                <w:sz w:val="19"/>
                                <w:szCs w:val="19"/>
                              </w:rPr>
                              <w:t>ceni</w:t>
                            </w:r>
                            <w:r w:rsidRPr="00E64B1E">
                              <w:rPr>
                                <w:rFonts w:ascii="Fira Sans" w:hAnsi="Fira Sans"/>
                                <w:color w:val="002060"/>
                                <w:sz w:val="19"/>
                                <w:szCs w:val="19"/>
                              </w:rPr>
                              <w:t>li, że opłacalność produkcji pozostała bez zmian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4D39B8" id="Pole tekstowe 1921257301" o:spid="_x0000_s1033" type="#_x0000_t202" alt="51,2% producentów roślin stwierdziło, że w 1 półroczu 2025 r. opłacalność produkcji rolniczej pogorszyła się, a 3,2% wskazało na jej poprawę. Pozostali ocenili, że opłacalność produkcji pozostała bez zmian" style="position:absolute;margin-left:450.75pt;margin-top:.3pt;width:141.75pt;height:121.3pt;z-index:-250274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" filled="f" stroked="f">
                <v:textbox>
                  <w:txbxContent>
                    <w:p w14:paraId="63E45EF2" w14:textId="4B721F7B" w:rsidR="004429EF" w:rsidRPr="0073187B" w:rsidRDefault="00E64B1E" w:rsidP="00E64B1E">
                      <w:pPr>
                        <w:pStyle w:val="Tekstkomentarza"/>
                        <w:rPr>
                          <w:rFonts w:ascii="Fira Sans" w:hAnsi="Fira Sans"/>
                          <w:color w:val="002060"/>
                          <w:sz w:val="18"/>
                          <w:szCs w:val="16"/>
                        </w:rPr>
                      </w:pPr>
                      <w:r w:rsidRPr="00E64B1E">
                        <w:rPr>
                          <w:rFonts w:ascii="Fira Sans" w:hAnsi="Fira Sans"/>
                          <w:color w:val="002060"/>
                          <w:sz w:val="19"/>
                          <w:szCs w:val="19"/>
                        </w:rPr>
                        <w:t>51,2% producentów roślin stwierdziło, że w</w:t>
                      </w:r>
                      <w:r w:rsidR="00C926EB">
                        <w:rPr>
                          <w:rFonts w:ascii="Fira Sans" w:hAnsi="Fira Sans"/>
                          <w:color w:val="002060"/>
                          <w:sz w:val="19"/>
                          <w:szCs w:val="19"/>
                        </w:rPr>
                        <w:t> </w:t>
                      </w:r>
                      <w:r w:rsidRPr="00E64B1E">
                        <w:rPr>
                          <w:rFonts w:ascii="Fira Sans" w:hAnsi="Fira Sans"/>
                          <w:color w:val="002060"/>
                          <w:sz w:val="19"/>
                          <w:szCs w:val="19"/>
                        </w:rPr>
                        <w:t>1</w:t>
                      </w:r>
                      <w:r w:rsidR="00C926EB">
                        <w:rPr>
                          <w:rFonts w:ascii="Fira Sans" w:hAnsi="Fira Sans"/>
                          <w:color w:val="002060"/>
                          <w:sz w:val="19"/>
                          <w:szCs w:val="19"/>
                        </w:rPr>
                        <w:t> </w:t>
                      </w:r>
                      <w:r w:rsidRPr="00E64B1E">
                        <w:rPr>
                          <w:rFonts w:ascii="Fira Sans" w:hAnsi="Fira Sans"/>
                          <w:color w:val="002060"/>
                          <w:sz w:val="19"/>
                          <w:szCs w:val="19"/>
                        </w:rPr>
                        <w:t>półroczu 2025 r. opłacalność produkcji rolniczej pogorszyła się, a</w:t>
                      </w:r>
                      <w:r w:rsidR="00484F8D">
                        <w:rPr>
                          <w:rFonts w:ascii="Fira Sans" w:hAnsi="Fira Sans"/>
                          <w:color w:val="002060"/>
                          <w:sz w:val="19"/>
                          <w:szCs w:val="19"/>
                        </w:rPr>
                        <w:t> </w:t>
                      </w:r>
                      <w:r w:rsidRPr="00E64B1E">
                        <w:rPr>
                          <w:rFonts w:ascii="Fira Sans" w:hAnsi="Fira Sans"/>
                          <w:color w:val="002060"/>
                          <w:sz w:val="19"/>
                          <w:szCs w:val="19"/>
                        </w:rPr>
                        <w:t xml:space="preserve">3,2% wskazało na </w:t>
                      </w:r>
                      <w:r w:rsidR="00E20F26">
                        <w:rPr>
                          <w:rFonts w:ascii="Fira Sans" w:hAnsi="Fira Sans"/>
                          <w:color w:val="002060"/>
                          <w:sz w:val="19"/>
                          <w:szCs w:val="19"/>
                        </w:rPr>
                        <w:t xml:space="preserve">jej </w:t>
                      </w:r>
                      <w:r w:rsidRPr="00E64B1E">
                        <w:rPr>
                          <w:rFonts w:ascii="Fira Sans" w:hAnsi="Fira Sans"/>
                          <w:color w:val="002060"/>
                          <w:sz w:val="19"/>
                          <w:szCs w:val="19"/>
                        </w:rPr>
                        <w:t>poprawę. Pozostali o</w:t>
                      </w:r>
                      <w:r w:rsidR="008879B5">
                        <w:rPr>
                          <w:rFonts w:ascii="Fira Sans" w:hAnsi="Fira Sans"/>
                          <w:color w:val="002060"/>
                          <w:sz w:val="19"/>
                          <w:szCs w:val="19"/>
                        </w:rPr>
                        <w:t>ceni</w:t>
                      </w:r>
                      <w:r w:rsidRPr="00E64B1E">
                        <w:rPr>
                          <w:rFonts w:ascii="Fira Sans" w:hAnsi="Fira Sans"/>
                          <w:color w:val="002060"/>
                          <w:sz w:val="19"/>
                          <w:szCs w:val="19"/>
                        </w:rPr>
                        <w:t>li, że opłacalność produkcji pozostała bez zmian</w:t>
                      </w:r>
                    </w:p>
                  </w:txbxContent>
                </v:textbox>
                <w10:wrap type="tight" anchorx="page"/>
              </v:shape>
            </w:pict>
          </mc:Fallback>
        </mc:AlternateContent>
      </w:r>
      <w:r w:rsidRPr="00185238">
        <w:rPr>
          <w:rFonts w:ascii="Fira Sans" w:hAnsi="Fira Sans" w:cs="Myriad Pro"/>
          <w:color w:val="000000"/>
          <w:sz w:val="19"/>
          <w:szCs w:val="19"/>
        </w:rPr>
        <w:t>produkcji było wyższe odpowiednio o 8,2 pkt i 17,3 pkt. Mimo tej poprawy, ich oceny pozostały negatywne – saldo odpowiedzi wyniosło minus 42,9, co oznacza, że odsetek rolników, którzy zaobserwowali pogorszenie opłacalności produkcji, był wyższy od odsetka osób dostrzegających jej poprawę.</w:t>
      </w:r>
    </w:p>
    <w:p w14:paraId="64925E65" w14:textId="3B944E39" w:rsidR="005D28CA" w:rsidRPr="00185238" w:rsidRDefault="00A475A6" w:rsidP="00484F8D">
      <w:pPr>
        <w:spacing w:before="240" w:after="120" w:line="240" w:lineRule="auto"/>
        <w:rPr>
          <w:rFonts w:ascii="Fira Sans" w:hAnsi="Fira Sans" w:cs="Myriad Pro"/>
          <w:b/>
          <w:bCs/>
          <w:color w:val="000000"/>
          <w:sz w:val="19"/>
          <w:szCs w:val="19"/>
        </w:rPr>
      </w:pPr>
      <w:r w:rsidRPr="00185238">
        <w:rPr>
          <w:rFonts w:ascii="Fira Sans" w:hAnsi="Fira Sans" w:cs="Myriad Pro"/>
          <w:b/>
          <w:bCs/>
          <w:color w:val="000000"/>
          <w:sz w:val="19"/>
          <w:szCs w:val="19"/>
        </w:rPr>
        <w:t xml:space="preserve">Wykres </w:t>
      </w:r>
      <w:r w:rsidR="00341F92" w:rsidRPr="00185238">
        <w:rPr>
          <w:rFonts w:ascii="Fira Sans" w:hAnsi="Fira Sans" w:cs="Myriad Pro"/>
          <w:b/>
          <w:bCs/>
          <w:color w:val="000000"/>
          <w:sz w:val="19"/>
          <w:szCs w:val="19"/>
        </w:rPr>
        <w:t>5</w:t>
      </w:r>
      <w:r w:rsidRPr="00185238">
        <w:rPr>
          <w:rFonts w:ascii="Fira Sans" w:hAnsi="Fira Sans" w:cs="Myriad Pro"/>
          <w:b/>
          <w:bCs/>
          <w:color w:val="000000"/>
          <w:sz w:val="19"/>
          <w:szCs w:val="19"/>
        </w:rPr>
        <w:t>. Salda odpowiedzi dotyczące zmian opłacalności produkcji rolniczej</w:t>
      </w:r>
      <w:r w:rsidR="00E23C0E" w:rsidRPr="00185238">
        <w:rPr>
          <w:rFonts w:ascii="Fira Sans" w:hAnsi="Fira Sans" w:cs="Myriad Pro"/>
          <w:b/>
          <w:bCs/>
          <w:color w:val="000000"/>
          <w:sz w:val="19"/>
          <w:szCs w:val="19"/>
        </w:rPr>
        <w:t xml:space="preserve"> </w:t>
      </w:r>
      <w:r w:rsidRPr="00185238">
        <w:rPr>
          <w:rFonts w:ascii="Fira Sans" w:hAnsi="Fira Sans" w:cs="Myriad Pro"/>
          <w:b/>
          <w:bCs/>
          <w:color w:val="000000"/>
          <w:sz w:val="19"/>
          <w:szCs w:val="19"/>
        </w:rPr>
        <w:t>według ukierunkowania produkcyjnego</w:t>
      </w:r>
      <w:bookmarkEnd w:id="1"/>
    </w:p>
    <w:p w14:paraId="5E3C34E3" w14:textId="708D2DED" w:rsidR="00A475A6" w:rsidRPr="00185238" w:rsidRDefault="00C926EB" w:rsidP="005D28CA">
      <w:pPr>
        <w:spacing w:before="120" w:after="120" w:line="240" w:lineRule="auto"/>
        <w:rPr>
          <w:rFonts w:ascii="Fira Sans" w:hAnsi="Fira Sans" w:cs="Myriad Pro"/>
          <w:b/>
          <w:bCs/>
          <w:color w:val="000000"/>
          <w:sz w:val="19"/>
          <w:szCs w:val="19"/>
        </w:rPr>
      </w:pPr>
      <w:r w:rsidRPr="00185238">
        <w:rPr>
          <w:rFonts w:ascii="Fira Sans" w:hAnsi="Fira Sans"/>
          <w:noProof/>
          <w:color w:val="000000" w:themeColor="text1"/>
          <w:sz w:val="24"/>
          <w:szCs w:val="24"/>
          <w:lang w:eastAsia="pl-PL"/>
        </w:rPr>
        <mc:AlternateContent>
          <mc:Choice Requires="wps">
            <w:drawing>
              <wp:anchor distT="45720" distB="45720" distL="114300" distR="114300" simplePos="0" relativeHeight="253097984" behindDoc="1" locked="0" layoutInCell="1" allowOverlap="1" wp14:anchorId="00174769" wp14:editId="3E09A02F">
                <wp:simplePos x="0" y="0"/>
                <wp:positionH relativeFrom="page">
                  <wp:posOffset>5724525</wp:posOffset>
                </wp:positionH>
                <wp:positionV relativeFrom="paragraph">
                  <wp:posOffset>868680</wp:posOffset>
                </wp:positionV>
                <wp:extent cx="1800000" cy="1562400"/>
                <wp:effectExtent l="0" t="0" r="0" b="0"/>
                <wp:wrapTight wrapText="bothSides">
                  <wp:wrapPolygon edited="0">
                    <wp:start x="686" y="0"/>
                    <wp:lineTo x="686" y="21337"/>
                    <wp:lineTo x="20807" y="21337"/>
                    <wp:lineTo x="20807" y="0"/>
                    <wp:lineTo x="686" y="0"/>
                  </wp:wrapPolygon>
                </wp:wrapTight>
                <wp:docPr id="18" name="Pole tekstowe 18" descr="68,3% rolników uprawiających buraki cukrowe wskazało, że w 1 półroczu 2025 r. opłacalność produkcji rolniczej pogorszyła się, a tylko 0,5% dostrzegła jej poprawę. Pozostali ocenili, że opłacalność pozostała bez zmia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562400"/>
                        </a:xfrm>
                        <a:prstGeom prst="rect">
                          <a:avLst/>
                        </a:prstGeom>
                        <a:noFill/>
                        <a:ln w="9525">
                          <a:noFill/>
                          <a:miter lim="800000"/>
                          <a:headEnd/>
                          <a:tailEnd/>
                        </a:ln>
                      </wps:spPr>
                      <wps:txbx>
                        <w:txbxContent>
                          <w:p w14:paraId="76B748CC" w14:textId="2F76D0D0" w:rsidR="00C926EB" w:rsidRPr="0073187B" w:rsidRDefault="00C926EB" w:rsidP="00C926EB">
                            <w:pPr>
                              <w:pStyle w:val="Tekstkomentarza"/>
                              <w:rPr>
                                <w:rFonts w:ascii="Fira Sans" w:hAnsi="Fira Sans"/>
                                <w:color w:val="002060"/>
                                <w:sz w:val="18"/>
                                <w:szCs w:val="16"/>
                              </w:rPr>
                            </w:pPr>
                            <w:r w:rsidRPr="00E64B1E">
                              <w:rPr>
                                <w:rFonts w:ascii="Fira Sans" w:hAnsi="Fira Sans"/>
                                <w:color w:val="002060"/>
                                <w:sz w:val="19"/>
                                <w:szCs w:val="19"/>
                              </w:rPr>
                              <w:t>68,3% r</w:t>
                            </w:r>
                            <w:r>
                              <w:rPr>
                                <w:rFonts w:ascii="Fira Sans" w:hAnsi="Fira Sans"/>
                                <w:color w:val="002060"/>
                                <w:sz w:val="19"/>
                                <w:szCs w:val="19"/>
                              </w:rPr>
                              <w:t>olników</w:t>
                            </w:r>
                            <w:r w:rsidRPr="00E64B1E">
                              <w:rPr>
                                <w:rFonts w:ascii="Fira Sans" w:hAnsi="Fira Sans"/>
                                <w:color w:val="002060"/>
                                <w:sz w:val="19"/>
                                <w:szCs w:val="19"/>
                              </w:rPr>
                              <w:t xml:space="preserve"> uprawiających buraki cukrowe </w:t>
                            </w:r>
                            <w:r>
                              <w:rPr>
                                <w:rFonts w:ascii="Fira Sans" w:hAnsi="Fira Sans"/>
                                <w:color w:val="002060"/>
                                <w:sz w:val="19"/>
                                <w:szCs w:val="19"/>
                              </w:rPr>
                              <w:t xml:space="preserve">wskazało, że </w:t>
                            </w:r>
                            <w:r w:rsidRPr="00E64B1E">
                              <w:rPr>
                                <w:rFonts w:ascii="Fira Sans" w:hAnsi="Fira Sans"/>
                                <w:color w:val="002060"/>
                                <w:sz w:val="19"/>
                                <w:szCs w:val="19"/>
                              </w:rPr>
                              <w:t>w</w:t>
                            </w:r>
                            <w:r>
                              <w:rPr>
                                <w:rFonts w:ascii="Fira Sans" w:hAnsi="Fira Sans"/>
                                <w:color w:val="002060"/>
                                <w:sz w:val="19"/>
                                <w:szCs w:val="19"/>
                              </w:rPr>
                              <w:t> </w:t>
                            </w:r>
                            <w:r w:rsidRPr="00E64B1E">
                              <w:rPr>
                                <w:rFonts w:ascii="Fira Sans" w:hAnsi="Fira Sans"/>
                                <w:color w:val="002060"/>
                                <w:sz w:val="19"/>
                                <w:szCs w:val="19"/>
                              </w:rPr>
                              <w:t>1</w:t>
                            </w:r>
                            <w:r>
                              <w:rPr>
                                <w:rFonts w:ascii="Fira Sans" w:hAnsi="Fira Sans"/>
                                <w:color w:val="002060"/>
                                <w:sz w:val="19"/>
                                <w:szCs w:val="19"/>
                              </w:rPr>
                              <w:t> </w:t>
                            </w:r>
                            <w:r w:rsidRPr="00E64B1E">
                              <w:rPr>
                                <w:rFonts w:ascii="Fira Sans" w:hAnsi="Fira Sans"/>
                                <w:color w:val="002060"/>
                                <w:sz w:val="19"/>
                                <w:szCs w:val="19"/>
                              </w:rPr>
                              <w:t>półroczu 2025 r. opłacalnoś</w:t>
                            </w:r>
                            <w:r w:rsidR="00470014">
                              <w:rPr>
                                <w:rFonts w:ascii="Fira Sans" w:hAnsi="Fira Sans"/>
                                <w:color w:val="002060"/>
                                <w:sz w:val="19"/>
                                <w:szCs w:val="19"/>
                              </w:rPr>
                              <w:t>ć</w:t>
                            </w:r>
                            <w:r w:rsidRPr="00E64B1E">
                              <w:rPr>
                                <w:rFonts w:ascii="Fira Sans" w:hAnsi="Fira Sans"/>
                                <w:color w:val="002060"/>
                                <w:sz w:val="19"/>
                                <w:szCs w:val="19"/>
                              </w:rPr>
                              <w:t xml:space="preserve"> produkcji rolniczej</w:t>
                            </w:r>
                            <w:r>
                              <w:rPr>
                                <w:rFonts w:ascii="Fira Sans" w:hAnsi="Fira Sans"/>
                                <w:color w:val="002060"/>
                                <w:sz w:val="19"/>
                                <w:szCs w:val="19"/>
                              </w:rPr>
                              <w:t xml:space="preserve"> pogorszyła się</w:t>
                            </w:r>
                            <w:r w:rsidRPr="00E64B1E">
                              <w:rPr>
                                <w:rFonts w:ascii="Fira Sans" w:hAnsi="Fira Sans"/>
                                <w:color w:val="002060"/>
                                <w:sz w:val="19"/>
                                <w:szCs w:val="19"/>
                              </w:rPr>
                              <w:t>, a</w:t>
                            </w:r>
                            <w:r w:rsidR="00484F8D">
                              <w:rPr>
                                <w:rFonts w:ascii="Fira Sans" w:hAnsi="Fira Sans"/>
                                <w:color w:val="002060"/>
                                <w:sz w:val="19"/>
                                <w:szCs w:val="19"/>
                              </w:rPr>
                              <w:t> </w:t>
                            </w:r>
                            <w:r w:rsidRPr="00E64B1E">
                              <w:rPr>
                                <w:rFonts w:ascii="Fira Sans" w:hAnsi="Fira Sans"/>
                                <w:color w:val="002060"/>
                                <w:sz w:val="19"/>
                                <w:szCs w:val="19"/>
                              </w:rPr>
                              <w:t xml:space="preserve">tylko 0,5% </w:t>
                            </w:r>
                            <w:r>
                              <w:rPr>
                                <w:rFonts w:ascii="Fira Sans" w:hAnsi="Fira Sans"/>
                                <w:color w:val="002060"/>
                                <w:sz w:val="19"/>
                                <w:szCs w:val="19"/>
                              </w:rPr>
                              <w:t xml:space="preserve">dostrzegła jej </w:t>
                            </w:r>
                            <w:r w:rsidRPr="00E64B1E">
                              <w:rPr>
                                <w:rFonts w:ascii="Fira Sans" w:hAnsi="Fira Sans"/>
                                <w:color w:val="002060"/>
                                <w:sz w:val="19"/>
                                <w:szCs w:val="19"/>
                              </w:rPr>
                              <w:t xml:space="preserve">poprawę. Pozostali ocenili, że opłacalność </w:t>
                            </w:r>
                            <w:r>
                              <w:rPr>
                                <w:rFonts w:ascii="Fira Sans" w:hAnsi="Fira Sans"/>
                                <w:color w:val="002060"/>
                                <w:sz w:val="19"/>
                                <w:szCs w:val="19"/>
                              </w:rPr>
                              <w:t>pozostała bez zmian</w:t>
                            </w:r>
                          </w:p>
                          <w:p w14:paraId="7070A45B" w14:textId="77777777" w:rsidR="00C926EB" w:rsidRDefault="00C926EB" w:rsidP="00C92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174769" id="_x0000_t202" coordsize="21600,21600" o:spt="202" path="m,l,21600r21600,l21600,xe">
                <v:stroke joinstyle="miter"/>
                <v:path gradientshapeok="t" o:connecttype="rect"/>
              </v:shapetype>
              <v:shape id="Pole tekstowe 18" o:spid="_x0000_s1034" type="#_x0000_t202" alt="68,3% rolników uprawiających buraki cukrowe wskazało, że w 1 półroczu 2025 r. opłacalność produkcji rolniczej pogorszyła się, a tylko 0,5% dostrzegła jej poprawę. Pozostali ocenili, że opłacalność pozostała bez zmian" style="position:absolute;margin-left:450.75pt;margin-top:68.4pt;width:141.75pt;height:123pt;z-index:-250218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" filled="f" stroked="f">
                <v:textbox>
                  <w:txbxContent>
                    <w:p w14:paraId="76B748CC" w14:textId="2F76D0D0" w:rsidR="00C926EB" w:rsidRPr="0073187B" w:rsidRDefault="00C926EB" w:rsidP="00C926EB">
                      <w:pPr>
                        <w:pStyle w:val="Tekstkomentarza"/>
                        <w:rPr>
                          <w:rFonts w:ascii="Fira Sans" w:hAnsi="Fira Sans"/>
                          <w:color w:val="002060"/>
                          <w:sz w:val="18"/>
                          <w:szCs w:val="16"/>
                        </w:rPr>
                      </w:pPr>
                      <w:r w:rsidRPr="00E64B1E">
                        <w:rPr>
                          <w:rFonts w:ascii="Fira Sans" w:hAnsi="Fira Sans"/>
                          <w:color w:val="002060"/>
                          <w:sz w:val="19"/>
                          <w:szCs w:val="19"/>
                        </w:rPr>
                        <w:t>68,3% r</w:t>
                      </w:r>
                      <w:r>
                        <w:rPr>
                          <w:rFonts w:ascii="Fira Sans" w:hAnsi="Fira Sans"/>
                          <w:color w:val="002060"/>
                          <w:sz w:val="19"/>
                          <w:szCs w:val="19"/>
                        </w:rPr>
                        <w:t>olników</w:t>
                      </w:r>
                      <w:r w:rsidRPr="00E64B1E">
                        <w:rPr>
                          <w:rFonts w:ascii="Fira Sans" w:hAnsi="Fira Sans"/>
                          <w:color w:val="002060"/>
                          <w:sz w:val="19"/>
                          <w:szCs w:val="19"/>
                        </w:rPr>
                        <w:t xml:space="preserve"> uprawiających buraki cukrowe </w:t>
                      </w:r>
                      <w:r>
                        <w:rPr>
                          <w:rFonts w:ascii="Fira Sans" w:hAnsi="Fira Sans"/>
                          <w:color w:val="002060"/>
                          <w:sz w:val="19"/>
                          <w:szCs w:val="19"/>
                        </w:rPr>
                        <w:t xml:space="preserve">wskazało, że </w:t>
                      </w:r>
                      <w:r w:rsidRPr="00E64B1E">
                        <w:rPr>
                          <w:rFonts w:ascii="Fira Sans" w:hAnsi="Fira Sans"/>
                          <w:color w:val="002060"/>
                          <w:sz w:val="19"/>
                          <w:szCs w:val="19"/>
                        </w:rPr>
                        <w:t>w</w:t>
                      </w:r>
                      <w:r>
                        <w:rPr>
                          <w:rFonts w:ascii="Fira Sans" w:hAnsi="Fira Sans"/>
                          <w:color w:val="002060"/>
                          <w:sz w:val="19"/>
                          <w:szCs w:val="19"/>
                        </w:rPr>
                        <w:t> </w:t>
                      </w:r>
                      <w:r w:rsidRPr="00E64B1E">
                        <w:rPr>
                          <w:rFonts w:ascii="Fira Sans" w:hAnsi="Fira Sans"/>
                          <w:color w:val="002060"/>
                          <w:sz w:val="19"/>
                          <w:szCs w:val="19"/>
                        </w:rPr>
                        <w:t>1</w:t>
                      </w:r>
                      <w:r>
                        <w:rPr>
                          <w:rFonts w:ascii="Fira Sans" w:hAnsi="Fira Sans"/>
                          <w:color w:val="002060"/>
                          <w:sz w:val="19"/>
                          <w:szCs w:val="19"/>
                        </w:rPr>
                        <w:t> </w:t>
                      </w:r>
                      <w:r w:rsidRPr="00E64B1E">
                        <w:rPr>
                          <w:rFonts w:ascii="Fira Sans" w:hAnsi="Fira Sans"/>
                          <w:color w:val="002060"/>
                          <w:sz w:val="19"/>
                          <w:szCs w:val="19"/>
                        </w:rPr>
                        <w:t>półroczu 2025 r. opłacalnoś</w:t>
                      </w:r>
                      <w:r w:rsidR="00470014">
                        <w:rPr>
                          <w:rFonts w:ascii="Fira Sans" w:hAnsi="Fira Sans"/>
                          <w:color w:val="002060"/>
                          <w:sz w:val="19"/>
                          <w:szCs w:val="19"/>
                        </w:rPr>
                        <w:t>ć</w:t>
                      </w:r>
                      <w:r w:rsidRPr="00E64B1E">
                        <w:rPr>
                          <w:rFonts w:ascii="Fira Sans" w:hAnsi="Fira Sans"/>
                          <w:color w:val="002060"/>
                          <w:sz w:val="19"/>
                          <w:szCs w:val="19"/>
                        </w:rPr>
                        <w:t xml:space="preserve"> produkcji rolniczej</w:t>
                      </w:r>
                      <w:r>
                        <w:rPr>
                          <w:rFonts w:ascii="Fira Sans" w:hAnsi="Fira Sans"/>
                          <w:color w:val="002060"/>
                          <w:sz w:val="19"/>
                          <w:szCs w:val="19"/>
                        </w:rPr>
                        <w:t xml:space="preserve"> pogorszyła się</w:t>
                      </w:r>
                      <w:r w:rsidRPr="00E64B1E">
                        <w:rPr>
                          <w:rFonts w:ascii="Fira Sans" w:hAnsi="Fira Sans"/>
                          <w:color w:val="002060"/>
                          <w:sz w:val="19"/>
                          <w:szCs w:val="19"/>
                        </w:rPr>
                        <w:t>, a</w:t>
                      </w:r>
                      <w:r w:rsidR="00484F8D">
                        <w:rPr>
                          <w:rFonts w:ascii="Fira Sans" w:hAnsi="Fira Sans"/>
                          <w:color w:val="002060"/>
                          <w:sz w:val="19"/>
                          <w:szCs w:val="19"/>
                        </w:rPr>
                        <w:t> </w:t>
                      </w:r>
                      <w:r w:rsidRPr="00E64B1E">
                        <w:rPr>
                          <w:rFonts w:ascii="Fira Sans" w:hAnsi="Fira Sans"/>
                          <w:color w:val="002060"/>
                          <w:sz w:val="19"/>
                          <w:szCs w:val="19"/>
                        </w:rPr>
                        <w:t xml:space="preserve">tylko 0,5% </w:t>
                      </w:r>
                      <w:r>
                        <w:rPr>
                          <w:rFonts w:ascii="Fira Sans" w:hAnsi="Fira Sans"/>
                          <w:color w:val="002060"/>
                          <w:sz w:val="19"/>
                          <w:szCs w:val="19"/>
                        </w:rPr>
                        <w:t xml:space="preserve">dostrzegła jej </w:t>
                      </w:r>
                      <w:r w:rsidRPr="00E64B1E">
                        <w:rPr>
                          <w:rFonts w:ascii="Fira Sans" w:hAnsi="Fira Sans"/>
                          <w:color w:val="002060"/>
                          <w:sz w:val="19"/>
                          <w:szCs w:val="19"/>
                        </w:rPr>
                        <w:t xml:space="preserve">poprawę. Pozostali ocenili, że opłacalność </w:t>
                      </w:r>
                      <w:r>
                        <w:rPr>
                          <w:rFonts w:ascii="Fira Sans" w:hAnsi="Fira Sans"/>
                          <w:color w:val="002060"/>
                          <w:sz w:val="19"/>
                          <w:szCs w:val="19"/>
                        </w:rPr>
                        <w:t>pozostała bez zmian</w:t>
                      </w:r>
                    </w:p>
                    <w:p w14:paraId="7070A45B" w14:textId="77777777" w:rsidR="00C926EB" w:rsidRDefault="00C926EB" w:rsidP="00C926EB"/>
                  </w:txbxContent>
                </v:textbox>
                <w10:wrap type="tight" anchorx="page"/>
              </v:shape>
            </w:pict>
          </mc:Fallback>
        </mc:AlternateContent>
      </w:r>
      <w:r>
        <w:rPr>
          <w:rFonts w:ascii="Fira Sans" w:hAnsi="Fira Sans" w:cs="Myriad Pro"/>
          <w:b/>
          <w:bCs/>
          <w:noProof/>
          <w:color w:val="000000"/>
          <w:sz w:val="19"/>
          <w:szCs w:val="19"/>
        </w:rPr>
        <w:drawing>
          <wp:inline distT="0" distB="0" distL="0" distR="0" wp14:anchorId="2F27BE7A" wp14:editId="042471E7">
            <wp:extent cx="5182235" cy="2444750"/>
            <wp:effectExtent l="0" t="0" r="0" b="0"/>
            <wp:docPr id="10" name="Obraz 10" descr="Wykres 5. Salda odpowiedzi dotyczące zmian opłacalności produkcji rolniczej według ukierunkowania produkcyjnego -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Wykres 5. Salda odpowiedzi dotyczące zmian opłacalności produkcji rolniczej według ukierunkowania produkcyjnego - wartości prezentowane w częstotliwości co pół roku w latach 2020-20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2235" cy="2444750"/>
                    </a:xfrm>
                    <a:prstGeom prst="rect">
                      <a:avLst/>
                    </a:prstGeom>
                    <a:noFill/>
                  </pic:spPr>
                </pic:pic>
              </a:graphicData>
            </a:graphic>
          </wp:inline>
        </w:drawing>
      </w:r>
    </w:p>
    <w:p w14:paraId="46C5CD65" w14:textId="56BE75D5" w:rsidR="000A552D" w:rsidRPr="00185238" w:rsidRDefault="00C926EB" w:rsidP="00484F8D">
      <w:pPr>
        <w:spacing w:before="120" w:after="120" w:line="288" w:lineRule="auto"/>
        <w:rPr>
          <w:rFonts w:ascii="Fira Sans" w:hAnsi="Fira Sans"/>
          <w:color w:val="000000" w:themeColor="text1"/>
          <w:sz w:val="19"/>
          <w:szCs w:val="19"/>
        </w:rPr>
      </w:pPr>
      <w:r w:rsidRPr="00185238">
        <w:rPr>
          <w:rFonts w:ascii="Fira Sans" w:hAnsi="Fira Sans"/>
          <w:noProof/>
          <w:color w:val="000000" w:themeColor="text1"/>
          <w:sz w:val="19"/>
          <w:szCs w:val="19"/>
          <w:lang w:eastAsia="pl-PL"/>
        </w:rPr>
        <mc:AlternateContent>
          <mc:Choice Requires="wps">
            <w:drawing>
              <wp:anchor distT="45720" distB="45720" distL="114300" distR="114300" simplePos="0" relativeHeight="253085696" behindDoc="1" locked="0" layoutInCell="1" allowOverlap="1" wp14:anchorId="10E722B1" wp14:editId="4E781A5D">
                <wp:simplePos x="0" y="0"/>
                <wp:positionH relativeFrom="page">
                  <wp:posOffset>5724525</wp:posOffset>
                </wp:positionH>
                <wp:positionV relativeFrom="paragraph">
                  <wp:posOffset>408940</wp:posOffset>
                </wp:positionV>
                <wp:extent cx="1800000" cy="1602000"/>
                <wp:effectExtent l="0" t="0" r="0" b="0"/>
                <wp:wrapTight wrapText="bothSides">
                  <wp:wrapPolygon edited="0">
                    <wp:start x="686" y="0"/>
                    <wp:lineTo x="686" y="21326"/>
                    <wp:lineTo x="20807" y="21326"/>
                    <wp:lineTo x="20807" y="0"/>
                    <wp:lineTo x="686" y="0"/>
                  </wp:wrapPolygon>
                </wp:wrapTight>
                <wp:docPr id="1967490198" name="Pole tekstowe 1967490198" descr="61,7% producentów trzody chlewnej wskazało na pogorszenie opłacalności ich produkcji rolniczej w 1 półroczu 2025 r., a 4,8% na poprawę. Pozostali uznali, że opłacalność produkcji pozostała bez zmia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602000"/>
                        </a:xfrm>
                        <a:prstGeom prst="rect">
                          <a:avLst/>
                        </a:prstGeom>
                        <a:noFill/>
                        <a:ln w="9525">
                          <a:noFill/>
                          <a:miter lim="800000"/>
                          <a:headEnd/>
                          <a:tailEnd/>
                        </a:ln>
                      </wps:spPr>
                      <wps:txbx>
                        <w:txbxContent>
                          <w:p w14:paraId="7441A3E6" w14:textId="6B99765A" w:rsidR="00E64B1E" w:rsidRDefault="00E64B1E" w:rsidP="00E64B1E">
                            <w:pPr>
                              <w:pStyle w:val="Tekstkomentarza"/>
                              <w:rPr>
                                <w:rFonts w:ascii="Fira Sans" w:hAnsi="Fira Sans"/>
                                <w:color w:val="002060"/>
                                <w:sz w:val="19"/>
                                <w:szCs w:val="19"/>
                              </w:rPr>
                            </w:pPr>
                            <w:r>
                              <w:rPr>
                                <w:rFonts w:ascii="Fira Sans" w:hAnsi="Fira Sans"/>
                                <w:color w:val="002060"/>
                                <w:sz w:val="19"/>
                                <w:szCs w:val="19"/>
                              </w:rPr>
                              <w:t>61,7</w:t>
                            </w:r>
                            <w:r w:rsidRPr="00377EC9">
                              <w:rPr>
                                <w:rFonts w:ascii="Fira Sans" w:hAnsi="Fira Sans"/>
                                <w:color w:val="002060"/>
                                <w:sz w:val="19"/>
                                <w:szCs w:val="19"/>
                              </w:rPr>
                              <w:t>% producentów trzody chlewnej wskazało na pogorszenie opłacalności ich produkcji rolniczej w</w:t>
                            </w:r>
                            <w:r>
                              <w:rPr>
                                <w:rFonts w:ascii="Fira Sans" w:hAnsi="Fira Sans"/>
                                <w:color w:val="002060"/>
                                <w:sz w:val="19"/>
                                <w:szCs w:val="19"/>
                              </w:rPr>
                              <w:t> 1 </w:t>
                            </w:r>
                            <w:r w:rsidRPr="00377EC9">
                              <w:rPr>
                                <w:rFonts w:ascii="Fira Sans" w:hAnsi="Fira Sans"/>
                                <w:color w:val="002060"/>
                                <w:sz w:val="19"/>
                                <w:szCs w:val="19"/>
                              </w:rPr>
                              <w:t>półroczu 202</w:t>
                            </w:r>
                            <w:r>
                              <w:rPr>
                                <w:rFonts w:ascii="Fira Sans" w:hAnsi="Fira Sans"/>
                                <w:color w:val="002060"/>
                                <w:sz w:val="19"/>
                                <w:szCs w:val="19"/>
                              </w:rPr>
                              <w:t>5</w:t>
                            </w:r>
                            <w:r w:rsidRPr="00377EC9">
                              <w:rPr>
                                <w:rFonts w:ascii="Fira Sans" w:hAnsi="Fira Sans"/>
                                <w:color w:val="002060"/>
                                <w:sz w:val="19"/>
                                <w:szCs w:val="19"/>
                              </w:rPr>
                              <w:t xml:space="preserve"> r., a</w:t>
                            </w:r>
                            <w:r>
                              <w:rPr>
                                <w:rFonts w:ascii="Fira Sans" w:hAnsi="Fira Sans"/>
                                <w:color w:val="002060"/>
                                <w:sz w:val="19"/>
                                <w:szCs w:val="19"/>
                              </w:rPr>
                              <w:t> 4,8</w:t>
                            </w:r>
                            <w:r w:rsidRPr="00377EC9">
                              <w:rPr>
                                <w:rFonts w:ascii="Fira Sans" w:hAnsi="Fira Sans"/>
                                <w:color w:val="002060"/>
                                <w:sz w:val="19"/>
                                <w:szCs w:val="19"/>
                              </w:rPr>
                              <w:t>% na poprawę. Pozostali uznali, że</w:t>
                            </w:r>
                            <w:r>
                              <w:rPr>
                                <w:rFonts w:ascii="Fira Sans" w:hAnsi="Fira Sans"/>
                                <w:color w:val="002060"/>
                                <w:sz w:val="19"/>
                                <w:szCs w:val="19"/>
                              </w:rPr>
                              <w:t> </w:t>
                            </w:r>
                            <w:r w:rsidRPr="00377EC9">
                              <w:rPr>
                                <w:rFonts w:ascii="Fira Sans" w:hAnsi="Fira Sans"/>
                                <w:color w:val="002060"/>
                                <w:sz w:val="19"/>
                                <w:szCs w:val="19"/>
                              </w:rPr>
                              <w:t xml:space="preserve">opłacalność </w:t>
                            </w:r>
                            <w:r w:rsidRPr="00AC5CC2">
                              <w:rPr>
                                <w:rFonts w:ascii="Fira Sans" w:hAnsi="Fira Sans"/>
                                <w:color w:val="002060"/>
                                <w:sz w:val="19"/>
                                <w:szCs w:val="19"/>
                              </w:rPr>
                              <w:t>produkcji pozostała bez zmian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E722B1" id="Pole tekstowe 1967490198" o:spid="_x0000_s1035" type="#_x0000_t202" alt="61,7% producentów trzody chlewnej wskazało na pogorszenie opłacalności ich produkcji rolniczej w 1 półroczu 2025 r., a 4,8% na poprawę. Pozostali uznali, że opłacalność produkcji pozostała bez zmian" style="position:absolute;margin-left:450.75pt;margin-top:32.2pt;width:141.75pt;height:126.15pt;z-index:-250230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" filled="f" stroked="f">
                <v:textbox>
                  <w:txbxContent>
                    <w:p w14:paraId="7441A3E6" w14:textId="6B99765A" w:rsidR="00E64B1E" w:rsidRDefault="00E64B1E" w:rsidP="00E64B1E">
                      <w:pPr>
                        <w:pStyle w:val="Tekstkomentarza"/>
                        <w:rPr>
                          <w:rFonts w:ascii="Fira Sans" w:hAnsi="Fira Sans"/>
                          <w:color w:val="002060"/>
                          <w:sz w:val="19"/>
                          <w:szCs w:val="19"/>
                        </w:rPr>
                      </w:pPr>
                      <w:r>
                        <w:rPr>
                          <w:rFonts w:ascii="Fira Sans" w:hAnsi="Fira Sans"/>
                          <w:color w:val="002060"/>
                          <w:sz w:val="19"/>
                          <w:szCs w:val="19"/>
                        </w:rPr>
                        <w:t>61,7</w:t>
                      </w:r>
                      <w:r w:rsidRPr="00377EC9">
                        <w:rPr>
                          <w:rFonts w:ascii="Fira Sans" w:hAnsi="Fira Sans"/>
                          <w:color w:val="002060"/>
                          <w:sz w:val="19"/>
                          <w:szCs w:val="19"/>
                        </w:rPr>
                        <w:t>% producentów trzody chlewnej wskazało na pogorszenie opłacalności ich produkcji rolniczej w</w:t>
                      </w:r>
                      <w:r>
                        <w:rPr>
                          <w:rFonts w:ascii="Fira Sans" w:hAnsi="Fira Sans"/>
                          <w:color w:val="002060"/>
                          <w:sz w:val="19"/>
                          <w:szCs w:val="19"/>
                        </w:rPr>
                        <w:t> 1 </w:t>
                      </w:r>
                      <w:r w:rsidRPr="00377EC9">
                        <w:rPr>
                          <w:rFonts w:ascii="Fira Sans" w:hAnsi="Fira Sans"/>
                          <w:color w:val="002060"/>
                          <w:sz w:val="19"/>
                          <w:szCs w:val="19"/>
                        </w:rPr>
                        <w:t>półroczu 202</w:t>
                      </w:r>
                      <w:r>
                        <w:rPr>
                          <w:rFonts w:ascii="Fira Sans" w:hAnsi="Fira Sans"/>
                          <w:color w:val="002060"/>
                          <w:sz w:val="19"/>
                          <w:szCs w:val="19"/>
                        </w:rPr>
                        <w:t>5</w:t>
                      </w:r>
                      <w:r w:rsidRPr="00377EC9">
                        <w:rPr>
                          <w:rFonts w:ascii="Fira Sans" w:hAnsi="Fira Sans"/>
                          <w:color w:val="002060"/>
                          <w:sz w:val="19"/>
                          <w:szCs w:val="19"/>
                        </w:rPr>
                        <w:t xml:space="preserve"> r., a</w:t>
                      </w:r>
                      <w:r>
                        <w:rPr>
                          <w:rFonts w:ascii="Fira Sans" w:hAnsi="Fira Sans"/>
                          <w:color w:val="002060"/>
                          <w:sz w:val="19"/>
                          <w:szCs w:val="19"/>
                        </w:rPr>
                        <w:t> 4,8</w:t>
                      </w:r>
                      <w:r w:rsidRPr="00377EC9">
                        <w:rPr>
                          <w:rFonts w:ascii="Fira Sans" w:hAnsi="Fira Sans"/>
                          <w:color w:val="002060"/>
                          <w:sz w:val="19"/>
                          <w:szCs w:val="19"/>
                        </w:rPr>
                        <w:t>% na poprawę. Pozostali uznali, że</w:t>
                      </w:r>
                      <w:r>
                        <w:rPr>
                          <w:rFonts w:ascii="Fira Sans" w:hAnsi="Fira Sans"/>
                          <w:color w:val="002060"/>
                          <w:sz w:val="19"/>
                          <w:szCs w:val="19"/>
                        </w:rPr>
                        <w:t> </w:t>
                      </w:r>
                      <w:r w:rsidRPr="00377EC9">
                        <w:rPr>
                          <w:rFonts w:ascii="Fira Sans" w:hAnsi="Fira Sans"/>
                          <w:color w:val="002060"/>
                          <w:sz w:val="19"/>
                          <w:szCs w:val="19"/>
                        </w:rPr>
                        <w:t xml:space="preserve">opłacalność </w:t>
                      </w:r>
                      <w:r w:rsidRPr="00AC5CC2">
                        <w:rPr>
                          <w:rFonts w:ascii="Fira Sans" w:hAnsi="Fira Sans"/>
                          <w:color w:val="002060"/>
                          <w:sz w:val="19"/>
                          <w:szCs w:val="19"/>
                        </w:rPr>
                        <w:t>produkcji pozostała bez zmian</w:t>
                      </w:r>
                    </w:p>
                  </w:txbxContent>
                </v:textbox>
                <w10:wrap type="tight" anchorx="page"/>
              </v:shape>
            </w:pict>
          </mc:Fallback>
        </mc:AlternateContent>
      </w:r>
      <w:r w:rsidR="00D10D57" w:rsidRPr="00185238">
        <w:rPr>
          <w:rFonts w:ascii="Fira Sans" w:hAnsi="Fira Sans"/>
          <w:noProof/>
          <w:sz w:val="19"/>
          <w:szCs w:val="19"/>
        </w:rPr>
        <w:t>Biorąc pod uwagę kierunek prowadzonej produkcji, najbardziej pesymistyczne opinie dotyczące zmian w opłacalności produkcji wyrazili użytkownicy gospodarstw specjalizujących się w uprawach roślin (saldo minus 48,0). Wśród nich na pogorszenie opłacalności najczęściej wskazywali producenci buraków cukrowych (saldo minus 67,8) oraz ziemniaków (saldo minus</w:t>
      </w:r>
      <w:r>
        <w:rPr>
          <w:rFonts w:ascii="Fira Sans" w:hAnsi="Fira Sans"/>
          <w:noProof/>
          <w:sz w:val="19"/>
          <w:szCs w:val="19"/>
        </w:rPr>
        <w:t> </w:t>
      </w:r>
      <w:r w:rsidR="00D10D57" w:rsidRPr="00185238">
        <w:rPr>
          <w:rFonts w:ascii="Fira Sans" w:hAnsi="Fira Sans"/>
          <w:noProof/>
          <w:sz w:val="19"/>
          <w:szCs w:val="19"/>
        </w:rPr>
        <w:t xml:space="preserve">55,9). </w:t>
      </w:r>
      <w:r w:rsidR="000A552D" w:rsidRPr="00185238">
        <w:rPr>
          <w:rFonts w:ascii="Fira Sans" w:hAnsi="Fira Sans"/>
          <w:color w:val="000000" w:themeColor="text1"/>
          <w:sz w:val="19"/>
          <w:szCs w:val="19"/>
        </w:rPr>
        <w:t>N</w:t>
      </w:r>
      <w:r w:rsidR="00E64B1E" w:rsidRPr="00185238">
        <w:rPr>
          <w:rFonts w:ascii="Fira Sans" w:hAnsi="Fira Sans"/>
          <w:color w:val="000000" w:themeColor="text1"/>
          <w:sz w:val="19"/>
          <w:szCs w:val="19"/>
        </w:rPr>
        <w:t>ajmniej negatywne opinie dotyczące</w:t>
      </w:r>
      <w:r w:rsidR="000A552D" w:rsidRPr="00185238">
        <w:rPr>
          <w:rFonts w:ascii="Fira Sans" w:hAnsi="Fira Sans"/>
          <w:color w:val="000000" w:themeColor="text1"/>
          <w:sz w:val="19"/>
          <w:szCs w:val="19"/>
        </w:rPr>
        <w:t xml:space="preserve"> zmian</w:t>
      </w:r>
      <w:r w:rsidR="00E64B1E" w:rsidRPr="00185238">
        <w:rPr>
          <w:rFonts w:ascii="Fira Sans" w:hAnsi="Fira Sans"/>
          <w:color w:val="000000" w:themeColor="text1"/>
          <w:sz w:val="19"/>
          <w:szCs w:val="19"/>
        </w:rPr>
        <w:t xml:space="preserve"> opłacalności na wytwarzane produkty rolne zaobserwowano wśród prowadzących gospodarstwa</w:t>
      </w:r>
      <w:r w:rsidR="000A552D" w:rsidRPr="00185238">
        <w:rPr>
          <w:rFonts w:ascii="Fira Sans" w:hAnsi="Fira Sans"/>
          <w:color w:val="000000" w:themeColor="text1"/>
          <w:sz w:val="19"/>
          <w:szCs w:val="19"/>
        </w:rPr>
        <w:t xml:space="preserve"> </w:t>
      </w:r>
      <w:r w:rsidR="00E64B1E" w:rsidRPr="00185238">
        <w:rPr>
          <w:rFonts w:ascii="Fira Sans" w:hAnsi="Fira Sans"/>
          <w:color w:val="000000" w:themeColor="text1"/>
          <w:sz w:val="19"/>
          <w:szCs w:val="19"/>
        </w:rPr>
        <w:t xml:space="preserve">ukierunkowane na produkcję zwierzęcą (saldo minus 21,7). </w:t>
      </w:r>
      <w:r w:rsidR="000A552D" w:rsidRPr="00185238">
        <w:rPr>
          <w:rFonts w:ascii="Fira Sans" w:hAnsi="Fira Sans"/>
          <w:color w:val="000000" w:themeColor="text1"/>
          <w:sz w:val="19"/>
          <w:szCs w:val="19"/>
        </w:rPr>
        <w:t>W grupie tej najczęściej na pogorszenie opłacalności wskazywali rolnicy zajmujący się chowem trzody chlewnej (saldo minus 56,9) oraz chowem owiec (saldo minus 43,2), natomiast na jej poprawę tylko prowadzący chów brojlerów (saldo</w:t>
      </w:r>
      <w:r w:rsidR="0068547F">
        <w:rPr>
          <w:rFonts w:ascii="Fira Sans" w:hAnsi="Fira Sans"/>
          <w:color w:val="000000" w:themeColor="text1"/>
          <w:sz w:val="19"/>
          <w:szCs w:val="19"/>
        </w:rPr>
        <w:t> </w:t>
      </w:r>
      <w:r w:rsidR="000A552D" w:rsidRPr="00185238">
        <w:rPr>
          <w:rFonts w:ascii="Fira Sans" w:hAnsi="Fira Sans"/>
          <w:color w:val="000000" w:themeColor="text1"/>
          <w:sz w:val="19"/>
          <w:szCs w:val="19"/>
        </w:rPr>
        <w:t>9,8).</w:t>
      </w:r>
    </w:p>
    <w:p w14:paraId="2D6568DE" w14:textId="027A1992" w:rsidR="000A552D" w:rsidRPr="00185238" w:rsidRDefault="000A552D" w:rsidP="00484F8D">
      <w:pPr>
        <w:spacing w:before="120" w:after="120" w:line="288" w:lineRule="auto"/>
        <w:rPr>
          <w:rFonts w:ascii="Fira Sans" w:hAnsi="Fira Sans"/>
          <w:noProof/>
          <w:color w:val="000000" w:themeColor="text1"/>
          <w:sz w:val="19"/>
          <w:szCs w:val="19"/>
          <w:lang w:eastAsia="pl-PL"/>
        </w:rPr>
      </w:pPr>
      <w:r w:rsidRPr="00185238">
        <w:rPr>
          <w:rFonts w:ascii="Fira Sans" w:hAnsi="Fira Sans"/>
          <w:noProof/>
          <w:color w:val="000000" w:themeColor="text1"/>
          <w:sz w:val="19"/>
          <w:szCs w:val="19"/>
          <w:lang w:eastAsia="pl-PL"/>
        </w:rPr>
        <w:t>Uwzględniając wielkość gospodarstw rolnych, największą przewagę opinii negatywnych dotyczących zmian opłacalności produkcji rolniczej nad pozytywnymi odnotowano wśród użytkowników gospodarstw o powierzchni 100 ha i więcej (saldo minus 49,1), a najmniejszą – w grupie gospodarstw o powierzchni od 1 do 2 ha (saldo minus 40,0). Niemniej jednak, w</w:t>
      </w:r>
      <w:r w:rsidR="00C926EB">
        <w:rPr>
          <w:rFonts w:ascii="Fira Sans" w:hAnsi="Fira Sans"/>
          <w:noProof/>
          <w:color w:val="000000" w:themeColor="text1"/>
          <w:sz w:val="19"/>
          <w:szCs w:val="19"/>
          <w:lang w:eastAsia="pl-PL"/>
        </w:rPr>
        <w:t> </w:t>
      </w:r>
      <w:r w:rsidRPr="00185238">
        <w:rPr>
          <w:rFonts w:ascii="Fira Sans" w:hAnsi="Fira Sans"/>
          <w:noProof/>
          <w:color w:val="000000" w:themeColor="text1"/>
          <w:sz w:val="19"/>
          <w:szCs w:val="19"/>
          <w:lang w:eastAsia="pl-PL"/>
        </w:rPr>
        <w:t xml:space="preserve">porównaniu z 2 oraz 1 półroczem 2024 r., zauważalna była poprawa ocen. Największy wzrost salda w porównaniu z 2 półroczem 2024 r. odnotowano wśród gospodarstw o powierzchni </w:t>
      </w:r>
      <w:r w:rsidR="0068547F">
        <w:rPr>
          <w:rFonts w:ascii="Fira Sans" w:hAnsi="Fira Sans"/>
          <w:noProof/>
          <w:color w:val="000000" w:themeColor="text1"/>
          <w:sz w:val="19"/>
          <w:szCs w:val="19"/>
          <w:lang w:eastAsia="pl-PL"/>
        </w:rPr>
        <w:br/>
      </w:r>
      <w:r w:rsidRPr="00185238">
        <w:rPr>
          <w:rFonts w:ascii="Fira Sans" w:hAnsi="Fira Sans"/>
          <w:noProof/>
          <w:color w:val="000000" w:themeColor="text1"/>
          <w:sz w:val="19"/>
          <w:szCs w:val="19"/>
          <w:lang w:eastAsia="pl-PL"/>
        </w:rPr>
        <w:t>15</w:t>
      </w:r>
      <w:r w:rsidR="0003726B" w:rsidRPr="00185238">
        <w:rPr>
          <w:rFonts w:ascii="Fira Sans" w:hAnsi="Fira Sans"/>
          <w:noProof/>
          <w:color w:val="000000" w:themeColor="text1"/>
          <w:sz w:val="19"/>
          <w:szCs w:val="19"/>
          <w:lang w:eastAsia="pl-PL"/>
        </w:rPr>
        <w:t>-</w:t>
      </w:r>
      <w:r w:rsidRPr="00185238">
        <w:rPr>
          <w:rFonts w:ascii="Fira Sans" w:hAnsi="Fira Sans"/>
          <w:noProof/>
          <w:color w:val="000000" w:themeColor="text1"/>
          <w:sz w:val="19"/>
          <w:szCs w:val="19"/>
          <w:lang w:eastAsia="pl-PL"/>
        </w:rPr>
        <w:t>20 ha</w:t>
      </w:r>
      <w:r w:rsidR="0003726B" w:rsidRPr="00185238">
        <w:rPr>
          <w:rFonts w:ascii="Fira Sans" w:hAnsi="Fira Sans"/>
          <w:noProof/>
          <w:color w:val="000000" w:themeColor="text1"/>
          <w:sz w:val="19"/>
          <w:szCs w:val="19"/>
          <w:lang w:eastAsia="pl-PL"/>
        </w:rPr>
        <w:t xml:space="preserve"> (o 12,7 pkt)</w:t>
      </w:r>
      <w:r w:rsidRPr="00185238">
        <w:rPr>
          <w:rFonts w:ascii="Fira Sans" w:hAnsi="Fira Sans"/>
          <w:noProof/>
          <w:color w:val="000000" w:themeColor="text1"/>
          <w:sz w:val="19"/>
          <w:szCs w:val="19"/>
          <w:lang w:eastAsia="pl-PL"/>
        </w:rPr>
        <w:t>, a w ujęciu rocznym – w grupie gospodarstw o powierzchni 30</w:t>
      </w:r>
      <w:r w:rsidR="0003726B" w:rsidRPr="00185238">
        <w:rPr>
          <w:rFonts w:ascii="Fira Sans" w:hAnsi="Fira Sans"/>
          <w:noProof/>
          <w:color w:val="000000" w:themeColor="text1"/>
          <w:sz w:val="19"/>
          <w:szCs w:val="19"/>
          <w:lang w:eastAsia="pl-PL"/>
        </w:rPr>
        <w:t>-</w:t>
      </w:r>
      <w:r w:rsidRPr="00185238">
        <w:rPr>
          <w:rFonts w:ascii="Fira Sans" w:hAnsi="Fira Sans"/>
          <w:noProof/>
          <w:color w:val="000000" w:themeColor="text1"/>
          <w:sz w:val="19"/>
          <w:szCs w:val="19"/>
          <w:lang w:eastAsia="pl-PL"/>
        </w:rPr>
        <w:t>50 ha (o</w:t>
      </w:r>
      <w:r w:rsidR="0068547F">
        <w:rPr>
          <w:rFonts w:ascii="Fira Sans" w:hAnsi="Fira Sans"/>
          <w:noProof/>
          <w:color w:val="000000" w:themeColor="text1"/>
          <w:sz w:val="19"/>
          <w:szCs w:val="19"/>
          <w:lang w:eastAsia="pl-PL"/>
        </w:rPr>
        <w:t> </w:t>
      </w:r>
      <w:r w:rsidRPr="00185238">
        <w:rPr>
          <w:rFonts w:ascii="Fira Sans" w:hAnsi="Fira Sans"/>
          <w:noProof/>
          <w:color w:val="000000" w:themeColor="text1"/>
          <w:sz w:val="19"/>
          <w:szCs w:val="19"/>
          <w:lang w:eastAsia="pl-PL"/>
        </w:rPr>
        <w:t>28,7 pkt).</w:t>
      </w:r>
    </w:p>
    <w:p w14:paraId="2674E9F0" w14:textId="77777777" w:rsidR="007D274B" w:rsidRPr="00185238" w:rsidRDefault="007D274B" w:rsidP="00484F8D">
      <w:pPr>
        <w:spacing w:before="240" w:after="120"/>
        <w:rPr>
          <w:rFonts w:ascii="Fira Sans" w:hAnsi="Fira Sans"/>
          <w:b/>
          <w:color w:val="002060"/>
          <w:sz w:val="19"/>
          <w:szCs w:val="19"/>
        </w:rPr>
      </w:pPr>
      <w:r w:rsidRPr="00185238">
        <w:rPr>
          <w:rFonts w:ascii="Fira Sans" w:hAnsi="Fira Sans"/>
          <w:b/>
          <w:color w:val="002060"/>
          <w:sz w:val="19"/>
          <w:szCs w:val="19"/>
        </w:rPr>
        <w:t>Popyt n</w:t>
      </w:r>
      <w:r w:rsidR="00B31F85" w:rsidRPr="00185238">
        <w:rPr>
          <w:rFonts w:ascii="Fira Sans" w:hAnsi="Fira Sans"/>
          <w:b/>
          <w:color w:val="002060"/>
          <w:sz w:val="19"/>
          <w:szCs w:val="19"/>
        </w:rPr>
        <w:t>a</w:t>
      </w:r>
      <w:r w:rsidRPr="00185238">
        <w:rPr>
          <w:rFonts w:ascii="Fira Sans" w:hAnsi="Fira Sans"/>
          <w:b/>
          <w:color w:val="002060"/>
          <w:sz w:val="19"/>
          <w:szCs w:val="19"/>
        </w:rPr>
        <w:t xml:space="preserve"> produkty wytwarzane w produkcji rolniczej</w:t>
      </w:r>
    </w:p>
    <w:p w14:paraId="5BD8A64C" w14:textId="241E5E37" w:rsidR="00D62BAC" w:rsidRDefault="00C6629C" w:rsidP="00484F8D">
      <w:pPr>
        <w:spacing w:before="120" w:after="120" w:line="288" w:lineRule="auto"/>
        <w:rPr>
          <w:rFonts w:ascii="Fira Sans" w:hAnsi="Fira Sans" w:cs="Myriad Pro"/>
          <w:b/>
          <w:bCs/>
          <w:color w:val="000000"/>
          <w:sz w:val="19"/>
          <w:szCs w:val="19"/>
        </w:rPr>
      </w:pPr>
      <w:r w:rsidRPr="00185238">
        <w:rPr>
          <w:rFonts w:ascii="Fira Sans" w:hAnsi="Fira Sans" w:cs="Myriad Pro"/>
          <w:color w:val="000000" w:themeColor="text1"/>
          <w:sz w:val="19"/>
          <w:szCs w:val="19"/>
        </w:rPr>
        <w:t>Użytkownicy gospodarstw rolnych ocenili zmian</w:t>
      </w:r>
      <w:r w:rsidR="001E5FFA" w:rsidRPr="00185238">
        <w:rPr>
          <w:rFonts w:ascii="Fira Sans" w:hAnsi="Fira Sans" w:cs="Myriad Pro"/>
          <w:color w:val="000000" w:themeColor="text1"/>
          <w:sz w:val="19"/>
          <w:szCs w:val="19"/>
        </w:rPr>
        <w:t>y</w:t>
      </w:r>
      <w:r w:rsidRPr="00185238">
        <w:rPr>
          <w:rFonts w:ascii="Fira Sans" w:hAnsi="Fira Sans" w:cs="Myriad Pro"/>
          <w:color w:val="000000" w:themeColor="text1"/>
          <w:sz w:val="19"/>
          <w:szCs w:val="19"/>
        </w:rPr>
        <w:t xml:space="preserve"> popytu na produkty wytwarzane w</w:t>
      </w:r>
      <w:r w:rsidR="001E5FFA" w:rsidRPr="00185238">
        <w:rPr>
          <w:rFonts w:ascii="Fira Sans" w:hAnsi="Fira Sans" w:cs="Myriad Pro"/>
          <w:color w:val="000000" w:themeColor="text1"/>
          <w:sz w:val="19"/>
          <w:szCs w:val="19"/>
        </w:rPr>
        <w:t xml:space="preserve"> ich gospodarstwach </w:t>
      </w:r>
      <w:r w:rsidRPr="00185238">
        <w:rPr>
          <w:rFonts w:ascii="Fira Sans" w:hAnsi="Fira Sans" w:cs="Myriad Pro"/>
          <w:color w:val="000000" w:themeColor="text1"/>
          <w:sz w:val="19"/>
          <w:szCs w:val="19"/>
        </w:rPr>
        <w:t>w 1 półroczu 2025 r. bardziej optymistycznie niż przed rokiem oraz w</w:t>
      </w:r>
      <w:r w:rsidR="00C926EB">
        <w:rPr>
          <w:rFonts w:ascii="Fira Sans" w:hAnsi="Fira Sans" w:cs="Myriad Pro"/>
          <w:color w:val="000000" w:themeColor="text1"/>
          <w:sz w:val="19"/>
          <w:szCs w:val="19"/>
        </w:rPr>
        <w:t> </w:t>
      </w:r>
      <w:r w:rsidRPr="00185238">
        <w:rPr>
          <w:rFonts w:ascii="Fira Sans" w:hAnsi="Fira Sans" w:cs="Myriad Pro"/>
          <w:color w:val="000000" w:themeColor="text1"/>
          <w:sz w:val="19"/>
          <w:szCs w:val="19"/>
        </w:rPr>
        <w:t xml:space="preserve">porównaniu ze zmianami jakie zaszły w 2 </w:t>
      </w:r>
      <w:r w:rsidRPr="00185238">
        <w:rPr>
          <w:rFonts w:ascii="Fira Sans" w:hAnsi="Fira Sans" w:cs="Myriad Pro"/>
          <w:sz w:val="19"/>
          <w:szCs w:val="19"/>
        </w:rPr>
        <w:t>półroczu 2024 r. Saldo odpowiedzi na pytanie o</w:t>
      </w:r>
      <w:r w:rsidR="00C926EB">
        <w:rPr>
          <w:rFonts w:ascii="Fira Sans" w:hAnsi="Fira Sans" w:cs="Myriad Pro"/>
          <w:sz w:val="19"/>
          <w:szCs w:val="19"/>
        </w:rPr>
        <w:t> </w:t>
      </w:r>
      <w:r w:rsidRPr="00185238">
        <w:rPr>
          <w:rFonts w:ascii="Fira Sans" w:hAnsi="Fira Sans" w:cs="Myriad Pro"/>
          <w:sz w:val="19"/>
          <w:szCs w:val="19"/>
        </w:rPr>
        <w:t>zmianę popytu było wyższe odpowiednio o 5,1 pkt i 14,0 pkt</w:t>
      </w:r>
      <w:r w:rsidR="001E5FFA" w:rsidRPr="00185238">
        <w:rPr>
          <w:rFonts w:ascii="Fira Sans" w:hAnsi="Fira Sans" w:cs="Myriad Pro"/>
          <w:sz w:val="19"/>
          <w:szCs w:val="19"/>
        </w:rPr>
        <w:t>. Mimo tej poprawy, saldo pozostało ujemne</w:t>
      </w:r>
      <w:r w:rsidR="004C42A5" w:rsidRPr="00185238">
        <w:rPr>
          <w:rFonts w:ascii="Fira Sans" w:hAnsi="Fira Sans" w:cs="Myriad Pro"/>
          <w:sz w:val="19"/>
          <w:szCs w:val="19"/>
        </w:rPr>
        <w:t xml:space="preserve"> i wyniosło minus 11,4</w:t>
      </w:r>
      <w:r w:rsidR="001E5FFA" w:rsidRPr="00185238">
        <w:rPr>
          <w:rFonts w:ascii="Fira Sans" w:hAnsi="Fira Sans" w:cs="Myriad Pro"/>
          <w:sz w:val="19"/>
          <w:szCs w:val="19"/>
        </w:rPr>
        <w:t>, co oznacza, że odsetek rolników wskazujących na spadek popytu nadal przewyższał tych, którzy dostrzegli jego wzrost.</w:t>
      </w:r>
    </w:p>
    <w:p w14:paraId="0EB1D4FE" w14:textId="114D418E" w:rsidR="005D28CA" w:rsidRPr="00185238" w:rsidRDefault="005D42B3" w:rsidP="00E41165">
      <w:pPr>
        <w:spacing w:before="360" w:after="120" w:line="240" w:lineRule="auto"/>
        <w:rPr>
          <w:rFonts w:ascii="Fira Sans" w:hAnsi="Fira Sans" w:cs="Myriad Pro"/>
          <w:b/>
          <w:bCs/>
          <w:color w:val="000000"/>
          <w:sz w:val="19"/>
          <w:szCs w:val="19"/>
        </w:rPr>
      </w:pPr>
      <w:r w:rsidRPr="00185238">
        <w:rPr>
          <w:rFonts w:ascii="Fira Sans" w:hAnsi="Fira Sans" w:cs="Myriad Pro"/>
          <w:b/>
          <w:bCs/>
          <w:color w:val="000000"/>
          <w:sz w:val="19"/>
          <w:szCs w:val="19"/>
        </w:rPr>
        <w:lastRenderedPageBreak/>
        <w:t xml:space="preserve">Wykres </w:t>
      </w:r>
      <w:r w:rsidR="00E41165" w:rsidRPr="00185238">
        <w:rPr>
          <w:rFonts w:ascii="Fira Sans" w:hAnsi="Fira Sans" w:cs="Myriad Pro"/>
          <w:b/>
          <w:bCs/>
          <w:color w:val="000000"/>
          <w:sz w:val="19"/>
          <w:szCs w:val="19"/>
        </w:rPr>
        <w:t>6</w:t>
      </w:r>
      <w:r w:rsidRPr="00185238">
        <w:rPr>
          <w:rFonts w:ascii="Fira Sans" w:hAnsi="Fira Sans" w:cs="Myriad Pro"/>
          <w:b/>
          <w:bCs/>
          <w:color w:val="000000"/>
          <w:sz w:val="19"/>
          <w:szCs w:val="19"/>
        </w:rPr>
        <w:t xml:space="preserve">. Salda odpowiedzi dotyczące zmian </w:t>
      </w:r>
      <w:r w:rsidR="00640CD8" w:rsidRPr="00185238">
        <w:rPr>
          <w:rFonts w:ascii="Fira Sans" w:hAnsi="Fira Sans" w:cs="Myriad Pro"/>
          <w:b/>
          <w:bCs/>
          <w:color w:val="000000"/>
          <w:sz w:val="19"/>
          <w:szCs w:val="19"/>
        </w:rPr>
        <w:t>popytu na produkty wytwarzane w</w:t>
      </w:r>
      <w:r w:rsidR="005D28CA" w:rsidRPr="00185238">
        <w:rPr>
          <w:rFonts w:ascii="Fira Sans" w:hAnsi="Fira Sans" w:cs="Myriad Pro"/>
          <w:b/>
          <w:bCs/>
          <w:color w:val="000000"/>
          <w:sz w:val="19"/>
          <w:szCs w:val="19"/>
        </w:rPr>
        <w:t> </w:t>
      </w:r>
      <w:r w:rsidR="00640CD8" w:rsidRPr="00185238">
        <w:rPr>
          <w:rFonts w:ascii="Fira Sans" w:hAnsi="Fira Sans" w:cs="Myriad Pro"/>
          <w:b/>
          <w:bCs/>
          <w:color w:val="000000"/>
          <w:sz w:val="19"/>
          <w:szCs w:val="19"/>
        </w:rPr>
        <w:t>gospodarstwach rolnych</w:t>
      </w:r>
      <w:r w:rsidRPr="00185238">
        <w:rPr>
          <w:rFonts w:ascii="Fira Sans" w:hAnsi="Fira Sans" w:cs="Myriad Pro"/>
          <w:b/>
          <w:bCs/>
          <w:color w:val="000000"/>
          <w:sz w:val="19"/>
          <w:szCs w:val="19"/>
        </w:rPr>
        <w:t xml:space="preserve"> według ukierunkowania produkcyjnego</w:t>
      </w:r>
    </w:p>
    <w:p w14:paraId="5744CD71" w14:textId="3D83A543" w:rsidR="009A726A" w:rsidRPr="00185238" w:rsidRDefault="001B64A6" w:rsidP="005D28CA">
      <w:pPr>
        <w:spacing w:before="120" w:after="120" w:line="240" w:lineRule="auto"/>
        <w:rPr>
          <w:rFonts w:ascii="Fira Sans" w:hAnsi="Fira Sans" w:cs="Myriad Pro"/>
          <w:b/>
          <w:bCs/>
          <w:color w:val="000000"/>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47808" behindDoc="1" locked="0" layoutInCell="1" allowOverlap="1" wp14:anchorId="150C0D18" wp14:editId="1C752A70">
                <wp:simplePos x="0" y="0"/>
                <wp:positionH relativeFrom="page">
                  <wp:posOffset>5724525</wp:posOffset>
                </wp:positionH>
                <wp:positionV relativeFrom="paragraph">
                  <wp:posOffset>1066800</wp:posOffset>
                </wp:positionV>
                <wp:extent cx="1800000" cy="1494000"/>
                <wp:effectExtent l="0" t="0" r="0" b="0"/>
                <wp:wrapTight wrapText="bothSides">
                  <wp:wrapPolygon edited="0">
                    <wp:start x="686" y="0"/>
                    <wp:lineTo x="686" y="21214"/>
                    <wp:lineTo x="20807" y="21214"/>
                    <wp:lineTo x="20807" y="0"/>
                    <wp:lineTo x="686" y="0"/>
                  </wp:wrapPolygon>
                </wp:wrapTight>
                <wp:docPr id="1800633869" name="Pole tekstowe 1800633869" descr="73,8% rolników uznało, że popyt na produkty wytwarzane w ich gospodarstwach w 1 półroczu 2025 r. nie zmienił się, 18,8% zaobserwowało jego spadek, a pozostali jego wzro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494000"/>
                        </a:xfrm>
                        <a:prstGeom prst="rect">
                          <a:avLst/>
                        </a:prstGeom>
                        <a:noFill/>
                        <a:ln w="9525">
                          <a:noFill/>
                          <a:miter lim="800000"/>
                          <a:headEnd/>
                          <a:tailEnd/>
                        </a:ln>
                      </wps:spPr>
                      <wps:txbx>
                        <w:txbxContent>
                          <w:p w14:paraId="67BE80AE" w14:textId="785B5264" w:rsidR="004429EF" w:rsidRPr="00624272" w:rsidRDefault="000665CB" w:rsidP="00377EC9">
                            <w:pPr>
                              <w:pStyle w:val="Tekstkomentarza"/>
                              <w:rPr>
                                <w:rFonts w:ascii="Fira Sans" w:hAnsi="Fira Sans"/>
                                <w:color w:val="EE0000"/>
                                <w:sz w:val="18"/>
                                <w:szCs w:val="16"/>
                              </w:rPr>
                            </w:pPr>
                            <w:r w:rsidRPr="000665CB">
                              <w:rPr>
                                <w:rFonts w:ascii="Fira Sans" w:hAnsi="Fira Sans"/>
                                <w:color w:val="002060"/>
                                <w:sz w:val="19"/>
                                <w:szCs w:val="19"/>
                              </w:rPr>
                              <w:t>73,8% rolników uznało, że popyt na produkty wytwarzane w ich gospodarstwach w</w:t>
                            </w:r>
                            <w:r w:rsidR="00C926EB">
                              <w:rPr>
                                <w:rFonts w:ascii="Fira Sans" w:hAnsi="Fira Sans"/>
                                <w:color w:val="002060"/>
                                <w:sz w:val="19"/>
                                <w:szCs w:val="19"/>
                              </w:rPr>
                              <w:t> </w:t>
                            </w:r>
                            <w:r w:rsidRPr="000665CB">
                              <w:rPr>
                                <w:rFonts w:ascii="Fira Sans" w:hAnsi="Fira Sans"/>
                                <w:color w:val="002060"/>
                                <w:sz w:val="19"/>
                                <w:szCs w:val="19"/>
                              </w:rPr>
                              <w:t>1</w:t>
                            </w:r>
                            <w:r w:rsidR="00C926EB">
                              <w:rPr>
                                <w:rFonts w:ascii="Fira Sans" w:hAnsi="Fira Sans"/>
                                <w:color w:val="002060"/>
                                <w:sz w:val="19"/>
                                <w:szCs w:val="19"/>
                              </w:rPr>
                              <w:t> </w:t>
                            </w:r>
                            <w:r w:rsidRPr="000665CB">
                              <w:rPr>
                                <w:rFonts w:ascii="Fira Sans" w:hAnsi="Fira Sans"/>
                                <w:color w:val="002060"/>
                                <w:sz w:val="19"/>
                                <w:szCs w:val="19"/>
                              </w:rPr>
                              <w:t xml:space="preserve">półroczu 2025 r. nie zmienił się, </w:t>
                            </w:r>
                            <w:r w:rsidR="001B64A6">
                              <w:rPr>
                                <w:rFonts w:ascii="Fira Sans" w:hAnsi="Fira Sans"/>
                                <w:color w:val="002060"/>
                                <w:sz w:val="19"/>
                                <w:szCs w:val="19"/>
                              </w:rPr>
                              <w:t>18,8</w:t>
                            </w:r>
                            <w:r w:rsidR="004429EF" w:rsidRPr="009335BA">
                              <w:rPr>
                                <w:rFonts w:ascii="Fira Sans" w:hAnsi="Fira Sans"/>
                                <w:color w:val="002060"/>
                                <w:sz w:val="19"/>
                                <w:szCs w:val="19"/>
                              </w:rPr>
                              <w:t xml:space="preserve">% </w:t>
                            </w:r>
                            <w:r w:rsidRPr="0085395F">
                              <w:rPr>
                                <w:rFonts w:ascii="Fira Sans" w:hAnsi="Fira Sans"/>
                                <w:color w:val="002060"/>
                                <w:sz w:val="19"/>
                                <w:szCs w:val="19"/>
                              </w:rPr>
                              <w:t xml:space="preserve">zaobserwowało </w:t>
                            </w:r>
                            <w:r w:rsidR="00624272" w:rsidRPr="0085395F">
                              <w:rPr>
                                <w:rFonts w:ascii="Fira Sans" w:hAnsi="Fira Sans"/>
                                <w:color w:val="002060"/>
                                <w:sz w:val="19"/>
                                <w:szCs w:val="19"/>
                              </w:rPr>
                              <w:t>jego spadek</w:t>
                            </w:r>
                            <w:r w:rsidR="004429EF" w:rsidRPr="0085395F">
                              <w:rPr>
                                <w:rFonts w:ascii="Fira Sans" w:hAnsi="Fira Sans"/>
                                <w:color w:val="002060"/>
                                <w:sz w:val="19"/>
                                <w:szCs w:val="19"/>
                              </w:rPr>
                              <w:t xml:space="preserve">, </w:t>
                            </w:r>
                            <w:r w:rsidRPr="0085395F">
                              <w:rPr>
                                <w:rFonts w:ascii="Fira Sans" w:hAnsi="Fira Sans"/>
                                <w:color w:val="002060"/>
                                <w:sz w:val="19"/>
                                <w:szCs w:val="19"/>
                              </w:rPr>
                              <w:t xml:space="preserve">a pozostali jego </w:t>
                            </w:r>
                            <w:r w:rsidR="0085395F" w:rsidRPr="0085395F">
                              <w:rPr>
                                <w:rFonts w:ascii="Fira Sans" w:hAnsi="Fira Sans"/>
                                <w:color w:val="002060"/>
                                <w:sz w:val="19"/>
                                <w:szCs w:val="19"/>
                              </w:rPr>
                              <w:t>wzrost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0C0D18" id="Pole tekstowe 1800633869" o:spid="_x0000_s1036" type="#_x0000_t202" alt="73,8% rolników uznało, że popyt na produkty wytwarzane w ich gospodarstwach w 1 półroczu 2025 r. nie zmienił się, 18,8% zaobserwowało jego spadek, a pozostali jego wzrost" style="position:absolute;margin-left:450.75pt;margin-top:84pt;width:141.75pt;height:117.65pt;z-index:-250268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" filled="f" stroked="f">
                <v:textbox>
                  <w:txbxContent>
                    <w:p w14:paraId="67BE80AE" w14:textId="785B5264" w:rsidR="004429EF" w:rsidRPr="00624272" w:rsidRDefault="000665CB" w:rsidP="00377EC9">
                      <w:pPr>
                        <w:pStyle w:val="Tekstkomentarza"/>
                        <w:rPr>
                          <w:rFonts w:ascii="Fira Sans" w:hAnsi="Fira Sans"/>
                          <w:color w:val="EE0000"/>
                          <w:sz w:val="18"/>
                          <w:szCs w:val="16"/>
                        </w:rPr>
                      </w:pPr>
                      <w:r w:rsidRPr="000665CB">
                        <w:rPr>
                          <w:rFonts w:ascii="Fira Sans" w:hAnsi="Fira Sans"/>
                          <w:color w:val="002060"/>
                          <w:sz w:val="19"/>
                          <w:szCs w:val="19"/>
                        </w:rPr>
                        <w:t>73,8% rolników uznało, że popyt na produkty wytwarzane w ich gospodarstwach w</w:t>
                      </w:r>
                      <w:r w:rsidR="00C926EB">
                        <w:rPr>
                          <w:rFonts w:ascii="Fira Sans" w:hAnsi="Fira Sans"/>
                          <w:color w:val="002060"/>
                          <w:sz w:val="19"/>
                          <w:szCs w:val="19"/>
                        </w:rPr>
                        <w:t> </w:t>
                      </w:r>
                      <w:r w:rsidRPr="000665CB">
                        <w:rPr>
                          <w:rFonts w:ascii="Fira Sans" w:hAnsi="Fira Sans"/>
                          <w:color w:val="002060"/>
                          <w:sz w:val="19"/>
                          <w:szCs w:val="19"/>
                        </w:rPr>
                        <w:t>1</w:t>
                      </w:r>
                      <w:r w:rsidR="00C926EB">
                        <w:rPr>
                          <w:rFonts w:ascii="Fira Sans" w:hAnsi="Fira Sans"/>
                          <w:color w:val="002060"/>
                          <w:sz w:val="19"/>
                          <w:szCs w:val="19"/>
                        </w:rPr>
                        <w:t> </w:t>
                      </w:r>
                      <w:r w:rsidRPr="000665CB">
                        <w:rPr>
                          <w:rFonts w:ascii="Fira Sans" w:hAnsi="Fira Sans"/>
                          <w:color w:val="002060"/>
                          <w:sz w:val="19"/>
                          <w:szCs w:val="19"/>
                        </w:rPr>
                        <w:t xml:space="preserve">półroczu 2025 r. nie zmienił się, </w:t>
                      </w:r>
                      <w:r w:rsidR="001B64A6">
                        <w:rPr>
                          <w:rFonts w:ascii="Fira Sans" w:hAnsi="Fira Sans"/>
                          <w:color w:val="002060"/>
                          <w:sz w:val="19"/>
                          <w:szCs w:val="19"/>
                        </w:rPr>
                        <w:t>18,8</w:t>
                      </w:r>
                      <w:r w:rsidR="004429EF" w:rsidRPr="009335BA">
                        <w:rPr>
                          <w:rFonts w:ascii="Fira Sans" w:hAnsi="Fira Sans"/>
                          <w:color w:val="002060"/>
                          <w:sz w:val="19"/>
                          <w:szCs w:val="19"/>
                        </w:rPr>
                        <w:t xml:space="preserve">% </w:t>
                      </w:r>
                      <w:r w:rsidRPr="0085395F">
                        <w:rPr>
                          <w:rFonts w:ascii="Fira Sans" w:hAnsi="Fira Sans"/>
                          <w:color w:val="002060"/>
                          <w:sz w:val="19"/>
                          <w:szCs w:val="19"/>
                        </w:rPr>
                        <w:t xml:space="preserve">zaobserwowało </w:t>
                      </w:r>
                      <w:r w:rsidR="00624272" w:rsidRPr="0085395F">
                        <w:rPr>
                          <w:rFonts w:ascii="Fira Sans" w:hAnsi="Fira Sans"/>
                          <w:color w:val="002060"/>
                          <w:sz w:val="19"/>
                          <w:szCs w:val="19"/>
                        </w:rPr>
                        <w:t>jego spadek</w:t>
                      </w:r>
                      <w:r w:rsidR="004429EF" w:rsidRPr="0085395F">
                        <w:rPr>
                          <w:rFonts w:ascii="Fira Sans" w:hAnsi="Fira Sans"/>
                          <w:color w:val="002060"/>
                          <w:sz w:val="19"/>
                          <w:szCs w:val="19"/>
                        </w:rPr>
                        <w:t xml:space="preserve">, </w:t>
                      </w:r>
                      <w:r w:rsidRPr="0085395F">
                        <w:rPr>
                          <w:rFonts w:ascii="Fira Sans" w:hAnsi="Fira Sans"/>
                          <w:color w:val="002060"/>
                          <w:sz w:val="19"/>
                          <w:szCs w:val="19"/>
                        </w:rPr>
                        <w:t xml:space="preserve">a pozostali jego </w:t>
                      </w:r>
                      <w:r w:rsidR="0085395F" w:rsidRPr="0085395F">
                        <w:rPr>
                          <w:rFonts w:ascii="Fira Sans" w:hAnsi="Fira Sans"/>
                          <w:color w:val="002060"/>
                          <w:sz w:val="19"/>
                          <w:szCs w:val="19"/>
                        </w:rPr>
                        <w:t>wzrost</w:t>
                      </w:r>
                    </w:p>
                  </w:txbxContent>
                </v:textbox>
                <w10:wrap type="tight" anchorx="page"/>
              </v:shape>
            </w:pict>
          </mc:Fallback>
        </mc:AlternateContent>
      </w:r>
      <w:r w:rsidR="00C926EB">
        <w:rPr>
          <w:rFonts w:ascii="Fira Sans" w:hAnsi="Fira Sans" w:cs="Myriad Pro"/>
          <w:b/>
          <w:bCs/>
          <w:noProof/>
          <w:color w:val="000000"/>
          <w:sz w:val="19"/>
          <w:szCs w:val="19"/>
        </w:rPr>
        <w:drawing>
          <wp:inline distT="0" distB="0" distL="0" distR="0" wp14:anchorId="68423872" wp14:editId="15CC34D4">
            <wp:extent cx="5187950" cy="2414270"/>
            <wp:effectExtent l="0" t="0" r="0" b="5080"/>
            <wp:docPr id="11" name="Obraz 11" descr="Wykres 6. Salda odpowiedzi dotyczące zmian popytu na produkty wytwarzane w gospodarstwach rolnych według ukierunkowania produkcyjnego -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Wykres 6. Salda odpowiedzi dotyczące zmian popytu na produkty wytwarzane w gospodarstwach rolnych według ukierunkowania produkcyjnego - wartości prezentowane w częstotliwości co pół roku w latach 2020-20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7950" cy="2414270"/>
                    </a:xfrm>
                    <a:prstGeom prst="rect">
                      <a:avLst/>
                    </a:prstGeom>
                    <a:noFill/>
                  </pic:spPr>
                </pic:pic>
              </a:graphicData>
            </a:graphic>
          </wp:inline>
        </w:drawing>
      </w:r>
    </w:p>
    <w:p w14:paraId="058A5899" w14:textId="05256968" w:rsidR="00C6629C" w:rsidRPr="00185238" w:rsidRDefault="00C6629C" w:rsidP="00484F8D">
      <w:pPr>
        <w:spacing w:before="120" w:after="120" w:line="288" w:lineRule="auto"/>
        <w:rPr>
          <w:rFonts w:ascii="Fira Sans" w:eastAsia="Fira Sans Light" w:hAnsi="Fira Sans" w:cs="Times New Roman"/>
          <w:color w:val="000000" w:themeColor="text1"/>
          <w:sz w:val="19"/>
          <w:szCs w:val="19"/>
        </w:rPr>
      </w:pPr>
      <w:r w:rsidRPr="00185238">
        <w:rPr>
          <w:rFonts w:ascii="Fira Sans" w:eastAsia="Fira Sans Light" w:hAnsi="Fira Sans" w:cs="Times New Roman"/>
          <w:color w:val="000000" w:themeColor="text1"/>
          <w:sz w:val="19"/>
          <w:szCs w:val="19"/>
        </w:rPr>
        <w:t>Biorąc pod uwagę specjalizację gospodarstwa rolnego, zmian</w:t>
      </w:r>
      <w:r w:rsidR="004C42A5" w:rsidRPr="00185238">
        <w:rPr>
          <w:rFonts w:ascii="Fira Sans" w:eastAsia="Fira Sans Light" w:hAnsi="Fira Sans" w:cs="Times New Roman"/>
          <w:color w:val="000000" w:themeColor="text1"/>
          <w:sz w:val="19"/>
          <w:szCs w:val="19"/>
        </w:rPr>
        <w:t>y</w:t>
      </w:r>
      <w:r w:rsidRPr="00185238">
        <w:rPr>
          <w:rFonts w:ascii="Fira Sans" w:eastAsia="Fira Sans Light" w:hAnsi="Fira Sans" w:cs="Times New Roman"/>
          <w:color w:val="000000" w:themeColor="text1"/>
          <w:sz w:val="19"/>
          <w:szCs w:val="19"/>
        </w:rPr>
        <w:t xml:space="preserve"> popytu w ciągu ostatniego półrocza został</w:t>
      </w:r>
      <w:r w:rsidR="004C42A5" w:rsidRPr="00185238">
        <w:rPr>
          <w:rFonts w:ascii="Fira Sans" w:eastAsia="Fira Sans Light" w:hAnsi="Fira Sans" w:cs="Times New Roman"/>
          <w:color w:val="000000" w:themeColor="text1"/>
          <w:sz w:val="19"/>
          <w:szCs w:val="19"/>
        </w:rPr>
        <w:t>y</w:t>
      </w:r>
      <w:r w:rsidRPr="00185238">
        <w:rPr>
          <w:rFonts w:ascii="Fira Sans" w:eastAsia="Fira Sans Light" w:hAnsi="Fira Sans" w:cs="Times New Roman"/>
          <w:color w:val="000000" w:themeColor="text1"/>
          <w:sz w:val="19"/>
          <w:szCs w:val="19"/>
        </w:rPr>
        <w:t xml:space="preserve"> ocenion</w:t>
      </w:r>
      <w:r w:rsidR="004C42A5" w:rsidRPr="00185238">
        <w:rPr>
          <w:rFonts w:ascii="Fira Sans" w:eastAsia="Fira Sans Light" w:hAnsi="Fira Sans" w:cs="Times New Roman"/>
          <w:color w:val="000000" w:themeColor="text1"/>
          <w:sz w:val="19"/>
          <w:szCs w:val="19"/>
        </w:rPr>
        <w:t>e</w:t>
      </w:r>
      <w:r w:rsidRPr="00185238">
        <w:rPr>
          <w:rFonts w:ascii="Fira Sans" w:eastAsia="Fira Sans Light" w:hAnsi="Fira Sans" w:cs="Times New Roman"/>
          <w:color w:val="000000" w:themeColor="text1"/>
          <w:sz w:val="19"/>
          <w:szCs w:val="19"/>
        </w:rPr>
        <w:t xml:space="preserve"> </w:t>
      </w:r>
      <w:r w:rsidRPr="00185238">
        <w:rPr>
          <w:rFonts w:ascii="Fira Sans" w:eastAsia="Fira Sans Light" w:hAnsi="Fira Sans" w:cs="Times New Roman"/>
          <w:sz w:val="19"/>
          <w:szCs w:val="19"/>
        </w:rPr>
        <w:t>naj</w:t>
      </w:r>
      <w:r w:rsidR="007A7B75" w:rsidRPr="00185238">
        <w:rPr>
          <w:rFonts w:ascii="Fira Sans" w:eastAsia="Fira Sans Light" w:hAnsi="Fira Sans" w:cs="Times New Roman"/>
          <w:sz w:val="19"/>
          <w:szCs w:val="19"/>
        </w:rPr>
        <w:t>bardziej pozytywnie</w:t>
      </w:r>
      <w:r w:rsidRPr="00185238">
        <w:rPr>
          <w:rFonts w:ascii="Fira Sans" w:eastAsia="Fira Sans Light" w:hAnsi="Fira Sans" w:cs="Times New Roman"/>
          <w:sz w:val="19"/>
          <w:szCs w:val="19"/>
        </w:rPr>
        <w:t xml:space="preserve"> przez prowadzących gospodarstwa specjalizujące się w produkcji zwierzęcej (saldo odpowiedzi </w:t>
      </w:r>
      <w:r w:rsidRPr="00185238">
        <w:rPr>
          <w:rFonts w:ascii="Fira Sans" w:eastAsia="Fira Sans Light" w:hAnsi="Fira Sans" w:cs="Times New Roman"/>
          <w:color w:val="000000" w:themeColor="text1"/>
          <w:sz w:val="19"/>
          <w:szCs w:val="19"/>
        </w:rPr>
        <w:t xml:space="preserve">2,6). Wśród nich optymistyczne opinie dotyczące zmian popytu wyrazili użytkownicy gospodarstw rolnych zajmujący się hodowlą brojlerów (saldo 24,2) oraz bydła rzeźnego (saldo 11,9). </w:t>
      </w:r>
      <w:r w:rsidR="004C42A5" w:rsidRPr="00185238">
        <w:rPr>
          <w:rFonts w:ascii="Fira Sans" w:eastAsia="Fira Sans Light" w:hAnsi="Fira Sans" w:cs="Times New Roman"/>
          <w:color w:val="000000" w:themeColor="text1"/>
          <w:sz w:val="19"/>
          <w:szCs w:val="19"/>
        </w:rPr>
        <w:t>Z kolei n</w:t>
      </w:r>
      <w:r w:rsidRPr="00185238">
        <w:rPr>
          <w:rFonts w:ascii="Fira Sans" w:eastAsia="Fira Sans Light" w:hAnsi="Fira Sans" w:cs="Times New Roman"/>
          <w:color w:val="000000" w:themeColor="text1"/>
          <w:sz w:val="19"/>
          <w:szCs w:val="19"/>
        </w:rPr>
        <w:t xml:space="preserve">ajbardziej negatywne opinie </w:t>
      </w:r>
      <w:r w:rsidRPr="00185238">
        <w:rPr>
          <w:rFonts w:ascii="Fira Sans" w:hAnsi="Fira Sans"/>
          <w:color w:val="000000" w:themeColor="text1"/>
          <w:sz w:val="19"/>
          <w:szCs w:val="19"/>
        </w:rPr>
        <w:t>dotyczące zmian popytu na produkty rolne zaobserwowano wśród prowadzących gospodarstwa ukierunkowane na produkcję roślinną (saldo minus 16,3). W</w:t>
      </w:r>
      <w:r w:rsidR="00D62BAC">
        <w:rPr>
          <w:rFonts w:ascii="Fira Sans" w:hAnsi="Fira Sans"/>
          <w:color w:val="000000" w:themeColor="text1"/>
          <w:sz w:val="19"/>
          <w:szCs w:val="19"/>
        </w:rPr>
        <w:t> </w:t>
      </w:r>
      <w:r w:rsidRPr="00185238">
        <w:rPr>
          <w:rFonts w:ascii="Fira Sans" w:hAnsi="Fira Sans"/>
          <w:color w:val="000000" w:themeColor="text1"/>
          <w:sz w:val="19"/>
          <w:szCs w:val="19"/>
        </w:rPr>
        <w:t>grupie tej najczęściej na spadek popytu wskazywali rolnicy zajmujący się produkcją ziemniaków (saldo minus 29,0) oraz buraków cukrowych (saldo minus 25,1).</w:t>
      </w:r>
    </w:p>
    <w:p w14:paraId="647AF1C2" w14:textId="77777777" w:rsidR="005D28CA" w:rsidRPr="00185238" w:rsidRDefault="00A40D4F" w:rsidP="005D295F">
      <w:pPr>
        <w:spacing w:before="360" w:after="120" w:line="240" w:lineRule="auto"/>
        <w:rPr>
          <w:rFonts w:ascii="Fira Sans" w:hAnsi="Fira Sans"/>
          <w:b/>
          <w:bCs/>
          <w:color w:val="000000" w:themeColor="text1"/>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49856" behindDoc="1" locked="0" layoutInCell="1" allowOverlap="1" wp14:anchorId="0BD547C7" wp14:editId="6D295F46">
                <wp:simplePos x="0" y="0"/>
                <wp:positionH relativeFrom="page">
                  <wp:posOffset>5724525</wp:posOffset>
                </wp:positionH>
                <wp:positionV relativeFrom="paragraph">
                  <wp:posOffset>1584325</wp:posOffset>
                </wp:positionV>
                <wp:extent cx="1800000" cy="1544400"/>
                <wp:effectExtent l="0" t="0" r="0" b="0"/>
                <wp:wrapTight wrapText="bothSides">
                  <wp:wrapPolygon edited="0">
                    <wp:start x="686" y="0"/>
                    <wp:lineTo x="686" y="21316"/>
                    <wp:lineTo x="20807" y="21316"/>
                    <wp:lineTo x="20807" y="0"/>
                    <wp:lineTo x="686" y="0"/>
                  </wp:wrapPolygon>
                </wp:wrapTight>
                <wp:docPr id="2024109078" name="Pole tekstowe 2024109078" descr="68,8% rolników prowadzących chów brojlerów uznało, że popyt na ich produkty nie zmienił się, 27,7% zaobserwowało jego zwiększenie, a pozostali ocenili, że popyt zmniejszył się"/>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544400"/>
                        </a:xfrm>
                        <a:prstGeom prst="rect">
                          <a:avLst/>
                        </a:prstGeom>
                        <a:noFill/>
                        <a:ln w="9525">
                          <a:noFill/>
                          <a:miter lim="800000"/>
                          <a:headEnd/>
                          <a:tailEnd/>
                        </a:ln>
                      </wps:spPr>
                      <wps:txbx>
                        <w:txbxContent>
                          <w:p w14:paraId="5A05CB4A" w14:textId="15F4DAC1" w:rsidR="004429EF" w:rsidRPr="0073187B" w:rsidRDefault="007A7B75" w:rsidP="009335BA">
                            <w:pPr>
                              <w:pStyle w:val="Tekstkomentarza"/>
                              <w:rPr>
                                <w:rFonts w:ascii="Fira Sans" w:hAnsi="Fira Sans"/>
                                <w:color w:val="002060"/>
                                <w:sz w:val="18"/>
                                <w:szCs w:val="16"/>
                              </w:rPr>
                            </w:pPr>
                            <w:r>
                              <w:rPr>
                                <w:rFonts w:ascii="Fira Sans" w:hAnsi="Fira Sans"/>
                                <w:color w:val="002060"/>
                                <w:sz w:val="19"/>
                                <w:szCs w:val="19"/>
                              </w:rPr>
                              <w:t>68,8</w:t>
                            </w:r>
                            <w:r w:rsidRPr="009335BA">
                              <w:rPr>
                                <w:rFonts w:ascii="Fira Sans" w:hAnsi="Fira Sans"/>
                                <w:color w:val="002060"/>
                                <w:sz w:val="19"/>
                                <w:szCs w:val="19"/>
                              </w:rPr>
                              <w:t>% rolników prowadzących chów brojlerów uznał</w:t>
                            </w:r>
                            <w:r>
                              <w:rPr>
                                <w:rFonts w:ascii="Fira Sans" w:hAnsi="Fira Sans"/>
                                <w:color w:val="002060"/>
                                <w:sz w:val="19"/>
                                <w:szCs w:val="19"/>
                              </w:rPr>
                              <w:t>o, że popyt na ich produkty nie</w:t>
                            </w:r>
                            <w:r w:rsidRPr="009335BA">
                              <w:rPr>
                                <w:rFonts w:ascii="Fira Sans" w:hAnsi="Fira Sans"/>
                                <w:color w:val="002060"/>
                                <w:sz w:val="19"/>
                                <w:szCs w:val="19"/>
                              </w:rPr>
                              <w:t xml:space="preserve"> zmienił</w:t>
                            </w:r>
                            <w:r>
                              <w:rPr>
                                <w:rFonts w:ascii="Fira Sans" w:hAnsi="Fira Sans"/>
                                <w:color w:val="002060"/>
                                <w:sz w:val="19"/>
                                <w:szCs w:val="19"/>
                              </w:rPr>
                              <w:t xml:space="preserve"> się, </w:t>
                            </w:r>
                            <w:r w:rsidR="001B64A6">
                              <w:rPr>
                                <w:rFonts w:ascii="Fira Sans" w:hAnsi="Fira Sans"/>
                                <w:color w:val="002060"/>
                                <w:sz w:val="19"/>
                                <w:szCs w:val="19"/>
                              </w:rPr>
                              <w:t>27,7</w:t>
                            </w:r>
                            <w:r w:rsidR="004429EF" w:rsidRPr="009335BA">
                              <w:rPr>
                                <w:rFonts w:ascii="Fira Sans" w:hAnsi="Fira Sans"/>
                                <w:color w:val="002060"/>
                                <w:sz w:val="19"/>
                                <w:szCs w:val="19"/>
                              </w:rPr>
                              <w:t xml:space="preserve">% </w:t>
                            </w:r>
                            <w:r>
                              <w:rPr>
                                <w:rFonts w:ascii="Fira Sans" w:hAnsi="Fira Sans"/>
                                <w:color w:val="002060"/>
                                <w:sz w:val="19"/>
                                <w:szCs w:val="19"/>
                              </w:rPr>
                              <w:t>zaobserwowało jego zwiększenie,</w:t>
                            </w:r>
                            <w:r w:rsidR="004429EF" w:rsidRPr="009335BA">
                              <w:rPr>
                                <w:rFonts w:ascii="Fira Sans" w:hAnsi="Fira Sans"/>
                                <w:color w:val="002060"/>
                                <w:sz w:val="19"/>
                                <w:szCs w:val="19"/>
                              </w:rPr>
                              <w:t xml:space="preserve"> a</w:t>
                            </w:r>
                            <w:r w:rsidR="007F5606">
                              <w:rPr>
                                <w:rFonts w:ascii="Fira Sans" w:hAnsi="Fira Sans"/>
                                <w:color w:val="002060"/>
                                <w:sz w:val="19"/>
                                <w:szCs w:val="19"/>
                              </w:rPr>
                              <w:t> </w:t>
                            </w:r>
                            <w:r>
                              <w:rPr>
                                <w:rFonts w:ascii="Fira Sans" w:hAnsi="Fira Sans"/>
                                <w:color w:val="002060"/>
                                <w:sz w:val="19"/>
                                <w:szCs w:val="19"/>
                              </w:rPr>
                              <w:t>p</w:t>
                            </w:r>
                            <w:r w:rsidR="004429EF" w:rsidRPr="009335BA">
                              <w:rPr>
                                <w:rFonts w:ascii="Fira Sans" w:hAnsi="Fira Sans"/>
                                <w:color w:val="002060"/>
                                <w:sz w:val="19"/>
                                <w:szCs w:val="19"/>
                              </w:rPr>
                              <w:t>ozostali ocenili, że</w:t>
                            </w:r>
                            <w:r w:rsidR="007F5606">
                              <w:rPr>
                                <w:rFonts w:ascii="Fira Sans" w:hAnsi="Fira Sans"/>
                                <w:color w:val="002060"/>
                                <w:sz w:val="19"/>
                                <w:szCs w:val="19"/>
                              </w:rPr>
                              <w:t> </w:t>
                            </w:r>
                            <w:r w:rsidR="004429EF" w:rsidRPr="009335BA">
                              <w:rPr>
                                <w:rFonts w:ascii="Fira Sans" w:hAnsi="Fira Sans"/>
                                <w:color w:val="002060"/>
                                <w:sz w:val="19"/>
                                <w:szCs w:val="19"/>
                              </w:rPr>
                              <w:t>popyt zmniejszył</w:t>
                            </w:r>
                            <w:r w:rsidR="0068547F">
                              <w:rPr>
                                <w:rFonts w:ascii="Fira Sans" w:hAnsi="Fira Sans"/>
                                <w:color w:val="002060"/>
                                <w:sz w:val="19"/>
                                <w:szCs w:val="19"/>
                              </w:rPr>
                              <w:t> </w:t>
                            </w:r>
                            <w:r w:rsidR="004429EF" w:rsidRPr="009335BA">
                              <w:rPr>
                                <w:rFonts w:ascii="Fira Sans" w:hAnsi="Fira Sans"/>
                                <w:color w:val="002060"/>
                                <w:sz w:val="19"/>
                                <w:szCs w:val="19"/>
                              </w:rPr>
                              <w:t>się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D547C7" id="Pole tekstowe 2024109078" o:spid="_x0000_s1037" type="#_x0000_t202" alt="68,8% rolników prowadzących chów brojlerów uznało, że popyt na ich produkty nie zmienił się, 27,7% zaobserwowało jego zwiększenie, a pozostali ocenili, że popyt zmniejszył się" style="position:absolute;margin-left:450.75pt;margin-top:124.75pt;width:141.75pt;height:121.6pt;z-index:-250266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" filled="f" stroked="f">
                <v:textbox>
                  <w:txbxContent>
                    <w:p w14:paraId="5A05CB4A" w14:textId="15F4DAC1" w:rsidR="004429EF" w:rsidRPr="0073187B" w:rsidRDefault="007A7B75" w:rsidP="009335BA">
                      <w:pPr>
                        <w:pStyle w:val="Tekstkomentarza"/>
                        <w:rPr>
                          <w:rFonts w:ascii="Fira Sans" w:hAnsi="Fira Sans"/>
                          <w:color w:val="002060"/>
                          <w:sz w:val="18"/>
                          <w:szCs w:val="16"/>
                        </w:rPr>
                      </w:pPr>
                      <w:r>
                        <w:rPr>
                          <w:rFonts w:ascii="Fira Sans" w:hAnsi="Fira Sans"/>
                          <w:color w:val="002060"/>
                          <w:sz w:val="19"/>
                          <w:szCs w:val="19"/>
                        </w:rPr>
                        <w:t>68,8</w:t>
                      </w:r>
                      <w:r w:rsidRPr="009335BA">
                        <w:rPr>
                          <w:rFonts w:ascii="Fira Sans" w:hAnsi="Fira Sans"/>
                          <w:color w:val="002060"/>
                          <w:sz w:val="19"/>
                          <w:szCs w:val="19"/>
                        </w:rPr>
                        <w:t>% rolników prowadzących chów brojlerów uznał</w:t>
                      </w:r>
                      <w:r>
                        <w:rPr>
                          <w:rFonts w:ascii="Fira Sans" w:hAnsi="Fira Sans"/>
                          <w:color w:val="002060"/>
                          <w:sz w:val="19"/>
                          <w:szCs w:val="19"/>
                        </w:rPr>
                        <w:t>o, że popyt na ich produkty nie</w:t>
                      </w:r>
                      <w:r w:rsidRPr="009335BA">
                        <w:rPr>
                          <w:rFonts w:ascii="Fira Sans" w:hAnsi="Fira Sans"/>
                          <w:color w:val="002060"/>
                          <w:sz w:val="19"/>
                          <w:szCs w:val="19"/>
                        </w:rPr>
                        <w:t xml:space="preserve"> zmienił</w:t>
                      </w:r>
                      <w:r>
                        <w:rPr>
                          <w:rFonts w:ascii="Fira Sans" w:hAnsi="Fira Sans"/>
                          <w:color w:val="002060"/>
                          <w:sz w:val="19"/>
                          <w:szCs w:val="19"/>
                        </w:rPr>
                        <w:t xml:space="preserve"> się, </w:t>
                      </w:r>
                      <w:r w:rsidR="001B64A6">
                        <w:rPr>
                          <w:rFonts w:ascii="Fira Sans" w:hAnsi="Fira Sans"/>
                          <w:color w:val="002060"/>
                          <w:sz w:val="19"/>
                          <w:szCs w:val="19"/>
                        </w:rPr>
                        <w:t>27,7</w:t>
                      </w:r>
                      <w:r w:rsidR="004429EF" w:rsidRPr="009335BA">
                        <w:rPr>
                          <w:rFonts w:ascii="Fira Sans" w:hAnsi="Fira Sans"/>
                          <w:color w:val="002060"/>
                          <w:sz w:val="19"/>
                          <w:szCs w:val="19"/>
                        </w:rPr>
                        <w:t xml:space="preserve">% </w:t>
                      </w:r>
                      <w:r>
                        <w:rPr>
                          <w:rFonts w:ascii="Fira Sans" w:hAnsi="Fira Sans"/>
                          <w:color w:val="002060"/>
                          <w:sz w:val="19"/>
                          <w:szCs w:val="19"/>
                        </w:rPr>
                        <w:t>zaobserwowało jego zwiększenie,</w:t>
                      </w:r>
                      <w:r w:rsidR="004429EF" w:rsidRPr="009335BA">
                        <w:rPr>
                          <w:rFonts w:ascii="Fira Sans" w:hAnsi="Fira Sans"/>
                          <w:color w:val="002060"/>
                          <w:sz w:val="19"/>
                          <w:szCs w:val="19"/>
                        </w:rPr>
                        <w:t xml:space="preserve"> a</w:t>
                      </w:r>
                      <w:r w:rsidR="007F5606">
                        <w:rPr>
                          <w:rFonts w:ascii="Fira Sans" w:hAnsi="Fira Sans"/>
                          <w:color w:val="002060"/>
                          <w:sz w:val="19"/>
                          <w:szCs w:val="19"/>
                        </w:rPr>
                        <w:t> </w:t>
                      </w:r>
                      <w:r>
                        <w:rPr>
                          <w:rFonts w:ascii="Fira Sans" w:hAnsi="Fira Sans"/>
                          <w:color w:val="002060"/>
                          <w:sz w:val="19"/>
                          <w:szCs w:val="19"/>
                        </w:rPr>
                        <w:t>p</w:t>
                      </w:r>
                      <w:r w:rsidR="004429EF" w:rsidRPr="009335BA">
                        <w:rPr>
                          <w:rFonts w:ascii="Fira Sans" w:hAnsi="Fira Sans"/>
                          <w:color w:val="002060"/>
                          <w:sz w:val="19"/>
                          <w:szCs w:val="19"/>
                        </w:rPr>
                        <w:t>ozostali ocenili, że</w:t>
                      </w:r>
                      <w:r w:rsidR="007F5606">
                        <w:rPr>
                          <w:rFonts w:ascii="Fira Sans" w:hAnsi="Fira Sans"/>
                          <w:color w:val="002060"/>
                          <w:sz w:val="19"/>
                          <w:szCs w:val="19"/>
                        </w:rPr>
                        <w:t> </w:t>
                      </w:r>
                      <w:r w:rsidR="004429EF" w:rsidRPr="009335BA">
                        <w:rPr>
                          <w:rFonts w:ascii="Fira Sans" w:hAnsi="Fira Sans"/>
                          <w:color w:val="002060"/>
                          <w:sz w:val="19"/>
                          <w:szCs w:val="19"/>
                        </w:rPr>
                        <w:t>popyt zmniejszył</w:t>
                      </w:r>
                      <w:r w:rsidR="0068547F">
                        <w:rPr>
                          <w:rFonts w:ascii="Fira Sans" w:hAnsi="Fira Sans"/>
                          <w:color w:val="002060"/>
                          <w:sz w:val="19"/>
                          <w:szCs w:val="19"/>
                        </w:rPr>
                        <w:t> </w:t>
                      </w:r>
                      <w:r w:rsidR="004429EF" w:rsidRPr="009335BA">
                        <w:rPr>
                          <w:rFonts w:ascii="Fira Sans" w:hAnsi="Fira Sans"/>
                          <w:color w:val="002060"/>
                          <w:sz w:val="19"/>
                          <w:szCs w:val="19"/>
                        </w:rPr>
                        <w:t>się</w:t>
                      </w:r>
                    </w:p>
                  </w:txbxContent>
                </v:textbox>
                <w10:wrap type="tight" anchorx="page"/>
              </v:shape>
            </w:pict>
          </mc:Fallback>
        </mc:AlternateContent>
      </w:r>
      <w:r w:rsidR="00A011D3" w:rsidRPr="00185238">
        <w:rPr>
          <w:rFonts w:ascii="Fira Sans" w:hAnsi="Fira Sans"/>
          <w:b/>
          <w:bCs/>
          <w:color w:val="000000" w:themeColor="text1"/>
          <w:sz w:val="19"/>
          <w:szCs w:val="19"/>
        </w:rPr>
        <w:t xml:space="preserve">Wykres </w:t>
      </w:r>
      <w:r w:rsidR="005D295F" w:rsidRPr="00185238">
        <w:rPr>
          <w:rFonts w:ascii="Fira Sans" w:hAnsi="Fira Sans"/>
          <w:b/>
          <w:bCs/>
          <w:color w:val="000000" w:themeColor="text1"/>
          <w:sz w:val="19"/>
          <w:szCs w:val="19"/>
        </w:rPr>
        <w:t>7</w:t>
      </w:r>
      <w:r w:rsidR="00A011D3" w:rsidRPr="00185238">
        <w:rPr>
          <w:rFonts w:ascii="Fira Sans" w:hAnsi="Fira Sans"/>
          <w:b/>
          <w:bCs/>
          <w:color w:val="000000" w:themeColor="text1"/>
          <w:sz w:val="19"/>
          <w:szCs w:val="19"/>
        </w:rPr>
        <w:t xml:space="preserve">. Salda odpowiedzi dotyczące zmiany w </w:t>
      </w:r>
      <w:r w:rsidR="006D38F5" w:rsidRPr="00185238">
        <w:rPr>
          <w:rFonts w:ascii="Fira Sans" w:hAnsi="Fira Sans"/>
          <w:b/>
          <w:bCs/>
          <w:color w:val="000000" w:themeColor="text1"/>
          <w:sz w:val="19"/>
          <w:szCs w:val="19"/>
        </w:rPr>
        <w:t>1</w:t>
      </w:r>
      <w:r w:rsidR="00A011D3" w:rsidRPr="00185238">
        <w:rPr>
          <w:rFonts w:ascii="Fira Sans" w:hAnsi="Fira Sans"/>
          <w:b/>
          <w:bCs/>
          <w:color w:val="000000" w:themeColor="text1"/>
          <w:sz w:val="19"/>
          <w:szCs w:val="19"/>
        </w:rPr>
        <w:t xml:space="preserve"> półroczu opłacalności produkcji rolniczej i</w:t>
      </w:r>
      <w:r w:rsidR="00964E84" w:rsidRPr="00185238">
        <w:rPr>
          <w:rFonts w:ascii="Fira Sans" w:hAnsi="Fira Sans"/>
          <w:b/>
          <w:bCs/>
          <w:color w:val="000000" w:themeColor="text1"/>
          <w:sz w:val="19"/>
          <w:szCs w:val="19"/>
        </w:rPr>
        <w:t> </w:t>
      </w:r>
      <w:r w:rsidR="00A011D3" w:rsidRPr="00185238">
        <w:rPr>
          <w:rFonts w:ascii="Fira Sans" w:hAnsi="Fira Sans"/>
          <w:b/>
          <w:bCs/>
          <w:color w:val="000000" w:themeColor="text1"/>
          <w:sz w:val="19"/>
          <w:szCs w:val="19"/>
        </w:rPr>
        <w:t>popytu na produkty rolne według ukierunkowania produkcyjnego</w:t>
      </w:r>
    </w:p>
    <w:p w14:paraId="5B99927D" w14:textId="6C9A461A" w:rsidR="00EC013D" w:rsidRPr="00185238" w:rsidRDefault="00C926EB" w:rsidP="005D28CA">
      <w:pPr>
        <w:spacing w:before="120" w:after="120" w:line="240" w:lineRule="auto"/>
        <w:rPr>
          <w:rFonts w:ascii="Fira Sans" w:hAnsi="Fira Sans"/>
          <w:b/>
          <w:bCs/>
          <w:color w:val="000000" w:themeColor="text1"/>
          <w:sz w:val="19"/>
          <w:szCs w:val="19"/>
        </w:rPr>
      </w:pPr>
      <w:r>
        <w:rPr>
          <w:rFonts w:ascii="Fira Sans" w:hAnsi="Fira Sans"/>
          <w:b/>
          <w:bCs/>
          <w:noProof/>
          <w:color w:val="000000" w:themeColor="text1"/>
          <w:sz w:val="19"/>
          <w:szCs w:val="19"/>
        </w:rPr>
        <w:drawing>
          <wp:inline distT="0" distB="0" distL="0" distR="0" wp14:anchorId="4345EE9A" wp14:editId="2C5C81A5">
            <wp:extent cx="5181598" cy="2164080"/>
            <wp:effectExtent l="0" t="0" r="0" b="7620"/>
            <wp:docPr id="14" name="Obraz 14" descr="Wykres 7. Salda odpowiedzi dotyczące zmiany w 1 półroczu opłacalności produkcji rolniczej i popytu na produkty rolne według ukierunkowania produk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Wykres 7. Salda odpowiedzi dotyczące zmiany w 1 półroczu opłacalności produkcji rolniczej i popytu na produkty rolne według ukierunkowania produkcyjnego"/>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181598" cy="2164080"/>
                    </a:xfrm>
                    <a:prstGeom prst="rect">
                      <a:avLst/>
                    </a:prstGeom>
                    <a:noFill/>
                  </pic:spPr>
                </pic:pic>
              </a:graphicData>
            </a:graphic>
          </wp:inline>
        </w:drawing>
      </w:r>
    </w:p>
    <w:p w14:paraId="2D95BEA5" w14:textId="6156BD31" w:rsidR="00C6629C" w:rsidRPr="00185238" w:rsidRDefault="00C6629C" w:rsidP="00484F8D">
      <w:pPr>
        <w:spacing w:before="120" w:after="120" w:line="288" w:lineRule="auto"/>
        <w:rPr>
          <w:rFonts w:ascii="Fira Sans" w:eastAsia="Times New Roman" w:hAnsi="Fira Sans" w:cs="Calibri"/>
          <w:bCs/>
          <w:color w:val="000000" w:themeColor="text1"/>
          <w:sz w:val="19"/>
          <w:szCs w:val="19"/>
          <w:lang w:eastAsia="pl-PL"/>
        </w:rPr>
      </w:pPr>
      <w:r w:rsidRPr="00185238">
        <w:rPr>
          <w:rFonts w:ascii="Fira Sans" w:eastAsia="Times New Roman" w:hAnsi="Fira Sans" w:cs="Calibri"/>
          <w:bCs/>
          <w:color w:val="000000" w:themeColor="text1"/>
          <w:sz w:val="19"/>
          <w:szCs w:val="19"/>
          <w:lang w:eastAsia="pl-PL"/>
        </w:rPr>
        <w:t>Uwzględniając wielkość gospodarstwa, spadek</w:t>
      </w:r>
      <w:r w:rsidR="00A94271" w:rsidRPr="00185238">
        <w:rPr>
          <w:rFonts w:ascii="Fira Sans" w:eastAsia="Times New Roman" w:hAnsi="Fira Sans" w:cs="Calibri"/>
          <w:bCs/>
          <w:color w:val="000000" w:themeColor="text1"/>
          <w:sz w:val="19"/>
          <w:szCs w:val="19"/>
          <w:lang w:eastAsia="pl-PL"/>
        </w:rPr>
        <w:t xml:space="preserve"> zapotrzebowania na produkty</w:t>
      </w:r>
      <w:r w:rsidRPr="00185238">
        <w:rPr>
          <w:rFonts w:ascii="Fira Sans" w:eastAsia="Times New Roman" w:hAnsi="Fira Sans" w:cs="Calibri"/>
          <w:bCs/>
          <w:color w:val="000000" w:themeColor="text1"/>
          <w:sz w:val="19"/>
          <w:szCs w:val="19"/>
          <w:lang w:eastAsia="pl-PL"/>
        </w:rPr>
        <w:t xml:space="preserve"> </w:t>
      </w:r>
      <w:r w:rsidR="00A94271" w:rsidRPr="00185238">
        <w:rPr>
          <w:rFonts w:ascii="Fira Sans" w:eastAsia="Times New Roman" w:hAnsi="Fira Sans" w:cs="Calibri"/>
          <w:bCs/>
          <w:color w:val="000000" w:themeColor="text1"/>
          <w:sz w:val="19"/>
          <w:szCs w:val="19"/>
          <w:lang w:eastAsia="pl-PL"/>
        </w:rPr>
        <w:t xml:space="preserve">rolne </w:t>
      </w:r>
      <w:r w:rsidRPr="00185238">
        <w:rPr>
          <w:rFonts w:ascii="Fira Sans" w:eastAsia="Times New Roman" w:hAnsi="Fira Sans" w:cs="Calibri"/>
          <w:bCs/>
          <w:color w:val="000000" w:themeColor="text1"/>
          <w:sz w:val="19"/>
          <w:szCs w:val="19"/>
          <w:lang w:eastAsia="pl-PL"/>
        </w:rPr>
        <w:t>w</w:t>
      </w:r>
      <w:r w:rsidR="00C926EB">
        <w:rPr>
          <w:rFonts w:ascii="Fira Sans" w:eastAsia="Times New Roman" w:hAnsi="Fira Sans" w:cs="Calibri"/>
          <w:bCs/>
          <w:color w:val="000000" w:themeColor="text1"/>
          <w:sz w:val="19"/>
          <w:szCs w:val="19"/>
          <w:lang w:eastAsia="pl-PL"/>
        </w:rPr>
        <w:t> </w:t>
      </w:r>
      <w:r w:rsidRPr="00185238">
        <w:rPr>
          <w:rFonts w:ascii="Fira Sans" w:eastAsia="Times New Roman" w:hAnsi="Fira Sans" w:cs="Calibri"/>
          <w:bCs/>
          <w:color w:val="000000" w:themeColor="text1"/>
          <w:sz w:val="19"/>
          <w:szCs w:val="19"/>
          <w:lang w:eastAsia="pl-PL"/>
        </w:rPr>
        <w:t>1</w:t>
      </w:r>
      <w:r w:rsidR="00C926EB">
        <w:rPr>
          <w:rFonts w:ascii="Fira Sans" w:eastAsia="Times New Roman" w:hAnsi="Fira Sans" w:cs="Calibri"/>
          <w:bCs/>
          <w:color w:val="000000" w:themeColor="text1"/>
          <w:sz w:val="19"/>
          <w:szCs w:val="19"/>
          <w:lang w:eastAsia="pl-PL"/>
        </w:rPr>
        <w:t> </w:t>
      </w:r>
      <w:r w:rsidRPr="00185238">
        <w:rPr>
          <w:rFonts w:ascii="Fira Sans" w:eastAsia="Times New Roman" w:hAnsi="Fira Sans" w:cs="Calibri"/>
          <w:bCs/>
          <w:color w:val="000000" w:themeColor="text1"/>
          <w:sz w:val="19"/>
          <w:szCs w:val="19"/>
          <w:lang w:eastAsia="pl-PL"/>
        </w:rPr>
        <w:t xml:space="preserve">półroczu 2025 r. najczęściej </w:t>
      </w:r>
      <w:r w:rsidR="00A94271" w:rsidRPr="00185238">
        <w:rPr>
          <w:rFonts w:ascii="Fira Sans" w:eastAsia="Times New Roman" w:hAnsi="Fira Sans" w:cs="Calibri"/>
          <w:bCs/>
          <w:color w:val="000000" w:themeColor="text1"/>
          <w:sz w:val="19"/>
          <w:szCs w:val="19"/>
          <w:lang w:eastAsia="pl-PL"/>
        </w:rPr>
        <w:t xml:space="preserve">obserwowali </w:t>
      </w:r>
      <w:r w:rsidRPr="00185238">
        <w:rPr>
          <w:rFonts w:ascii="Fira Sans" w:eastAsia="Times New Roman" w:hAnsi="Fira Sans" w:cs="Calibri"/>
          <w:bCs/>
          <w:color w:val="000000" w:themeColor="text1"/>
          <w:sz w:val="19"/>
          <w:szCs w:val="19"/>
          <w:lang w:eastAsia="pl-PL"/>
        </w:rPr>
        <w:t>użytkownicy gospodarstw największych, o</w:t>
      </w:r>
      <w:r w:rsidR="00C926EB">
        <w:rPr>
          <w:rFonts w:ascii="Fira Sans" w:eastAsia="Times New Roman" w:hAnsi="Fira Sans" w:cs="Calibri"/>
          <w:bCs/>
          <w:color w:val="000000" w:themeColor="text1"/>
          <w:sz w:val="19"/>
          <w:szCs w:val="19"/>
          <w:lang w:eastAsia="pl-PL"/>
        </w:rPr>
        <w:t> </w:t>
      </w:r>
      <w:r w:rsidRPr="00185238">
        <w:rPr>
          <w:rFonts w:ascii="Fira Sans" w:eastAsia="Times New Roman" w:hAnsi="Fira Sans" w:cs="Calibri"/>
          <w:bCs/>
          <w:color w:val="000000" w:themeColor="text1"/>
          <w:sz w:val="19"/>
          <w:szCs w:val="19"/>
          <w:lang w:eastAsia="pl-PL"/>
        </w:rPr>
        <w:t>powierzchni 100 ha i więcej oraz najmniejszych, do 1 ha (saldo odpowiednio minus 17,3 i</w:t>
      </w:r>
      <w:r w:rsidR="00C926EB">
        <w:rPr>
          <w:rFonts w:ascii="Fira Sans" w:eastAsia="Times New Roman" w:hAnsi="Fira Sans" w:cs="Calibri"/>
          <w:bCs/>
          <w:color w:val="000000" w:themeColor="text1"/>
          <w:sz w:val="19"/>
          <w:szCs w:val="19"/>
          <w:lang w:eastAsia="pl-PL"/>
        </w:rPr>
        <w:t> </w:t>
      </w:r>
      <w:r w:rsidRPr="00185238">
        <w:rPr>
          <w:rFonts w:ascii="Fira Sans" w:eastAsia="Times New Roman" w:hAnsi="Fira Sans" w:cs="Calibri"/>
          <w:bCs/>
          <w:color w:val="000000" w:themeColor="text1"/>
          <w:sz w:val="19"/>
          <w:szCs w:val="19"/>
          <w:lang w:eastAsia="pl-PL"/>
        </w:rPr>
        <w:t>minus 16,5). W tej grupie gospodarstw opinie były bardziej pesymistyczne niż w poprzednim półroczu (spadek salda odpowiedzi o odpowiednio o 2,9 pkt i 5,7 pkt), ale mniej pesymistyczne w porównaniu z 1 półroczem 2024 r. (wzrost salda odpowiednio o 14,2 i 5,9). Z</w:t>
      </w:r>
      <w:r w:rsidR="00C926EB">
        <w:rPr>
          <w:rFonts w:ascii="Fira Sans" w:eastAsia="Times New Roman" w:hAnsi="Fira Sans" w:cs="Calibri"/>
          <w:bCs/>
          <w:color w:val="000000" w:themeColor="text1"/>
          <w:sz w:val="19"/>
          <w:szCs w:val="19"/>
          <w:lang w:eastAsia="pl-PL"/>
        </w:rPr>
        <w:t> </w:t>
      </w:r>
      <w:r w:rsidRPr="00185238">
        <w:rPr>
          <w:rFonts w:ascii="Fira Sans" w:eastAsia="Times New Roman" w:hAnsi="Fira Sans" w:cs="Calibri"/>
          <w:bCs/>
          <w:color w:val="000000" w:themeColor="text1"/>
          <w:sz w:val="19"/>
          <w:szCs w:val="19"/>
          <w:lang w:eastAsia="pl-PL"/>
        </w:rPr>
        <w:t>kolei najmniejszą przewagę opinii negatywnych nad pozytywnymi na temat zmiany popytu odnotowano wśród użytkowników gospodarstw o powierzchni od 30 do 50 ha (saldo minus</w:t>
      </w:r>
      <w:r w:rsidR="0068547F">
        <w:rPr>
          <w:rFonts w:ascii="Fira Sans" w:eastAsia="Times New Roman" w:hAnsi="Fira Sans" w:cs="Calibri"/>
          <w:bCs/>
          <w:color w:val="000000" w:themeColor="text1"/>
          <w:sz w:val="19"/>
          <w:szCs w:val="19"/>
          <w:lang w:eastAsia="pl-PL"/>
        </w:rPr>
        <w:t> </w:t>
      </w:r>
      <w:r w:rsidRPr="00185238">
        <w:rPr>
          <w:rFonts w:ascii="Fira Sans" w:eastAsia="Times New Roman" w:hAnsi="Fira Sans" w:cs="Calibri"/>
          <w:bCs/>
          <w:color w:val="000000" w:themeColor="text1"/>
          <w:sz w:val="19"/>
          <w:szCs w:val="19"/>
          <w:lang w:eastAsia="pl-PL"/>
        </w:rPr>
        <w:t>5,6).</w:t>
      </w:r>
    </w:p>
    <w:p w14:paraId="001DC64E" w14:textId="77777777" w:rsidR="00D62BAC" w:rsidRDefault="00D62BAC">
      <w:pPr>
        <w:spacing w:line="259" w:lineRule="auto"/>
        <w:rPr>
          <w:rFonts w:ascii="Fira Sans" w:hAnsi="Fira Sans"/>
          <w:b/>
          <w:color w:val="002060"/>
          <w:sz w:val="24"/>
          <w:szCs w:val="24"/>
        </w:rPr>
      </w:pPr>
      <w:r>
        <w:rPr>
          <w:rFonts w:ascii="Fira Sans" w:hAnsi="Fira Sans"/>
          <w:b/>
          <w:color w:val="002060"/>
          <w:sz w:val="24"/>
          <w:szCs w:val="24"/>
        </w:rPr>
        <w:br w:type="page"/>
      </w:r>
    </w:p>
    <w:p w14:paraId="64BF95BB" w14:textId="1558861D" w:rsidR="00765532" w:rsidRPr="00185238" w:rsidRDefault="008667ED" w:rsidP="007F5606">
      <w:pPr>
        <w:spacing w:before="360" w:after="120"/>
        <w:rPr>
          <w:rFonts w:ascii="Fira Sans" w:hAnsi="Fira Sans"/>
          <w:b/>
          <w:color w:val="002060"/>
          <w:sz w:val="24"/>
          <w:szCs w:val="24"/>
        </w:rPr>
      </w:pPr>
      <w:r w:rsidRPr="00185238">
        <w:rPr>
          <w:rFonts w:ascii="Fira Sans" w:hAnsi="Fira Sans"/>
          <w:b/>
          <w:color w:val="002060"/>
          <w:sz w:val="24"/>
          <w:szCs w:val="24"/>
        </w:rPr>
        <w:lastRenderedPageBreak/>
        <w:t xml:space="preserve">Prognoza </w:t>
      </w:r>
      <w:r w:rsidR="00765532" w:rsidRPr="00185238">
        <w:rPr>
          <w:rFonts w:ascii="Fira Sans" w:hAnsi="Fira Sans"/>
          <w:b/>
          <w:color w:val="002060"/>
          <w:sz w:val="24"/>
          <w:szCs w:val="24"/>
        </w:rPr>
        <w:t>sytuacji gospodarstw rolnych</w:t>
      </w:r>
    </w:p>
    <w:p w14:paraId="24E02650" w14:textId="77777777" w:rsidR="00CB691F" w:rsidRPr="00185238" w:rsidRDefault="00CB691F" w:rsidP="007F5606">
      <w:pPr>
        <w:spacing w:before="360" w:after="120"/>
        <w:rPr>
          <w:rFonts w:ascii="Fira Sans" w:hAnsi="Fira Sans"/>
          <w:b/>
          <w:color w:val="002060"/>
          <w:sz w:val="19"/>
          <w:szCs w:val="19"/>
        </w:rPr>
      </w:pPr>
      <w:r w:rsidRPr="00185238">
        <w:rPr>
          <w:rFonts w:ascii="Fira Sans" w:hAnsi="Fira Sans"/>
          <w:b/>
          <w:color w:val="002060"/>
          <w:sz w:val="19"/>
          <w:szCs w:val="19"/>
        </w:rPr>
        <w:t>Opłacalność produkcji rolniczej</w:t>
      </w:r>
    </w:p>
    <w:p w14:paraId="462A9CCF" w14:textId="640B96C0" w:rsidR="00554197" w:rsidRPr="00185238" w:rsidRDefault="00554197" w:rsidP="00484F8D">
      <w:pPr>
        <w:spacing w:before="180" w:after="120" w:line="288" w:lineRule="auto"/>
        <w:rPr>
          <w:rFonts w:ascii="Fira Sans" w:hAnsi="Fira Sans"/>
          <w:bCs/>
          <w:sz w:val="19"/>
          <w:szCs w:val="19"/>
        </w:rPr>
      </w:pPr>
      <w:r w:rsidRPr="00185238">
        <w:rPr>
          <w:rFonts w:ascii="Fira Sans" w:hAnsi="Fira Sans"/>
          <w:bCs/>
          <w:sz w:val="19"/>
          <w:szCs w:val="19"/>
        </w:rPr>
        <w:t xml:space="preserve">Prognozy </w:t>
      </w:r>
      <w:r w:rsidR="005F0A31" w:rsidRPr="00185238">
        <w:rPr>
          <w:rFonts w:ascii="Fira Sans" w:hAnsi="Fira Sans"/>
          <w:bCs/>
          <w:sz w:val="19"/>
          <w:szCs w:val="19"/>
        </w:rPr>
        <w:t xml:space="preserve">użytkowników gospodarstw rolnych </w:t>
      </w:r>
      <w:r w:rsidRPr="00185238">
        <w:rPr>
          <w:rFonts w:ascii="Fira Sans" w:hAnsi="Fira Sans"/>
          <w:bCs/>
          <w:sz w:val="19"/>
          <w:szCs w:val="19"/>
        </w:rPr>
        <w:t>dotyczące opłacalności produkcji rolniczej w</w:t>
      </w:r>
      <w:r w:rsidR="00D62BAC">
        <w:rPr>
          <w:rFonts w:ascii="Fira Sans" w:hAnsi="Fira Sans"/>
          <w:bCs/>
          <w:sz w:val="19"/>
          <w:szCs w:val="19"/>
        </w:rPr>
        <w:t> </w:t>
      </w:r>
      <w:r w:rsidRPr="00185238">
        <w:rPr>
          <w:rFonts w:ascii="Fira Sans" w:hAnsi="Fira Sans"/>
          <w:bCs/>
          <w:sz w:val="19"/>
          <w:szCs w:val="19"/>
        </w:rPr>
        <w:t>2</w:t>
      </w:r>
      <w:r w:rsidR="00D62BAC">
        <w:rPr>
          <w:rFonts w:ascii="Fira Sans" w:hAnsi="Fira Sans"/>
          <w:bCs/>
          <w:sz w:val="19"/>
          <w:szCs w:val="19"/>
        </w:rPr>
        <w:t> </w:t>
      </w:r>
      <w:r w:rsidRPr="00185238">
        <w:rPr>
          <w:rFonts w:ascii="Fira Sans" w:hAnsi="Fira Sans"/>
          <w:bCs/>
          <w:sz w:val="19"/>
          <w:szCs w:val="19"/>
        </w:rPr>
        <w:t>półroczu 2025 r. są mniej pesymistyczne niż te dotyczące 2 półrocza 2024 r. i 1 półrocza 2025 r. Saldo odpowiedzi na pytania dotyczące opłacalności produkcji wzrosło odpowiednio o 9,9 pkt i 3,7 pkt. Mimo tej poprawy przewidywania rolników pozosta</w:t>
      </w:r>
      <w:r w:rsidR="007519BB">
        <w:rPr>
          <w:rFonts w:ascii="Fira Sans" w:hAnsi="Fira Sans"/>
          <w:bCs/>
          <w:sz w:val="19"/>
          <w:szCs w:val="19"/>
        </w:rPr>
        <w:t>ły</w:t>
      </w:r>
      <w:r w:rsidRPr="00185238">
        <w:rPr>
          <w:rFonts w:ascii="Fira Sans" w:hAnsi="Fira Sans"/>
          <w:bCs/>
          <w:sz w:val="19"/>
          <w:szCs w:val="19"/>
        </w:rPr>
        <w:t xml:space="preserve"> negatywne - saldo odpowiedzi wyniosło minus 26,6.</w:t>
      </w:r>
    </w:p>
    <w:p w14:paraId="6BCE918E" w14:textId="3A5A03DB" w:rsidR="00554197" w:rsidRPr="00185238" w:rsidRDefault="00554197" w:rsidP="00484F8D">
      <w:pPr>
        <w:spacing w:before="120" w:after="120" w:line="288" w:lineRule="auto"/>
        <w:rPr>
          <w:rFonts w:ascii="Fira Sans" w:hAnsi="Fira Sans"/>
          <w:bCs/>
          <w:sz w:val="19"/>
          <w:szCs w:val="19"/>
        </w:rPr>
      </w:pPr>
      <w:r w:rsidRPr="00185238">
        <w:rPr>
          <w:rFonts w:ascii="Fira Sans" w:hAnsi="Fira Sans"/>
          <w:bCs/>
          <w:sz w:val="19"/>
          <w:szCs w:val="19"/>
        </w:rPr>
        <w:t xml:space="preserve">Biorąc pod uwagę rodzaj działalności gospodarstw rolnych, najbardziej pesymistyczne prognozy odnotowano wśród użytkowników gospodarstw ukierunkowanych na produkcję roślinną (saldo minus 29,8). W grupie tej negatywne </w:t>
      </w:r>
      <w:r w:rsidR="005F0A31" w:rsidRPr="00185238">
        <w:rPr>
          <w:rFonts w:ascii="Fira Sans" w:hAnsi="Fira Sans"/>
          <w:bCs/>
          <w:sz w:val="19"/>
          <w:szCs w:val="19"/>
        </w:rPr>
        <w:t>prognozy</w:t>
      </w:r>
      <w:r w:rsidRPr="00185238">
        <w:rPr>
          <w:rFonts w:ascii="Fira Sans" w:hAnsi="Fira Sans"/>
          <w:bCs/>
          <w:sz w:val="19"/>
          <w:szCs w:val="19"/>
        </w:rPr>
        <w:t xml:space="preserve"> najczęściej wyrażali rolnicy specjalizujący się w uprawie buraków cukrowych (saldo minus 46,4) oraz ziemniaków (minus</w:t>
      </w:r>
      <w:r w:rsidR="00D62BAC">
        <w:rPr>
          <w:rFonts w:ascii="Fira Sans" w:hAnsi="Fira Sans"/>
          <w:bCs/>
          <w:sz w:val="19"/>
          <w:szCs w:val="19"/>
        </w:rPr>
        <w:t> </w:t>
      </w:r>
      <w:r w:rsidRPr="00185238">
        <w:rPr>
          <w:rFonts w:ascii="Fira Sans" w:hAnsi="Fira Sans"/>
          <w:bCs/>
          <w:sz w:val="19"/>
          <w:szCs w:val="19"/>
        </w:rPr>
        <w:t>38,1). Najmniej pesymistyczne prognozy zaobserwowano natomiast wśród gospodarstw prowadzących produkcję zwierzęcą (saldo minus 13,2). Wśród nich najczęściej pogorszenia opłacalności produkcji spodziewają się hodowcy trzody chlewnej (saldo minus</w:t>
      </w:r>
      <w:r w:rsidR="00E12CDC">
        <w:rPr>
          <w:rFonts w:ascii="Fira Sans" w:hAnsi="Fira Sans"/>
          <w:bCs/>
          <w:sz w:val="19"/>
          <w:szCs w:val="19"/>
        </w:rPr>
        <w:t> </w:t>
      </w:r>
      <w:r w:rsidRPr="00185238">
        <w:rPr>
          <w:rFonts w:ascii="Fira Sans" w:hAnsi="Fira Sans"/>
          <w:bCs/>
          <w:sz w:val="19"/>
          <w:szCs w:val="19"/>
        </w:rPr>
        <w:t>30,2) oraz drobiu nieśnego (minus 22,1). Wyjątek stanowili hodowcy owiec, wśród których dominowały optymistyczne prognozy dotyczące opłacalności produkcji rolniczej w</w:t>
      </w:r>
      <w:r w:rsidR="00D62BAC">
        <w:rPr>
          <w:rFonts w:ascii="Fira Sans" w:hAnsi="Fira Sans"/>
          <w:bCs/>
          <w:sz w:val="19"/>
          <w:szCs w:val="19"/>
        </w:rPr>
        <w:t> </w:t>
      </w:r>
      <w:r w:rsidRPr="00185238">
        <w:rPr>
          <w:rFonts w:ascii="Fira Sans" w:hAnsi="Fira Sans"/>
          <w:bCs/>
          <w:sz w:val="19"/>
          <w:szCs w:val="19"/>
        </w:rPr>
        <w:t>nadchodzącym półroczu.</w:t>
      </w:r>
    </w:p>
    <w:p w14:paraId="2CF476E7" w14:textId="77777777" w:rsidR="00D62BAC" w:rsidRDefault="00930D90" w:rsidP="00554197">
      <w:pPr>
        <w:spacing w:before="360" w:after="120" w:line="240" w:lineRule="auto"/>
        <w:rPr>
          <w:rFonts w:ascii="Fira Sans" w:hAnsi="Fira Sans" w:cs="Myriad Pro"/>
          <w:b/>
          <w:bCs/>
          <w:color w:val="000000"/>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72384" behindDoc="1" locked="0" layoutInCell="1" allowOverlap="1" wp14:anchorId="598AF0EC" wp14:editId="4653CBA8">
                <wp:simplePos x="0" y="0"/>
                <wp:positionH relativeFrom="page">
                  <wp:posOffset>5724525</wp:posOffset>
                </wp:positionH>
                <wp:positionV relativeFrom="paragraph">
                  <wp:posOffset>1051001</wp:posOffset>
                </wp:positionV>
                <wp:extent cx="1800000" cy="2124000"/>
                <wp:effectExtent l="0" t="0" r="0" b="0"/>
                <wp:wrapTight wrapText="bothSides">
                  <wp:wrapPolygon edited="0">
                    <wp:start x="686" y="0"/>
                    <wp:lineTo x="686" y="21316"/>
                    <wp:lineTo x="20807" y="21316"/>
                    <wp:lineTo x="20807" y="0"/>
                    <wp:lineTo x="686" y="0"/>
                  </wp:wrapPolygon>
                </wp:wrapTight>
                <wp:docPr id="541070086" name="Pole tekstowe 541070086" descr="50,9% rolników zajmujących się uprawą buraków cukrowych prognozuje pogorszenie opłacalność produkcji rolniczej w najbliższym półroczu, a 4,5% spodziewa się poprawy. Pozostali przewidują, że opłacalność produkcji rolniczej pozostanie na niezmienionym poziom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2124000"/>
                        </a:xfrm>
                        <a:prstGeom prst="rect">
                          <a:avLst/>
                        </a:prstGeom>
                        <a:noFill/>
                        <a:ln w="9525">
                          <a:noFill/>
                          <a:miter lim="800000"/>
                          <a:headEnd/>
                          <a:tailEnd/>
                        </a:ln>
                      </wps:spPr>
                      <wps:txbx>
                        <w:txbxContent>
                          <w:p w14:paraId="03D80CF2" w14:textId="29DFDB98" w:rsidR="004429EF" w:rsidRPr="0073187B" w:rsidRDefault="00554197" w:rsidP="00930D90">
                            <w:pPr>
                              <w:pStyle w:val="Tekstkomentarza"/>
                              <w:rPr>
                                <w:rFonts w:ascii="Fira Sans" w:hAnsi="Fira Sans"/>
                                <w:color w:val="002060"/>
                                <w:sz w:val="18"/>
                                <w:szCs w:val="16"/>
                              </w:rPr>
                            </w:pPr>
                            <w:r w:rsidRPr="00554197">
                              <w:rPr>
                                <w:rFonts w:ascii="Fira Sans" w:hAnsi="Fira Sans"/>
                                <w:color w:val="002060"/>
                                <w:sz w:val="19"/>
                                <w:szCs w:val="19"/>
                              </w:rPr>
                              <w:t>50,9% rolników zajmujących się uprawą buraków cukrowych prognozuje pogorszenie opłacalność produkcji rolniczej w</w:t>
                            </w:r>
                            <w:r w:rsidR="00C926EB">
                              <w:rPr>
                                <w:rFonts w:ascii="Fira Sans" w:hAnsi="Fira Sans"/>
                                <w:color w:val="002060"/>
                                <w:sz w:val="19"/>
                                <w:szCs w:val="19"/>
                              </w:rPr>
                              <w:t> </w:t>
                            </w:r>
                            <w:r w:rsidRPr="00554197">
                              <w:rPr>
                                <w:rFonts w:ascii="Fira Sans" w:hAnsi="Fira Sans"/>
                                <w:color w:val="002060"/>
                                <w:sz w:val="19"/>
                                <w:szCs w:val="19"/>
                              </w:rPr>
                              <w:t>najbliższym półroczu, a</w:t>
                            </w:r>
                            <w:r w:rsidR="00C926EB">
                              <w:rPr>
                                <w:rFonts w:ascii="Fira Sans" w:hAnsi="Fira Sans"/>
                                <w:color w:val="002060"/>
                                <w:sz w:val="19"/>
                                <w:szCs w:val="19"/>
                              </w:rPr>
                              <w:t> </w:t>
                            </w:r>
                            <w:r w:rsidRPr="00554197">
                              <w:rPr>
                                <w:rFonts w:ascii="Fira Sans" w:hAnsi="Fira Sans"/>
                                <w:color w:val="002060"/>
                                <w:sz w:val="19"/>
                                <w:szCs w:val="19"/>
                              </w:rPr>
                              <w:t>4,5% spodziewa się poprawy. Pozostali przewidują, że opłacalność produkcji rolniczej pozostanie na niezmienionym poziomie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8AF0EC" id="Pole tekstowe 541070086" o:spid="_x0000_s1038" type="#_x0000_t202" alt="50,9% rolników zajmujących się uprawą buraków cukrowych prognozuje pogorszenie opłacalność produkcji rolniczej w najbliższym półroczu, a 4,5% spodziewa się poprawy. Pozostali przewidują, że opłacalność produkcji rolniczej pozostanie na niezmienionym poziomie" style="position:absolute;margin-left:450.75pt;margin-top:82.75pt;width:141.75pt;height:167.25pt;z-index:-250244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" filled="f" stroked="f">
                <v:textbox>
                  <w:txbxContent>
                    <w:p w14:paraId="03D80CF2" w14:textId="29DFDB98" w:rsidR="004429EF" w:rsidRPr="0073187B" w:rsidRDefault="00554197" w:rsidP="00930D90">
                      <w:pPr>
                        <w:pStyle w:val="Tekstkomentarza"/>
                        <w:rPr>
                          <w:rFonts w:ascii="Fira Sans" w:hAnsi="Fira Sans"/>
                          <w:color w:val="002060"/>
                          <w:sz w:val="18"/>
                          <w:szCs w:val="16"/>
                        </w:rPr>
                      </w:pPr>
                      <w:r w:rsidRPr="00554197">
                        <w:rPr>
                          <w:rFonts w:ascii="Fira Sans" w:hAnsi="Fira Sans"/>
                          <w:color w:val="002060"/>
                          <w:sz w:val="19"/>
                          <w:szCs w:val="19"/>
                        </w:rPr>
                        <w:t>50,9% rolników zajmujących się uprawą buraków cukrowych prognozuje pogorszenie opłacalność produkcji rolniczej w</w:t>
                      </w:r>
                      <w:r w:rsidR="00C926EB">
                        <w:rPr>
                          <w:rFonts w:ascii="Fira Sans" w:hAnsi="Fira Sans"/>
                          <w:color w:val="002060"/>
                          <w:sz w:val="19"/>
                          <w:szCs w:val="19"/>
                        </w:rPr>
                        <w:t> </w:t>
                      </w:r>
                      <w:r w:rsidRPr="00554197">
                        <w:rPr>
                          <w:rFonts w:ascii="Fira Sans" w:hAnsi="Fira Sans"/>
                          <w:color w:val="002060"/>
                          <w:sz w:val="19"/>
                          <w:szCs w:val="19"/>
                        </w:rPr>
                        <w:t>najbliższym półroczu, a</w:t>
                      </w:r>
                      <w:r w:rsidR="00C926EB">
                        <w:rPr>
                          <w:rFonts w:ascii="Fira Sans" w:hAnsi="Fira Sans"/>
                          <w:color w:val="002060"/>
                          <w:sz w:val="19"/>
                          <w:szCs w:val="19"/>
                        </w:rPr>
                        <w:t> </w:t>
                      </w:r>
                      <w:r w:rsidRPr="00554197">
                        <w:rPr>
                          <w:rFonts w:ascii="Fira Sans" w:hAnsi="Fira Sans"/>
                          <w:color w:val="002060"/>
                          <w:sz w:val="19"/>
                          <w:szCs w:val="19"/>
                        </w:rPr>
                        <w:t>4,5% spodziewa się poprawy. Pozostali przewidują, że opłacalność produkcji rolniczej pozostanie na niezmienionym poziomie</w:t>
                      </w:r>
                    </w:p>
                  </w:txbxContent>
                </v:textbox>
                <w10:wrap type="tight" anchorx="page"/>
              </v:shape>
            </w:pict>
          </mc:Fallback>
        </mc:AlternateContent>
      </w:r>
      <w:r w:rsidR="00CB691F" w:rsidRPr="00185238">
        <w:rPr>
          <w:rFonts w:ascii="Fira Sans" w:hAnsi="Fira Sans" w:cs="Myriad Pro"/>
          <w:b/>
          <w:bCs/>
          <w:color w:val="000000"/>
          <w:sz w:val="19"/>
          <w:szCs w:val="19"/>
        </w:rPr>
        <w:t xml:space="preserve">Wykres </w:t>
      </w:r>
      <w:r w:rsidR="000D1F25" w:rsidRPr="00185238">
        <w:rPr>
          <w:rFonts w:ascii="Fira Sans" w:hAnsi="Fira Sans" w:cs="Myriad Pro"/>
          <w:b/>
          <w:bCs/>
          <w:color w:val="000000"/>
          <w:sz w:val="19"/>
          <w:szCs w:val="19"/>
        </w:rPr>
        <w:t>8</w:t>
      </w:r>
      <w:r w:rsidR="00CB691F" w:rsidRPr="00185238">
        <w:rPr>
          <w:rFonts w:ascii="Fira Sans" w:hAnsi="Fira Sans" w:cs="Myriad Pro"/>
          <w:b/>
          <w:bCs/>
          <w:color w:val="000000"/>
          <w:sz w:val="19"/>
          <w:szCs w:val="19"/>
        </w:rPr>
        <w:t>. Salda odpowiedzi dotyczące prognozowanej opłacalności produkcji rolniczej według ukierunkowania produkcyjnego</w:t>
      </w:r>
    </w:p>
    <w:p w14:paraId="6EB2E50D" w14:textId="4FD0CCD0" w:rsidR="00CB691F" w:rsidRPr="00185238" w:rsidRDefault="00D62BAC" w:rsidP="00D62BAC">
      <w:pPr>
        <w:spacing w:before="120" w:after="120" w:line="240" w:lineRule="auto"/>
        <w:rPr>
          <w:rFonts w:ascii="Fira Sans" w:hAnsi="Fira Sans" w:cs="Myriad Pro"/>
          <w:b/>
          <w:bCs/>
          <w:color w:val="000000"/>
          <w:sz w:val="19"/>
          <w:szCs w:val="19"/>
        </w:rPr>
      </w:pPr>
      <w:r>
        <w:rPr>
          <w:rFonts w:ascii="Fira Sans" w:hAnsi="Fira Sans" w:cs="Myriad Pro"/>
          <w:b/>
          <w:bCs/>
          <w:noProof/>
          <w:color w:val="000000"/>
          <w:sz w:val="19"/>
          <w:szCs w:val="19"/>
        </w:rPr>
        <w:drawing>
          <wp:inline distT="0" distB="0" distL="0" distR="0" wp14:anchorId="571C4620" wp14:editId="39EF650B">
            <wp:extent cx="5187950" cy="2414270"/>
            <wp:effectExtent l="0" t="0" r="0" b="5080"/>
            <wp:docPr id="19" name="Obraz 19" descr="Wykres 8. Salda odpowiedzi dotyczące prognozowanej opłacalności produkcji rolniczej według ukierunkowania produkcyjnego -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Wykres 8. Salda odpowiedzi dotyczące prognozowanej opłacalności produkcji rolniczej według ukierunkowania produkcyjnego - wartości prezentowane w częstotliwości co pół roku w latach 2020-20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7950" cy="2414270"/>
                    </a:xfrm>
                    <a:prstGeom prst="rect">
                      <a:avLst/>
                    </a:prstGeom>
                    <a:noFill/>
                  </pic:spPr>
                </pic:pic>
              </a:graphicData>
            </a:graphic>
          </wp:inline>
        </w:drawing>
      </w:r>
    </w:p>
    <w:p w14:paraId="600A1649" w14:textId="77777777" w:rsidR="00554197" w:rsidRPr="00185238" w:rsidRDefault="00554197" w:rsidP="00484F8D">
      <w:pPr>
        <w:spacing w:before="240" w:after="120" w:line="288" w:lineRule="auto"/>
        <w:rPr>
          <w:rFonts w:ascii="Fira Sans" w:hAnsi="Fira Sans"/>
          <w:bCs/>
          <w:sz w:val="19"/>
          <w:szCs w:val="19"/>
        </w:rPr>
      </w:pPr>
      <w:r w:rsidRPr="00185238">
        <w:rPr>
          <w:rFonts w:ascii="Fira Sans" w:hAnsi="Fira Sans"/>
          <w:bCs/>
          <w:sz w:val="19"/>
          <w:szCs w:val="19"/>
        </w:rPr>
        <w:t>Uwzględniając wielkość gospodarstwa, największą przewagę rolników prognozujących pogorszenie się opłacalności nad tymi, którzy przewidują jej poprawę odnotowano wśród użytkowników gospodarstw o powierzchni użytków rolnych 100 ha i więcej (saldo minus 33,2). Z kolei najmniejszą przewagę prognoz negatywnych zaobserwowano wśród użytkowników gospodarstw najmniejszych, o powierzchni użytków rolnych do 1 ha, gdzie saldo odpowiedzi wyniosło minus 17,9</w:t>
      </w:r>
      <w:r w:rsidR="0080339B" w:rsidRPr="00185238">
        <w:rPr>
          <w:rFonts w:ascii="Fira Sans" w:hAnsi="Fira Sans"/>
          <w:bCs/>
          <w:sz w:val="19"/>
          <w:szCs w:val="19"/>
        </w:rPr>
        <w:t>.</w:t>
      </w:r>
    </w:p>
    <w:p w14:paraId="7E05E461" w14:textId="77777777" w:rsidR="007D274B" w:rsidRPr="00185238" w:rsidRDefault="007D274B" w:rsidP="005524C4">
      <w:pPr>
        <w:spacing w:before="360" w:after="120"/>
        <w:rPr>
          <w:rFonts w:ascii="Fira Sans" w:hAnsi="Fira Sans"/>
          <w:b/>
          <w:color w:val="002060"/>
          <w:sz w:val="19"/>
          <w:szCs w:val="19"/>
        </w:rPr>
      </w:pPr>
      <w:r w:rsidRPr="00185238">
        <w:rPr>
          <w:rFonts w:ascii="Fira Sans" w:hAnsi="Fira Sans"/>
          <w:b/>
          <w:color w:val="002060"/>
          <w:sz w:val="19"/>
          <w:szCs w:val="19"/>
        </w:rPr>
        <w:t>Popyt na produkty wytwarzane w produkcji rolniczej</w:t>
      </w:r>
    </w:p>
    <w:p w14:paraId="431752BA" w14:textId="63F5EB18" w:rsidR="00554197" w:rsidRPr="00185238" w:rsidRDefault="00554197" w:rsidP="00484F8D">
      <w:pPr>
        <w:spacing w:before="180" w:after="120" w:line="288" w:lineRule="auto"/>
        <w:rPr>
          <w:rFonts w:ascii="Fira Sans" w:hAnsi="Fira Sans"/>
          <w:bCs/>
          <w:sz w:val="19"/>
          <w:szCs w:val="19"/>
        </w:rPr>
      </w:pPr>
      <w:r w:rsidRPr="00185238">
        <w:rPr>
          <w:rFonts w:ascii="Fira Sans" w:hAnsi="Fira Sans"/>
          <w:bCs/>
          <w:sz w:val="19"/>
          <w:szCs w:val="19"/>
        </w:rPr>
        <w:t>Mniej pesymistyczne niż w poprzednich półroczach są także prognozy na 2 półrocze 2025 r. dotyczące popytu na produkty wytwarzane w gospodarstwach rolnych. Saldo odpowiedzi na pytanie dotyczące przewidywanego popytu wzrosło w porównaniu z odpowiedziami dotyczącymi 2 półrocza 2024 r. i 1 półrocza 2025 r. odpowiednio o 6,3 pkt i 3,7 pkt. Mimo tej poprawy przewidywania rolników pozostają negatywne - saldo odpowiedzi wyniosło minus</w:t>
      </w:r>
      <w:r w:rsidR="009E03B7">
        <w:rPr>
          <w:rFonts w:ascii="Fira Sans" w:hAnsi="Fira Sans"/>
          <w:bCs/>
          <w:sz w:val="19"/>
          <w:szCs w:val="19"/>
        </w:rPr>
        <w:t> </w:t>
      </w:r>
      <w:r w:rsidRPr="00185238">
        <w:rPr>
          <w:rFonts w:ascii="Fira Sans" w:hAnsi="Fira Sans"/>
          <w:bCs/>
          <w:sz w:val="19"/>
          <w:szCs w:val="19"/>
        </w:rPr>
        <w:t>10,9.</w:t>
      </w:r>
    </w:p>
    <w:p w14:paraId="70CD7C37" w14:textId="77777777" w:rsidR="0081480C" w:rsidRPr="00185238" w:rsidRDefault="0081480C" w:rsidP="00484F8D">
      <w:pPr>
        <w:spacing w:before="120" w:after="120" w:line="288" w:lineRule="auto"/>
        <w:rPr>
          <w:rFonts w:ascii="Fira Sans" w:hAnsi="Fira Sans" w:cs="Segoe UI"/>
          <w:sz w:val="19"/>
          <w:szCs w:val="19"/>
        </w:rPr>
      </w:pPr>
      <w:r w:rsidRPr="00185238">
        <w:rPr>
          <w:rStyle w:val="cf01"/>
          <w:rFonts w:ascii="Fira Sans" w:hAnsi="Fira Sans"/>
          <w:sz w:val="19"/>
          <w:szCs w:val="19"/>
        </w:rPr>
        <w:lastRenderedPageBreak/>
        <w:t xml:space="preserve">Uwzględniając rodzaj działalności gospodarstw rolnych, najbardziej pesymistyczne prognozy </w:t>
      </w:r>
      <w:r w:rsidRPr="00185238">
        <w:rPr>
          <w:rFonts w:ascii="Fira Sans" w:hAnsi="Fira Sans"/>
          <w:sz w:val="19"/>
          <w:szCs w:val="19"/>
        </w:rPr>
        <w:t xml:space="preserve">dotyczące popytu </w:t>
      </w:r>
      <w:r w:rsidRPr="00185238">
        <w:rPr>
          <w:rStyle w:val="cf01"/>
          <w:rFonts w:ascii="Fira Sans" w:hAnsi="Fira Sans"/>
          <w:sz w:val="19"/>
          <w:szCs w:val="19"/>
        </w:rPr>
        <w:t xml:space="preserve">odnotowano wśród użytkowników gospodarstw ukierunkowanych na produkcję roślinną (saldo minus 13,0). </w:t>
      </w:r>
      <w:r w:rsidRPr="00185238">
        <w:rPr>
          <w:rFonts w:ascii="Fira Sans" w:hAnsi="Fira Sans"/>
          <w:sz w:val="19"/>
          <w:szCs w:val="19"/>
        </w:rPr>
        <w:t xml:space="preserve">W tej grupie, podobnie jak w przypadku prognozowanej opłacalności, negatywne przewidywania najczęściej wyrażali rolnicy zajmujący się uprawą buraków cukrowych (minus 24,4) oraz ziemniaków (minus 21,5). </w:t>
      </w:r>
      <w:r w:rsidRPr="00185238">
        <w:rPr>
          <w:rStyle w:val="cf01"/>
          <w:rFonts w:ascii="Fira Sans" w:hAnsi="Fira Sans"/>
          <w:sz w:val="19"/>
          <w:szCs w:val="19"/>
        </w:rPr>
        <w:t xml:space="preserve">Najmniej pesymistyczne prognozy zaobserwowano natomiast wśród gospodarstw prowadzących produkcję zwierzęcą (saldo minus 4,2). Wśród nich najczęściej spadku popytu na produkty wytwarzane w gospodarstwie spodziewają się hodowcy trzody chlewnej (saldo minus 17,9) oraz drobiu nieśnego (minus 13,1). Optymistyczne prognozy </w:t>
      </w:r>
      <w:r w:rsidRPr="00185238">
        <w:rPr>
          <w:rFonts w:ascii="Fira Sans" w:hAnsi="Fira Sans"/>
          <w:sz w:val="19"/>
          <w:szCs w:val="19"/>
        </w:rPr>
        <w:t xml:space="preserve">na temat przewidywanego popytu zaobserwowano wśród hodowców owiec – saldo odpowiedzi wyniosło 12,9. </w:t>
      </w:r>
    </w:p>
    <w:p w14:paraId="1623313C" w14:textId="09FF4B9A" w:rsidR="00930D90" w:rsidRPr="00185238" w:rsidRDefault="00F70CFF" w:rsidP="00F32B43">
      <w:pPr>
        <w:spacing w:before="360" w:after="120" w:line="240" w:lineRule="auto"/>
        <w:rPr>
          <w:rFonts w:ascii="Fira Sans" w:hAnsi="Fira Sans"/>
          <w:b/>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75456" behindDoc="1" locked="0" layoutInCell="1" allowOverlap="1" wp14:anchorId="6418A33D" wp14:editId="73D2272C">
                <wp:simplePos x="0" y="0"/>
                <wp:positionH relativeFrom="page">
                  <wp:posOffset>5724525</wp:posOffset>
                </wp:positionH>
                <wp:positionV relativeFrom="paragraph">
                  <wp:posOffset>158750</wp:posOffset>
                </wp:positionV>
                <wp:extent cx="1800000" cy="2005200"/>
                <wp:effectExtent l="0" t="0" r="0" b="0"/>
                <wp:wrapTight wrapText="bothSides">
                  <wp:wrapPolygon edited="0">
                    <wp:start x="686" y="0"/>
                    <wp:lineTo x="686" y="21347"/>
                    <wp:lineTo x="20807" y="21347"/>
                    <wp:lineTo x="20807" y="0"/>
                    <wp:lineTo x="686" y="0"/>
                  </wp:wrapPolygon>
                </wp:wrapTight>
                <wp:docPr id="2016582249" name="Pole tekstowe 2016582249" descr="85,9% rolników zajmujących się chowem bydła mlecznego przewiduje, że popyt na wytwarzane przez nich produkty rolne w najbliższym półroczu pozostanie na niezmienionym poziomie. Zwiększenia popytu spodziewa się 5,6%, pozostali prognozują jego spad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2005200"/>
                        </a:xfrm>
                        <a:prstGeom prst="rect">
                          <a:avLst/>
                        </a:prstGeom>
                        <a:noFill/>
                        <a:ln w="9525">
                          <a:noFill/>
                          <a:miter lim="800000"/>
                          <a:headEnd/>
                          <a:tailEnd/>
                        </a:ln>
                      </wps:spPr>
                      <wps:txbx>
                        <w:txbxContent>
                          <w:p w14:paraId="3A29B3B5" w14:textId="48E2FD71" w:rsidR="004429EF" w:rsidRPr="001F6FFE" w:rsidRDefault="00554197" w:rsidP="00F70CFF">
                            <w:pPr>
                              <w:pStyle w:val="Tekstkomentarza"/>
                              <w:rPr>
                                <w:rFonts w:ascii="Fira Sans" w:hAnsi="Fira Sans"/>
                                <w:color w:val="002060"/>
                                <w:sz w:val="19"/>
                                <w:szCs w:val="19"/>
                              </w:rPr>
                            </w:pPr>
                            <w:r w:rsidRPr="00554197">
                              <w:rPr>
                                <w:rFonts w:ascii="Fira Sans" w:eastAsia="Calibri" w:hAnsi="Fira Sans" w:cs="Times New Roman"/>
                                <w:bCs/>
                                <w:color w:val="002060"/>
                                <w:sz w:val="19"/>
                                <w:szCs w:val="19"/>
                              </w:rPr>
                              <w:t>85,9% rolników zajmujących się chowem bydła mlecznego przewiduje, że popyt na wytwarzane przez nich produkty rolne w</w:t>
                            </w:r>
                            <w:r w:rsidR="00C926EB">
                              <w:rPr>
                                <w:rFonts w:ascii="Fira Sans" w:eastAsia="Calibri" w:hAnsi="Fira Sans" w:cs="Times New Roman"/>
                                <w:bCs/>
                                <w:color w:val="002060"/>
                                <w:sz w:val="19"/>
                                <w:szCs w:val="19"/>
                              </w:rPr>
                              <w:t> </w:t>
                            </w:r>
                            <w:r w:rsidRPr="00554197">
                              <w:rPr>
                                <w:rFonts w:ascii="Fira Sans" w:eastAsia="Calibri" w:hAnsi="Fira Sans" w:cs="Times New Roman"/>
                                <w:bCs/>
                                <w:color w:val="002060"/>
                                <w:sz w:val="19"/>
                                <w:szCs w:val="19"/>
                              </w:rPr>
                              <w:t>najbliższym półroczu pozostanie na niezmienionym poziomie. Zwiększenia popytu spodziewa się 5,6%, pozostali prognozują jego spadek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18A33D" id="Pole tekstowe 2016582249" o:spid="_x0000_s1039" type="#_x0000_t202" alt="85,9% rolników zajmujących się chowem bydła mlecznego przewiduje, że popyt na wytwarzane przez nich produkty rolne w najbliższym półroczu pozostanie na niezmienionym poziomie. Zwiększenia popytu spodziewa się 5,6%, pozostali prognozują jego spadek" style="position:absolute;margin-left:450.75pt;margin-top:12.5pt;width:141.75pt;height:157.9pt;z-index:-250241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" filled="f" stroked="f">
                <v:textbox>
                  <w:txbxContent>
                    <w:p w14:paraId="3A29B3B5" w14:textId="48E2FD71" w:rsidR="004429EF" w:rsidRPr="001F6FFE" w:rsidRDefault="00554197" w:rsidP="00F70CFF">
                      <w:pPr>
                        <w:pStyle w:val="Tekstkomentarza"/>
                        <w:rPr>
                          <w:rFonts w:ascii="Fira Sans" w:hAnsi="Fira Sans"/>
                          <w:color w:val="002060"/>
                          <w:sz w:val="19"/>
                          <w:szCs w:val="19"/>
                        </w:rPr>
                      </w:pPr>
                      <w:r w:rsidRPr="00554197">
                        <w:rPr>
                          <w:rFonts w:ascii="Fira Sans" w:eastAsia="Calibri" w:hAnsi="Fira Sans" w:cs="Times New Roman"/>
                          <w:bCs/>
                          <w:color w:val="002060"/>
                          <w:sz w:val="19"/>
                          <w:szCs w:val="19"/>
                        </w:rPr>
                        <w:t>85,9% rolników zajmujących się chowem bydła mlecznego przewiduje, że popyt na wytwarzane przez nich produkty rolne w</w:t>
                      </w:r>
                      <w:r w:rsidR="00C926EB">
                        <w:rPr>
                          <w:rFonts w:ascii="Fira Sans" w:eastAsia="Calibri" w:hAnsi="Fira Sans" w:cs="Times New Roman"/>
                          <w:bCs/>
                          <w:color w:val="002060"/>
                          <w:sz w:val="19"/>
                          <w:szCs w:val="19"/>
                        </w:rPr>
                        <w:t> </w:t>
                      </w:r>
                      <w:r w:rsidRPr="00554197">
                        <w:rPr>
                          <w:rFonts w:ascii="Fira Sans" w:eastAsia="Calibri" w:hAnsi="Fira Sans" w:cs="Times New Roman"/>
                          <w:bCs/>
                          <w:color w:val="002060"/>
                          <w:sz w:val="19"/>
                          <w:szCs w:val="19"/>
                        </w:rPr>
                        <w:t>najbliższym półroczu pozostanie na niezmienionym poziomie. Zwiększenia popytu spodziewa się 5,6%, pozostali prognozują jego spadek</w:t>
                      </w:r>
                    </w:p>
                  </w:txbxContent>
                </v:textbox>
                <w10:wrap type="tight" anchorx="page"/>
              </v:shape>
            </w:pict>
          </mc:Fallback>
        </mc:AlternateContent>
      </w:r>
      <w:r w:rsidR="0057419B" w:rsidRPr="00185238">
        <w:rPr>
          <w:rFonts w:ascii="Fira Sans" w:hAnsi="Fira Sans"/>
          <w:b/>
          <w:sz w:val="19"/>
          <w:szCs w:val="19"/>
        </w:rPr>
        <w:t xml:space="preserve">Wykres </w:t>
      </w:r>
      <w:r w:rsidR="00E24021" w:rsidRPr="00185238">
        <w:rPr>
          <w:rFonts w:ascii="Fira Sans" w:hAnsi="Fira Sans"/>
          <w:b/>
          <w:sz w:val="19"/>
          <w:szCs w:val="19"/>
        </w:rPr>
        <w:t>9</w:t>
      </w:r>
      <w:r w:rsidR="0057419B" w:rsidRPr="00185238">
        <w:rPr>
          <w:rFonts w:ascii="Fira Sans" w:hAnsi="Fira Sans"/>
          <w:b/>
          <w:sz w:val="19"/>
          <w:szCs w:val="19"/>
        </w:rPr>
        <w:t>. Salda odpowiedzi dotyczące prognozowan</w:t>
      </w:r>
      <w:r w:rsidRPr="00185238">
        <w:rPr>
          <w:rFonts w:ascii="Fira Sans" w:hAnsi="Fira Sans"/>
          <w:b/>
          <w:sz w:val="19"/>
          <w:szCs w:val="19"/>
        </w:rPr>
        <w:t>ego</w:t>
      </w:r>
      <w:r w:rsidR="0057419B" w:rsidRPr="00185238">
        <w:rPr>
          <w:rFonts w:ascii="Fira Sans" w:hAnsi="Fira Sans"/>
          <w:b/>
          <w:sz w:val="19"/>
          <w:szCs w:val="19"/>
        </w:rPr>
        <w:t xml:space="preserve"> </w:t>
      </w:r>
      <w:r w:rsidRPr="00185238">
        <w:rPr>
          <w:rFonts w:ascii="Fira Sans" w:hAnsi="Fira Sans"/>
          <w:b/>
          <w:sz w:val="19"/>
          <w:szCs w:val="19"/>
        </w:rPr>
        <w:t>popytu na produkty wytwarzane w</w:t>
      </w:r>
      <w:r w:rsidR="00D62BAC">
        <w:rPr>
          <w:rFonts w:ascii="Fira Sans" w:hAnsi="Fira Sans"/>
          <w:b/>
          <w:sz w:val="19"/>
          <w:szCs w:val="19"/>
        </w:rPr>
        <w:t> </w:t>
      </w:r>
      <w:r w:rsidRPr="00185238">
        <w:rPr>
          <w:rFonts w:ascii="Fira Sans" w:hAnsi="Fira Sans"/>
          <w:b/>
          <w:sz w:val="19"/>
          <w:szCs w:val="19"/>
        </w:rPr>
        <w:t>gospodarstwach rolnych</w:t>
      </w:r>
      <w:r w:rsidR="0057419B" w:rsidRPr="00185238">
        <w:rPr>
          <w:rFonts w:ascii="Fira Sans" w:hAnsi="Fira Sans"/>
          <w:b/>
          <w:sz w:val="19"/>
          <w:szCs w:val="19"/>
        </w:rPr>
        <w:t xml:space="preserve"> według ukierunkowania produkcyjnego</w:t>
      </w:r>
    </w:p>
    <w:p w14:paraId="5F2489F6" w14:textId="09C34422" w:rsidR="00554197" w:rsidRPr="00185238" w:rsidRDefault="00D62BAC" w:rsidP="00554197">
      <w:pPr>
        <w:spacing w:before="120" w:after="120" w:line="240" w:lineRule="auto"/>
        <w:rPr>
          <w:rFonts w:ascii="Fira Sans" w:hAnsi="Fira Sans"/>
          <w:bCs/>
          <w:sz w:val="19"/>
          <w:szCs w:val="19"/>
        </w:rPr>
      </w:pPr>
      <w:r>
        <w:rPr>
          <w:rFonts w:ascii="Fira Sans" w:hAnsi="Fira Sans"/>
          <w:bCs/>
          <w:noProof/>
          <w:sz w:val="19"/>
          <w:szCs w:val="19"/>
        </w:rPr>
        <w:drawing>
          <wp:inline distT="0" distB="0" distL="0" distR="0" wp14:anchorId="23C6528E" wp14:editId="27DC8335">
            <wp:extent cx="5187950" cy="2414270"/>
            <wp:effectExtent l="0" t="0" r="0" b="5080"/>
            <wp:docPr id="20" name="Obraz 20" descr="Wykres 9. Salda odpowiedzi dotyczące prognozowanego popytu na produkty wytwarzane w gospodarstwach rolnych według ukierunkowania produkcyjnego - wartości prezentowane w częstotliwości co pół roku w latach 2020-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Wykres 9. Salda odpowiedzi dotyczące prognozowanego popytu na produkty wytwarzane w gospodarstwach rolnych według ukierunkowania produkcyjnego - wartości prezentowane w częstotliwości co pół roku w latach 2020-20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7950" cy="2414270"/>
                    </a:xfrm>
                    <a:prstGeom prst="rect">
                      <a:avLst/>
                    </a:prstGeom>
                    <a:noFill/>
                  </pic:spPr>
                </pic:pic>
              </a:graphicData>
            </a:graphic>
          </wp:inline>
        </w:drawing>
      </w:r>
    </w:p>
    <w:p w14:paraId="17CD80EE" w14:textId="14AC6C47" w:rsidR="00DF77F4" w:rsidRPr="00185238" w:rsidRDefault="0081480C" w:rsidP="00484F8D">
      <w:pPr>
        <w:spacing w:before="120" w:after="120" w:line="288" w:lineRule="auto"/>
        <w:rPr>
          <w:rFonts w:ascii="Fira Sans" w:eastAsia="Times New Roman" w:hAnsi="Fira Sans" w:cs="Calibri"/>
          <w:bCs/>
          <w:color w:val="000000"/>
          <w:sz w:val="19"/>
          <w:szCs w:val="19"/>
          <w:lang w:eastAsia="pl-PL"/>
        </w:rPr>
      </w:pPr>
      <w:r w:rsidRPr="00185238">
        <w:rPr>
          <w:rFonts w:ascii="Fira Sans" w:eastAsia="Times New Roman" w:hAnsi="Fira Sans" w:cs="Calibri"/>
          <w:bCs/>
          <w:color w:val="000000"/>
          <w:sz w:val="19"/>
          <w:szCs w:val="19"/>
          <w:lang w:eastAsia="pl-PL"/>
        </w:rPr>
        <w:t xml:space="preserve">Uwzględniając wielkość gospodarstwa </w:t>
      </w:r>
      <w:bookmarkStart w:id="2" w:name="_Hlk209181067"/>
      <w:r w:rsidRPr="00185238">
        <w:rPr>
          <w:rFonts w:ascii="Fira Sans" w:eastAsia="Times New Roman" w:hAnsi="Fira Sans" w:cs="Calibri"/>
          <w:bCs/>
          <w:color w:val="000000"/>
          <w:sz w:val="19"/>
          <w:szCs w:val="19"/>
          <w:lang w:eastAsia="pl-PL"/>
        </w:rPr>
        <w:t xml:space="preserve">spadek zapotrzebowania na produkty </w:t>
      </w:r>
      <w:bookmarkEnd w:id="2"/>
      <w:r w:rsidRPr="00185238">
        <w:rPr>
          <w:rFonts w:ascii="Fira Sans" w:eastAsia="Times New Roman" w:hAnsi="Fira Sans" w:cs="Calibri"/>
          <w:bCs/>
          <w:color w:val="000000"/>
          <w:sz w:val="19"/>
          <w:szCs w:val="19"/>
          <w:lang w:eastAsia="pl-PL"/>
        </w:rPr>
        <w:t>rolne najczęściej prognozują użytkownicy gospodarstw o powierzchni użytków rolnych 100 ha i więcej (saldo minus 14,0). W tej grupie gospodarstw opinie były bardziej pesymistyczne niż w poprzednim półroczu (spadek salda odpowiedzi o 2,5 pkt), ale mniej pesymistyczne w porównaniu z</w:t>
      </w:r>
      <w:r w:rsidR="00D62BAC">
        <w:rPr>
          <w:rFonts w:ascii="Fira Sans" w:eastAsia="Times New Roman" w:hAnsi="Fira Sans" w:cs="Calibri"/>
          <w:bCs/>
          <w:color w:val="000000"/>
          <w:sz w:val="19"/>
          <w:szCs w:val="19"/>
          <w:lang w:eastAsia="pl-PL"/>
        </w:rPr>
        <w:t> </w:t>
      </w:r>
      <w:r w:rsidRPr="00185238">
        <w:rPr>
          <w:rFonts w:ascii="Fira Sans" w:eastAsia="Times New Roman" w:hAnsi="Fira Sans" w:cs="Calibri"/>
          <w:bCs/>
          <w:color w:val="000000"/>
          <w:sz w:val="19"/>
          <w:szCs w:val="19"/>
          <w:lang w:eastAsia="pl-PL"/>
        </w:rPr>
        <w:t>1</w:t>
      </w:r>
      <w:r w:rsidR="00D62BAC">
        <w:rPr>
          <w:rFonts w:ascii="Fira Sans" w:eastAsia="Times New Roman" w:hAnsi="Fira Sans" w:cs="Calibri"/>
          <w:bCs/>
          <w:color w:val="000000"/>
          <w:sz w:val="19"/>
          <w:szCs w:val="19"/>
          <w:lang w:eastAsia="pl-PL"/>
        </w:rPr>
        <w:t> </w:t>
      </w:r>
      <w:r w:rsidRPr="00185238">
        <w:rPr>
          <w:rFonts w:ascii="Fira Sans" w:eastAsia="Times New Roman" w:hAnsi="Fira Sans" w:cs="Calibri"/>
          <w:bCs/>
          <w:color w:val="000000"/>
          <w:sz w:val="19"/>
          <w:szCs w:val="19"/>
          <w:lang w:eastAsia="pl-PL"/>
        </w:rPr>
        <w:t>półroczem 2024 r. (wzrost salda odpowiedzi o 4,7 pkt). Z kolei najmniejszą przewagę prognoz negatywnych nad pozytywnymi w zakresie popytu na produkty rolne w</w:t>
      </w:r>
      <w:r w:rsidR="00D62BAC">
        <w:rPr>
          <w:rFonts w:ascii="Fira Sans" w:eastAsia="Times New Roman" w:hAnsi="Fira Sans" w:cs="Calibri"/>
          <w:bCs/>
          <w:color w:val="000000"/>
          <w:sz w:val="19"/>
          <w:szCs w:val="19"/>
          <w:lang w:eastAsia="pl-PL"/>
        </w:rPr>
        <w:t> </w:t>
      </w:r>
      <w:r w:rsidRPr="00185238">
        <w:rPr>
          <w:rFonts w:ascii="Fira Sans" w:eastAsia="Times New Roman" w:hAnsi="Fira Sans" w:cs="Calibri"/>
          <w:bCs/>
          <w:color w:val="000000"/>
          <w:sz w:val="19"/>
          <w:szCs w:val="19"/>
          <w:lang w:eastAsia="pl-PL"/>
        </w:rPr>
        <w:t>nadchodzącym półroczu odnotowano wśród użytkowników gospodarstw najmniejszych (o</w:t>
      </w:r>
      <w:r w:rsidR="00D62BAC">
        <w:rPr>
          <w:rFonts w:ascii="Fira Sans" w:eastAsia="Times New Roman" w:hAnsi="Fira Sans" w:cs="Calibri"/>
          <w:bCs/>
          <w:color w:val="000000"/>
          <w:sz w:val="19"/>
          <w:szCs w:val="19"/>
          <w:lang w:eastAsia="pl-PL"/>
        </w:rPr>
        <w:t> </w:t>
      </w:r>
      <w:r w:rsidRPr="00185238">
        <w:rPr>
          <w:rFonts w:ascii="Fira Sans" w:eastAsia="Times New Roman" w:hAnsi="Fira Sans" w:cs="Calibri"/>
          <w:bCs/>
          <w:color w:val="000000"/>
          <w:sz w:val="19"/>
          <w:szCs w:val="19"/>
          <w:lang w:eastAsia="pl-PL"/>
        </w:rPr>
        <w:t>powierzchni do</w:t>
      </w:r>
      <w:r w:rsidR="00D62BAC">
        <w:rPr>
          <w:rFonts w:ascii="Fira Sans" w:eastAsia="Times New Roman" w:hAnsi="Fira Sans" w:cs="Calibri"/>
          <w:bCs/>
          <w:color w:val="000000"/>
          <w:sz w:val="19"/>
          <w:szCs w:val="19"/>
          <w:lang w:eastAsia="pl-PL"/>
        </w:rPr>
        <w:t> </w:t>
      </w:r>
      <w:r w:rsidRPr="00185238">
        <w:rPr>
          <w:rFonts w:ascii="Fira Sans" w:eastAsia="Times New Roman" w:hAnsi="Fira Sans" w:cs="Calibri"/>
          <w:bCs/>
          <w:color w:val="000000"/>
          <w:sz w:val="19"/>
          <w:szCs w:val="19"/>
          <w:lang w:eastAsia="pl-PL"/>
        </w:rPr>
        <w:t>1</w:t>
      </w:r>
      <w:r w:rsidR="00D62BAC">
        <w:rPr>
          <w:rFonts w:ascii="Fira Sans" w:eastAsia="Times New Roman" w:hAnsi="Fira Sans" w:cs="Calibri"/>
          <w:bCs/>
          <w:color w:val="000000"/>
          <w:sz w:val="19"/>
          <w:szCs w:val="19"/>
          <w:lang w:eastAsia="pl-PL"/>
        </w:rPr>
        <w:t> </w:t>
      </w:r>
      <w:r w:rsidRPr="00185238">
        <w:rPr>
          <w:rFonts w:ascii="Fira Sans" w:eastAsia="Times New Roman" w:hAnsi="Fira Sans" w:cs="Calibri"/>
          <w:bCs/>
          <w:color w:val="000000"/>
          <w:sz w:val="19"/>
          <w:szCs w:val="19"/>
          <w:lang w:eastAsia="pl-PL"/>
        </w:rPr>
        <w:t>ha), gdzie saldo odpowiedzi wyniosło minus 4,7.</w:t>
      </w:r>
    </w:p>
    <w:p w14:paraId="41D7E6C7" w14:textId="603707BA" w:rsidR="004E3427" w:rsidRPr="00185238" w:rsidRDefault="004E3427" w:rsidP="00554197">
      <w:pPr>
        <w:spacing w:before="360" w:after="120" w:line="240" w:lineRule="auto"/>
        <w:rPr>
          <w:rFonts w:ascii="Fira Sans" w:eastAsia="Times New Roman" w:hAnsi="Fira Sans" w:cs="Calibri"/>
          <w:b/>
          <w:color w:val="000000"/>
          <w:sz w:val="19"/>
          <w:szCs w:val="19"/>
          <w:lang w:eastAsia="pl-PL"/>
        </w:rPr>
      </w:pPr>
      <w:r w:rsidRPr="00185238">
        <w:rPr>
          <w:rFonts w:ascii="Fira Sans" w:hAnsi="Fira Sans"/>
          <w:b/>
          <w:sz w:val="19"/>
          <w:szCs w:val="19"/>
        </w:rPr>
        <w:t xml:space="preserve">Wykres </w:t>
      </w:r>
      <w:r w:rsidR="009C6B67" w:rsidRPr="00185238">
        <w:rPr>
          <w:rFonts w:ascii="Fira Sans" w:hAnsi="Fira Sans"/>
          <w:b/>
          <w:sz w:val="19"/>
          <w:szCs w:val="19"/>
        </w:rPr>
        <w:t>10</w:t>
      </w:r>
      <w:r w:rsidRPr="00185238">
        <w:rPr>
          <w:rFonts w:ascii="Fira Sans" w:hAnsi="Fira Sans"/>
          <w:b/>
          <w:sz w:val="19"/>
          <w:szCs w:val="19"/>
        </w:rPr>
        <w:t xml:space="preserve">. </w:t>
      </w:r>
      <w:r w:rsidRPr="00185238">
        <w:rPr>
          <w:rFonts w:ascii="Fira Sans" w:eastAsia="Times New Roman" w:hAnsi="Fira Sans" w:cs="Calibri"/>
          <w:b/>
          <w:sz w:val="19"/>
          <w:szCs w:val="19"/>
          <w:lang w:eastAsia="pl-PL"/>
        </w:rPr>
        <w:t xml:space="preserve">Przewidywana opłacalność produkcji rolniczej oraz popytu na produkty rolne </w:t>
      </w:r>
      <w:r w:rsidRPr="00185238">
        <w:rPr>
          <w:rFonts w:ascii="Fira Sans" w:eastAsia="Times New Roman" w:hAnsi="Fira Sans" w:cs="Calibri"/>
          <w:b/>
          <w:color w:val="000000"/>
          <w:sz w:val="19"/>
          <w:szCs w:val="19"/>
          <w:lang w:eastAsia="pl-PL"/>
        </w:rPr>
        <w:t xml:space="preserve">wytwarzane w gospodarstwach rolnych </w:t>
      </w:r>
      <w:r w:rsidR="004D52B8" w:rsidRPr="00185238">
        <w:rPr>
          <w:rFonts w:ascii="Fira Sans" w:hAnsi="Fira Sans" w:cs="Myriad Pro"/>
          <w:b/>
          <w:bCs/>
          <w:color w:val="000000"/>
          <w:sz w:val="19"/>
          <w:szCs w:val="19"/>
        </w:rPr>
        <w:t>według ukierunkowania produkcyjnego</w:t>
      </w:r>
    </w:p>
    <w:p w14:paraId="12BD429A" w14:textId="4F1FBCD3" w:rsidR="005D28CA" w:rsidRPr="00185238" w:rsidRDefault="00D62BAC" w:rsidP="005D28CA">
      <w:pPr>
        <w:spacing w:before="120" w:after="120" w:line="240" w:lineRule="auto"/>
        <w:rPr>
          <w:rFonts w:ascii="Fira Sans" w:eastAsia="Times New Roman" w:hAnsi="Fira Sans" w:cs="Calibri"/>
          <w:b/>
          <w:color w:val="000000"/>
          <w:sz w:val="19"/>
          <w:szCs w:val="19"/>
          <w:lang w:eastAsia="pl-PL"/>
        </w:rPr>
      </w:pPr>
      <w:r>
        <w:rPr>
          <w:rFonts w:ascii="Fira Sans" w:eastAsia="Times New Roman" w:hAnsi="Fira Sans" w:cs="Calibri"/>
          <w:b/>
          <w:noProof/>
          <w:color w:val="000000"/>
          <w:sz w:val="19"/>
          <w:szCs w:val="19"/>
          <w:lang w:eastAsia="pl-PL"/>
        </w:rPr>
        <w:drawing>
          <wp:inline distT="0" distB="0" distL="0" distR="0" wp14:anchorId="59FFE619" wp14:editId="6D489566">
            <wp:extent cx="5182190" cy="2231390"/>
            <wp:effectExtent l="0" t="0" r="0" b="0"/>
            <wp:docPr id="24" name="Obraz 24" descr="Wykres 10. Przewidywana opłacalność produkcji rolniczej oraz popytu na produkty rolne wytwarzane w gospodarstwach rolnych według ukierunkowania produk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descr="Wykres 10. Przewidywana opłacalność produkcji rolniczej oraz popytu na produkty rolne wytwarzane w gospodarstwach rolnych według ukierunkowania produkcyjnego"/>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182190" cy="2231390"/>
                    </a:xfrm>
                    <a:prstGeom prst="rect">
                      <a:avLst/>
                    </a:prstGeom>
                    <a:noFill/>
                  </pic:spPr>
                </pic:pic>
              </a:graphicData>
            </a:graphic>
          </wp:inline>
        </w:drawing>
      </w:r>
    </w:p>
    <w:p w14:paraId="76C50936" w14:textId="2170A548" w:rsidR="00CF70FD" w:rsidRPr="00185238" w:rsidRDefault="00466DFD" w:rsidP="00D62BAC">
      <w:pPr>
        <w:spacing w:before="360" w:after="120" w:line="240" w:lineRule="auto"/>
        <w:rPr>
          <w:rFonts w:ascii="Fira Sans" w:hAnsi="Fira Sans"/>
          <w:b/>
          <w:color w:val="002060"/>
          <w:sz w:val="24"/>
          <w:szCs w:val="24"/>
        </w:rPr>
      </w:pPr>
      <w:r w:rsidRPr="00185238">
        <w:rPr>
          <w:rFonts w:ascii="Fira Sans" w:hAnsi="Fira Sans"/>
          <w:b/>
          <w:color w:val="002060"/>
          <w:sz w:val="24"/>
          <w:szCs w:val="24"/>
        </w:rPr>
        <w:lastRenderedPageBreak/>
        <w:t>Ź</w:t>
      </w:r>
      <w:r w:rsidR="00CF70FD" w:rsidRPr="00185238">
        <w:rPr>
          <w:rFonts w:ascii="Fira Sans" w:hAnsi="Fira Sans"/>
          <w:b/>
          <w:color w:val="002060"/>
          <w:sz w:val="24"/>
          <w:szCs w:val="24"/>
        </w:rPr>
        <w:t>ródła finansowania i inwestycje</w:t>
      </w:r>
      <w:r w:rsidR="009952D0" w:rsidRPr="00185238">
        <w:rPr>
          <w:rStyle w:val="Odwoanieprzypisudolnego"/>
          <w:rFonts w:ascii="Fira Sans" w:hAnsi="Fira Sans"/>
          <w:b/>
          <w:color w:val="002060"/>
          <w:sz w:val="24"/>
          <w:szCs w:val="24"/>
        </w:rPr>
        <w:footnoteReference w:id="1"/>
      </w:r>
    </w:p>
    <w:p w14:paraId="7FFF552D" w14:textId="77777777" w:rsidR="00E64B1E" w:rsidRPr="00470014" w:rsidRDefault="00E64B1E" w:rsidP="00484F8D">
      <w:pPr>
        <w:spacing w:before="120" w:after="120" w:line="288" w:lineRule="auto"/>
        <w:rPr>
          <w:rFonts w:ascii="Fira Sans" w:hAnsi="Fira Sans"/>
          <w:sz w:val="19"/>
          <w:szCs w:val="19"/>
        </w:rPr>
      </w:pPr>
      <w:r w:rsidRPr="00470014">
        <w:rPr>
          <w:rFonts w:ascii="Fira Sans" w:hAnsi="Fira Sans"/>
          <w:sz w:val="19"/>
          <w:szCs w:val="19"/>
        </w:rPr>
        <w:t>W 1 półroczu 2025 r. zdecydowana większość użytkowników gospodarstw rolnych w kraju (95,6%) finansowała swoją działalność przede wszystkim ze środków własnych. Znaczącym wsparciem były także fundusze unijne, z których korzystało 63,6% badanych. Z kolei kredyty były wykorzystywane znacznie rzadziej – skorzystało z nich 9,8% uczestników badania</w:t>
      </w:r>
      <w:r w:rsidR="0081480C" w:rsidRPr="00470014">
        <w:rPr>
          <w:rFonts w:ascii="Fira Sans" w:hAnsi="Fira Sans"/>
          <w:sz w:val="19"/>
          <w:szCs w:val="19"/>
        </w:rPr>
        <w:t>.</w:t>
      </w:r>
    </w:p>
    <w:p w14:paraId="01739A29" w14:textId="77777777" w:rsidR="00D67A76" w:rsidRPr="00470014" w:rsidRDefault="00E64B1E" w:rsidP="00484F8D">
      <w:pPr>
        <w:spacing w:before="120" w:after="120" w:line="288" w:lineRule="auto"/>
        <w:rPr>
          <w:rFonts w:ascii="Fira Sans" w:hAnsi="Fira Sans"/>
          <w:sz w:val="19"/>
          <w:szCs w:val="19"/>
        </w:rPr>
      </w:pPr>
      <w:r w:rsidRPr="00470014">
        <w:rPr>
          <w:rFonts w:ascii="Fira Sans" w:hAnsi="Fira Sans"/>
          <w:sz w:val="19"/>
          <w:szCs w:val="19"/>
        </w:rPr>
        <w:t>Biorąc pod uwagę rodzaj działalności gospodarstw rolnych, największy odsetek gospodarstw korzystających ze środków własnych przy prowadzeniu działalności rolniczej zaobserwowano wśród gospodarstw wielokierunkowych (96,4%).</w:t>
      </w:r>
      <w:r w:rsidR="000A552D" w:rsidRPr="00470014">
        <w:rPr>
          <w:rFonts w:ascii="Fira Sans" w:hAnsi="Fira Sans"/>
          <w:sz w:val="19"/>
          <w:szCs w:val="19"/>
        </w:rPr>
        <w:t xml:space="preserve"> Z pomocy unijnej najczęściej korzystały gospodarstwa ukierunkowane na produkcję roślinną (64,4%), natomiast najrzadziej – gospodarstwa zajmujące się produkcją zwierzęcą (57,5%).</w:t>
      </w:r>
    </w:p>
    <w:p w14:paraId="451178F8" w14:textId="77777777" w:rsidR="00470014" w:rsidRDefault="00E64B1E" w:rsidP="00470014">
      <w:pPr>
        <w:spacing w:before="120" w:after="120" w:line="288" w:lineRule="auto"/>
        <w:rPr>
          <w:rFonts w:ascii="Fira Sans" w:hAnsi="Fira Sans"/>
          <w:sz w:val="19"/>
          <w:szCs w:val="19"/>
        </w:rPr>
      </w:pPr>
      <w:r w:rsidRPr="00470014">
        <w:rPr>
          <w:rFonts w:ascii="Fira Sans" w:hAnsi="Fira Sans"/>
          <w:sz w:val="19"/>
          <w:szCs w:val="19"/>
        </w:rPr>
        <w:t>Spośród wszystkich źródeł finansowania najrzadziej wykorzystywane były kredyty. W</w:t>
      </w:r>
      <w:r w:rsidR="00D62BAC" w:rsidRPr="00470014">
        <w:rPr>
          <w:rFonts w:ascii="Fira Sans" w:hAnsi="Fira Sans"/>
          <w:sz w:val="19"/>
          <w:szCs w:val="19"/>
        </w:rPr>
        <w:t> </w:t>
      </w:r>
      <w:r w:rsidRPr="00470014">
        <w:rPr>
          <w:rFonts w:ascii="Fira Sans" w:hAnsi="Fira Sans"/>
          <w:sz w:val="19"/>
          <w:szCs w:val="19"/>
        </w:rPr>
        <w:t>gospodarstwach wielokierunkowych korzystało z nich 12,4% rolników, w gospodarstwach ukierunkowanych na produkcję zwierzęcą – 11,7%, a w gospodarstwach ukierunkowanych na produkcję roślinną – 8,2%.</w:t>
      </w:r>
    </w:p>
    <w:p w14:paraId="1DD00354" w14:textId="0FE7A77F" w:rsidR="002A16E3" w:rsidRPr="00470014" w:rsidRDefault="00CF70FD" w:rsidP="00470014">
      <w:pPr>
        <w:spacing w:before="120" w:after="120" w:line="288" w:lineRule="auto"/>
        <w:rPr>
          <w:rFonts w:ascii="Fira Sans" w:hAnsi="Fira Sans"/>
          <w:sz w:val="19"/>
          <w:szCs w:val="19"/>
        </w:rPr>
      </w:pPr>
      <w:r w:rsidRPr="00185238">
        <w:rPr>
          <w:rFonts w:ascii="Fira Sans" w:hAnsi="Fira Sans"/>
          <w:b/>
          <w:sz w:val="19"/>
          <w:szCs w:val="19"/>
        </w:rPr>
        <w:t xml:space="preserve">Wykres </w:t>
      </w:r>
      <w:r w:rsidR="009C6B67" w:rsidRPr="00185238">
        <w:rPr>
          <w:rFonts w:ascii="Fira Sans" w:hAnsi="Fira Sans"/>
          <w:b/>
          <w:sz w:val="19"/>
          <w:szCs w:val="19"/>
        </w:rPr>
        <w:t>11</w:t>
      </w:r>
      <w:r w:rsidRPr="00185238">
        <w:rPr>
          <w:rFonts w:ascii="Fira Sans" w:hAnsi="Fira Sans"/>
          <w:b/>
          <w:sz w:val="19"/>
          <w:szCs w:val="19"/>
        </w:rPr>
        <w:t xml:space="preserve">. Źródła finansowania </w:t>
      </w:r>
      <w:r w:rsidR="005323FA" w:rsidRPr="00185238">
        <w:rPr>
          <w:rFonts w:ascii="Fira Sans" w:hAnsi="Fira Sans"/>
          <w:b/>
          <w:sz w:val="19"/>
          <w:szCs w:val="19"/>
        </w:rPr>
        <w:t xml:space="preserve">w </w:t>
      </w:r>
      <w:r w:rsidR="00465891" w:rsidRPr="00185238">
        <w:rPr>
          <w:rFonts w:ascii="Fira Sans" w:hAnsi="Fira Sans"/>
          <w:b/>
          <w:sz w:val="19"/>
          <w:szCs w:val="19"/>
        </w:rPr>
        <w:t xml:space="preserve">1 półroczu </w:t>
      </w:r>
      <w:r w:rsidR="005323FA" w:rsidRPr="00185238">
        <w:rPr>
          <w:rFonts w:ascii="Fira Sans" w:hAnsi="Fira Sans"/>
          <w:b/>
          <w:sz w:val="19"/>
          <w:szCs w:val="19"/>
        </w:rPr>
        <w:t>202</w:t>
      </w:r>
      <w:r w:rsidR="00465891" w:rsidRPr="00185238">
        <w:rPr>
          <w:rFonts w:ascii="Fira Sans" w:hAnsi="Fira Sans"/>
          <w:b/>
          <w:sz w:val="19"/>
          <w:szCs w:val="19"/>
        </w:rPr>
        <w:t>5</w:t>
      </w:r>
      <w:r w:rsidR="005323FA" w:rsidRPr="00185238">
        <w:rPr>
          <w:rFonts w:ascii="Fira Sans" w:hAnsi="Fira Sans"/>
          <w:b/>
          <w:sz w:val="19"/>
          <w:szCs w:val="19"/>
        </w:rPr>
        <w:t xml:space="preserve"> r. w</w:t>
      </w:r>
      <w:r w:rsidRPr="00185238">
        <w:rPr>
          <w:rFonts w:ascii="Fira Sans" w:hAnsi="Fira Sans"/>
          <w:b/>
          <w:sz w:val="19"/>
          <w:szCs w:val="19"/>
        </w:rPr>
        <w:t xml:space="preserve"> gospodarstw</w:t>
      </w:r>
      <w:r w:rsidR="005323FA" w:rsidRPr="00185238">
        <w:rPr>
          <w:rFonts w:ascii="Fira Sans" w:hAnsi="Fira Sans"/>
          <w:b/>
          <w:sz w:val="19"/>
          <w:szCs w:val="19"/>
        </w:rPr>
        <w:t>ach</w:t>
      </w:r>
      <w:r w:rsidRPr="00185238">
        <w:rPr>
          <w:rFonts w:ascii="Fira Sans" w:hAnsi="Fira Sans"/>
          <w:b/>
          <w:sz w:val="19"/>
          <w:szCs w:val="19"/>
        </w:rPr>
        <w:t xml:space="preserve"> rolnyc</w:t>
      </w:r>
      <w:r w:rsidR="009C6B67" w:rsidRPr="00185238">
        <w:rPr>
          <w:rFonts w:ascii="Fira Sans" w:hAnsi="Fira Sans"/>
          <w:b/>
          <w:sz w:val="19"/>
          <w:szCs w:val="19"/>
        </w:rPr>
        <w:t xml:space="preserve">h według ukierunkowania </w:t>
      </w:r>
      <w:r w:rsidR="004D52B8" w:rsidRPr="00185238">
        <w:rPr>
          <w:rFonts w:ascii="Fira Sans" w:hAnsi="Fira Sans" w:cs="Myriad Pro"/>
          <w:b/>
          <w:bCs/>
          <w:color w:val="000000"/>
          <w:sz w:val="19"/>
          <w:szCs w:val="19"/>
        </w:rPr>
        <w:t>produkcyjnego</w:t>
      </w:r>
    </w:p>
    <w:p w14:paraId="501C681C" w14:textId="7484B075" w:rsidR="00167FB7" w:rsidRPr="00185238" w:rsidRDefault="00D62BAC" w:rsidP="005D28CA">
      <w:pPr>
        <w:spacing w:before="120" w:after="120" w:line="240" w:lineRule="auto"/>
        <w:rPr>
          <w:rFonts w:ascii="Fira Sans" w:hAnsi="Fira Sans"/>
          <w:b/>
          <w:sz w:val="19"/>
          <w:szCs w:val="19"/>
        </w:rPr>
      </w:pPr>
      <w:r>
        <w:rPr>
          <w:rFonts w:ascii="Fira Sans" w:hAnsi="Fira Sans"/>
          <w:b/>
          <w:noProof/>
          <w:sz w:val="19"/>
          <w:szCs w:val="19"/>
        </w:rPr>
        <w:drawing>
          <wp:inline distT="0" distB="0" distL="0" distR="0" wp14:anchorId="3D3F6EC1" wp14:editId="36623EAF">
            <wp:extent cx="5161610" cy="2170430"/>
            <wp:effectExtent l="0" t="0" r="0" b="0"/>
            <wp:docPr id="25" name="Obraz 25" descr="Wykres 11. Źródła finansowania w 1 półroczu 2025 r. w gospodarstwach rolnych według ukierunkowania produk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descr="Wykres 11. Źródła finansowania w 1 półroczu 2025 r. w gospodarstwach rolnych według ukierunkowania produkcyjnego"/>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161610" cy="2170430"/>
                    </a:xfrm>
                    <a:prstGeom prst="rect">
                      <a:avLst/>
                    </a:prstGeom>
                    <a:noFill/>
                  </pic:spPr>
                </pic:pic>
              </a:graphicData>
            </a:graphic>
          </wp:inline>
        </w:drawing>
      </w:r>
    </w:p>
    <w:p w14:paraId="6CD2D5A8" w14:textId="1F4B98E3" w:rsidR="000A552D" w:rsidRPr="00185238" w:rsidRDefault="00484F8D" w:rsidP="00484F8D">
      <w:pPr>
        <w:spacing w:before="120" w:after="120" w:line="288" w:lineRule="auto"/>
        <w:rPr>
          <w:rFonts w:ascii="Fira Sans" w:hAnsi="Fira Sans"/>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87744" behindDoc="1" locked="0" layoutInCell="1" allowOverlap="1" wp14:anchorId="56EDCDCD" wp14:editId="0118F87A">
                <wp:simplePos x="0" y="0"/>
                <wp:positionH relativeFrom="page">
                  <wp:posOffset>5724525</wp:posOffset>
                </wp:positionH>
                <wp:positionV relativeFrom="paragraph">
                  <wp:posOffset>668020</wp:posOffset>
                </wp:positionV>
                <wp:extent cx="1800000" cy="1764000"/>
                <wp:effectExtent l="0" t="0" r="0" b="0"/>
                <wp:wrapTight wrapText="bothSides">
                  <wp:wrapPolygon edited="0">
                    <wp:start x="686" y="0"/>
                    <wp:lineTo x="686" y="21234"/>
                    <wp:lineTo x="20807" y="21234"/>
                    <wp:lineTo x="20807" y="0"/>
                    <wp:lineTo x="686" y="0"/>
                  </wp:wrapPolygon>
                </wp:wrapTight>
                <wp:docPr id="1911399044" name="Pole tekstowe 1911399044" descr="38,3% rolników specjalizujących się w uprawie roślin przewiduje, że wydatki inwestycyjne na 2 półrocze 2025 r. pozostaną na tym samym poziomie. Wzrostu wydatków spodziewa się 53,3% respondentów, a pozostali prognozują ich zmniejszen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764000"/>
                        </a:xfrm>
                        <a:prstGeom prst="rect">
                          <a:avLst/>
                        </a:prstGeom>
                        <a:noFill/>
                        <a:ln w="9525">
                          <a:noFill/>
                          <a:miter lim="800000"/>
                          <a:headEnd/>
                          <a:tailEnd/>
                        </a:ln>
                      </wps:spPr>
                      <wps:txbx>
                        <w:txbxContent>
                          <w:p w14:paraId="68051E94" w14:textId="312A456D" w:rsidR="00402B65" w:rsidRPr="007A7B75" w:rsidRDefault="00402B65" w:rsidP="00402B65">
                            <w:pPr>
                              <w:pStyle w:val="Tekstkomentarza"/>
                              <w:rPr>
                                <w:rFonts w:ascii="Fira Sans" w:eastAsia="Calibri" w:hAnsi="Fira Sans" w:cs="Times New Roman"/>
                                <w:bCs/>
                                <w:color w:val="002060"/>
                                <w:sz w:val="19"/>
                                <w:szCs w:val="19"/>
                              </w:rPr>
                            </w:pPr>
                            <w:r w:rsidRPr="007A7B75">
                              <w:rPr>
                                <w:rFonts w:ascii="Fira Sans" w:eastAsia="Calibri" w:hAnsi="Fira Sans" w:cs="Times New Roman"/>
                                <w:bCs/>
                                <w:color w:val="002060"/>
                                <w:sz w:val="19"/>
                                <w:szCs w:val="19"/>
                              </w:rPr>
                              <w:t xml:space="preserve">38,3% rolników specjalizujących się </w:t>
                            </w:r>
                            <w:r w:rsidR="00470014">
                              <w:rPr>
                                <w:rFonts w:ascii="Fira Sans" w:eastAsia="Calibri" w:hAnsi="Fira Sans" w:cs="Times New Roman"/>
                                <w:bCs/>
                                <w:color w:val="002060"/>
                                <w:sz w:val="19"/>
                                <w:szCs w:val="19"/>
                              </w:rPr>
                              <w:t>w uprawie</w:t>
                            </w:r>
                            <w:r w:rsidRPr="007A7B75">
                              <w:rPr>
                                <w:rFonts w:ascii="Fira Sans" w:eastAsia="Calibri" w:hAnsi="Fira Sans" w:cs="Times New Roman"/>
                                <w:bCs/>
                                <w:color w:val="002060"/>
                                <w:sz w:val="19"/>
                                <w:szCs w:val="19"/>
                              </w:rPr>
                              <w:t xml:space="preserve"> roślin p</w:t>
                            </w:r>
                            <w:r w:rsidR="00624272">
                              <w:rPr>
                                <w:rFonts w:ascii="Fira Sans" w:eastAsia="Calibri" w:hAnsi="Fira Sans" w:cs="Times New Roman"/>
                                <w:bCs/>
                                <w:color w:val="002060"/>
                                <w:sz w:val="19"/>
                                <w:szCs w:val="19"/>
                              </w:rPr>
                              <w:t>rzewiduje</w:t>
                            </w:r>
                            <w:r w:rsidRPr="007A7B75">
                              <w:rPr>
                                <w:rFonts w:ascii="Fira Sans" w:eastAsia="Calibri" w:hAnsi="Fira Sans" w:cs="Times New Roman"/>
                                <w:bCs/>
                                <w:color w:val="002060"/>
                                <w:sz w:val="19"/>
                                <w:szCs w:val="19"/>
                              </w:rPr>
                              <w:t>, że wydatki inwestycyjne na 2</w:t>
                            </w:r>
                            <w:r w:rsidR="00C926EB">
                              <w:rPr>
                                <w:rFonts w:ascii="Fira Sans" w:eastAsia="Calibri" w:hAnsi="Fira Sans" w:cs="Times New Roman"/>
                                <w:bCs/>
                                <w:color w:val="002060"/>
                                <w:sz w:val="19"/>
                                <w:szCs w:val="19"/>
                              </w:rPr>
                              <w:t> </w:t>
                            </w:r>
                            <w:r w:rsidRPr="007A7B75">
                              <w:rPr>
                                <w:rFonts w:ascii="Fira Sans" w:eastAsia="Calibri" w:hAnsi="Fira Sans" w:cs="Times New Roman"/>
                                <w:bCs/>
                                <w:color w:val="002060"/>
                                <w:sz w:val="19"/>
                                <w:szCs w:val="19"/>
                              </w:rPr>
                              <w:t xml:space="preserve">półrocze 2025 r. </w:t>
                            </w:r>
                            <w:r w:rsidR="007A7B75" w:rsidRPr="007A7B75">
                              <w:rPr>
                                <w:rFonts w:ascii="Fira Sans" w:eastAsia="Calibri" w:hAnsi="Fira Sans" w:cs="Times New Roman"/>
                                <w:bCs/>
                                <w:color w:val="002060"/>
                                <w:sz w:val="19"/>
                                <w:szCs w:val="19"/>
                              </w:rPr>
                              <w:t xml:space="preserve">pozostaną na tym samym poziomie. </w:t>
                            </w:r>
                            <w:r>
                              <w:rPr>
                                <w:rFonts w:ascii="Fira Sans" w:eastAsia="Calibri" w:hAnsi="Fira Sans" w:cs="Times New Roman"/>
                                <w:bCs/>
                                <w:color w:val="002060"/>
                                <w:sz w:val="19"/>
                                <w:szCs w:val="19"/>
                              </w:rPr>
                              <w:t>Wzrost</w:t>
                            </w:r>
                            <w:r w:rsidR="007A7B75">
                              <w:rPr>
                                <w:rFonts w:ascii="Fira Sans" w:eastAsia="Calibri" w:hAnsi="Fira Sans" w:cs="Times New Roman"/>
                                <w:bCs/>
                                <w:color w:val="002060"/>
                                <w:sz w:val="19"/>
                                <w:szCs w:val="19"/>
                              </w:rPr>
                              <w:t>u</w:t>
                            </w:r>
                            <w:r>
                              <w:rPr>
                                <w:rFonts w:ascii="Fira Sans" w:eastAsia="Calibri" w:hAnsi="Fira Sans" w:cs="Times New Roman"/>
                                <w:bCs/>
                                <w:color w:val="002060"/>
                                <w:sz w:val="19"/>
                                <w:szCs w:val="19"/>
                              </w:rPr>
                              <w:t xml:space="preserve"> wydatków</w:t>
                            </w:r>
                            <w:r w:rsidRPr="00554197">
                              <w:rPr>
                                <w:rFonts w:ascii="Fira Sans" w:eastAsia="Calibri" w:hAnsi="Fira Sans" w:cs="Times New Roman"/>
                                <w:bCs/>
                                <w:color w:val="002060"/>
                                <w:sz w:val="19"/>
                                <w:szCs w:val="19"/>
                              </w:rPr>
                              <w:t xml:space="preserve"> spodziewa się 5</w:t>
                            </w:r>
                            <w:r>
                              <w:rPr>
                                <w:rFonts w:ascii="Fira Sans" w:eastAsia="Calibri" w:hAnsi="Fira Sans" w:cs="Times New Roman"/>
                                <w:bCs/>
                                <w:color w:val="002060"/>
                                <w:sz w:val="19"/>
                                <w:szCs w:val="19"/>
                              </w:rPr>
                              <w:t>3</w:t>
                            </w:r>
                            <w:r w:rsidRPr="00554197">
                              <w:rPr>
                                <w:rFonts w:ascii="Fira Sans" w:eastAsia="Calibri" w:hAnsi="Fira Sans" w:cs="Times New Roman"/>
                                <w:bCs/>
                                <w:color w:val="002060"/>
                                <w:sz w:val="19"/>
                                <w:szCs w:val="19"/>
                              </w:rPr>
                              <w:t>,</w:t>
                            </w:r>
                            <w:r>
                              <w:rPr>
                                <w:rFonts w:ascii="Fira Sans" w:eastAsia="Calibri" w:hAnsi="Fira Sans" w:cs="Times New Roman"/>
                                <w:bCs/>
                                <w:color w:val="002060"/>
                                <w:sz w:val="19"/>
                                <w:szCs w:val="19"/>
                              </w:rPr>
                              <w:t>3</w:t>
                            </w:r>
                            <w:r w:rsidRPr="00554197">
                              <w:rPr>
                                <w:rFonts w:ascii="Fira Sans" w:eastAsia="Calibri" w:hAnsi="Fira Sans" w:cs="Times New Roman"/>
                                <w:bCs/>
                                <w:color w:val="002060"/>
                                <w:sz w:val="19"/>
                                <w:szCs w:val="19"/>
                              </w:rPr>
                              <w:t>%</w:t>
                            </w:r>
                            <w:r>
                              <w:rPr>
                                <w:rFonts w:ascii="Fira Sans" w:eastAsia="Calibri" w:hAnsi="Fira Sans" w:cs="Times New Roman"/>
                                <w:bCs/>
                                <w:color w:val="002060"/>
                                <w:sz w:val="19"/>
                                <w:szCs w:val="19"/>
                              </w:rPr>
                              <w:t xml:space="preserve"> respondentów</w:t>
                            </w:r>
                            <w:r w:rsidRPr="00554197">
                              <w:rPr>
                                <w:rFonts w:ascii="Fira Sans" w:eastAsia="Calibri" w:hAnsi="Fira Sans" w:cs="Times New Roman"/>
                                <w:bCs/>
                                <w:color w:val="002060"/>
                                <w:sz w:val="19"/>
                                <w:szCs w:val="19"/>
                              </w:rPr>
                              <w:t xml:space="preserve">, </w:t>
                            </w:r>
                            <w:r w:rsidR="007A7B75">
                              <w:rPr>
                                <w:rFonts w:ascii="Fira Sans" w:eastAsia="Calibri" w:hAnsi="Fira Sans" w:cs="Times New Roman"/>
                                <w:bCs/>
                                <w:color w:val="002060"/>
                                <w:sz w:val="19"/>
                                <w:szCs w:val="19"/>
                              </w:rPr>
                              <w:t>a</w:t>
                            </w:r>
                            <w:r w:rsidR="00C926EB">
                              <w:rPr>
                                <w:rFonts w:ascii="Fira Sans" w:eastAsia="Calibri" w:hAnsi="Fira Sans" w:cs="Times New Roman"/>
                                <w:bCs/>
                                <w:color w:val="002060"/>
                                <w:sz w:val="19"/>
                                <w:szCs w:val="19"/>
                              </w:rPr>
                              <w:t> </w:t>
                            </w:r>
                            <w:r w:rsidRPr="007A7B75">
                              <w:rPr>
                                <w:rFonts w:ascii="Fira Sans" w:eastAsia="Calibri" w:hAnsi="Fira Sans" w:cs="Times New Roman"/>
                                <w:bCs/>
                                <w:color w:val="002060"/>
                                <w:sz w:val="19"/>
                                <w:szCs w:val="19"/>
                              </w:rPr>
                              <w:t xml:space="preserve">pozostali prognozują </w:t>
                            </w:r>
                            <w:r w:rsidR="007A7B75" w:rsidRPr="007A7B75">
                              <w:rPr>
                                <w:rFonts w:ascii="Fira Sans" w:eastAsia="Calibri" w:hAnsi="Fira Sans" w:cs="Times New Roman"/>
                                <w:bCs/>
                                <w:color w:val="002060"/>
                                <w:sz w:val="19"/>
                                <w:szCs w:val="19"/>
                              </w:rPr>
                              <w:t xml:space="preserve">ich </w:t>
                            </w:r>
                            <w:r w:rsidRPr="007A7B75">
                              <w:rPr>
                                <w:rFonts w:ascii="Fira Sans" w:eastAsia="Calibri" w:hAnsi="Fira Sans" w:cs="Times New Roman"/>
                                <w:bCs/>
                                <w:color w:val="002060"/>
                                <w:sz w:val="19"/>
                                <w:szCs w:val="19"/>
                              </w:rPr>
                              <w:t>zmniejszeni</w:t>
                            </w:r>
                            <w:r w:rsidR="007A7B75" w:rsidRPr="007A7B75">
                              <w:rPr>
                                <w:rFonts w:ascii="Fira Sans" w:eastAsia="Calibri" w:hAnsi="Fira Sans" w:cs="Times New Roman"/>
                                <w:bCs/>
                                <w:color w:val="002060"/>
                                <w:sz w:val="19"/>
                                <w:szCs w:val="19"/>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EDCDCD" id="Pole tekstowe 1911399044" o:spid="_x0000_s1040" type="#_x0000_t202" alt="38,3% rolników specjalizujących się w uprawie roślin przewiduje, że wydatki inwestycyjne na 2 półrocze 2025 r. pozostaną na tym samym poziomie. Wzrostu wydatków spodziewa się 53,3% respondentów, a pozostali prognozują ich zmniejszenie" style="position:absolute;margin-left:450.75pt;margin-top:52.6pt;width:141.75pt;height:138.9pt;z-index:-250228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" filled="f" stroked="f">
                <v:textbox>
                  <w:txbxContent>
                    <w:p w14:paraId="68051E94" w14:textId="312A456D" w:rsidR="00402B65" w:rsidRPr="007A7B75" w:rsidRDefault="00402B65" w:rsidP="00402B65">
                      <w:pPr>
                        <w:pStyle w:val="Tekstkomentarza"/>
                        <w:rPr>
                          <w:rFonts w:ascii="Fira Sans" w:eastAsia="Calibri" w:hAnsi="Fira Sans" w:cs="Times New Roman"/>
                          <w:bCs/>
                          <w:color w:val="002060"/>
                          <w:sz w:val="19"/>
                          <w:szCs w:val="19"/>
                        </w:rPr>
                      </w:pPr>
                      <w:r w:rsidRPr="007A7B75">
                        <w:rPr>
                          <w:rFonts w:ascii="Fira Sans" w:eastAsia="Calibri" w:hAnsi="Fira Sans" w:cs="Times New Roman"/>
                          <w:bCs/>
                          <w:color w:val="002060"/>
                          <w:sz w:val="19"/>
                          <w:szCs w:val="19"/>
                        </w:rPr>
                        <w:t xml:space="preserve">38,3% rolników specjalizujących się </w:t>
                      </w:r>
                      <w:r w:rsidR="00470014">
                        <w:rPr>
                          <w:rFonts w:ascii="Fira Sans" w:eastAsia="Calibri" w:hAnsi="Fira Sans" w:cs="Times New Roman"/>
                          <w:bCs/>
                          <w:color w:val="002060"/>
                          <w:sz w:val="19"/>
                          <w:szCs w:val="19"/>
                        </w:rPr>
                        <w:t>w uprawie</w:t>
                      </w:r>
                      <w:r w:rsidRPr="007A7B75">
                        <w:rPr>
                          <w:rFonts w:ascii="Fira Sans" w:eastAsia="Calibri" w:hAnsi="Fira Sans" w:cs="Times New Roman"/>
                          <w:bCs/>
                          <w:color w:val="002060"/>
                          <w:sz w:val="19"/>
                          <w:szCs w:val="19"/>
                        </w:rPr>
                        <w:t xml:space="preserve"> roślin p</w:t>
                      </w:r>
                      <w:r w:rsidR="00624272">
                        <w:rPr>
                          <w:rFonts w:ascii="Fira Sans" w:eastAsia="Calibri" w:hAnsi="Fira Sans" w:cs="Times New Roman"/>
                          <w:bCs/>
                          <w:color w:val="002060"/>
                          <w:sz w:val="19"/>
                          <w:szCs w:val="19"/>
                        </w:rPr>
                        <w:t>rzewiduje</w:t>
                      </w:r>
                      <w:r w:rsidRPr="007A7B75">
                        <w:rPr>
                          <w:rFonts w:ascii="Fira Sans" w:eastAsia="Calibri" w:hAnsi="Fira Sans" w:cs="Times New Roman"/>
                          <w:bCs/>
                          <w:color w:val="002060"/>
                          <w:sz w:val="19"/>
                          <w:szCs w:val="19"/>
                        </w:rPr>
                        <w:t>, że wydatki inwestycyjne na 2</w:t>
                      </w:r>
                      <w:r w:rsidR="00C926EB">
                        <w:rPr>
                          <w:rFonts w:ascii="Fira Sans" w:eastAsia="Calibri" w:hAnsi="Fira Sans" w:cs="Times New Roman"/>
                          <w:bCs/>
                          <w:color w:val="002060"/>
                          <w:sz w:val="19"/>
                          <w:szCs w:val="19"/>
                        </w:rPr>
                        <w:t> </w:t>
                      </w:r>
                      <w:r w:rsidRPr="007A7B75">
                        <w:rPr>
                          <w:rFonts w:ascii="Fira Sans" w:eastAsia="Calibri" w:hAnsi="Fira Sans" w:cs="Times New Roman"/>
                          <w:bCs/>
                          <w:color w:val="002060"/>
                          <w:sz w:val="19"/>
                          <w:szCs w:val="19"/>
                        </w:rPr>
                        <w:t xml:space="preserve">półrocze 2025 r. </w:t>
                      </w:r>
                      <w:r w:rsidR="007A7B75" w:rsidRPr="007A7B75">
                        <w:rPr>
                          <w:rFonts w:ascii="Fira Sans" w:eastAsia="Calibri" w:hAnsi="Fira Sans" w:cs="Times New Roman"/>
                          <w:bCs/>
                          <w:color w:val="002060"/>
                          <w:sz w:val="19"/>
                          <w:szCs w:val="19"/>
                        </w:rPr>
                        <w:t xml:space="preserve">pozostaną na tym samym poziomie. </w:t>
                      </w:r>
                      <w:r>
                        <w:rPr>
                          <w:rFonts w:ascii="Fira Sans" w:eastAsia="Calibri" w:hAnsi="Fira Sans" w:cs="Times New Roman"/>
                          <w:bCs/>
                          <w:color w:val="002060"/>
                          <w:sz w:val="19"/>
                          <w:szCs w:val="19"/>
                        </w:rPr>
                        <w:t>Wzrost</w:t>
                      </w:r>
                      <w:r w:rsidR="007A7B75">
                        <w:rPr>
                          <w:rFonts w:ascii="Fira Sans" w:eastAsia="Calibri" w:hAnsi="Fira Sans" w:cs="Times New Roman"/>
                          <w:bCs/>
                          <w:color w:val="002060"/>
                          <w:sz w:val="19"/>
                          <w:szCs w:val="19"/>
                        </w:rPr>
                        <w:t>u</w:t>
                      </w:r>
                      <w:r>
                        <w:rPr>
                          <w:rFonts w:ascii="Fira Sans" w:eastAsia="Calibri" w:hAnsi="Fira Sans" w:cs="Times New Roman"/>
                          <w:bCs/>
                          <w:color w:val="002060"/>
                          <w:sz w:val="19"/>
                          <w:szCs w:val="19"/>
                        </w:rPr>
                        <w:t xml:space="preserve"> wydatków</w:t>
                      </w:r>
                      <w:r w:rsidRPr="00554197">
                        <w:rPr>
                          <w:rFonts w:ascii="Fira Sans" w:eastAsia="Calibri" w:hAnsi="Fira Sans" w:cs="Times New Roman"/>
                          <w:bCs/>
                          <w:color w:val="002060"/>
                          <w:sz w:val="19"/>
                          <w:szCs w:val="19"/>
                        </w:rPr>
                        <w:t xml:space="preserve"> spodziewa się 5</w:t>
                      </w:r>
                      <w:r>
                        <w:rPr>
                          <w:rFonts w:ascii="Fira Sans" w:eastAsia="Calibri" w:hAnsi="Fira Sans" w:cs="Times New Roman"/>
                          <w:bCs/>
                          <w:color w:val="002060"/>
                          <w:sz w:val="19"/>
                          <w:szCs w:val="19"/>
                        </w:rPr>
                        <w:t>3</w:t>
                      </w:r>
                      <w:r w:rsidRPr="00554197">
                        <w:rPr>
                          <w:rFonts w:ascii="Fira Sans" w:eastAsia="Calibri" w:hAnsi="Fira Sans" w:cs="Times New Roman"/>
                          <w:bCs/>
                          <w:color w:val="002060"/>
                          <w:sz w:val="19"/>
                          <w:szCs w:val="19"/>
                        </w:rPr>
                        <w:t>,</w:t>
                      </w:r>
                      <w:r>
                        <w:rPr>
                          <w:rFonts w:ascii="Fira Sans" w:eastAsia="Calibri" w:hAnsi="Fira Sans" w:cs="Times New Roman"/>
                          <w:bCs/>
                          <w:color w:val="002060"/>
                          <w:sz w:val="19"/>
                          <w:szCs w:val="19"/>
                        </w:rPr>
                        <w:t>3</w:t>
                      </w:r>
                      <w:r w:rsidRPr="00554197">
                        <w:rPr>
                          <w:rFonts w:ascii="Fira Sans" w:eastAsia="Calibri" w:hAnsi="Fira Sans" w:cs="Times New Roman"/>
                          <w:bCs/>
                          <w:color w:val="002060"/>
                          <w:sz w:val="19"/>
                          <w:szCs w:val="19"/>
                        </w:rPr>
                        <w:t>%</w:t>
                      </w:r>
                      <w:r>
                        <w:rPr>
                          <w:rFonts w:ascii="Fira Sans" w:eastAsia="Calibri" w:hAnsi="Fira Sans" w:cs="Times New Roman"/>
                          <w:bCs/>
                          <w:color w:val="002060"/>
                          <w:sz w:val="19"/>
                          <w:szCs w:val="19"/>
                        </w:rPr>
                        <w:t xml:space="preserve"> respondentów</w:t>
                      </w:r>
                      <w:r w:rsidRPr="00554197">
                        <w:rPr>
                          <w:rFonts w:ascii="Fira Sans" w:eastAsia="Calibri" w:hAnsi="Fira Sans" w:cs="Times New Roman"/>
                          <w:bCs/>
                          <w:color w:val="002060"/>
                          <w:sz w:val="19"/>
                          <w:szCs w:val="19"/>
                        </w:rPr>
                        <w:t xml:space="preserve">, </w:t>
                      </w:r>
                      <w:r w:rsidR="007A7B75">
                        <w:rPr>
                          <w:rFonts w:ascii="Fira Sans" w:eastAsia="Calibri" w:hAnsi="Fira Sans" w:cs="Times New Roman"/>
                          <w:bCs/>
                          <w:color w:val="002060"/>
                          <w:sz w:val="19"/>
                          <w:szCs w:val="19"/>
                        </w:rPr>
                        <w:t>a</w:t>
                      </w:r>
                      <w:r w:rsidR="00C926EB">
                        <w:rPr>
                          <w:rFonts w:ascii="Fira Sans" w:eastAsia="Calibri" w:hAnsi="Fira Sans" w:cs="Times New Roman"/>
                          <w:bCs/>
                          <w:color w:val="002060"/>
                          <w:sz w:val="19"/>
                          <w:szCs w:val="19"/>
                        </w:rPr>
                        <w:t> </w:t>
                      </w:r>
                      <w:r w:rsidRPr="007A7B75">
                        <w:rPr>
                          <w:rFonts w:ascii="Fira Sans" w:eastAsia="Calibri" w:hAnsi="Fira Sans" w:cs="Times New Roman"/>
                          <w:bCs/>
                          <w:color w:val="002060"/>
                          <w:sz w:val="19"/>
                          <w:szCs w:val="19"/>
                        </w:rPr>
                        <w:t xml:space="preserve">pozostali prognozują </w:t>
                      </w:r>
                      <w:r w:rsidR="007A7B75" w:rsidRPr="007A7B75">
                        <w:rPr>
                          <w:rFonts w:ascii="Fira Sans" w:eastAsia="Calibri" w:hAnsi="Fira Sans" w:cs="Times New Roman"/>
                          <w:bCs/>
                          <w:color w:val="002060"/>
                          <w:sz w:val="19"/>
                          <w:szCs w:val="19"/>
                        </w:rPr>
                        <w:t xml:space="preserve">ich </w:t>
                      </w:r>
                      <w:r w:rsidRPr="007A7B75">
                        <w:rPr>
                          <w:rFonts w:ascii="Fira Sans" w:eastAsia="Calibri" w:hAnsi="Fira Sans" w:cs="Times New Roman"/>
                          <w:bCs/>
                          <w:color w:val="002060"/>
                          <w:sz w:val="19"/>
                          <w:szCs w:val="19"/>
                        </w:rPr>
                        <w:t>zmniejszeni</w:t>
                      </w:r>
                      <w:r w:rsidR="007A7B75" w:rsidRPr="007A7B75">
                        <w:rPr>
                          <w:rFonts w:ascii="Fira Sans" w:eastAsia="Calibri" w:hAnsi="Fira Sans" w:cs="Times New Roman"/>
                          <w:bCs/>
                          <w:color w:val="002060"/>
                          <w:sz w:val="19"/>
                          <w:szCs w:val="19"/>
                        </w:rPr>
                        <w:t>e</w:t>
                      </w:r>
                    </w:p>
                  </w:txbxContent>
                </v:textbox>
                <w10:wrap type="tight" anchorx="page"/>
              </v:shape>
            </w:pict>
          </mc:Fallback>
        </mc:AlternateContent>
      </w:r>
      <w:r w:rsidR="005671E8" w:rsidRPr="00185238">
        <w:rPr>
          <w:rFonts w:ascii="Fira Sans" w:hAnsi="Fira Sans"/>
          <w:sz w:val="19"/>
          <w:szCs w:val="19"/>
        </w:rPr>
        <w:t>Uwzględniając powierzchnię użytków rolnych, najwyższy odsetek gospodarstw korzystających ze środków własnych w finansowaniu działalności rolniczej (97,0%) odnotowano w grupie do</w:t>
      </w:r>
      <w:r w:rsidR="00D62BAC">
        <w:rPr>
          <w:rFonts w:ascii="Fira Sans" w:hAnsi="Fira Sans"/>
          <w:sz w:val="19"/>
          <w:szCs w:val="19"/>
        </w:rPr>
        <w:t> </w:t>
      </w:r>
      <w:r w:rsidR="005671E8" w:rsidRPr="00185238">
        <w:rPr>
          <w:rFonts w:ascii="Fira Sans" w:hAnsi="Fira Sans"/>
          <w:sz w:val="19"/>
          <w:szCs w:val="19"/>
        </w:rPr>
        <w:t>1 ha. Z pomocy unijnej najczęściej korzystały gospodarstwa największe, o powierzchni 100</w:t>
      </w:r>
      <w:r w:rsidR="00D62BAC">
        <w:rPr>
          <w:rFonts w:ascii="Fira Sans" w:hAnsi="Fira Sans"/>
          <w:sz w:val="19"/>
          <w:szCs w:val="19"/>
        </w:rPr>
        <w:t> </w:t>
      </w:r>
      <w:r w:rsidR="005671E8" w:rsidRPr="00185238">
        <w:rPr>
          <w:rFonts w:ascii="Fira Sans" w:hAnsi="Fira Sans"/>
          <w:sz w:val="19"/>
          <w:szCs w:val="19"/>
        </w:rPr>
        <w:t xml:space="preserve">ha i więcej (65,4%). </w:t>
      </w:r>
      <w:r w:rsidR="000A552D" w:rsidRPr="00185238">
        <w:rPr>
          <w:rFonts w:ascii="Fira Sans" w:hAnsi="Fira Sans"/>
          <w:sz w:val="19"/>
          <w:szCs w:val="19"/>
        </w:rPr>
        <w:t>W tej samej grupie odnotowano również najwyższy odsetek gospodarstw korzystających z kredytów (32,6%), natomiast najniższy – w gospodarstwach o</w:t>
      </w:r>
      <w:r w:rsidR="00D62BAC">
        <w:rPr>
          <w:rFonts w:ascii="Fira Sans" w:hAnsi="Fira Sans"/>
          <w:sz w:val="19"/>
          <w:szCs w:val="19"/>
        </w:rPr>
        <w:t> </w:t>
      </w:r>
      <w:r w:rsidR="000A552D" w:rsidRPr="00185238">
        <w:rPr>
          <w:rFonts w:ascii="Fira Sans" w:hAnsi="Fira Sans"/>
          <w:sz w:val="19"/>
          <w:szCs w:val="19"/>
        </w:rPr>
        <w:t>powierzchni od</w:t>
      </w:r>
      <w:r w:rsidR="00D62BAC">
        <w:rPr>
          <w:rFonts w:ascii="Fira Sans" w:hAnsi="Fira Sans"/>
          <w:sz w:val="19"/>
          <w:szCs w:val="19"/>
        </w:rPr>
        <w:t> </w:t>
      </w:r>
      <w:r w:rsidR="000A552D" w:rsidRPr="00185238">
        <w:rPr>
          <w:rFonts w:ascii="Fira Sans" w:hAnsi="Fira Sans"/>
          <w:sz w:val="19"/>
          <w:szCs w:val="19"/>
        </w:rPr>
        <w:t>2 do 5 ha oraz od 5 do 10 ha (po 3,9%)</w:t>
      </w:r>
      <w:r w:rsidR="00FC1F31" w:rsidRPr="00185238">
        <w:rPr>
          <w:rFonts w:ascii="Fira Sans" w:hAnsi="Fira Sans"/>
          <w:sz w:val="19"/>
          <w:szCs w:val="19"/>
        </w:rPr>
        <w:t>.</w:t>
      </w:r>
    </w:p>
    <w:p w14:paraId="2775FC23" w14:textId="65B9ADC0" w:rsidR="00E56B65" w:rsidRPr="00185238" w:rsidRDefault="00CF70FD" w:rsidP="00F32B43">
      <w:pPr>
        <w:spacing w:before="120" w:after="120" w:line="240" w:lineRule="auto"/>
        <w:rPr>
          <w:rFonts w:ascii="Fira Sans" w:hAnsi="Fira Sans"/>
          <w:b/>
          <w:sz w:val="19"/>
          <w:szCs w:val="19"/>
        </w:rPr>
      </w:pPr>
      <w:r w:rsidRPr="00185238">
        <w:rPr>
          <w:rFonts w:ascii="Fira Sans" w:hAnsi="Fira Sans"/>
          <w:b/>
          <w:sz w:val="19"/>
          <w:szCs w:val="19"/>
        </w:rPr>
        <w:t xml:space="preserve">Wykres </w:t>
      </w:r>
      <w:r w:rsidR="004777DF" w:rsidRPr="00185238">
        <w:rPr>
          <w:rFonts w:ascii="Fira Sans" w:hAnsi="Fira Sans"/>
          <w:b/>
          <w:sz w:val="19"/>
          <w:szCs w:val="19"/>
        </w:rPr>
        <w:t>1</w:t>
      </w:r>
      <w:r w:rsidR="001E07B6" w:rsidRPr="00185238">
        <w:rPr>
          <w:rFonts w:ascii="Fira Sans" w:hAnsi="Fira Sans"/>
          <w:b/>
          <w:sz w:val="19"/>
          <w:szCs w:val="19"/>
        </w:rPr>
        <w:t>2</w:t>
      </w:r>
      <w:r w:rsidRPr="00185238">
        <w:rPr>
          <w:rFonts w:ascii="Fira Sans" w:hAnsi="Fira Sans"/>
          <w:b/>
          <w:sz w:val="19"/>
          <w:szCs w:val="19"/>
        </w:rPr>
        <w:t xml:space="preserve">. </w:t>
      </w:r>
      <w:r w:rsidR="00E56B65" w:rsidRPr="00185238">
        <w:rPr>
          <w:rFonts w:ascii="Fira Sans" w:hAnsi="Fira Sans"/>
          <w:b/>
          <w:sz w:val="19"/>
          <w:szCs w:val="19"/>
        </w:rPr>
        <w:t>Salda odpowiedzi dotyczące</w:t>
      </w:r>
      <w:r w:rsidR="00317707" w:rsidRPr="00185238">
        <w:rPr>
          <w:rFonts w:ascii="Fira Sans" w:hAnsi="Fira Sans"/>
          <w:b/>
          <w:sz w:val="19"/>
          <w:szCs w:val="19"/>
        </w:rPr>
        <w:t xml:space="preserve"> w</w:t>
      </w:r>
      <w:r w:rsidRPr="00185238">
        <w:rPr>
          <w:rFonts w:ascii="Fira Sans" w:hAnsi="Fira Sans"/>
          <w:b/>
          <w:sz w:val="19"/>
          <w:szCs w:val="19"/>
        </w:rPr>
        <w:t>ydatk</w:t>
      </w:r>
      <w:r w:rsidR="00E56B65" w:rsidRPr="00185238">
        <w:rPr>
          <w:rFonts w:ascii="Fira Sans" w:hAnsi="Fira Sans"/>
          <w:b/>
          <w:sz w:val="19"/>
          <w:szCs w:val="19"/>
        </w:rPr>
        <w:t>ów</w:t>
      </w:r>
      <w:r w:rsidRPr="00185238">
        <w:rPr>
          <w:rFonts w:ascii="Fira Sans" w:hAnsi="Fira Sans"/>
          <w:b/>
          <w:sz w:val="19"/>
          <w:szCs w:val="19"/>
        </w:rPr>
        <w:t xml:space="preserve"> inwestycyjn</w:t>
      </w:r>
      <w:r w:rsidR="00E56B65" w:rsidRPr="00185238">
        <w:rPr>
          <w:rFonts w:ascii="Fira Sans" w:hAnsi="Fira Sans"/>
          <w:b/>
          <w:sz w:val="19"/>
          <w:szCs w:val="19"/>
        </w:rPr>
        <w:t>ych</w:t>
      </w:r>
      <w:r w:rsidRPr="00185238">
        <w:rPr>
          <w:rFonts w:ascii="Fira Sans" w:hAnsi="Fira Sans"/>
          <w:b/>
          <w:sz w:val="19"/>
          <w:szCs w:val="19"/>
        </w:rPr>
        <w:t xml:space="preserve"> gospodarstw rolnych według ukierunkowania produkcyjnego</w:t>
      </w:r>
    </w:p>
    <w:p w14:paraId="7456999D" w14:textId="74748F75" w:rsidR="00192B58" w:rsidRPr="00185238" w:rsidRDefault="00484F8D" w:rsidP="00484F8D">
      <w:pPr>
        <w:spacing w:before="120" w:after="120" w:line="240" w:lineRule="auto"/>
        <w:rPr>
          <w:rFonts w:ascii="Fira Sans" w:hAnsi="Fira Sans"/>
          <w:b/>
          <w:sz w:val="19"/>
          <w:szCs w:val="19"/>
        </w:rPr>
      </w:pPr>
      <w:r>
        <w:rPr>
          <w:rFonts w:ascii="Fira Sans" w:hAnsi="Fira Sans"/>
          <w:b/>
          <w:noProof/>
          <w:sz w:val="19"/>
          <w:szCs w:val="19"/>
        </w:rPr>
        <w:drawing>
          <wp:inline distT="0" distB="0" distL="0" distR="0" wp14:anchorId="75D10941" wp14:editId="01D627F8">
            <wp:extent cx="5182235" cy="2158365"/>
            <wp:effectExtent l="0" t="0" r="0" b="0"/>
            <wp:docPr id="31" name="Obraz 31" descr="Wykres 12. Salda odpowiedzi dotyczące wydatków inwestycyjnych gospodarstw rolnych według ukierunkowania produk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descr="Wykres 12. Salda odpowiedzi dotyczące wydatków inwestycyjnych gospodarstw rolnych według ukierunkowania produkcyjne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2235" cy="2158365"/>
                    </a:xfrm>
                    <a:prstGeom prst="rect">
                      <a:avLst/>
                    </a:prstGeom>
                    <a:noFill/>
                  </pic:spPr>
                </pic:pic>
              </a:graphicData>
            </a:graphic>
          </wp:inline>
        </w:drawing>
      </w:r>
    </w:p>
    <w:p w14:paraId="3531528A" w14:textId="77777777" w:rsidR="0068547F" w:rsidRPr="00185238" w:rsidRDefault="0068547F" w:rsidP="00484F8D">
      <w:pPr>
        <w:spacing w:before="120" w:after="120" w:line="288" w:lineRule="auto"/>
        <w:rPr>
          <w:rFonts w:ascii="Fira Sans" w:hAnsi="Fira Sans"/>
          <w:sz w:val="19"/>
          <w:szCs w:val="19"/>
        </w:rPr>
      </w:pPr>
      <w:r w:rsidRPr="00185238">
        <w:rPr>
          <w:rFonts w:ascii="Fira Sans" w:hAnsi="Fira Sans"/>
          <w:sz w:val="19"/>
          <w:szCs w:val="19"/>
        </w:rPr>
        <w:lastRenderedPageBreak/>
        <w:t>Wśród użytkowników gospodarstw rolnych w Polsce, niezależnie od kierunku produkcji, którzy ponosili wydatki inwestycyjne w 1 półroczu 2025 r., odnotowano przewagę odsetka rolników wskazujących na wzrost wydatków nad tymi, którzy zaobserwowali ich spadek. W</w:t>
      </w:r>
      <w:r>
        <w:rPr>
          <w:rFonts w:ascii="Fira Sans" w:hAnsi="Fira Sans"/>
          <w:sz w:val="19"/>
          <w:szCs w:val="19"/>
        </w:rPr>
        <w:t> </w:t>
      </w:r>
      <w:r w:rsidRPr="00185238">
        <w:rPr>
          <w:rFonts w:ascii="Fira Sans" w:hAnsi="Fira Sans"/>
          <w:sz w:val="19"/>
          <w:szCs w:val="19"/>
        </w:rPr>
        <w:t>rezultacie saldo odpowiedzi na pytanie o zmiany wielkości inwestycji było dodatnie i</w:t>
      </w:r>
      <w:r>
        <w:rPr>
          <w:rFonts w:ascii="Fira Sans" w:hAnsi="Fira Sans"/>
          <w:sz w:val="19"/>
          <w:szCs w:val="19"/>
        </w:rPr>
        <w:t> </w:t>
      </w:r>
      <w:r w:rsidRPr="00185238">
        <w:rPr>
          <w:rFonts w:ascii="Fira Sans" w:hAnsi="Fira Sans"/>
          <w:sz w:val="19"/>
          <w:szCs w:val="19"/>
        </w:rPr>
        <w:t>wyniosło 46,3. Co więcej, rolnicy, którzy planują podjęcie inwestycji w 2 półroczu br. w</w:t>
      </w:r>
      <w:r>
        <w:rPr>
          <w:rFonts w:ascii="Fira Sans" w:hAnsi="Fira Sans"/>
          <w:sz w:val="19"/>
          <w:szCs w:val="19"/>
        </w:rPr>
        <w:t> </w:t>
      </w:r>
      <w:r w:rsidRPr="00185238">
        <w:rPr>
          <w:rFonts w:ascii="Fira Sans" w:hAnsi="Fira Sans"/>
          <w:sz w:val="19"/>
          <w:szCs w:val="19"/>
        </w:rPr>
        <w:t>zdecydowanej większości przewidują ich dalszy wzrost.</w:t>
      </w:r>
    </w:p>
    <w:p w14:paraId="4D223254" w14:textId="769472D4" w:rsidR="00D67A76" w:rsidRPr="00185238" w:rsidRDefault="004F7033" w:rsidP="00484F8D">
      <w:pPr>
        <w:spacing w:before="120" w:after="120" w:line="288" w:lineRule="auto"/>
        <w:rPr>
          <w:rFonts w:ascii="Fira Sans" w:hAnsi="Fira Sans"/>
          <w:sz w:val="19"/>
          <w:szCs w:val="19"/>
        </w:rPr>
      </w:pPr>
      <w:r w:rsidRPr="00185238">
        <w:rPr>
          <w:rFonts w:ascii="Fira Sans" w:hAnsi="Fira Sans"/>
          <w:sz w:val="19"/>
          <w:szCs w:val="19"/>
        </w:rPr>
        <w:t>Uwzględniając powierzchnię użytków rolnych, wśród użytkowników gospodarstw rolnych, którzy ponosili wydatki inwestycyjne w 1 półroczu 2025 r., największą przewagę odsetka rolników wskazujących na wzrost wydatków nad tymi, którzy zaobserwowali ich spadek</w:t>
      </w:r>
      <w:r w:rsidR="00607BA6" w:rsidRPr="00185238">
        <w:rPr>
          <w:rFonts w:ascii="Fira Sans" w:hAnsi="Fira Sans"/>
          <w:sz w:val="19"/>
          <w:szCs w:val="19"/>
        </w:rPr>
        <w:t xml:space="preserve"> odnotowano w grupie gospodarstw o powierzchni 30-50 ha oraz 15-20 ha (saldo odpowiedzi odpowiednio 53,8 i 53,1). </w:t>
      </w:r>
      <w:r w:rsidR="007A7B75" w:rsidRPr="00185238">
        <w:rPr>
          <w:rFonts w:ascii="Fira Sans" w:hAnsi="Fira Sans"/>
          <w:sz w:val="19"/>
          <w:szCs w:val="19"/>
        </w:rPr>
        <w:t>Natomiast wśród rolników, którzy planują podjęcie inwestycji w</w:t>
      </w:r>
      <w:r w:rsidR="0068547F">
        <w:rPr>
          <w:rFonts w:ascii="Fira Sans" w:hAnsi="Fira Sans"/>
          <w:sz w:val="19"/>
          <w:szCs w:val="19"/>
        </w:rPr>
        <w:t> </w:t>
      </w:r>
      <w:r w:rsidR="007A7B75" w:rsidRPr="00185238">
        <w:rPr>
          <w:rFonts w:ascii="Fira Sans" w:hAnsi="Fira Sans"/>
          <w:sz w:val="19"/>
          <w:szCs w:val="19"/>
        </w:rPr>
        <w:t>2</w:t>
      </w:r>
      <w:r w:rsidR="0068547F">
        <w:rPr>
          <w:rFonts w:ascii="Fira Sans" w:hAnsi="Fira Sans"/>
          <w:sz w:val="19"/>
          <w:szCs w:val="19"/>
        </w:rPr>
        <w:t> </w:t>
      </w:r>
      <w:r w:rsidR="007A7B75" w:rsidRPr="00185238">
        <w:rPr>
          <w:rFonts w:ascii="Fira Sans" w:hAnsi="Fira Sans"/>
          <w:sz w:val="19"/>
          <w:szCs w:val="19"/>
        </w:rPr>
        <w:t xml:space="preserve">półroczu 2025 r., najczęściej wzrost wydatków przewidują użytkownicy gospodarstw najmniejszych, o powierzchni do 1 ha (saldo 75,1). </w:t>
      </w:r>
    </w:p>
    <w:p w14:paraId="33F1A4C5" w14:textId="77777777" w:rsidR="00CF70FD" w:rsidRPr="00185238" w:rsidRDefault="00CF70FD" w:rsidP="00E64B1E">
      <w:pPr>
        <w:spacing w:before="360" w:after="120"/>
        <w:rPr>
          <w:rFonts w:ascii="Fira Sans" w:hAnsi="Fira Sans"/>
          <w:b/>
          <w:color w:val="002060"/>
          <w:sz w:val="24"/>
          <w:szCs w:val="24"/>
        </w:rPr>
      </w:pPr>
      <w:r w:rsidRPr="00185238">
        <w:rPr>
          <w:rFonts w:ascii="Fira Sans" w:hAnsi="Fira Sans"/>
          <w:b/>
          <w:color w:val="002060"/>
          <w:sz w:val="24"/>
          <w:szCs w:val="24"/>
        </w:rPr>
        <w:t>Czynniki sprzyjające i ograniczające rozwój gospodarstw rolnych</w:t>
      </w:r>
    </w:p>
    <w:p w14:paraId="584AF4C1" w14:textId="77777777" w:rsidR="00BF19AC" w:rsidRPr="00185238" w:rsidRDefault="00402B65" w:rsidP="00484F8D">
      <w:pPr>
        <w:spacing w:before="120" w:after="120" w:line="288" w:lineRule="auto"/>
        <w:rPr>
          <w:rFonts w:ascii="Fira Sans" w:hAnsi="Fira Sans"/>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89792" behindDoc="1" locked="0" layoutInCell="1" allowOverlap="1" wp14:anchorId="25A5661E" wp14:editId="15F87084">
                <wp:simplePos x="0" y="0"/>
                <wp:positionH relativeFrom="page">
                  <wp:posOffset>5724525</wp:posOffset>
                </wp:positionH>
                <wp:positionV relativeFrom="paragraph">
                  <wp:posOffset>790575</wp:posOffset>
                </wp:positionV>
                <wp:extent cx="1800000" cy="1681200"/>
                <wp:effectExtent l="0" t="0" r="0" b="0"/>
                <wp:wrapTight wrapText="bothSides">
                  <wp:wrapPolygon edited="0">
                    <wp:start x="686" y="0"/>
                    <wp:lineTo x="686" y="21298"/>
                    <wp:lineTo x="20807" y="21298"/>
                    <wp:lineTo x="20807" y="0"/>
                    <wp:lineTo x="686" y="0"/>
                  </wp:wrapPolygon>
                </wp:wrapTight>
                <wp:docPr id="101584272" name="Pole tekstowe 101584272" descr="Dla gospodarstw rolnych specjalizujących się w produkcji roślinnej najważniejszym czynnikiem sprzyjającym rozwojowi gospodarstwa była możliwość korzystania ze wsparcia unijnego – wskazało ją 68% rolnik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681200"/>
                        </a:xfrm>
                        <a:prstGeom prst="rect">
                          <a:avLst/>
                        </a:prstGeom>
                        <a:noFill/>
                        <a:ln w="9525">
                          <a:noFill/>
                          <a:miter lim="800000"/>
                          <a:headEnd/>
                          <a:tailEnd/>
                        </a:ln>
                      </wps:spPr>
                      <wps:txbx>
                        <w:txbxContent>
                          <w:p w14:paraId="0333F564" w14:textId="2437D17B" w:rsidR="00402B65" w:rsidRPr="001F6FFE" w:rsidRDefault="00402B65" w:rsidP="00402B65">
                            <w:pPr>
                              <w:pStyle w:val="Tekstkomentarza"/>
                              <w:rPr>
                                <w:rFonts w:ascii="Fira Sans" w:hAnsi="Fira Sans"/>
                                <w:color w:val="002060"/>
                                <w:sz w:val="19"/>
                                <w:szCs w:val="19"/>
                              </w:rPr>
                            </w:pPr>
                            <w:r w:rsidRPr="009F1708">
                              <w:rPr>
                                <w:rFonts w:ascii="Fira Sans" w:eastAsia="Calibri" w:hAnsi="Fira Sans" w:cs="Times New Roman"/>
                                <w:bCs/>
                                <w:color w:val="002060"/>
                                <w:sz w:val="19"/>
                                <w:szCs w:val="19"/>
                              </w:rPr>
                              <w:t>Dla gospodarstw rolnych specjalizujących się w</w:t>
                            </w:r>
                            <w:r w:rsidR="00C926EB">
                              <w:rPr>
                                <w:rFonts w:ascii="Fira Sans" w:eastAsia="Calibri" w:hAnsi="Fira Sans" w:cs="Times New Roman"/>
                                <w:bCs/>
                                <w:color w:val="002060"/>
                                <w:sz w:val="19"/>
                                <w:szCs w:val="19"/>
                              </w:rPr>
                              <w:t> </w:t>
                            </w:r>
                            <w:r w:rsidRPr="009F1708">
                              <w:rPr>
                                <w:rFonts w:ascii="Fira Sans" w:eastAsia="Calibri" w:hAnsi="Fira Sans" w:cs="Times New Roman"/>
                                <w:bCs/>
                                <w:color w:val="002060"/>
                                <w:sz w:val="19"/>
                                <w:szCs w:val="19"/>
                              </w:rPr>
                              <w:t xml:space="preserve">produkcji roślinnej najważniejszym </w:t>
                            </w:r>
                            <w:r w:rsidR="00624272" w:rsidRPr="00624272">
                              <w:rPr>
                                <w:rFonts w:ascii="Fira Sans" w:eastAsia="Calibri" w:hAnsi="Fira Sans" w:cs="Times New Roman"/>
                                <w:bCs/>
                                <w:color w:val="002060"/>
                                <w:sz w:val="19"/>
                                <w:szCs w:val="19"/>
                              </w:rPr>
                              <w:t>czynniki</w:t>
                            </w:r>
                            <w:r w:rsidR="00624272">
                              <w:rPr>
                                <w:rFonts w:ascii="Fira Sans" w:eastAsia="Calibri" w:hAnsi="Fira Sans" w:cs="Times New Roman"/>
                                <w:bCs/>
                                <w:color w:val="002060"/>
                                <w:sz w:val="19"/>
                                <w:szCs w:val="19"/>
                              </w:rPr>
                              <w:t>em</w:t>
                            </w:r>
                            <w:r w:rsidR="00624272" w:rsidRPr="00624272">
                              <w:rPr>
                                <w:rFonts w:ascii="Fira Sans" w:eastAsia="Calibri" w:hAnsi="Fira Sans" w:cs="Times New Roman"/>
                                <w:bCs/>
                                <w:color w:val="002060"/>
                                <w:sz w:val="19"/>
                                <w:szCs w:val="19"/>
                              </w:rPr>
                              <w:t xml:space="preserve"> sprzyja</w:t>
                            </w:r>
                            <w:r w:rsidR="00624272">
                              <w:rPr>
                                <w:rFonts w:ascii="Fira Sans" w:eastAsia="Calibri" w:hAnsi="Fira Sans" w:cs="Times New Roman"/>
                                <w:bCs/>
                                <w:color w:val="002060"/>
                                <w:sz w:val="19"/>
                                <w:szCs w:val="19"/>
                              </w:rPr>
                              <w:t>jącym</w:t>
                            </w:r>
                            <w:r w:rsidR="00624272" w:rsidRPr="00624272">
                              <w:rPr>
                                <w:rFonts w:ascii="Fira Sans" w:eastAsia="Calibri" w:hAnsi="Fira Sans" w:cs="Times New Roman"/>
                                <w:bCs/>
                                <w:color w:val="002060"/>
                                <w:sz w:val="19"/>
                                <w:szCs w:val="19"/>
                              </w:rPr>
                              <w:t xml:space="preserve"> rozwojowi gospodarstwa</w:t>
                            </w:r>
                            <w:r w:rsidR="00624272">
                              <w:rPr>
                                <w:rFonts w:ascii="Fira Sans" w:eastAsia="Calibri" w:hAnsi="Fira Sans" w:cs="Times New Roman"/>
                                <w:bCs/>
                                <w:color w:val="002060"/>
                                <w:sz w:val="19"/>
                                <w:szCs w:val="19"/>
                              </w:rPr>
                              <w:t xml:space="preserve"> </w:t>
                            </w:r>
                            <w:r w:rsidRPr="007A7B75">
                              <w:rPr>
                                <w:rFonts w:ascii="Fira Sans" w:eastAsia="Calibri" w:hAnsi="Fira Sans" w:cs="Times New Roman"/>
                                <w:bCs/>
                                <w:color w:val="002060"/>
                                <w:sz w:val="19"/>
                                <w:szCs w:val="19"/>
                              </w:rPr>
                              <w:t>był</w:t>
                            </w:r>
                            <w:r w:rsidR="007A7B75" w:rsidRPr="007A7B75">
                              <w:rPr>
                                <w:rFonts w:ascii="Fira Sans" w:eastAsia="Calibri" w:hAnsi="Fira Sans" w:cs="Times New Roman"/>
                                <w:bCs/>
                                <w:color w:val="002060"/>
                                <w:sz w:val="19"/>
                                <w:szCs w:val="19"/>
                              </w:rPr>
                              <w:t xml:space="preserve">a możliwość korzystania ze </w:t>
                            </w:r>
                            <w:r w:rsidRPr="007A7B75">
                              <w:rPr>
                                <w:rFonts w:ascii="Fira Sans" w:eastAsia="Calibri" w:hAnsi="Fira Sans" w:cs="Times New Roman"/>
                                <w:bCs/>
                                <w:color w:val="002060"/>
                                <w:sz w:val="19"/>
                                <w:szCs w:val="19"/>
                              </w:rPr>
                              <w:t>wsparci</w:t>
                            </w:r>
                            <w:r w:rsidR="007A7B75" w:rsidRPr="007A7B75">
                              <w:rPr>
                                <w:rFonts w:ascii="Fira Sans" w:eastAsia="Calibri" w:hAnsi="Fira Sans" w:cs="Times New Roman"/>
                                <w:bCs/>
                                <w:color w:val="002060"/>
                                <w:sz w:val="19"/>
                                <w:szCs w:val="19"/>
                              </w:rPr>
                              <w:t>a</w:t>
                            </w:r>
                            <w:r w:rsidRPr="007A7B75">
                              <w:rPr>
                                <w:rFonts w:ascii="Fira Sans" w:eastAsia="Calibri" w:hAnsi="Fira Sans" w:cs="Times New Roman"/>
                                <w:bCs/>
                                <w:color w:val="002060"/>
                                <w:sz w:val="19"/>
                                <w:szCs w:val="19"/>
                              </w:rPr>
                              <w:t xml:space="preserve"> unijne</w:t>
                            </w:r>
                            <w:r w:rsidR="007A7B75" w:rsidRPr="007A7B75">
                              <w:rPr>
                                <w:rFonts w:ascii="Fira Sans" w:eastAsia="Calibri" w:hAnsi="Fira Sans" w:cs="Times New Roman"/>
                                <w:bCs/>
                                <w:color w:val="002060"/>
                                <w:sz w:val="19"/>
                                <w:szCs w:val="19"/>
                              </w:rPr>
                              <w:t>go</w:t>
                            </w:r>
                            <w:r w:rsidRPr="009F1708">
                              <w:rPr>
                                <w:rFonts w:ascii="Fira Sans" w:eastAsia="Calibri" w:hAnsi="Fira Sans" w:cs="Times New Roman"/>
                                <w:bCs/>
                                <w:color w:val="002060"/>
                                <w:sz w:val="19"/>
                                <w:szCs w:val="19"/>
                              </w:rPr>
                              <w:t xml:space="preserve"> – wskazało j</w:t>
                            </w:r>
                            <w:r w:rsidR="007A7B75">
                              <w:rPr>
                                <w:rFonts w:ascii="Fira Sans" w:eastAsia="Calibri" w:hAnsi="Fira Sans" w:cs="Times New Roman"/>
                                <w:bCs/>
                                <w:color w:val="002060"/>
                                <w:sz w:val="19"/>
                                <w:szCs w:val="19"/>
                              </w:rPr>
                              <w:t>ą</w:t>
                            </w:r>
                            <w:r w:rsidRPr="009F1708">
                              <w:rPr>
                                <w:rFonts w:ascii="Fira Sans" w:eastAsia="Calibri" w:hAnsi="Fira Sans" w:cs="Times New Roman"/>
                                <w:bCs/>
                                <w:color w:val="002060"/>
                                <w:sz w:val="19"/>
                                <w:szCs w:val="19"/>
                              </w:rPr>
                              <w:t xml:space="preserve"> 68% rolników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A5661E" id="Pole tekstowe 101584272" o:spid="_x0000_s1041" type="#_x0000_t202" alt="Dla gospodarstw rolnych specjalizujących się w produkcji roślinnej najważniejszym czynnikiem sprzyjającym rozwojowi gospodarstwa była możliwość korzystania ze wsparcia unijnego – wskazało ją 68% rolników" style="position:absolute;margin-left:450.75pt;margin-top:62.25pt;width:141.75pt;height:132.4pt;z-index:-250226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" filled="f" stroked="f">
                <v:textbox>
                  <w:txbxContent>
                    <w:p w14:paraId="0333F564" w14:textId="2437D17B" w:rsidR="00402B65" w:rsidRPr="001F6FFE" w:rsidRDefault="00402B65" w:rsidP="00402B65">
                      <w:pPr>
                        <w:pStyle w:val="Tekstkomentarza"/>
                        <w:rPr>
                          <w:rFonts w:ascii="Fira Sans" w:hAnsi="Fira Sans"/>
                          <w:color w:val="002060"/>
                          <w:sz w:val="19"/>
                          <w:szCs w:val="19"/>
                        </w:rPr>
                      </w:pPr>
                      <w:r w:rsidRPr="009F1708">
                        <w:rPr>
                          <w:rFonts w:ascii="Fira Sans" w:eastAsia="Calibri" w:hAnsi="Fira Sans" w:cs="Times New Roman"/>
                          <w:bCs/>
                          <w:color w:val="002060"/>
                          <w:sz w:val="19"/>
                          <w:szCs w:val="19"/>
                        </w:rPr>
                        <w:t>Dla gospodarstw rolnych specjalizujących się w</w:t>
                      </w:r>
                      <w:r w:rsidR="00C926EB">
                        <w:rPr>
                          <w:rFonts w:ascii="Fira Sans" w:eastAsia="Calibri" w:hAnsi="Fira Sans" w:cs="Times New Roman"/>
                          <w:bCs/>
                          <w:color w:val="002060"/>
                          <w:sz w:val="19"/>
                          <w:szCs w:val="19"/>
                        </w:rPr>
                        <w:t> </w:t>
                      </w:r>
                      <w:r w:rsidRPr="009F1708">
                        <w:rPr>
                          <w:rFonts w:ascii="Fira Sans" w:eastAsia="Calibri" w:hAnsi="Fira Sans" w:cs="Times New Roman"/>
                          <w:bCs/>
                          <w:color w:val="002060"/>
                          <w:sz w:val="19"/>
                          <w:szCs w:val="19"/>
                        </w:rPr>
                        <w:t xml:space="preserve">produkcji roślinnej najważniejszym </w:t>
                      </w:r>
                      <w:r w:rsidR="00624272" w:rsidRPr="00624272">
                        <w:rPr>
                          <w:rFonts w:ascii="Fira Sans" w:eastAsia="Calibri" w:hAnsi="Fira Sans" w:cs="Times New Roman"/>
                          <w:bCs/>
                          <w:color w:val="002060"/>
                          <w:sz w:val="19"/>
                          <w:szCs w:val="19"/>
                        </w:rPr>
                        <w:t>czynniki</w:t>
                      </w:r>
                      <w:r w:rsidR="00624272">
                        <w:rPr>
                          <w:rFonts w:ascii="Fira Sans" w:eastAsia="Calibri" w:hAnsi="Fira Sans" w:cs="Times New Roman"/>
                          <w:bCs/>
                          <w:color w:val="002060"/>
                          <w:sz w:val="19"/>
                          <w:szCs w:val="19"/>
                        </w:rPr>
                        <w:t>em</w:t>
                      </w:r>
                      <w:r w:rsidR="00624272" w:rsidRPr="00624272">
                        <w:rPr>
                          <w:rFonts w:ascii="Fira Sans" w:eastAsia="Calibri" w:hAnsi="Fira Sans" w:cs="Times New Roman"/>
                          <w:bCs/>
                          <w:color w:val="002060"/>
                          <w:sz w:val="19"/>
                          <w:szCs w:val="19"/>
                        </w:rPr>
                        <w:t xml:space="preserve"> sprzyja</w:t>
                      </w:r>
                      <w:r w:rsidR="00624272">
                        <w:rPr>
                          <w:rFonts w:ascii="Fira Sans" w:eastAsia="Calibri" w:hAnsi="Fira Sans" w:cs="Times New Roman"/>
                          <w:bCs/>
                          <w:color w:val="002060"/>
                          <w:sz w:val="19"/>
                          <w:szCs w:val="19"/>
                        </w:rPr>
                        <w:t>jącym</w:t>
                      </w:r>
                      <w:r w:rsidR="00624272" w:rsidRPr="00624272">
                        <w:rPr>
                          <w:rFonts w:ascii="Fira Sans" w:eastAsia="Calibri" w:hAnsi="Fira Sans" w:cs="Times New Roman"/>
                          <w:bCs/>
                          <w:color w:val="002060"/>
                          <w:sz w:val="19"/>
                          <w:szCs w:val="19"/>
                        </w:rPr>
                        <w:t xml:space="preserve"> rozwojowi gospodarstwa</w:t>
                      </w:r>
                      <w:r w:rsidR="00624272">
                        <w:rPr>
                          <w:rFonts w:ascii="Fira Sans" w:eastAsia="Calibri" w:hAnsi="Fira Sans" w:cs="Times New Roman"/>
                          <w:bCs/>
                          <w:color w:val="002060"/>
                          <w:sz w:val="19"/>
                          <w:szCs w:val="19"/>
                        </w:rPr>
                        <w:t xml:space="preserve"> </w:t>
                      </w:r>
                      <w:r w:rsidRPr="007A7B75">
                        <w:rPr>
                          <w:rFonts w:ascii="Fira Sans" w:eastAsia="Calibri" w:hAnsi="Fira Sans" w:cs="Times New Roman"/>
                          <w:bCs/>
                          <w:color w:val="002060"/>
                          <w:sz w:val="19"/>
                          <w:szCs w:val="19"/>
                        </w:rPr>
                        <w:t>był</w:t>
                      </w:r>
                      <w:r w:rsidR="007A7B75" w:rsidRPr="007A7B75">
                        <w:rPr>
                          <w:rFonts w:ascii="Fira Sans" w:eastAsia="Calibri" w:hAnsi="Fira Sans" w:cs="Times New Roman"/>
                          <w:bCs/>
                          <w:color w:val="002060"/>
                          <w:sz w:val="19"/>
                          <w:szCs w:val="19"/>
                        </w:rPr>
                        <w:t xml:space="preserve">a możliwość korzystania ze </w:t>
                      </w:r>
                      <w:r w:rsidRPr="007A7B75">
                        <w:rPr>
                          <w:rFonts w:ascii="Fira Sans" w:eastAsia="Calibri" w:hAnsi="Fira Sans" w:cs="Times New Roman"/>
                          <w:bCs/>
                          <w:color w:val="002060"/>
                          <w:sz w:val="19"/>
                          <w:szCs w:val="19"/>
                        </w:rPr>
                        <w:t>wsparci</w:t>
                      </w:r>
                      <w:r w:rsidR="007A7B75" w:rsidRPr="007A7B75">
                        <w:rPr>
                          <w:rFonts w:ascii="Fira Sans" w:eastAsia="Calibri" w:hAnsi="Fira Sans" w:cs="Times New Roman"/>
                          <w:bCs/>
                          <w:color w:val="002060"/>
                          <w:sz w:val="19"/>
                          <w:szCs w:val="19"/>
                        </w:rPr>
                        <w:t>a</w:t>
                      </w:r>
                      <w:r w:rsidRPr="007A7B75">
                        <w:rPr>
                          <w:rFonts w:ascii="Fira Sans" w:eastAsia="Calibri" w:hAnsi="Fira Sans" w:cs="Times New Roman"/>
                          <w:bCs/>
                          <w:color w:val="002060"/>
                          <w:sz w:val="19"/>
                          <w:szCs w:val="19"/>
                        </w:rPr>
                        <w:t xml:space="preserve"> unijne</w:t>
                      </w:r>
                      <w:r w:rsidR="007A7B75" w:rsidRPr="007A7B75">
                        <w:rPr>
                          <w:rFonts w:ascii="Fira Sans" w:eastAsia="Calibri" w:hAnsi="Fira Sans" w:cs="Times New Roman"/>
                          <w:bCs/>
                          <w:color w:val="002060"/>
                          <w:sz w:val="19"/>
                          <w:szCs w:val="19"/>
                        </w:rPr>
                        <w:t>go</w:t>
                      </w:r>
                      <w:r w:rsidRPr="009F1708">
                        <w:rPr>
                          <w:rFonts w:ascii="Fira Sans" w:eastAsia="Calibri" w:hAnsi="Fira Sans" w:cs="Times New Roman"/>
                          <w:bCs/>
                          <w:color w:val="002060"/>
                          <w:sz w:val="19"/>
                          <w:szCs w:val="19"/>
                        </w:rPr>
                        <w:t xml:space="preserve"> – wskazało j</w:t>
                      </w:r>
                      <w:r w:rsidR="007A7B75">
                        <w:rPr>
                          <w:rFonts w:ascii="Fira Sans" w:eastAsia="Calibri" w:hAnsi="Fira Sans" w:cs="Times New Roman"/>
                          <w:bCs/>
                          <w:color w:val="002060"/>
                          <w:sz w:val="19"/>
                          <w:szCs w:val="19"/>
                        </w:rPr>
                        <w:t>ą</w:t>
                      </w:r>
                      <w:r w:rsidRPr="009F1708">
                        <w:rPr>
                          <w:rFonts w:ascii="Fira Sans" w:eastAsia="Calibri" w:hAnsi="Fira Sans" w:cs="Times New Roman"/>
                          <w:bCs/>
                          <w:color w:val="002060"/>
                          <w:sz w:val="19"/>
                          <w:szCs w:val="19"/>
                        </w:rPr>
                        <w:t xml:space="preserve"> 68% rolników</w:t>
                      </w:r>
                    </w:p>
                  </w:txbxContent>
                </v:textbox>
                <w10:wrap type="tight" anchorx="page"/>
              </v:shape>
            </w:pict>
          </mc:Fallback>
        </mc:AlternateContent>
      </w:r>
      <w:r w:rsidR="00BF19AC" w:rsidRPr="00185238">
        <w:rPr>
          <w:rFonts w:ascii="Fira Sans" w:hAnsi="Fira Sans"/>
          <w:sz w:val="19"/>
          <w:szCs w:val="19"/>
        </w:rPr>
        <w:t>Według użytkowników gospodarstw rolnych najważniejszym czynnikiem sprzyjającym rozwojowi gospodarstw w 1 półroczu 2025 r. była możliwość korzystania ze wsparcia unijnego – wskazało ją 64,2% rolników biorących udział w badaniu. Na drugim miejscu znalazły się korzystne ceny sprzedawanych produktów rolnych, które zostały wskazane przez 20,3% respondentów jako istotny czynnik wspierający rozwój ich gospodarstw rolnych.</w:t>
      </w:r>
    </w:p>
    <w:p w14:paraId="4E9C6C20" w14:textId="251B3106" w:rsidR="00BF19AC" w:rsidRDefault="00BF19AC" w:rsidP="00484F8D">
      <w:pPr>
        <w:spacing w:before="120" w:after="120" w:line="288" w:lineRule="auto"/>
        <w:rPr>
          <w:rFonts w:ascii="Fira Sans" w:hAnsi="Fira Sans"/>
          <w:sz w:val="19"/>
          <w:szCs w:val="19"/>
        </w:rPr>
      </w:pPr>
      <w:r w:rsidRPr="00185238">
        <w:rPr>
          <w:rFonts w:ascii="Fira Sans" w:hAnsi="Fira Sans"/>
          <w:sz w:val="19"/>
          <w:szCs w:val="19"/>
        </w:rPr>
        <w:t xml:space="preserve">Biorąc pod uwagę rodzaj działalności gospodarstw rolnych, możliwość korzystania ze wsparcia unijnego była najczęściej wskazywanym czynnikiem rozwoju przez gospodarstwa specjalizujące się w produkcji roślinnej – 68,0% rolników w tej grupie uznało ją za najważniejsze źródło wsparcia. </w:t>
      </w:r>
      <w:r w:rsidR="00F840A5">
        <w:rPr>
          <w:rFonts w:ascii="Fira Sans" w:hAnsi="Fira Sans"/>
          <w:sz w:val="19"/>
          <w:szCs w:val="19"/>
        </w:rPr>
        <w:t>K</w:t>
      </w:r>
      <w:r w:rsidR="00F840A5" w:rsidRPr="00185238">
        <w:rPr>
          <w:rFonts w:ascii="Fira Sans" w:hAnsi="Fira Sans"/>
          <w:sz w:val="19"/>
          <w:szCs w:val="19"/>
        </w:rPr>
        <w:t xml:space="preserve">orzystne ceny sprzedawanych produktów rolnych </w:t>
      </w:r>
      <w:r w:rsidR="0031303D">
        <w:rPr>
          <w:rFonts w:ascii="Fira Sans" w:hAnsi="Fira Sans"/>
          <w:sz w:val="19"/>
          <w:szCs w:val="19"/>
        </w:rPr>
        <w:t xml:space="preserve">były z kolei </w:t>
      </w:r>
      <w:r w:rsidR="00F840A5">
        <w:rPr>
          <w:rFonts w:ascii="Fira Sans" w:hAnsi="Fira Sans"/>
          <w:sz w:val="19"/>
          <w:szCs w:val="19"/>
        </w:rPr>
        <w:t>najczęściej wymieniane przez użytkowników gospodarstw nastawionych</w:t>
      </w:r>
      <w:r w:rsidRPr="00185238">
        <w:rPr>
          <w:rFonts w:ascii="Fira Sans" w:hAnsi="Fira Sans"/>
          <w:sz w:val="19"/>
          <w:szCs w:val="19"/>
        </w:rPr>
        <w:t xml:space="preserve"> na produkcję zwierzęcą</w:t>
      </w:r>
      <w:r w:rsidR="00F840A5">
        <w:rPr>
          <w:rFonts w:ascii="Fira Sans" w:hAnsi="Fira Sans"/>
          <w:sz w:val="19"/>
          <w:szCs w:val="19"/>
        </w:rPr>
        <w:t xml:space="preserve"> (</w:t>
      </w:r>
      <w:r w:rsidR="00B46CA6">
        <w:rPr>
          <w:rFonts w:ascii="Fira Sans" w:hAnsi="Fira Sans"/>
          <w:sz w:val="19"/>
          <w:szCs w:val="19"/>
        </w:rPr>
        <w:t xml:space="preserve">przez </w:t>
      </w:r>
      <w:r w:rsidRPr="00185238">
        <w:rPr>
          <w:rFonts w:ascii="Fira Sans" w:hAnsi="Fira Sans"/>
          <w:sz w:val="19"/>
          <w:szCs w:val="19"/>
        </w:rPr>
        <w:t>37,1% gospodarstw</w:t>
      </w:r>
      <w:r w:rsidR="00F840A5">
        <w:rPr>
          <w:rFonts w:ascii="Fira Sans" w:hAnsi="Fira Sans"/>
          <w:sz w:val="19"/>
          <w:szCs w:val="19"/>
        </w:rPr>
        <w:t>)</w:t>
      </w:r>
      <w:r w:rsidRPr="00185238">
        <w:rPr>
          <w:rFonts w:ascii="Fira Sans" w:hAnsi="Fira Sans"/>
          <w:sz w:val="19"/>
          <w:szCs w:val="19"/>
        </w:rPr>
        <w:t xml:space="preserve">. Natomiast </w:t>
      </w:r>
      <w:r w:rsidR="00F840A5" w:rsidRPr="00185238">
        <w:rPr>
          <w:rFonts w:ascii="Fira Sans" w:hAnsi="Fira Sans"/>
          <w:sz w:val="19"/>
          <w:szCs w:val="19"/>
        </w:rPr>
        <w:t>dostępność kredytów preferencyjnych</w:t>
      </w:r>
      <w:r w:rsidR="00F840A5">
        <w:rPr>
          <w:rFonts w:ascii="Fira Sans" w:hAnsi="Fira Sans"/>
          <w:sz w:val="19"/>
          <w:szCs w:val="19"/>
        </w:rPr>
        <w:t xml:space="preserve"> najczęściej w</w:t>
      </w:r>
      <w:r w:rsidR="00B46CA6">
        <w:rPr>
          <w:rFonts w:ascii="Fira Sans" w:hAnsi="Fira Sans"/>
          <w:sz w:val="19"/>
          <w:szCs w:val="19"/>
        </w:rPr>
        <w:t>skazywa</w:t>
      </w:r>
      <w:r w:rsidR="0031303D">
        <w:rPr>
          <w:rFonts w:ascii="Fira Sans" w:hAnsi="Fira Sans"/>
          <w:sz w:val="19"/>
          <w:szCs w:val="19"/>
        </w:rPr>
        <w:t>li</w:t>
      </w:r>
      <w:r w:rsidR="00F840A5">
        <w:rPr>
          <w:rFonts w:ascii="Fira Sans" w:hAnsi="Fira Sans"/>
          <w:sz w:val="19"/>
          <w:szCs w:val="19"/>
        </w:rPr>
        <w:t xml:space="preserve"> </w:t>
      </w:r>
      <w:r w:rsidR="0031303D">
        <w:rPr>
          <w:rFonts w:ascii="Fira Sans" w:hAnsi="Fira Sans"/>
          <w:sz w:val="19"/>
          <w:szCs w:val="19"/>
        </w:rPr>
        <w:t>rolnicy</w:t>
      </w:r>
      <w:r w:rsidR="00F840A5">
        <w:rPr>
          <w:rFonts w:ascii="Fira Sans" w:hAnsi="Fira Sans"/>
          <w:sz w:val="19"/>
          <w:szCs w:val="19"/>
        </w:rPr>
        <w:t xml:space="preserve"> prowadzący</w:t>
      </w:r>
      <w:r w:rsidRPr="00185238">
        <w:rPr>
          <w:rFonts w:ascii="Fira Sans" w:hAnsi="Fira Sans"/>
          <w:sz w:val="19"/>
          <w:szCs w:val="19"/>
        </w:rPr>
        <w:t xml:space="preserve"> gospodarstwa wielokierunkow</w:t>
      </w:r>
      <w:r w:rsidR="00F840A5">
        <w:rPr>
          <w:rFonts w:ascii="Fira Sans" w:hAnsi="Fira Sans"/>
          <w:sz w:val="19"/>
          <w:szCs w:val="19"/>
        </w:rPr>
        <w:t>e (</w:t>
      </w:r>
      <w:r w:rsidR="0031303D" w:rsidRPr="0031303D">
        <w:rPr>
          <w:rFonts w:ascii="Fira Sans" w:hAnsi="Fira Sans"/>
          <w:sz w:val="19"/>
          <w:szCs w:val="19"/>
        </w:rPr>
        <w:t>jako istotny czynnik rozwoju wskazało ją 15,3%</w:t>
      </w:r>
      <w:r w:rsidRPr="00185238">
        <w:rPr>
          <w:rFonts w:ascii="Fira Sans" w:hAnsi="Fira Sans"/>
          <w:sz w:val="19"/>
          <w:szCs w:val="19"/>
        </w:rPr>
        <w:t xml:space="preserve"> </w:t>
      </w:r>
      <w:r w:rsidR="00B46CA6">
        <w:rPr>
          <w:rFonts w:ascii="Fira Sans" w:hAnsi="Fira Sans"/>
          <w:sz w:val="19"/>
          <w:szCs w:val="19"/>
        </w:rPr>
        <w:t>użytkowników gospodarstw</w:t>
      </w:r>
      <w:r w:rsidRPr="00185238">
        <w:rPr>
          <w:rFonts w:ascii="Fira Sans" w:hAnsi="Fira Sans"/>
          <w:sz w:val="19"/>
          <w:szCs w:val="19"/>
        </w:rPr>
        <w:t xml:space="preserve"> </w:t>
      </w:r>
      <w:r w:rsidR="0031303D">
        <w:rPr>
          <w:rFonts w:ascii="Fira Sans" w:hAnsi="Fira Sans"/>
          <w:sz w:val="19"/>
          <w:szCs w:val="19"/>
        </w:rPr>
        <w:t>rolnych</w:t>
      </w:r>
      <w:r w:rsidR="00F840A5">
        <w:rPr>
          <w:rFonts w:ascii="Fira Sans" w:hAnsi="Fira Sans"/>
          <w:sz w:val="19"/>
          <w:szCs w:val="19"/>
        </w:rPr>
        <w:t>)</w:t>
      </w:r>
      <w:r w:rsidRPr="00185238">
        <w:rPr>
          <w:rFonts w:ascii="Fira Sans" w:hAnsi="Fira Sans"/>
          <w:sz w:val="19"/>
          <w:szCs w:val="19"/>
        </w:rPr>
        <w:t>.</w:t>
      </w:r>
    </w:p>
    <w:p w14:paraId="57E2E048" w14:textId="77777777" w:rsidR="00A1764D" w:rsidRPr="00185238" w:rsidRDefault="00CF70FD" w:rsidP="00BF19AC">
      <w:pPr>
        <w:spacing w:before="360" w:after="120" w:line="240" w:lineRule="auto"/>
        <w:rPr>
          <w:rFonts w:ascii="Fira Sans" w:hAnsi="Fira Sans"/>
          <w:b/>
          <w:sz w:val="19"/>
          <w:szCs w:val="19"/>
        </w:rPr>
      </w:pPr>
      <w:r w:rsidRPr="00185238">
        <w:rPr>
          <w:rFonts w:ascii="Fira Sans" w:hAnsi="Fira Sans"/>
          <w:b/>
          <w:sz w:val="19"/>
          <w:szCs w:val="19"/>
        </w:rPr>
        <w:t xml:space="preserve">Wykres </w:t>
      </w:r>
      <w:r w:rsidR="001E07B6" w:rsidRPr="00185238">
        <w:rPr>
          <w:rFonts w:ascii="Fira Sans" w:hAnsi="Fira Sans"/>
          <w:b/>
          <w:sz w:val="19"/>
          <w:szCs w:val="19"/>
        </w:rPr>
        <w:t>13</w:t>
      </w:r>
      <w:r w:rsidRPr="00185238">
        <w:rPr>
          <w:rFonts w:ascii="Fira Sans" w:hAnsi="Fira Sans"/>
          <w:b/>
          <w:sz w:val="19"/>
          <w:szCs w:val="19"/>
        </w:rPr>
        <w:t xml:space="preserve">. Czynniki sprzyjające rozwojowi gospodarstw rolnych </w:t>
      </w:r>
      <w:r w:rsidR="00BF19AC" w:rsidRPr="00185238">
        <w:rPr>
          <w:rFonts w:ascii="Fira Sans" w:hAnsi="Fira Sans"/>
          <w:b/>
          <w:sz w:val="19"/>
          <w:szCs w:val="19"/>
        </w:rPr>
        <w:t>w 1 półroczu 2025 r.</w:t>
      </w:r>
    </w:p>
    <w:p w14:paraId="35C3033F" w14:textId="3B1A00F6" w:rsidR="00CF70FD" w:rsidRPr="00185238" w:rsidRDefault="00D62BAC" w:rsidP="005D28CA">
      <w:pPr>
        <w:spacing w:before="120" w:after="120" w:line="240" w:lineRule="auto"/>
        <w:rPr>
          <w:rFonts w:ascii="Fira Sans" w:hAnsi="Fira Sans"/>
          <w:b/>
          <w:sz w:val="19"/>
          <w:szCs w:val="19"/>
        </w:rPr>
      </w:pPr>
      <w:r>
        <w:rPr>
          <w:rFonts w:ascii="Fira Sans" w:hAnsi="Fira Sans"/>
          <w:b/>
          <w:noProof/>
          <w:sz w:val="19"/>
          <w:szCs w:val="19"/>
        </w:rPr>
        <w:drawing>
          <wp:inline distT="0" distB="0" distL="0" distR="0" wp14:anchorId="11F092A9" wp14:editId="425023EA">
            <wp:extent cx="5108575" cy="3084652"/>
            <wp:effectExtent l="0" t="0" r="0" b="1905"/>
            <wp:docPr id="27" name="Obraz 27" descr="Wykres 13. Czynniki sprzyjające rozwojowi gospodarstw rolnych w 1 półroczu 2025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Wykres 13. Czynniki sprzyjające rozwojowi gospodarstw rolnych w 1 półroczu 2025 r."/>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108575" cy="3084652"/>
                    </a:xfrm>
                    <a:prstGeom prst="rect">
                      <a:avLst/>
                    </a:prstGeom>
                    <a:noFill/>
                  </pic:spPr>
                </pic:pic>
              </a:graphicData>
            </a:graphic>
          </wp:inline>
        </w:drawing>
      </w:r>
    </w:p>
    <w:p w14:paraId="01AF0E37" w14:textId="77777777" w:rsidR="00484F8D" w:rsidRPr="00185238" w:rsidRDefault="00484F8D" w:rsidP="00484F8D">
      <w:pPr>
        <w:spacing w:before="120" w:after="120" w:line="288" w:lineRule="auto"/>
        <w:rPr>
          <w:rFonts w:ascii="Fira Sans" w:hAnsi="Fira Sans"/>
          <w:sz w:val="19"/>
          <w:szCs w:val="19"/>
        </w:rPr>
      </w:pPr>
      <w:r w:rsidRPr="00185238">
        <w:rPr>
          <w:rFonts w:ascii="Fira Sans" w:hAnsi="Fira Sans"/>
          <w:sz w:val="19"/>
          <w:szCs w:val="19"/>
        </w:rPr>
        <w:t xml:space="preserve">Uwzględniając wielkość gospodarstwa, największy odsetek rolników uznających możliwość korzystania ze wsparcia unijnego za najważniejszy czynnik rozwoju odnotowano wśród gospodarstw o powierzchni od 5 do 10 ha – 71,6%. Z kolei korzystne ceny sprzedawanych produktów rolnych najczęściej wskazywali użytkownicy gruntów o powierzchni od 50 do </w:t>
      </w:r>
      <w:r w:rsidRPr="00185238">
        <w:rPr>
          <w:rFonts w:ascii="Fira Sans" w:hAnsi="Fira Sans"/>
          <w:sz w:val="19"/>
          <w:szCs w:val="19"/>
        </w:rPr>
        <w:lastRenderedPageBreak/>
        <w:t>100</w:t>
      </w:r>
      <w:r>
        <w:rPr>
          <w:rFonts w:ascii="Fira Sans" w:hAnsi="Fira Sans"/>
          <w:sz w:val="19"/>
          <w:szCs w:val="19"/>
        </w:rPr>
        <w:t> </w:t>
      </w:r>
      <w:r w:rsidRPr="00185238">
        <w:rPr>
          <w:rFonts w:ascii="Fira Sans" w:hAnsi="Fira Sans"/>
          <w:sz w:val="19"/>
          <w:szCs w:val="19"/>
        </w:rPr>
        <w:t>ha (25,0%) oraz poniżej 2 ha (24,2%). Znaczącą rolę w rozwoju gospodarstw odgrywała również dostępność kredytów preferencyjnych, szczególnie dla rolników posiadających grunty o powierzchni powyżej 100 ha (30,9%), a także użytkowników gospodarstw o</w:t>
      </w:r>
      <w:r>
        <w:rPr>
          <w:rFonts w:ascii="Fira Sans" w:hAnsi="Fira Sans"/>
          <w:sz w:val="19"/>
          <w:szCs w:val="19"/>
        </w:rPr>
        <w:t> </w:t>
      </w:r>
      <w:r w:rsidRPr="00185238">
        <w:rPr>
          <w:rFonts w:ascii="Fira Sans" w:hAnsi="Fira Sans"/>
          <w:sz w:val="19"/>
          <w:szCs w:val="19"/>
        </w:rPr>
        <w:t xml:space="preserve">powierzchni od 50 do 100 ha (27,1%). </w:t>
      </w:r>
    </w:p>
    <w:p w14:paraId="1560609B" w14:textId="37E94FA0" w:rsidR="00BF19AC" w:rsidRPr="00185238" w:rsidRDefault="00BF19AC" w:rsidP="00484F8D">
      <w:pPr>
        <w:spacing w:before="120" w:after="120" w:line="288" w:lineRule="auto"/>
        <w:rPr>
          <w:rFonts w:ascii="Fira Sans" w:hAnsi="Fira Sans"/>
          <w:sz w:val="19"/>
          <w:szCs w:val="19"/>
        </w:rPr>
      </w:pPr>
      <w:r w:rsidRPr="00185238">
        <w:rPr>
          <w:rFonts w:ascii="Fira Sans" w:hAnsi="Fira Sans"/>
          <w:sz w:val="19"/>
          <w:szCs w:val="19"/>
        </w:rPr>
        <w:t xml:space="preserve">Niezależnie od rodzaju prowadzonej produkcji rolnej najczęściej wskazywanymi czynnikami ograniczającymi rozwój gospodarstw rolnych </w:t>
      </w:r>
      <w:r w:rsidR="00004D41" w:rsidRPr="00185238">
        <w:rPr>
          <w:rFonts w:ascii="Fira Sans" w:hAnsi="Fira Sans"/>
          <w:sz w:val="19"/>
          <w:szCs w:val="19"/>
        </w:rPr>
        <w:t xml:space="preserve">w 1 półroczu 2025 r. </w:t>
      </w:r>
      <w:r w:rsidRPr="00185238">
        <w:rPr>
          <w:rFonts w:ascii="Fira Sans" w:hAnsi="Fira Sans"/>
          <w:sz w:val="19"/>
          <w:szCs w:val="19"/>
        </w:rPr>
        <w:t>były zbyt wysokie koszty produkcji oraz zbyt niskie ceny zbytu produktów rolnych.</w:t>
      </w:r>
      <w:r w:rsidR="002D15D1" w:rsidRPr="00185238">
        <w:rPr>
          <w:rFonts w:ascii="Fira Sans" w:hAnsi="Fira Sans"/>
          <w:sz w:val="19"/>
          <w:szCs w:val="19"/>
        </w:rPr>
        <w:t xml:space="preserve"> </w:t>
      </w:r>
      <w:r w:rsidRPr="00185238">
        <w:rPr>
          <w:rFonts w:ascii="Fira Sans" w:hAnsi="Fira Sans"/>
          <w:sz w:val="19"/>
          <w:szCs w:val="19"/>
        </w:rPr>
        <w:t>Bariery te najczęściej wskazywali użytkownicy gospodarstw wielokierunkowych (odpowiednio 68,7%, 62,6%) oraz gospodarstw ukierunkowanych na produkcję roślinną (odpowiednio 68,1%, 63,3%).</w:t>
      </w:r>
      <w:r w:rsidR="002D15D1" w:rsidRPr="00185238">
        <w:rPr>
          <w:rFonts w:ascii="Fira Sans" w:hAnsi="Fira Sans"/>
          <w:sz w:val="19"/>
          <w:szCs w:val="19"/>
        </w:rPr>
        <w:t xml:space="preserve"> </w:t>
      </w:r>
      <w:r w:rsidRPr="00185238">
        <w:rPr>
          <w:rFonts w:ascii="Fira Sans" w:hAnsi="Fira Sans"/>
          <w:sz w:val="19"/>
          <w:szCs w:val="19"/>
        </w:rPr>
        <w:t>Ważnym utrudnieniem w prowadzeniu gospodarstwa były również niekorzystne warunki atmosferyczne, na które najczęściej zwracali uwagę rolnicy specjalizujący się w produkcji roślinnej (50,5%) oraz rolnicy z gospodarstw wielokierunkowych (43,4%).</w:t>
      </w:r>
      <w:r w:rsidR="00004D41" w:rsidRPr="00185238">
        <w:rPr>
          <w:rFonts w:ascii="Fira Sans" w:hAnsi="Fira Sans"/>
          <w:sz w:val="19"/>
          <w:szCs w:val="19"/>
        </w:rPr>
        <w:t xml:space="preserve"> </w:t>
      </w:r>
    </w:p>
    <w:p w14:paraId="2D66D02F" w14:textId="77777777" w:rsidR="005D28CA" w:rsidRPr="00185238" w:rsidRDefault="00CF70FD" w:rsidP="00BF19AC">
      <w:pPr>
        <w:spacing w:before="360" w:after="120" w:line="240" w:lineRule="auto"/>
        <w:rPr>
          <w:rFonts w:ascii="Fira Sans" w:hAnsi="Fira Sans"/>
          <w:b/>
          <w:sz w:val="19"/>
          <w:szCs w:val="19"/>
        </w:rPr>
      </w:pPr>
      <w:r w:rsidRPr="00185238">
        <w:rPr>
          <w:rFonts w:ascii="Fira Sans" w:hAnsi="Fira Sans"/>
          <w:b/>
          <w:sz w:val="19"/>
          <w:szCs w:val="19"/>
        </w:rPr>
        <w:t xml:space="preserve">Wykres </w:t>
      </w:r>
      <w:r w:rsidR="00A47D98" w:rsidRPr="00185238">
        <w:rPr>
          <w:rFonts w:ascii="Fira Sans" w:hAnsi="Fira Sans"/>
          <w:b/>
          <w:sz w:val="19"/>
          <w:szCs w:val="19"/>
        </w:rPr>
        <w:t>14</w:t>
      </w:r>
      <w:r w:rsidRPr="00185238">
        <w:rPr>
          <w:rFonts w:ascii="Fira Sans" w:hAnsi="Fira Sans"/>
          <w:b/>
          <w:sz w:val="19"/>
          <w:szCs w:val="19"/>
        </w:rPr>
        <w:t xml:space="preserve">. Czynniki ograniczające rozwój gospodarstwa rolnego </w:t>
      </w:r>
      <w:r w:rsidR="00BF19AC" w:rsidRPr="00185238">
        <w:rPr>
          <w:rFonts w:ascii="Fira Sans" w:hAnsi="Fira Sans"/>
          <w:b/>
          <w:sz w:val="19"/>
          <w:szCs w:val="19"/>
        </w:rPr>
        <w:t>w 1 półroczu 2025 r.</w:t>
      </w:r>
    </w:p>
    <w:p w14:paraId="5C4D658D" w14:textId="2BA68C51" w:rsidR="00BF19AC" w:rsidRPr="00185238" w:rsidRDefault="00402B65" w:rsidP="00D67A76">
      <w:pPr>
        <w:spacing w:before="120" w:after="120" w:line="240" w:lineRule="auto"/>
        <w:rPr>
          <w:rFonts w:ascii="Fira Sans" w:hAnsi="Fira Sans"/>
          <w:b/>
          <w:sz w:val="19"/>
          <w:szCs w:val="19"/>
        </w:rPr>
      </w:pPr>
      <w:r w:rsidRPr="00185238">
        <w:rPr>
          <w:noProof/>
          <w:color w:val="000000" w:themeColor="text1"/>
          <w:sz w:val="19"/>
          <w:szCs w:val="19"/>
          <w:lang w:eastAsia="pl-PL"/>
        </w:rPr>
        <mc:AlternateContent>
          <mc:Choice Requires="wps">
            <w:drawing>
              <wp:anchor distT="45720" distB="45720" distL="114300" distR="114300" simplePos="0" relativeHeight="253091840" behindDoc="1" locked="0" layoutInCell="1" allowOverlap="1" wp14:anchorId="34D26203" wp14:editId="72BCC91B">
                <wp:simplePos x="0" y="0"/>
                <wp:positionH relativeFrom="page">
                  <wp:posOffset>5724525</wp:posOffset>
                </wp:positionH>
                <wp:positionV relativeFrom="paragraph">
                  <wp:posOffset>521335</wp:posOffset>
                </wp:positionV>
                <wp:extent cx="1800000" cy="1404000"/>
                <wp:effectExtent l="0" t="0" r="0" b="5715"/>
                <wp:wrapTight wrapText="bothSides">
                  <wp:wrapPolygon edited="0">
                    <wp:start x="686" y="0"/>
                    <wp:lineTo x="686" y="21395"/>
                    <wp:lineTo x="20807" y="21395"/>
                    <wp:lineTo x="20807" y="0"/>
                    <wp:lineTo x="686" y="0"/>
                  </wp:wrapPolygon>
                </wp:wrapTight>
                <wp:docPr id="1652132722" name="Pole tekstowe 1652132722" descr="W opinii rolników w 1 półroczu 2025 r. głównymi czynnikami ograniczającymi rozwój gospodarstw były wysokie koszty produkcji i niskie ceny produktów roln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404000"/>
                        </a:xfrm>
                        <a:prstGeom prst="rect">
                          <a:avLst/>
                        </a:prstGeom>
                        <a:noFill/>
                        <a:ln w="9525">
                          <a:noFill/>
                          <a:miter lim="800000"/>
                          <a:headEnd/>
                          <a:tailEnd/>
                        </a:ln>
                      </wps:spPr>
                      <wps:txbx>
                        <w:txbxContent>
                          <w:p w14:paraId="3D814240" w14:textId="66711DF7" w:rsidR="00402B65" w:rsidRPr="001F6FFE" w:rsidRDefault="00402B65" w:rsidP="00402B65">
                            <w:pPr>
                              <w:pStyle w:val="Tekstkomentarza"/>
                              <w:rPr>
                                <w:rFonts w:ascii="Fira Sans" w:hAnsi="Fira Sans"/>
                                <w:color w:val="002060"/>
                                <w:sz w:val="19"/>
                                <w:szCs w:val="19"/>
                              </w:rPr>
                            </w:pPr>
                            <w:r w:rsidRPr="009F1708">
                              <w:rPr>
                                <w:rFonts w:ascii="Fira Sans" w:eastAsia="Calibri" w:hAnsi="Fira Sans" w:cs="Times New Roman"/>
                                <w:bCs/>
                                <w:color w:val="002060"/>
                                <w:sz w:val="19"/>
                                <w:szCs w:val="19"/>
                              </w:rPr>
                              <w:t xml:space="preserve">W </w:t>
                            </w:r>
                            <w:r w:rsidR="00712EE3">
                              <w:rPr>
                                <w:rFonts w:ascii="Fira Sans" w:eastAsia="Calibri" w:hAnsi="Fira Sans" w:cs="Times New Roman"/>
                                <w:bCs/>
                                <w:color w:val="002060"/>
                                <w:sz w:val="19"/>
                                <w:szCs w:val="19"/>
                              </w:rPr>
                              <w:t>opinii rolników w</w:t>
                            </w:r>
                            <w:r w:rsidR="00C926EB">
                              <w:rPr>
                                <w:rFonts w:ascii="Fira Sans" w:eastAsia="Calibri" w:hAnsi="Fira Sans" w:cs="Times New Roman"/>
                                <w:bCs/>
                                <w:color w:val="002060"/>
                                <w:sz w:val="19"/>
                                <w:szCs w:val="19"/>
                              </w:rPr>
                              <w:t> </w:t>
                            </w:r>
                            <w:r w:rsidRPr="009F1708">
                              <w:rPr>
                                <w:rFonts w:ascii="Fira Sans" w:eastAsia="Calibri" w:hAnsi="Fira Sans" w:cs="Times New Roman"/>
                                <w:bCs/>
                                <w:color w:val="002060"/>
                                <w:sz w:val="19"/>
                                <w:szCs w:val="19"/>
                              </w:rPr>
                              <w:t>1</w:t>
                            </w:r>
                            <w:r w:rsidR="00C926EB">
                              <w:rPr>
                                <w:rFonts w:ascii="Fira Sans" w:eastAsia="Calibri" w:hAnsi="Fira Sans" w:cs="Times New Roman"/>
                                <w:bCs/>
                                <w:color w:val="002060"/>
                                <w:sz w:val="19"/>
                                <w:szCs w:val="19"/>
                              </w:rPr>
                              <w:t> </w:t>
                            </w:r>
                            <w:r w:rsidRPr="009F1708">
                              <w:rPr>
                                <w:rFonts w:ascii="Fira Sans" w:eastAsia="Calibri" w:hAnsi="Fira Sans" w:cs="Times New Roman"/>
                                <w:bCs/>
                                <w:color w:val="002060"/>
                                <w:sz w:val="19"/>
                                <w:szCs w:val="19"/>
                              </w:rPr>
                              <w:t xml:space="preserve">półroczu 2025 r. głównymi czynnikami </w:t>
                            </w:r>
                            <w:r w:rsidR="00E20F26" w:rsidRPr="007A7B75">
                              <w:rPr>
                                <w:rFonts w:ascii="Fira Sans" w:eastAsia="Calibri" w:hAnsi="Fira Sans" w:cs="Times New Roman"/>
                                <w:bCs/>
                                <w:color w:val="002060"/>
                                <w:sz w:val="19"/>
                                <w:szCs w:val="19"/>
                              </w:rPr>
                              <w:t xml:space="preserve">ograniczającymi </w:t>
                            </w:r>
                            <w:r w:rsidRPr="009F1708">
                              <w:rPr>
                                <w:rFonts w:ascii="Fira Sans" w:eastAsia="Calibri" w:hAnsi="Fira Sans" w:cs="Times New Roman"/>
                                <w:bCs/>
                                <w:color w:val="002060"/>
                                <w:sz w:val="19"/>
                                <w:szCs w:val="19"/>
                              </w:rPr>
                              <w:t>rozwój gospodarstw były wysokie koszty produkcji i niskie ceny produktów rolnych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D26203" id="Pole tekstowe 1652132722" o:spid="_x0000_s1042" type="#_x0000_t202" alt="W opinii rolników w 1 półroczu 2025 r. głównymi czynnikami ograniczającymi rozwój gospodarstw były wysokie koszty produkcji i niskie ceny produktów rolnych" style="position:absolute;margin-left:450.75pt;margin-top:41.05pt;width:141.75pt;height:110.55pt;z-index:-250224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" filled="f" stroked="f">
                <v:textbox>
                  <w:txbxContent>
                    <w:p w14:paraId="3D814240" w14:textId="66711DF7" w:rsidR="00402B65" w:rsidRPr="001F6FFE" w:rsidRDefault="00402B65" w:rsidP="00402B65">
                      <w:pPr>
                        <w:pStyle w:val="Tekstkomentarza"/>
                        <w:rPr>
                          <w:rFonts w:ascii="Fira Sans" w:hAnsi="Fira Sans"/>
                          <w:color w:val="002060"/>
                          <w:sz w:val="19"/>
                          <w:szCs w:val="19"/>
                        </w:rPr>
                      </w:pPr>
                      <w:r w:rsidRPr="009F1708">
                        <w:rPr>
                          <w:rFonts w:ascii="Fira Sans" w:eastAsia="Calibri" w:hAnsi="Fira Sans" w:cs="Times New Roman"/>
                          <w:bCs/>
                          <w:color w:val="002060"/>
                          <w:sz w:val="19"/>
                          <w:szCs w:val="19"/>
                        </w:rPr>
                        <w:t xml:space="preserve">W </w:t>
                      </w:r>
                      <w:r w:rsidR="00712EE3">
                        <w:rPr>
                          <w:rFonts w:ascii="Fira Sans" w:eastAsia="Calibri" w:hAnsi="Fira Sans" w:cs="Times New Roman"/>
                          <w:bCs/>
                          <w:color w:val="002060"/>
                          <w:sz w:val="19"/>
                          <w:szCs w:val="19"/>
                        </w:rPr>
                        <w:t>opinii rolników w</w:t>
                      </w:r>
                      <w:r w:rsidR="00C926EB">
                        <w:rPr>
                          <w:rFonts w:ascii="Fira Sans" w:eastAsia="Calibri" w:hAnsi="Fira Sans" w:cs="Times New Roman"/>
                          <w:bCs/>
                          <w:color w:val="002060"/>
                          <w:sz w:val="19"/>
                          <w:szCs w:val="19"/>
                        </w:rPr>
                        <w:t> </w:t>
                      </w:r>
                      <w:r w:rsidRPr="009F1708">
                        <w:rPr>
                          <w:rFonts w:ascii="Fira Sans" w:eastAsia="Calibri" w:hAnsi="Fira Sans" w:cs="Times New Roman"/>
                          <w:bCs/>
                          <w:color w:val="002060"/>
                          <w:sz w:val="19"/>
                          <w:szCs w:val="19"/>
                        </w:rPr>
                        <w:t>1</w:t>
                      </w:r>
                      <w:r w:rsidR="00C926EB">
                        <w:rPr>
                          <w:rFonts w:ascii="Fira Sans" w:eastAsia="Calibri" w:hAnsi="Fira Sans" w:cs="Times New Roman"/>
                          <w:bCs/>
                          <w:color w:val="002060"/>
                          <w:sz w:val="19"/>
                          <w:szCs w:val="19"/>
                        </w:rPr>
                        <w:t> </w:t>
                      </w:r>
                      <w:r w:rsidRPr="009F1708">
                        <w:rPr>
                          <w:rFonts w:ascii="Fira Sans" w:eastAsia="Calibri" w:hAnsi="Fira Sans" w:cs="Times New Roman"/>
                          <w:bCs/>
                          <w:color w:val="002060"/>
                          <w:sz w:val="19"/>
                          <w:szCs w:val="19"/>
                        </w:rPr>
                        <w:t xml:space="preserve">półroczu 2025 r. głównymi czynnikami </w:t>
                      </w:r>
                      <w:r w:rsidR="00E20F26" w:rsidRPr="007A7B75">
                        <w:rPr>
                          <w:rFonts w:ascii="Fira Sans" w:eastAsia="Calibri" w:hAnsi="Fira Sans" w:cs="Times New Roman"/>
                          <w:bCs/>
                          <w:color w:val="002060"/>
                          <w:sz w:val="19"/>
                          <w:szCs w:val="19"/>
                        </w:rPr>
                        <w:t xml:space="preserve">ograniczającymi </w:t>
                      </w:r>
                      <w:r w:rsidRPr="009F1708">
                        <w:rPr>
                          <w:rFonts w:ascii="Fira Sans" w:eastAsia="Calibri" w:hAnsi="Fira Sans" w:cs="Times New Roman"/>
                          <w:bCs/>
                          <w:color w:val="002060"/>
                          <w:sz w:val="19"/>
                          <w:szCs w:val="19"/>
                        </w:rPr>
                        <w:t>rozwój gospodarstw były wysokie koszty produkcji i niskie ceny produktów rolnych</w:t>
                      </w:r>
                    </w:p>
                  </w:txbxContent>
                </v:textbox>
                <w10:wrap type="tight" anchorx="page"/>
              </v:shape>
            </w:pict>
          </mc:Fallback>
        </mc:AlternateContent>
      </w:r>
      <w:r w:rsidR="00D62BAC">
        <w:rPr>
          <w:rFonts w:ascii="Fira Sans" w:hAnsi="Fira Sans"/>
          <w:b/>
          <w:noProof/>
          <w:sz w:val="19"/>
          <w:szCs w:val="19"/>
        </w:rPr>
        <w:drawing>
          <wp:inline distT="0" distB="0" distL="0" distR="0" wp14:anchorId="28EC1DC5" wp14:editId="6A10AB18">
            <wp:extent cx="5114925" cy="3243580"/>
            <wp:effectExtent l="0" t="0" r="9525" b="0"/>
            <wp:docPr id="29" name="Obraz 29" descr="Wykres 14. Czynniki ograniczające rozwój gospodarstwa rolnego w 1 półroczu 2025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descr="Wykres 14. Czynniki ograniczające rozwój gospodarstwa rolnego w 1 półroczu 2025 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4925" cy="3243580"/>
                    </a:xfrm>
                    <a:prstGeom prst="rect">
                      <a:avLst/>
                    </a:prstGeom>
                    <a:noFill/>
                  </pic:spPr>
                </pic:pic>
              </a:graphicData>
            </a:graphic>
          </wp:inline>
        </w:drawing>
      </w:r>
    </w:p>
    <w:p w14:paraId="203DC132" w14:textId="4348B104" w:rsidR="002D15D1" w:rsidRPr="00185238" w:rsidRDefault="002D15D1" w:rsidP="00484F8D">
      <w:pPr>
        <w:spacing w:before="120" w:after="120" w:line="288" w:lineRule="auto"/>
        <w:rPr>
          <w:rFonts w:ascii="Fira Sans" w:hAnsi="Fira Sans"/>
          <w:sz w:val="19"/>
          <w:szCs w:val="19"/>
        </w:rPr>
      </w:pPr>
      <w:r w:rsidRPr="00185238">
        <w:rPr>
          <w:rFonts w:ascii="Fira Sans" w:hAnsi="Fira Sans"/>
          <w:bCs/>
          <w:sz w:val="19"/>
          <w:szCs w:val="19"/>
        </w:rPr>
        <w:t>Biorąc pod uwagę wielkość gospodarstwa, zbyt wysokie koszty produkcji najczęściej dotyczyły gospodarstw o powierzchni od 10 do 15 ha – 68,9% rolników z tej grupy uznało je za główną barierę rozwoju. Najrzadziej problem ten dotyczył gospodarstw najmniejszych, do</w:t>
      </w:r>
      <w:r w:rsidR="00E12CDC">
        <w:rPr>
          <w:rFonts w:ascii="Fira Sans" w:hAnsi="Fira Sans"/>
          <w:bCs/>
          <w:sz w:val="19"/>
          <w:szCs w:val="19"/>
        </w:rPr>
        <w:t> </w:t>
      </w:r>
      <w:r w:rsidRPr="00185238">
        <w:rPr>
          <w:rFonts w:ascii="Fira Sans" w:hAnsi="Fira Sans"/>
          <w:bCs/>
          <w:sz w:val="19"/>
          <w:szCs w:val="19"/>
        </w:rPr>
        <w:t>1</w:t>
      </w:r>
      <w:r w:rsidR="00E12CDC">
        <w:rPr>
          <w:rFonts w:ascii="Fira Sans" w:hAnsi="Fira Sans"/>
          <w:bCs/>
          <w:sz w:val="19"/>
          <w:szCs w:val="19"/>
        </w:rPr>
        <w:t> </w:t>
      </w:r>
      <w:r w:rsidRPr="00185238">
        <w:rPr>
          <w:rFonts w:ascii="Fira Sans" w:hAnsi="Fira Sans"/>
          <w:bCs/>
          <w:sz w:val="19"/>
          <w:szCs w:val="19"/>
        </w:rPr>
        <w:t>ha, gdzie odsetek odpowiedzi wyniósł 57,3%. Z kolei zbyt niskie ceny zbytu stanowiły największe utrudnienie przede wszystkim dla gospodarstw o powierzchni 100 ha i więcej, gdzie wskazało na nie 67,7% rolników</w:t>
      </w:r>
      <w:r w:rsidR="00004D41" w:rsidRPr="00185238">
        <w:rPr>
          <w:rFonts w:ascii="Fira Sans" w:hAnsi="Fira Sans"/>
          <w:bCs/>
          <w:sz w:val="19"/>
          <w:szCs w:val="19"/>
        </w:rPr>
        <w:t>.</w:t>
      </w:r>
      <w:r w:rsidRPr="00185238">
        <w:rPr>
          <w:rFonts w:ascii="Segoe UI" w:hAnsi="Segoe UI" w:cs="Segoe UI"/>
          <w:sz w:val="18"/>
          <w:szCs w:val="18"/>
        </w:rPr>
        <w:t xml:space="preserve"> </w:t>
      </w:r>
      <w:r w:rsidRPr="00185238">
        <w:rPr>
          <w:rFonts w:ascii="Fira Sans" w:hAnsi="Fira Sans"/>
          <w:bCs/>
          <w:sz w:val="19"/>
          <w:szCs w:val="19"/>
        </w:rPr>
        <w:t>W najmniejszych gospodarstwach, do 1 ha, bariera ta była wymieniana najrzadziej – przez 44,3% respondentów. Natomiast niekorzystne warunki atmosferyczne były największym utrudnieniem dla gospodarstw o powierzchni od 1 do 2 ha, gdzie 52,0% rolników uznało ją za główną barierę w rozwoju.</w:t>
      </w:r>
    </w:p>
    <w:p w14:paraId="19FA2283" w14:textId="77777777" w:rsidR="00F32B43" w:rsidRDefault="00F32B43">
      <w:pPr>
        <w:spacing w:line="259" w:lineRule="auto"/>
        <w:rPr>
          <w:rFonts w:ascii="Fira Sans" w:hAnsi="Fira Sans"/>
          <w:b/>
          <w:color w:val="002060"/>
          <w:sz w:val="24"/>
          <w:szCs w:val="24"/>
        </w:rPr>
      </w:pPr>
      <w:bookmarkStart w:id="3" w:name="_Hlk209422805"/>
      <w:r>
        <w:rPr>
          <w:rFonts w:ascii="Fira Sans" w:hAnsi="Fira Sans"/>
          <w:b/>
          <w:color w:val="002060"/>
          <w:sz w:val="24"/>
          <w:szCs w:val="24"/>
        </w:rPr>
        <w:br w:type="page"/>
      </w:r>
    </w:p>
    <w:p w14:paraId="7C294F03" w14:textId="6489EA9B" w:rsidR="00CF70FD" w:rsidRPr="00185238" w:rsidRDefault="00CF70FD" w:rsidP="00185238">
      <w:pPr>
        <w:spacing w:before="360" w:after="120"/>
        <w:rPr>
          <w:rFonts w:ascii="Fira Sans" w:hAnsi="Fira Sans"/>
          <w:b/>
          <w:color w:val="002060"/>
          <w:sz w:val="24"/>
          <w:szCs w:val="24"/>
        </w:rPr>
      </w:pPr>
      <w:r w:rsidRPr="00185238">
        <w:rPr>
          <w:rFonts w:ascii="Fira Sans" w:hAnsi="Fira Sans"/>
          <w:b/>
          <w:color w:val="002060"/>
          <w:sz w:val="24"/>
          <w:szCs w:val="24"/>
        </w:rPr>
        <w:lastRenderedPageBreak/>
        <w:t>Wpływ nadzwyczajnych czynników na sytuację gospodarstw rolnych</w:t>
      </w:r>
    </w:p>
    <w:p w14:paraId="57C91A9A" w14:textId="77777777" w:rsidR="00252D23" w:rsidRPr="00185238" w:rsidRDefault="00252D23" w:rsidP="00A47D98">
      <w:pPr>
        <w:spacing w:before="360" w:after="120"/>
        <w:rPr>
          <w:rFonts w:ascii="Fira Sans" w:hAnsi="Fira Sans"/>
          <w:b/>
          <w:color w:val="002060"/>
          <w:sz w:val="19"/>
          <w:szCs w:val="19"/>
        </w:rPr>
      </w:pPr>
      <w:r w:rsidRPr="00185238">
        <w:rPr>
          <w:rFonts w:ascii="Fira Sans" w:hAnsi="Fira Sans"/>
          <w:b/>
          <w:color w:val="002060"/>
          <w:sz w:val="19"/>
          <w:szCs w:val="19"/>
        </w:rPr>
        <w:t>Wojna w Ukrainie</w:t>
      </w:r>
    </w:p>
    <w:p w14:paraId="5E273EE1" w14:textId="055BEB72" w:rsidR="00F32B43" w:rsidRPr="00F32B43" w:rsidRDefault="00F32B43" w:rsidP="00F32B43">
      <w:pPr>
        <w:spacing w:before="120" w:after="120" w:line="288" w:lineRule="auto"/>
        <w:rPr>
          <w:rFonts w:ascii="Fira Sans" w:eastAsia="Calibri" w:hAnsi="Fira Sans" w:cs="Times New Roman"/>
          <w:sz w:val="19"/>
          <w:szCs w:val="19"/>
        </w:rPr>
      </w:pPr>
      <w:r w:rsidRPr="00F32B43">
        <w:rPr>
          <w:rFonts w:ascii="Fira Sans" w:eastAsia="Calibri" w:hAnsi="Fira Sans" w:cs="Times New Roman"/>
          <w:color w:val="000000"/>
          <w:sz w:val="19"/>
          <w:szCs w:val="19"/>
        </w:rPr>
        <w:t xml:space="preserve">Od stycznia 2024 </w:t>
      </w:r>
      <w:r w:rsidRPr="00F32B43">
        <w:rPr>
          <w:rFonts w:ascii="Fira Sans" w:eastAsia="Calibri" w:hAnsi="Fira Sans" w:cs="Times New Roman"/>
          <w:sz w:val="19"/>
          <w:szCs w:val="19"/>
        </w:rPr>
        <w:t>r. obserwuje się stopniowe łagodzenie ocen negatywnych skutków wojny w</w:t>
      </w:r>
      <w:r>
        <w:rPr>
          <w:rFonts w:ascii="Fira Sans" w:eastAsia="Calibri" w:hAnsi="Fira Sans" w:cs="Times New Roman"/>
          <w:sz w:val="19"/>
          <w:szCs w:val="19"/>
        </w:rPr>
        <w:t> </w:t>
      </w:r>
      <w:r w:rsidRPr="00F32B43">
        <w:rPr>
          <w:rFonts w:ascii="Fira Sans" w:eastAsia="Calibri" w:hAnsi="Fira Sans" w:cs="Times New Roman"/>
          <w:sz w:val="19"/>
          <w:szCs w:val="19"/>
        </w:rPr>
        <w:t xml:space="preserve">Ukrainie na funkcjonowanie gospodarstw rolnych. </w:t>
      </w:r>
    </w:p>
    <w:p w14:paraId="22A43673" w14:textId="77777777" w:rsidR="00F32B43" w:rsidRPr="00F32B43" w:rsidRDefault="00F32B43" w:rsidP="00F32B43">
      <w:pPr>
        <w:spacing w:before="120" w:after="120" w:line="288" w:lineRule="auto"/>
        <w:rPr>
          <w:rFonts w:ascii="Fira Sans" w:eastAsia="Calibri" w:hAnsi="Fira Sans" w:cs="Times New Roman"/>
          <w:sz w:val="19"/>
          <w:szCs w:val="19"/>
        </w:rPr>
      </w:pPr>
      <w:r w:rsidRPr="00F32B43">
        <w:rPr>
          <w:rFonts w:ascii="Fira Sans" w:eastAsia="Calibri" w:hAnsi="Fira Sans" w:cs="Times New Roman"/>
          <w:sz w:val="19"/>
          <w:szCs w:val="19"/>
        </w:rPr>
        <w:t>W lipcu br. 34,0% rolników wskazało na brak negatywnych skutków konfliktu, co oznacza wzrost w porównaniu z 2 półroczem 2024 r. o 5,5 p.proc, a w skali roku – o 12,9 p.proc.</w:t>
      </w:r>
    </w:p>
    <w:p w14:paraId="10C9A529" w14:textId="481E9EB5" w:rsidR="00F32B43" w:rsidRPr="00F32B43" w:rsidRDefault="00F32B43" w:rsidP="00F32B43">
      <w:pPr>
        <w:spacing w:before="120" w:after="120" w:line="288" w:lineRule="auto"/>
        <w:rPr>
          <w:rFonts w:ascii="Fira Sans" w:eastAsia="Calibri" w:hAnsi="Fira Sans" w:cs="Times New Roman"/>
          <w:sz w:val="19"/>
          <w:szCs w:val="19"/>
        </w:rPr>
      </w:pPr>
      <w:r w:rsidRPr="00F32B43">
        <w:rPr>
          <w:rFonts w:ascii="Fira Sans" w:eastAsia="Calibri" w:hAnsi="Fira Sans" w:cs="Times New Roman"/>
          <w:sz w:val="19"/>
          <w:szCs w:val="19"/>
        </w:rPr>
        <w:t>Coraz częściej rolnicy oceniają także, że wojna ma jedynie nieznaczny wpływ na prowadzenie gospodarstwa. Taką opinię wyraziło 32,6% badanych, czyli o 0,2 p.proc. więcej niż w</w:t>
      </w:r>
      <w:r>
        <w:rPr>
          <w:rFonts w:ascii="Fira Sans" w:eastAsia="Calibri" w:hAnsi="Fira Sans" w:cs="Times New Roman"/>
          <w:sz w:val="19"/>
          <w:szCs w:val="19"/>
        </w:rPr>
        <w:t> </w:t>
      </w:r>
      <w:r w:rsidRPr="00F32B43">
        <w:rPr>
          <w:rFonts w:ascii="Fira Sans" w:eastAsia="Calibri" w:hAnsi="Fira Sans" w:cs="Times New Roman"/>
          <w:sz w:val="19"/>
          <w:szCs w:val="19"/>
        </w:rPr>
        <w:t>poprzedniej edycji badania oraz o 4,6 p.proc. więcej w porównaniu rok do roku.</w:t>
      </w:r>
    </w:p>
    <w:p w14:paraId="22D1BF08" w14:textId="77777777" w:rsidR="00F32B43" w:rsidRPr="00F32B43" w:rsidRDefault="00F32B43" w:rsidP="00F32B43">
      <w:pPr>
        <w:spacing w:before="120" w:after="120" w:line="288" w:lineRule="auto"/>
        <w:rPr>
          <w:rFonts w:ascii="Fira Sans" w:eastAsia="Calibri" w:hAnsi="Fira Sans" w:cs="Times New Roman"/>
          <w:sz w:val="19"/>
          <w:szCs w:val="19"/>
        </w:rPr>
      </w:pPr>
      <w:r w:rsidRPr="00F32B43">
        <w:rPr>
          <w:rFonts w:ascii="Fira Sans" w:eastAsia="Calibri" w:hAnsi="Fira Sans" w:cs="Times New Roman"/>
          <w:sz w:val="19"/>
          <w:szCs w:val="19"/>
        </w:rPr>
        <w:t>Pozytywne zmiany widoczne są także w zakresie poważnych skutków konfliktu. W lipcu br. 19,0% rolników uznało, że wojna poważnie wpływa na funkcjonowanie ich gospodarstw, co oznacza spadek o 3,9 p.proc. w porównaniu z poprzednim półroczem i o 9,4 p.proc. w ujęciu rocznym.</w:t>
      </w:r>
    </w:p>
    <w:p w14:paraId="639A6507" w14:textId="77777777" w:rsidR="00F32B43" w:rsidRPr="00F32B43" w:rsidRDefault="00F32B43" w:rsidP="00F32B43">
      <w:pPr>
        <w:spacing w:before="120" w:after="120" w:line="288" w:lineRule="auto"/>
        <w:rPr>
          <w:rFonts w:ascii="Fira Sans" w:eastAsia="Calibri" w:hAnsi="Fira Sans" w:cs="Times New Roman"/>
          <w:sz w:val="19"/>
          <w:szCs w:val="19"/>
        </w:rPr>
      </w:pPr>
      <w:r w:rsidRPr="00F32B43">
        <w:rPr>
          <w:rFonts w:ascii="Fira Sans" w:eastAsia="Calibri" w:hAnsi="Fira Sans" w:cs="Times New Roman"/>
          <w:sz w:val="19"/>
          <w:szCs w:val="19"/>
        </w:rPr>
        <w:t xml:space="preserve">Dodatkowo zmniejszył się odsetek rolników, którzy postrzegają wojnę za czynnik zagrażający stabilności ich gospodarstw. W lipcu br. taką opinię wyraziło 14,4% badanych, co oznacza spadek o 1,8 p.proc. w porównaniu z 2 półroczem 2024 r. oraz o 8,1 p.proc. w skali roku. </w:t>
      </w:r>
    </w:p>
    <w:p w14:paraId="1D5508B5" w14:textId="77777777" w:rsidR="005D28CA" w:rsidRPr="00185238" w:rsidRDefault="00CF70FD" w:rsidP="00F32B43">
      <w:pPr>
        <w:spacing w:before="360" w:after="120" w:line="240" w:lineRule="auto"/>
        <w:rPr>
          <w:rFonts w:ascii="Fira Sans" w:hAnsi="Fira Sans"/>
          <w:b/>
          <w:sz w:val="18"/>
        </w:rPr>
      </w:pPr>
      <w:r w:rsidRPr="00185238">
        <w:rPr>
          <w:rFonts w:ascii="Fira Sans" w:hAnsi="Fira Sans"/>
          <w:b/>
          <w:sz w:val="18"/>
        </w:rPr>
        <w:t xml:space="preserve">Wykres </w:t>
      </w:r>
      <w:r w:rsidR="00B73A3E" w:rsidRPr="00185238">
        <w:rPr>
          <w:rFonts w:ascii="Fira Sans" w:hAnsi="Fira Sans"/>
          <w:b/>
          <w:sz w:val="18"/>
        </w:rPr>
        <w:t>1</w:t>
      </w:r>
      <w:r w:rsidR="001E07B6" w:rsidRPr="00185238">
        <w:rPr>
          <w:rFonts w:ascii="Fira Sans" w:hAnsi="Fira Sans"/>
          <w:b/>
          <w:sz w:val="18"/>
        </w:rPr>
        <w:t>5</w:t>
      </w:r>
      <w:r w:rsidRPr="00185238">
        <w:rPr>
          <w:rFonts w:ascii="Fira Sans" w:hAnsi="Fira Sans"/>
          <w:b/>
          <w:sz w:val="18"/>
        </w:rPr>
        <w:t xml:space="preserve">. Wpływ wojny w Ukrainie na gospodarstwa rolne w </w:t>
      </w:r>
      <w:r w:rsidR="00CC51C5" w:rsidRPr="00185238">
        <w:rPr>
          <w:rFonts w:ascii="Fira Sans" w:hAnsi="Fira Sans"/>
          <w:b/>
          <w:sz w:val="18"/>
        </w:rPr>
        <w:t>1</w:t>
      </w:r>
      <w:r w:rsidRPr="00185238">
        <w:rPr>
          <w:rFonts w:ascii="Fira Sans" w:hAnsi="Fira Sans"/>
          <w:b/>
          <w:sz w:val="18"/>
        </w:rPr>
        <w:t xml:space="preserve"> półroczu 202</w:t>
      </w:r>
      <w:r w:rsidR="00CC51C5" w:rsidRPr="00185238">
        <w:rPr>
          <w:rFonts w:ascii="Fira Sans" w:hAnsi="Fira Sans"/>
          <w:b/>
          <w:sz w:val="18"/>
        </w:rPr>
        <w:t>5</w:t>
      </w:r>
      <w:r w:rsidRPr="00185238">
        <w:rPr>
          <w:rFonts w:ascii="Fira Sans" w:hAnsi="Fira Sans"/>
          <w:b/>
          <w:sz w:val="18"/>
        </w:rPr>
        <w:t xml:space="preserve"> r. – struktura odpowiedzi (%)</w:t>
      </w:r>
    </w:p>
    <w:p w14:paraId="623BB802" w14:textId="58B48364" w:rsidR="00CF70FD" w:rsidRPr="00185238" w:rsidRDefault="00D62BAC" w:rsidP="005D28CA">
      <w:pPr>
        <w:spacing w:before="120" w:after="120" w:line="259" w:lineRule="auto"/>
        <w:rPr>
          <w:rFonts w:ascii="Fira Sans" w:hAnsi="Fira Sans"/>
          <w:b/>
          <w:sz w:val="18"/>
        </w:rPr>
      </w:pPr>
      <w:r>
        <w:rPr>
          <w:rFonts w:ascii="Fira Sans" w:hAnsi="Fira Sans"/>
          <w:b/>
          <w:noProof/>
          <w:sz w:val="18"/>
        </w:rPr>
        <w:drawing>
          <wp:inline distT="0" distB="0" distL="0" distR="0" wp14:anchorId="3AFC77E2" wp14:editId="72973EF7">
            <wp:extent cx="5112000" cy="2757236"/>
            <wp:effectExtent l="0" t="0" r="0" b="0"/>
            <wp:docPr id="30" name="Obraz 30" descr="Wykres 15. Wpływ wojny w Ukrainie na gospodarstwa rolne w 1 półroczu 2025 r. – struktura odpowiedzi (%), w latach 2022-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30" descr="Wykres 15. Wpływ wojny w Ukrainie na gospodarstwa rolne w 1 półroczu 2025 r. – struktura odpowiedzi (%), w latach 2022-2025"/>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12000" cy="2757236"/>
                    </a:xfrm>
                    <a:prstGeom prst="rect">
                      <a:avLst/>
                    </a:prstGeom>
                    <a:noFill/>
                  </pic:spPr>
                </pic:pic>
              </a:graphicData>
            </a:graphic>
          </wp:inline>
        </w:drawing>
      </w:r>
    </w:p>
    <w:p w14:paraId="44643EDC" w14:textId="2C0ACC24" w:rsidR="005462CC" w:rsidRDefault="005462CC" w:rsidP="001B64A6">
      <w:pPr>
        <w:spacing w:before="120" w:after="120"/>
        <w:rPr>
          <w:rFonts w:ascii="Fira Sans" w:hAnsi="Fira Sans"/>
          <w:sz w:val="19"/>
          <w:szCs w:val="19"/>
        </w:rPr>
      </w:pPr>
    </w:p>
    <w:p w14:paraId="35463EAC" w14:textId="62DF0BCC" w:rsidR="00F32B43" w:rsidRDefault="00F32B43" w:rsidP="001B64A6">
      <w:pPr>
        <w:spacing w:before="120" w:after="120"/>
        <w:rPr>
          <w:rFonts w:ascii="Fira Sans" w:hAnsi="Fira Sans"/>
          <w:sz w:val="19"/>
          <w:szCs w:val="19"/>
        </w:rPr>
      </w:pPr>
    </w:p>
    <w:p w14:paraId="21D47D9C" w14:textId="77777777" w:rsidR="00F32B43" w:rsidRPr="00185238" w:rsidRDefault="00F32B43" w:rsidP="001B64A6">
      <w:pPr>
        <w:spacing w:before="120" w:after="120"/>
        <w:rPr>
          <w:rFonts w:ascii="Fira Sans" w:hAnsi="Fira Sans"/>
          <w:sz w:val="19"/>
          <w:szCs w:val="19"/>
        </w:rPr>
      </w:pPr>
    </w:p>
    <w:p w14:paraId="3C361DB2" w14:textId="77777777" w:rsidR="005462CC" w:rsidRPr="00185238" w:rsidRDefault="005462CC" w:rsidP="001B64A6">
      <w:pPr>
        <w:spacing w:before="120" w:after="120"/>
        <w:rPr>
          <w:rFonts w:ascii="Fira Sans" w:hAnsi="Fira Sans"/>
          <w:sz w:val="19"/>
          <w:szCs w:val="19"/>
        </w:rPr>
      </w:pPr>
    </w:p>
    <w:bookmarkEnd w:id="3"/>
    <w:p w14:paraId="3272434A" w14:textId="77777777" w:rsidR="00CC51C5" w:rsidRPr="00185238" w:rsidRDefault="00CC51C5" w:rsidP="00CC51C5">
      <w:pPr>
        <w:spacing w:line="259" w:lineRule="auto"/>
        <w:rPr>
          <w:rFonts w:ascii="Fira Sans" w:eastAsia="Times New Roman" w:hAnsi="Fira Sans" w:cs="Times New Roman"/>
          <w:bCs/>
          <w:sz w:val="19"/>
          <w:szCs w:val="19"/>
          <w:lang w:eastAsia="pl-PL"/>
        </w:rPr>
      </w:pPr>
    </w:p>
    <w:p w14:paraId="648C2E52" w14:textId="77777777" w:rsidR="00CF70FD" w:rsidRPr="00185238" w:rsidRDefault="0035647F" w:rsidP="00F32B43">
      <w:pPr>
        <w:spacing w:before="240" w:after="240" w:line="288" w:lineRule="auto"/>
        <w:rPr>
          <w:rFonts w:ascii="Fira Sans" w:eastAsia="Times New Roman" w:hAnsi="Fira Sans" w:cs="Times New Roman"/>
          <w:bCs/>
          <w:sz w:val="19"/>
          <w:szCs w:val="19"/>
          <w:lang w:eastAsia="pl-PL"/>
        </w:rPr>
      </w:pPr>
      <w:r w:rsidRPr="00185238">
        <w:rPr>
          <w:rFonts w:ascii="Fira Sans" w:eastAsia="Times New Roman" w:hAnsi="Fira Sans" w:cs="Times New Roman"/>
          <w:bCs/>
          <w:sz w:val="19"/>
          <w:szCs w:val="19"/>
          <w:lang w:eastAsia="pl-PL"/>
        </w:rPr>
        <w:t>W przypadku cytowania danych Głównego Urzędu Statystycznego prosimy o zamieszczenie informacji: „Źródło danych GUS”, a w przypadku publikowania obliczeń dokonanych na danych opublikowanych przez GUS prosimy o zamieszczenie informacji: „Opracowanie własne na podstawie danych GUS”.</w:t>
      </w:r>
    </w:p>
    <w:p w14:paraId="70D9E1B8" w14:textId="77777777" w:rsidR="00CF70FD" w:rsidRPr="00185238" w:rsidRDefault="00CF70FD" w:rsidP="00D208DD">
      <w:pPr>
        <w:spacing w:before="240" w:after="240"/>
        <w:rPr>
          <w:rFonts w:ascii="Fira Sans" w:eastAsia="Times New Roman" w:hAnsi="Fira Sans" w:cs="Times New Roman"/>
          <w:bCs/>
          <w:sz w:val="19"/>
          <w:szCs w:val="19"/>
          <w:lang w:eastAsia="pl-PL"/>
        </w:rPr>
        <w:sectPr w:rsidR="00CF70FD" w:rsidRPr="00185238" w:rsidSect="005D28CA">
          <w:headerReference w:type="default" r:id="rId25"/>
          <w:footerReference w:type="default" r:id="rId26"/>
          <w:headerReference w:type="first" r:id="rId27"/>
          <w:footerReference w:type="first" r:id="rId28"/>
          <w:type w:val="continuous"/>
          <w:pgSz w:w="11906" w:h="16838" w:code="9"/>
          <w:pgMar w:top="720" w:right="3119" w:bottom="720" w:left="720" w:header="284" w:footer="284" w:gutter="0"/>
          <w:cols w:space="708"/>
          <w:titlePg/>
          <w:docGrid w:linePitch="360"/>
        </w:sectPr>
      </w:pPr>
    </w:p>
    <w:tbl>
      <w:tblPr>
        <w:tblStyle w:val="Tabela-Siatka1"/>
        <w:tblW w:w="99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formacje o autorze i rozpowszechnianiu"/>
      </w:tblPr>
      <w:tblGrid>
        <w:gridCol w:w="4926"/>
        <w:gridCol w:w="5001"/>
      </w:tblGrid>
      <w:tr w:rsidR="00FF0DFB" w:rsidRPr="00185238" w14:paraId="6203F7A2" w14:textId="77777777" w:rsidTr="003B6FFA">
        <w:trPr>
          <w:trHeight w:val="1626"/>
        </w:trPr>
        <w:tc>
          <w:tcPr>
            <w:tcW w:w="4926" w:type="dxa"/>
          </w:tcPr>
          <w:p w14:paraId="71B53931" w14:textId="77777777" w:rsidR="00FF0DFB" w:rsidRPr="00185238" w:rsidRDefault="00FF0DFB" w:rsidP="003B6FFA">
            <w:pPr>
              <w:spacing w:line="276" w:lineRule="auto"/>
              <w:rPr>
                <w:rFonts w:ascii="Fira Sans" w:eastAsia="Calibri" w:hAnsi="Fira Sans" w:cs="Arial"/>
                <w:sz w:val="20"/>
              </w:rPr>
            </w:pPr>
            <w:r w:rsidRPr="00185238">
              <w:rPr>
                <w:rFonts w:ascii="Fira Sans" w:eastAsia="Calibri" w:hAnsi="Fira Sans" w:cs="Arial"/>
                <w:sz w:val="20"/>
              </w:rPr>
              <w:lastRenderedPageBreak/>
              <w:t>Opracowanie merytoryczne:</w:t>
            </w:r>
          </w:p>
          <w:p w14:paraId="505FF5A0" w14:textId="77777777" w:rsidR="00FF0DFB" w:rsidRPr="00185238" w:rsidRDefault="00FF0DFB" w:rsidP="003B6FFA">
            <w:pPr>
              <w:spacing w:after="120" w:line="276" w:lineRule="auto"/>
              <w:rPr>
                <w:rFonts w:ascii="Fira Sans" w:eastAsia="Calibri" w:hAnsi="Fira Sans" w:cs="Arial"/>
                <w:b/>
                <w:color w:val="000000"/>
                <w:sz w:val="20"/>
              </w:rPr>
            </w:pPr>
            <w:r w:rsidRPr="00185238">
              <w:rPr>
                <w:rFonts w:ascii="Fira Sans" w:eastAsia="Calibri" w:hAnsi="Fira Sans" w:cs="Arial"/>
                <w:b/>
                <w:sz w:val="20"/>
              </w:rPr>
              <w:t>Urząd Statystyczny w Zielonej Górze</w:t>
            </w:r>
          </w:p>
          <w:p w14:paraId="0C5ED977" w14:textId="77777777" w:rsidR="00FF0DFB" w:rsidRPr="00185238" w:rsidRDefault="00CF6371" w:rsidP="003B6FFA">
            <w:pPr>
              <w:keepNext/>
              <w:keepLines/>
              <w:spacing w:after="120" w:line="240" w:lineRule="auto"/>
              <w:outlineLvl w:val="2"/>
              <w:rPr>
                <w:rFonts w:ascii="Fira Sans" w:eastAsia="Calibri" w:hAnsi="Fira Sans" w:cs="Times New Roman"/>
                <w:b/>
                <w:bCs/>
                <w:sz w:val="19"/>
                <w:lang w:val="en-US"/>
              </w:rPr>
            </w:pPr>
            <w:r w:rsidRPr="00185238">
              <w:rPr>
                <w:rFonts w:ascii="Fira Sans" w:eastAsia="Calibri" w:hAnsi="Fira Sans" w:cs="Times New Roman"/>
                <w:b/>
                <w:bCs/>
                <w:sz w:val="19"/>
                <w:lang w:val="en-US"/>
              </w:rPr>
              <w:t xml:space="preserve">p.o. </w:t>
            </w:r>
            <w:proofErr w:type="spellStart"/>
            <w:r w:rsidRPr="00185238">
              <w:rPr>
                <w:rFonts w:ascii="Fira Sans" w:eastAsia="Calibri" w:hAnsi="Fira Sans" w:cs="Times New Roman"/>
                <w:b/>
                <w:bCs/>
                <w:sz w:val="19"/>
                <w:lang w:val="en-US"/>
              </w:rPr>
              <w:t>Dyrektor</w:t>
            </w:r>
            <w:proofErr w:type="spellEnd"/>
            <w:r w:rsidRPr="00185238">
              <w:rPr>
                <w:rFonts w:ascii="Fira Sans" w:eastAsia="Calibri" w:hAnsi="Fira Sans" w:cs="Times New Roman"/>
                <w:b/>
                <w:bCs/>
                <w:sz w:val="19"/>
                <w:lang w:val="en-US"/>
              </w:rPr>
              <w:t xml:space="preserve"> Robert </w:t>
            </w:r>
            <w:proofErr w:type="spellStart"/>
            <w:r w:rsidRPr="00185238">
              <w:rPr>
                <w:rFonts w:ascii="Fira Sans" w:eastAsia="Calibri" w:hAnsi="Fira Sans" w:cs="Times New Roman"/>
                <w:b/>
                <w:bCs/>
                <w:sz w:val="19"/>
                <w:lang w:val="en-US"/>
              </w:rPr>
              <w:t>Wróbel</w:t>
            </w:r>
            <w:proofErr w:type="spellEnd"/>
          </w:p>
          <w:p w14:paraId="2DC951A5" w14:textId="77777777" w:rsidR="00CF6371" w:rsidRPr="00185238" w:rsidRDefault="00CF6371" w:rsidP="003B6FFA">
            <w:pPr>
              <w:keepNext/>
              <w:keepLines/>
              <w:spacing w:after="120" w:line="240" w:lineRule="auto"/>
              <w:outlineLvl w:val="2"/>
              <w:rPr>
                <w:rFonts w:ascii="Fira Sans" w:eastAsia="Times New Roman" w:hAnsi="Fira Sans" w:cs="Arial"/>
                <w:color w:val="000000"/>
                <w:sz w:val="20"/>
                <w:szCs w:val="24"/>
                <w:lang w:val="fi-FI"/>
              </w:rPr>
            </w:pPr>
            <w:r w:rsidRPr="00185238">
              <w:rPr>
                <w:rFonts w:ascii="Fira Sans" w:eastAsia="Times New Roman" w:hAnsi="Fira Sans" w:cs="Arial"/>
                <w:color w:val="000000"/>
                <w:sz w:val="20"/>
                <w:szCs w:val="24"/>
                <w:lang w:val="en-US"/>
              </w:rPr>
              <w:t>Tel: 68 322 31 12</w:t>
            </w:r>
          </w:p>
        </w:tc>
        <w:tc>
          <w:tcPr>
            <w:tcW w:w="5001" w:type="dxa"/>
          </w:tcPr>
          <w:p w14:paraId="1F4DEF40" w14:textId="77777777" w:rsidR="00112041" w:rsidRPr="00185238" w:rsidRDefault="00FF0DFB" w:rsidP="00112041">
            <w:pPr>
              <w:spacing w:line="276" w:lineRule="auto"/>
              <w:rPr>
                <w:rFonts w:ascii="Fira Sans" w:hAnsi="Fira Sans" w:cs="Arial"/>
                <w:b/>
                <w:sz w:val="20"/>
              </w:rPr>
            </w:pPr>
            <w:r w:rsidRPr="00185238">
              <w:rPr>
                <w:rFonts w:ascii="Fira Sans" w:eastAsia="Calibri" w:hAnsi="Fira Sans" w:cs="Arial"/>
                <w:sz w:val="20"/>
              </w:rPr>
              <w:t>Rozpowszechnianie:</w:t>
            </w:r>
            <w:r w:rsidRPr="00185238">
              <w:rPr>
                <w:rFonts w:ascii="Fira Sans" w:eastAsia="Calibri" w:hAnsi="Fira Sans" w:cs="Arial"/>
                <w:sz w:val="20"/>
              </w:rPr>
              <w:br/>
            </w:r>
            <w:r w:rsidR="00112041" w:rsidRPr="00185238">
              <w:rPr>
                <w:rFonts w:ascii="Fira Sans" w:hAnsi="Fira Sans" w:cs="Arial"/>
                <w:b/>
                <w:sz w:val="20"/>
              </w:rPr>
              <w:t>Wydział Współpracy z Mediami</w:t>
            </w:r>
          </w:p>
          <w:p w14:paraId="0BE02898" w14:textId="77777777" w:rsidR="00112041" w:rsidRPr="00185238" w:rsidRDefault="00112041" w:rsidP="00112041">
            <w:pPr>
              <w:spacing w:before="120" w:after="120"/>
              <w:rPr>
                <w:rFonts w:ascii="Fira Sans" w:hAnsi="Fira Sans"/>
                <w:sz w:val="19"/>
              </w:rPr>
            </w:pPr>
            <w:r w:rsidRPr="00185238">
              <w:rPr>
                <w:rFonts w:ascii="Fira Sans" w:hAnsi="Fira Sans"/>
                <w:sz w:val="19"/>
              </w:rPr>
              <w:t>Tel. komórkowy: +48 695 255 032</w:t>
            </w:r>
          </w:p>
          <w:p w14:paraId="3182077E" w14:textId="77777777" w:rsidR="005F6358" w:rsidRPr="00185238" w:rsidRDefault="00112041" w:rsidP="00112041">
            <w:pPr>
              <w:spacing w:before="120" w:after="120"/>
              <w:ind w:left="1494" w:hanging="1494"/>
              <w:rPr>
                <w:rFonts w:ascii="Fira Sans" w:hAnsi="Fira Sans"/>
                <w:sz w:val="19"/>
              </w:rPr>
            </w:pPr>
            <w:r w:rsidRPr="00185238">
              <w:rPr>
                <w:rFonts w:ascii="Fira Sans" w:hAnsi="Fira Sans"/>
                <w:sz w:val="19"/>
              </w:rPr>
              <w:t xml:space="preserve">Tel. stacjonarne: +48 22 608 38 04, +48 22 449 41 </w:t>
            </w:r>
            <w:r w:rsidR="005F6358" w:rsidRPr="00185238">
              <w:rPr>
                <w:rFonts w:ascii="Fira Sans" w:hAnsi="Fira Sans"/>
                <w:sz w:val="19"/>
              </w:rPr>
              <w:t>45,</w:t>
            </w:r>
          </w:p>
          <w:p w14:paraId="6466300F" w14:textId="77777777" w:rsidR="00112041" w:rsidRPr="00185238" w:rsidRDefault="00112041" w:rsidP="00112041">
            <w:pPr>
              <w:spacing w:before="120" w:after="120"/>
              <w:ind w:left="1494" w:hanging="1494"/>
              <w:rPr>
                <w:rFonts w:ascii="Fira Sans" w:hAnsi="Fira Sans"/>
                <w:sz w:val="19"/>
              </w:rPr>
            </w:pPr>
            <w:r w:rsidRPr="00185238">
              <w:rPr>
                <w:rFonts w:ascii="Fira Sans" w:hAnsi="Fira Sans"/>
                <w:sz w:val="19"/>
              </w:rPr>
              <w:t xml:space="preserve"> +48 22 608 30 09</w:t>
            </w:r>
          </w:p>
          <w:p w14:paraId="3F4E8DA2" w14:textId="77777777" w:rsidR="00112041" w:rsidRPr="00185238" w:rsidRDefault="00112041" w:rsidP="00112041">
            <w:pPr>
              <w:keepNext/>
              <w:keepLines/>
              <w:spacing w:line="240" w:lineRule="auto"/>
              <w:outlineLvl w:val="2"/>
              <w:rPr>
                <w:rFonts w:ascii="Fira Sans" w:eastAsia="Times New Roman" w:hAnsi="Fira Sans" w:cs="Arial"/>
                <w:sz w:val="20"/>
                <w:szCs w:val="24"/>
                <w:lang w:val="fi-FI"/>
              </w:rPr>
            </w:pPr>
            <w:r w:rsidRPr="00185238">
              <w:rPr>
                <w:rFonts w:ascii="Fira Sans" w:hAnsi="Fira Sans"/>
                <w:b/>
                <w:sz w:val="20"/>
              </w:rPr>
              <w:t>e-mail:</w:t>
            </w:r>
            <w:r w:rsidRPr="00185238">
              <w:rPr>
                <w:rFonts w:ascii="Fira Sans" w:hAnsi="Fira Sans"/>
                <w:sz w:val="20"/>
              </w:rPr>
              <w:t xml:space="preserve"> </w:t>
            </w:r>
            <w:hyperlink r:id="rId29" w:history="1">
              <w:r w:rsidRPr="00185238">
                <w:rPr>
                  <w:rFonts w:ascii="Fira Sans" w:eastAsiaTheme="majorEastAsia" w:hAnsi="Fira Sans" w:cs="Arial"/>
                  <w:b/>
                  <w:sz w:val="20"/>
                  <w:szCs w:val="20"/>
                  <w:u w:val="single"/>
                </w:rPr>
                <w:t>obslugaprasowa@stat.gov.pl</w:t>
              </w:r>
            </w:hyperlink>
          </w:p>
          <w:p w14:paraId="439C660E" w14:textId="77777777" w:rsidR="00FF0DFB" w:rsidRPr="00185238" w:rsidRDefault="00FF0DFB" w:rsidP="003B6FFA">
            <w:pPr>
              <w:spacing w:before="120" w:after="120"/>
              <w:rPr>
                <w:rFonts w:ascii="Fira Sans" w:eastAsia="Calibri" w:hAnsi="Fira Sans" w:cs="Times New Roman"/>
                <w:sz w:val="18"/>
              </w:rPr>
            </w:pPr>
          </w:p>
        </w:tc>
      </w:tr>
      <w:tr w:rsidR="00FF0DFB" w:rsidRPr="00185238" w14:paraId="275A8F16" w14:textId="77777777" w:rsidTr="003B6FFA">
        <w:trPr>
          <w:trHeight w:val="418"/>
        </w:trPr>
        <w:tc>
          <w:tcPr>
            <w:tcW w:w="4926" w:type="dxa"/>
            <w:vMerge w:val="restart"/>
          </w:tcPr>
          <w:p w14:paraId="4D3FE5CE" w14:textId="77777777" w:rsidR="00FF0DFB" w:rsidRPr="00185238" w:rsidRDefault="00FF0DFB" w:rsidP="003B6FFA">
            <w:pPr>
              <w:spacing w:before="120" w:after="120"/>
              <w:rPr>
                <w:rFonts w:ascii="Fira Sans" w:eastAsia="Calibri" w:hAnsi="Fira Sans" w:cs="Times New Roman"/>
                <w:sz w:val="18"/>
                <w:lang w:val="en-US"/>
              </w:rPr>
            </w:pPr>
          </w:p>
        </w:tc>
        <w:tc>
          <w:tcPr>
            <w:tcW w:w="5001" w:type="dxa"/>
            <w:vAlign w:val="center"/>
          </w:tcPr>
          <w:p w14:paraId="275FF584" w14:textId="77777777" w:rsidR="00FF0DFB" w:rsidRPr="00185238" w:rsidRDefault="00FF0DFB" w:rsidP="003B6FFA">
            <w:pPr>
              <w:spacing w:before="120" w:after="120"/>
              <w:ind w:firstLine="680"/>
              <w:rPr>
                <w:rFonts w:ascii="Fira Sans" w:eastAsia="Calibri" w:hAnsi="Fira Sans" w:cs="Times New Roman"/>
                <w:sz w:val="18"/>
              </w:rPr>
            </w:pPr>
            <w:r w:rsidRPr="00185238">
              <w:rPr>
                <w:rFonts w:ascii="Fira Sans" w:eastAsia="Calibri" w:hAnsi="Fira Sans" w:cs="Times New Roman"/>
                <w:noProof/>
                <w:sz w:val="20"/>
                <w:lang w:eastAsia="pl-PL"/>
              </w:rPr>
              <w:drawing>
                <wp:anchor distT="0" distB="0" distL="114300" distR="114300" simplePos="0" relativeHeight="252800000" behindDoc="0" locked="0" layoutInCell="1" allowOverlap="1" wp14:anchorId="4669BC3D" wp14:editId="19DDE83A">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185238">
              <w:rPr>
                <w:rFonts w:ascii="Fira Sans" w:eastAsia="Calibri" w:hAnsi="Fira Sans" w:cs="Times New Roman"/>
                <w:sz w:val="20"/>
              </w:rPr>
              <w:t>www.stat.gov.pl</w:t>
            </w:r>
          </w:p>
        </w:tc>
      </w:tr>
      <w:tr w:rsidR="00FF0DFB" w:rsidRPr="00185238" w14:paraId="380B9C3D" w14:textId="77777777" w:rsidTr="003B6FFA">
        <w:trPr>
          <w:trHeight w:val="418"/>
        </w:trPr>
        <w:tc>
          <w:tcPr>
            <w:tcW w:w="4926" w:type="dxa"/>
            <w:vMerge/>
          </w:tcPr>
          <w:p w14:paraId="5830196E" w14:textId="77777777" w:rsidR="00FF0DFB" w:rsidRPr="00185238" w:rsidRDefault="00FF0DFB" w:rsidP="003B6FFA">
            <w:pPr>
              <w:spacing w:before="120" w:after="120"/>
              <w:rPr>
                <w:rFonts w:ascii="Fira Sans" w:eastAsia="Calibri" w:hAnsi="Fira Sans" w:cs="Times New Roman"/>
                <w:b/>
                <w:sz w:val="20"/>
              </w:rPr>
            </w:pPr>
          </w:p>
        </w:tc>
        <w:tc>
          <w:tcPr>
            <w:tcW w:w="5001" w:type="dxa"/>
            <w:vAlign w:val="center"/>
          </w:tcPr>
          <w:p w14:paraId="484C7404" w14:textId="77777777" w:rsidR="00FF0DFB" w:rsidRPr="00185238" w:rsidRDefault="00A12E83" w:rsidP="00D735C2">
            <w:pPr>
              <w:spacing w:before="120" w:after="120"/>
              <w:rPr>
                <w:rFonts w:ascii="Fira Sans" w:eastAsia="Calibri" w:hAnsi="Fira Sans" w:cs="Times New Roman"/>
                <w:sz w:val="18"/>
              </w:rPr>
            </w:pPr>
            <w:r w:rsidRPr="00185238">
              <w:rPr>
                <w:noProof/>
                <w:sz w:val="20"/>
                <w:lang w:eastAsia="pl-PL"/>
              </w:rPr>
              <w:drawing>
                <wp:anchor distT="0" distB="0" distL="114300" distR="114300" simplePos="0" relativeHeight="253003776" behindDoc="0" locked="0" layoutInCell="1" allowOverlap="1" wp14:anchorId="54661E76" wp14:editId="7F2DC4A5">
                  <wp:simplePos x="0" y="0"/>
                  <wp:positionH relativeFrom="column">
                    <wp:posOffset>75565</wp:posOffset>
                  </wp:positionH>
                  <wp:positionV relativeFrom="paragraph">
                    <wp:posOffset>24765</wp:posOffset>
                  </wp:positionV>
                  <wp:extent cx="251460" cy="251460"/>
                  <wp:effectExtent l="0" t="0" r="0" b="0"/>
                  <wp:wrapThrough wrapText="bothSides">
                    <wp:wrapPolygon edited="0">
                      <wp:start x="1636" y="0"/>
                      <wp:lineTo x="0" y="4909"/>
                      <wp:lineTo x="0" y="16364"/>
                      <wp:lineTo x="1636" y="19636"/>
                      <wp:lineTo x="18000" y="19636"/>
                      <wp:lineTo x="19636" y="16364"/>
                      <wp:lineTo x="19636" y="4909"/>
                      <wp:lineTo x="18000" y="0"/>
                      <wp:lineTo x="1636" y="0"/>
                    </wp:wrapPolygon>
                  </wp:wrapThrough>
                  <wp:docPr id="22" name="Obraz 22" descr="Ikonka platformy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FF0DFB" w:rsidRPr="00185238">
              <w:rPr>
                <w:rFonts w:ascii="Fira Sans" w:eastAsia="Calibri" w:hAnsi="Fira Sans" w:cs="Times New Roman"/>
                <w:sz w:val="20"/>
              </w:rPr>
              <w:t>@GUS_STAT</w:t>
            </w:r>
          </w:p>
        </w:tc>
      </w:tr>
      <w:tr w:rsidR="00FF0DFB" w:rsidRPr="00185238" w14:paraId="0D177573" w14:textId="77777777" w:rsidTr="003B6FFA">
        <w:trPr>
          <w:trHeight w:val="476"/>
        </w:trPr>
        <w:tc>
          <w:tcPr>
            <w:tcW w:w="4926" w:type="dxa"/>
            <w:vMerge/>
          </w:tcPr>
          <w:p w14:paraId="3075A162" w14:textId="77777777" w:rsidR="00FF0DFB" w:rsidRPr="00185238" w:rsidRDefault="00FF0DFB" w:rsidP="003B6FFA">
            <w:pPr>
              <w:spacing w:before="120" w:after="120"/>
              <w:rPr>
                <w:rFonts w:ascii="Fira Sans" w:eastAsia="Calibri" w:hAnsi="Fira Sans" w:cs="Times New Roman"/>
                <w:b/>
                <w:sz w:val="20"/>
              </w:rPr>
            </w:pPr>
          </w:p>
        </w:tc>
        <w:tc>
          <w:tcPr>
            <w:tcW w:w="5001" w:type="dxa"/>
          </w:tcPr>
          <w:p w14:paraId="2BBD028C" w14:textId="77777777" w:rsidR="00FF0DFB" w:rsidRPr="00185238" w:rsidRDefault="00FF0DFB" w:rsidP="003B6FFA">
            <w:pPr>
              <w:spacing w:before="120" w:after="120"/>
              <w:ind w:firstLine="680"/>
              <w:rPr>
                <w:rFonts w:ascii="Fira Sans" w:eastAsia="Calibri" w:hAnsi="Fira Sans" w:cs="Times New Roman"/>
                <w:sz w:val="18"/>
              </w:rPr>
            </w:pPr>
            <w:r w:rsidRPr="00185238">
              <w:rPr>
                <w:rFonts w:ascii="Fira Sans" w:eastAsia="Calibri" w:hAnsi="Fira Sans" w:cs="Times New Roman"/>
                <w:noProof/>
                <w:sz w:val="20"/>
                <w:lang w:eastAsia="pl-PL"/>
              </w:rPr>
              <w:drawing>
                <wp:anchor distT="0" distB="0" distL="114300" distR="114300" simplePos="0" relativeHeight="252802048" behindDoc="0" locked="0" layoutInCell="1" allowOverlap="1" wp14:anchorId="09E50EDC" wp14:editId="5A0EA71C">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185238">
              <w:rPr>
                <w:rFonts w:ascii="Fira Sans" w:eastAsia="Calibri" w:hAnsi="Fira Sans" w:cs="Times New Roman"/>
                <w:sz w:val="20"/>
              </w:rPr>
              <w:t>@GlownyUrzadStatystyczny</w:t>
            </w:r>
          </w:p>
        </w:tc>
      </w:tr>
      <w:tr w:rsidR="00FF0DFB" w:rsidRPr="00185238" w14:paraId="293248C4" w14:textId="77777777" w:rsidTr="003B6FFA">
        <w:trPr>
          <w:trHeight w:val="476"/>
        </w:trPr>
        <w:tc>
          <w:tcPr>
            <w:tcW w:w="4926" w:type="dxa"/>
          </w:tcPr>
          <w:p w14:paraId="58018648" w14:textId="77777777" w:rsidR="00FF0DFB" w:rsidRPr="00185238" w:rsidRDefault="00FF0DFB" w:rsidP="003B6FFA">
            <w:pPr>
              <w:spacing w:before="120" w:after="120"/>
              <w:rPr>
                <w:rFonts w:ascii="Fira Sans" w:eastAsia="Calibri" w:hAnsi="Fira Sans" w:cs="Times New Roman"/>
                <w:b/>
                <w:sz w:val="20"/>
              </w:rPr>
            </w:pPr>
          </w:p>
        </w:tc>
        <w:tc>
          <w:tcPr>
            <w:tcW w:w="5001" w:type="dxa"/>
          </w:tcPr>
          <w:p w14:paraId="4D895943" w14:textId="77777777" w:rsidR="00FF0DFB" w:rsidRPr="00185238" w:rsidRDefault="00FF0DFB" w:rsidP="003B6FFA">
            <w:pPr>
              <w:spacing w:before="120" w:after="120"/>
              <w:ind w:firstLine="680"/>
              <w:rPr>
                <w:rFonts w:ascii="Fira Sans" w:eastAsia="Calibri" w:hAnsi="Fira Sans" w:cs="Times New Roman"/>
                <w:sz w:val="20"/>
              </w:rPr>
            </w:pPr>
            <w:r w:rsidRPr="00185238">
              <w:rPr>
                <w:rFonts w:ascii="Fira Sans" w:eastAsia="Calibri" w:hAnsi="Fira Sans" w:cs="Times New Roman"/>
                <w:noProof/>
                <w:sz w:val="20"/>
                <w:lang w:eastAsia="pl-PL"/>
              </w:rPr>
              <w:drawing>
                <wp:anchor distT="0" distB="0" distL="114300" distR="114300" simplePos="0" relativeHeight="252803072" behindDoc="0" locked="0" layoutInCell="1" allowOverlap="1" wp14:anchorId="11D653AA" wp14:editId="7915F2C0">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85238">
              <w:rPr>
                <w:rFonts w:ascii="Fira Sans" w:eastAsia="Calibri" w:hAnsi="Fira Sans" w:cs="Times New Roman"/>
                <w:sz w:val="20"/>
              </w:rPr>
              <w:t>gus_stat</w:t>
            </w:r>
            <w:proofErr w:type="spellEnd"/>
          </w:p>
        </w:tc>
      </w:tr>
      <w:tr w:rsidR="00FF0DFB" w:rsidRPr="00185238" w14:paraId="57BF73AC" w14:textId="77777777" w:rsidTr="003B6FFA">
        <w:trPr>
          <w:trHeight w:val="476"/>
        </w:trPr>
        <w:tc>
          <w:tcPr>
            <w:tcW w:w="4926" w:type="dxa"/>
          </w:tcPr>
          <w:p w14:paraId="091E507D" w14:textId="77777777" w:rsidR="00FF0DFB" w:rsidRPr="00185238" w:rsidRDefault="00FF0DFB" w:rsidP="003B6FFA">
            <w:pPr>
              <w:spacing w:before="120" w:after="120"/>
              <w:rPr>
                <w:rFonts w:ascii="Fira Sans" w:eastAsia="Calibri" w:hAnsi="Fira Sans" w:cs="Times New Roman"/>
                <w:b/>
                <w:sz w:val="20"/>
              </w:rPr>
            </w:pPr>
          </w:p>
        </w:tc>
        <w:tc>
          <w:tcPr>
            <w:tcW w:w="5001" w:type="dxa"/>
          </w:tcPr>
          <w:p w14:paraId="6B02713F" w14:textId="77777777" w:rsidR="00FF0DFB" w:rsidRPr="00185238" w:rsidRDefault="00FF0DFB" w:rsidP="003B6FFA">
            <w:pPr>
              <w:spacing w:before="120" w:after="120"/>
              <w:ind w:firstLine="680"/>
              <w:rPr>
                <w:rFonts w:ascii="Fira Sans" w:eastAsia="Calibri" w:hAnsi="Fira Sans" w:cs="Times New Roman"/>
                <w:sz w:val="20"/>
              </w:rPr>
            </w:pPr>
            <w:r w:rsidRPr="00185238">
              <w:rPr>
                <w:rFonts w:ascii="Fira Sans" w:eastAsia="Calibri" w:hAnsi="Fira Sans" w:cs="Times New Roman"/>
                <w:noProof/>
                <w:sz w:val="20"/>
                <w:lang w:eastAsia="pl-PL"/>
              </w:rPr>
              <w:drawing>
                <wp:anchor distT="0" distB="0" distL="114300" distR="114300" simplePos="0" relativeHeight="252804096" behindDoc="0" locked="0" layoutInCell="1" allowOverlap="1" wp14:anchorId="4D4A06CB" wp14:editId="6067618B">
                  <wp:simplePos x="0" y="0"/>
                  <wp:positionH relativeFrom="column">
                    <wp:posOffset>82550</wp:posOffset>
                  </wp:positionH>
                  <wp:positionV relativeFrom="paragraph">
                    <wp:posOffset>13970</wp:posOffset>
                  </wp:positionV>
                  <wp:extent cx="251460" cy="251460"/>
                  <wp:effectExtent l="0" t="0" r="0" b="0"/>
                  <wp:wrapNone/>
                  <wp:docPr id="2" name="Obraz 2"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85238">
              <w:rPr>
                <w:rFonts w:ascii="Fira Sans" w:eastAsia="Calibri" w:hAnsi="Fira Sans" w:cs="Times New Roman"/>
                <w:sz w:val="20"/>
              </w:rPr>
              <w:t>glownyurzadstatystycznygus</w:t>
            </w:r>
            <w:proofErr w:type="spellEnd"/>
          </w:p>
        </w:tc>
      </w:tr>
      <w:tr w:rsidR="00FF0DFB" w:rsidRPr="00185238" w14:paraId="5DF21DDD" w14:textId="77777777" w:rsidTr="003B6FFA">
        <w:trPr>
          <w:trHeight w:val="953"/>
        </w:trPr>
        <w:tc>
          <w:tcPr>
            <w:tcW w:w="4926" w:type="dxa"/>
          </w:tcPr>
          <w:p w14:paraId="66C57C00" w14:textId="77777777" w:rsidR="00FF0DFB" w:rsidRPr="00185238" w:rsidRDefault="00FF0DFB" w:rsidP="003B6FFA">
            <w:pPr>
              <w:spacing w:before="120" w:after="120"/>
              <w:rPr>
                <w:rFonts w:ascii="Fira Sans" w:eastAsia="Calibri" w:hAnsi="Fira Sans" w:cs="Times New Roman"/>
                <w:b/>
                <w:sz w:val="20"/>
              </w:rPr>
            </w:pPr>
          </w:p>
        </w:tc>
        <w:tc>
          <w:tcPr>
            <w:tcW w:w="5001" w:type="dxa"/>
          </w:tcPr>
          <w:p w14:paraId="41330921" w14:textId="77777777" w:rsidR="00FF0DFB" w:rsidRPr="00185238" w:rsidRDefault="00FF0DFB" w:rsidP="003B6FFA">
            <w:pPr>
              <w:spacing w:before="120" w:after="120"/>
              <w:ind w:firstLine="680"/>
              <w:rPr>
                <w:rFonts w:ascii="Fira Sans" w:eastAsia="Calibri" w:hAnsi="Fira Sans" w:cs="Times New Roman"/>
                <w:sz w:val="20"/>
              </w:rPr>
            </w:pPr>
            <w:r w:rsidRPr="00185238">
              <w:rPr>
                <w:rFonts w:ascii="Fira Sans" w:eastAsia="Calibri" w:hAnsi="Fira Sans" w:cs="Times New Roman"/>
                <w:noProof/>
                <w:sz w:val="20"/>
                <w:lang w:eastAsia="pl-PL"/>
              </w:rPr>
              <w:t>glownyurzadstatystyczny</w:t>
            </w:r>
            <w:r w:rsidRPr="00185238">
              <w:rPr>
                <w:rFonts w:ascii="Fira Sans" w:eastAsia="Calibri" w:hAnsi="Fira Sans" w:cs="Times New Roman"/>
                <w:noProof/>
                <w:sz w:val="20"/>
                <w:lang w:eastAsia="pl-PL"/>
              </w:rPr>
              <w:drawing>
                <wp:anchor distT="0" distB="0" distL="114300" distR="114300" simplePos="0" relativeHeight="252805120" behindDoc="0" locked="0" layoutInCell="1" allowOverlap="1" wp14:anchorId="384C74A5" wp14:editId="3601069C">
                  <wp:simplePos x="0" y="0"/>
                  <wp:positionH relativeFrom="column">
                    <wp:posOffset>82550</wp:posOffset>
                  </wp:positionH>
                  <wp:positionV relativeFrom="paragraph">
                    <wp:posOffset>15240</wp:posOffset>
                  </wp:positionV>
                  <wp:extent cx="251460" cy="251460"/>
                  <wp:effectExtent l="0" t="0" r="0" b="0"/>
                  <wp:wrapNone/>
                  <wp:docPr id="17" name="Obraz 17"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F0DFB" w:rsidRPr="00185238" w14:paraId="4FD56D2B" w14:textId="77777777" w:rsidTr="003B6FFA">
        <w:trPr>
          <w:trHeight w:val="4114"/>
        </w:trPr>
        <w:tc>
          <w:tcPr>
            <w:tcW w:w="9927" w:type="dxa"/>
            <w:gridSpan w:val="2"/>
            <w:shd w:val="clear" w:color="auto" w:fill="D9D9D9"/>
          </w:tcPr>
          <w:p w14:paraId="2C709030" w14:textId="77777777" w:rsidR="00FF0DFB" w:rsidRPr="00185238" w:rsidRDefault="00FF0DFB" w:rsidP="003B6FFA">
            <w:pPr>
              <w:shd w:val="clear" w:color="auto" w:fill="D9D9D9"/>
              <w:spacing w:before="120" w:after="120"/>
              <w:rPr>
                <w:rFonts w:ascii="Fira Sans" w:eastAsia="Calibri" w:hAnsi="Fira Sans" w:cs="Times New Roman"/>
                <w:b/>
                <w:sz w:val="19"/>
              </w:rPr>
            </w:pPr>
            <w:r w:rsidRPr="00185238">
              <w:rPr>
                <w:rFonts w:ascii="Fira Sans" w:eastAsia="Calibri" w:hAnsi="Fira Sans" w:cs="Times New Roman"/>
                <w:b/>
                <w:sz w:val="19"/>
              </w:rPr>
              <w:t>Powiązane opracowania</w:t>
            </w:r>
          </w:p>
          <w:p w14:paraId="7558404D" w14:textId="3037705C" w:rsidR="007C046A" w:rsidRPr="009E03B7" w:rsidRDefault="00C51C6B" w:rsidP="007C046A">
            <w:pPr>
              <w:spacing w:before="120" w:after="120"/>
              <w:rPr>
                <w:rStyle w:val="Hipercze"/>
                <w:rFonts w:ascii="Fira Sans" w:eastAsia="Fira Sans Light" w:hAnsi="Fira Sans"/>
                <w:color w:val="001D77"/>
                <w:sz w:val="19"/>
                <w:szCs w:val="19"/>
              </w:rPr>
            </w:pPr>
            <w:r w:rsidRPr="009E03B7">
              <w:rPr>
                <w:rFonts w:ascii="Fira Sans" w:eastAsia="Fira Sans Light" w:hAnsi="Fira Sans" w:cs="Times New Roman"/>
                <w:color w:val="001D77"/>
                <w:sz w:val="19"/>
                <w:szCs w:val="19"/>
                <w:u w:val="single"/>
              </w:rPr>
              <w:fldChar w:fldCharType="begin"/>
            </w:r>
            <w:r w:rsidR="007E02C0">
              <w:rPr>
                <w:rFonts w:ascii="Fira Sans" w:eastAsia="Fira Sans Light" w:hAnsi="Fira Sans" w:cs="Times New Roman"/>
                <w:color w:val="001D77"/>
                <w:sz w:val="19"/>
                <w:szCs w:val="19"/>
                <w:u w:val="single"/>
              </w:rPr>
              <w:instrText>HYPERLINK "https://stat.gov.pl/obszary-tematyczne/rolnictwo-lesnictwo/rolnictwo/koniunktura-w-gospodarstwach-rolnych-w-2-polroczu-2024-r-,10,25.html" \o " Link do informacji sygnalnej \"Koniunktura w gospodarstwach rolnych w 2 półroczu 2024 r.\"</w:instrText>
            </w:r>
            <w:r w:rsidRPr="009E03B7">
              <w:rPr>
                <w:rFonts w:ascii="Fira Sans" w:eastAsia="Fira Sans Light" w:hAnsi="Fira Sans" w:cs="Times New Roman"/>
                <w:color w:val="001D77"/>
                <w:sz w:val="19"/>
                <w:szCs w:val="19"/>
                <w:u w:val="single"/>
              </w:rPr>
              <w:fldChar w:fldCharType="separate"/>
            </w:r>
            <w:r w:rsidR="005D28CA" w:rsidRPr="009E03B7">
              <w:rPr>
                <w:rStyle w:val="Hipercze"/>
                <w:rFonts w:ascii="Fira Sans" w:eastAsia="Fira Sans Light" w:hAnsi="Fira Sans"/>
                <w:color w:val="001D77"/>
                <w:sz w:val="19"/>
                <w:szCs w:val="19"/>
              </w:rPr>
              <w:t xml:space="preserve">Koniunktura w gospodarstwach rolnych w </w:t>
            </w:r>
            <w:r w:rsidR="007E02C0">
              <w:rPr>
                <w:rStyle w:val="Hipercze"/>
                <w:rFonts w:ascii="Fira Sans" w:eastAsia="Fira Sans Light" w:hAnsi="Fira Sans"/>
                <w:color w:val="001D77"/>
                <w:sz w:val="19"/>
                <w:szCs w:val="19"/>
              </w:rPr>
              <w:t>2</w:t>
            </w:r>
            <w:r w:rsidR="005D28CA" w:rsidRPr="009E03B7">
              <w:rPr>
                <w:rStyle w:val="Hipercze"/>
                <w:rFonts w:ascii="Fira Sans" w:eastAsia="Fira Sans Light" w:hAnsi="Fira Sans"/>
                <w:color w:val="001D77"/>
                <w:sz w:val="19"/>
                <w:szCs w:val="19"/>
              </w:rPr>
              <w:t xml:space="preserve"> półroczu 2024 r.</w:t>
            </w:r>
            <w:r w:rsidR="007C046A" w:rsidRPr="009E03B7">
              <w:rPr>
                <w:rStyle w:val="Hipercze"/>
                <w:rFonts w:ascii="Fira Sans" w:eastAsia="Fira Sans Light" w:hAnsi="Fira Sans"/>
                <w:color w:val="001D77"/>
                <w:sz w:val="19"/>
                <w:szCs w:val="19"/>
              </w:rPr>
              <w:t xml:space="preserve"> </w:t>
            </w:r>
          </w:p>
          <w:p w14:paraId="55A7B305" w14:textId="2A630AC1" w:rsidR="007C046A" w:rsidRPr="009E03B7" w:rsidRDefault="00C51C6B" w:rsidP="007C046A">
            <w:pPr>
              <w:spacing w:before="120" w:after="120"/>
              <w:rPr>
                <w:rFonts w:ascii="Fira Sans" w:eastAsia="Calibri" w:hAnsi="Fira Sans" w:cs="Times New Roman"/>
                <w:color w:val="001D77"/>
                <w:sz w:val="19"/>
                <w:u w:val="single"/>
              </w:rPr>
            </w:pPr>
            <w:r w:rsidRPr="009E03B7">
              <w:rPr>
                <w:rFonts w:ascii="Fira Sans" w:eastAsia="Fira Sans Light" w:hAnsi="Fira Sans" w:cs="Times New Roman"/>
                <w:color w:val="001D77"/>
                <w:sz w:val="19"/>
                <w:szCs w:val="19"/>
                <w:u w:val="single"/>
              </w:rPr>
              <w:fldChar w:fldCharType="end"/>
            </w:r>
            <w:hyperlink r:id="rId36" w:tooltip="Link do obszaru tematycznego - Koniunktura" w:history="1">
              <w:r w:rsidR="005D28CA" w:rsidRPr="009E03B7">
                <w:rPr>
                  <w:rStyle w:val="Hipercze"/>
                  <w:rFonts w:ascii="Fira Sans" w:eastAsia="Calibri" w:hAnsi="Fira Sans"/>
                  <w:color w:val="001D77"/>
                  <w:sz w:val="19"/>
                </w:rPr>
                <w:t>Obszary tematyczne-</w:t>
              </w:r>
              <w:r w:rsidR="00AD3F2E" w:rsidRPr="009E03B7">
                <w:rPr>
                  <w:rStyle w:val="Hipercze"/>
                  <w:rFonts w:ascii="Fira Sans" w:eastAsia="Calibri" w:hAnsi="Fira Sans"/>
                  <w:color w:val="001D77"/>
                  <w:sz w:val="19"/>
                </w:rPr>
                <w:t xml:space="preserve"> </w:t>
              </w:r>
              <w:r w:rsidR="005D28CA" w:rsidRPr="009E03B7">
                <w:rPr>
                  <w:rStyle w:val="Hipercze"/>
                  <w:rFonts w:ascii="Fira Sans" w:eastAsia="Calibri" w:hAnsi="Fira Sans"/>
                  <w:color w:val="001D77"/>
                  <w:sz w:val="19"/>
                </w:rPr>
                <w:t>Koniunktura</w:t>
              </w:r>
            </w:hyperlink>
          </w:p>
          <w:p w14:paraId="1D8BBA22" w14:textId="6035A643" w:rsidR="007C046A" w:rsidRPr="00185238" w:rsidRDefault="007C046A" w:rsidP="007C046A">
            <w:pPr>
              <w:shd w:val="clear" w:color="auto" w:fill="D9D9D9"/>
              <w:spacing w:before="360" w:after="120"/>
              <w:rPr>
                <w:rFonts w:ascii="Fira Sans" w:eastAsia="Calibri" w:hAnsi="Fira Sans" w:cs="Times New Roman"/>
                <w:b/>
                <w:color w:val="000000"/>
                <w:sz w:val="19"/>
                <w:szCs w:val="24"/>
              </w:rPr>
            </w:pPr>
            <w:r w:rsidRPr="00185238">
              <w:rPr>
                <w:rFonts w:ascii="Fira Sans" w:eastAsia="Calibri" w:hAnsi="Fira Sans" w:cs="Times New Roman"/>
                <w:b/>
                <w:color w:val="000000"/>
                <w:sz w:val="19"/>
                <w:szCs w:val="24"/>
              </w:rPr>
              <w:t>Ważniejsze pojęcia dostępne w słowniku</w:t>
            </w:r>
          </w:p>
          <w:p w14:paraId="147072BC" w14:textId="7874DE00" w:rsidR="007C046A" w:rsidRPr="009E03B7" w:rsidRDefault="00961423" w:rsidP="007C046A">
            <w:pPr>
              <w:spacing w:before="120" w:after="120"/>
              <w:rPr>
                <w:rStyle w:val="Hipercze"/>
                <w:rFonts w:ascii="Fira Sans" w:eastAsia="Fira Sans Light" w:hAnsi="Fira Sans"/>
                <w:color w:val="001D77"/>
                <w:sz w:val="18"/>
                <w:szCs w:val="18"/>
              </w:rPr>
            </w:pPr>
            <w:r w:rsidRPr="009E03B7">
              <w:rPr>
                <w:rFonts w:ascii="Fira Sans" w:eastAsia="Fira Sans Light" w:hAnsi="Fira Sans" w:cs="Times New Roman"/>
                <w:color w:val="001D77"/>
                <w:sz w:val="18"/>
                <w:szCs w:val="18"/>
                <w:u w:val="single"/>
              </w:rPr>
              <w:fldChar w:fldCharType="begin"/>
            </w:r>
            <w:r w:rsidRPr="009E03B7">
              <w:rPr>
                <w:rFonts w:ascii="Fira Sans" w:eastAsia="Fira Sans Light" w:hAnsi="Fira Sans" w:cs="Times New Roman"/>
                <w:color w:val="001D77"/>
                <w:sz w:val="18"/>
                <w:szCs w:val="18"/>
                <w:u w:val="single"/>
              </w:rPr>
              <w:instrText>HYPERLINK "http://stat.gov.pl/metainformacje/slownik-pojec/pojecia-stosowane-w-statystyce-publicznej/3137,pojecie.html" \o "Link do definicji gospodarstwa rolnego zamieszczonej w Słowniku pojęć stosowanych w statystyce publicznej "</w:instrText>
            </w:r>
            <w:r w:rsidRPr="009E03B7">
              <w:rPr>
                <w:rFonts w:ascii="Fira Sans" w:eastAsia="Fira Sans Light" w:hAnsi="Fira Sans" w:cs="Times New Roman"/>
                <w:color w:val="001D77"/>
                <w:sz w:val="18"/>
                <w:szCs w:val="18"/>
                <w:u w:val="single"/>
              </w:rPr>
              <w:fldChar w:fldCharType="separate"/>
            </w:r>
            <w:r w:rsidR="007C046A" w:rsidRPr="009E03B7">
              <w:rPr>
                <w:rStyle w:val="Hipercze"/>
                <w:rFonts w:ascii="Fira Sans" w:eastAsia="Fira Sans Light" w:hAnsi="Fira Sans"/>
                <w:color w:val="001D77"/>
                <w:sz w:val="18"/>
                <w:szCs w:val="18"/>
              </w:rPr>
              <w:t>Gospodarstwo rolne</w:t>
            </w:r>
          </w:p>
          <w:p w14:paraId="38EE5B9B" w14:textId="34EC4DA0" w:rsidR="007C046A" w:rsidRPr="009E03B7" w:rsidRDefault="00961423" w:rsidP="007C046A">
            <w:pPr>
              <w:spacing w:before="120" w:after="120"/>
              <w:rPr>
                <w:rStyle w:val="Hipercze"/>
                <w:rFonts w:ascii="Fira Sans" w:eastAsia="Fira Sans Light" w:hAnsi="Fira Sans"/>
                <w:color w:val="001D77"/>
                <w:sz w:val="18"/>
                <w:szCs w:val="18"/>
              </w:rPr>
            </w:pPr>
            <w:r w:rsidRPr="009E03B7">
              <w:rPr>
                <w:rFonts w:ascii="Fira Sans" w:eastAsia="Fira Sans Light" w:hAnsi="Fira Sans" w:cs="Times New Roman"/>
                <w:color w:val="001D77"/>
                <w:sz w:val="18"/>
                <w:szCs w:val="18"/>
                <w:u w:val="single"/>
              </w:rPr>
              <w:fldChar w:fldCharType="end"/>
            </w:r>
            <w:r w:rsidRPr="009E03B7">
              <w:rPr>
                <w:rFonts w:ascii="Fira Sans" w:eastAsia="Fira Sans Light" w:hAnsi="Fira Sans" w:cs="Times New Roman"/>
                <w:color w:val="001D77"/>
                <w:sz w:val="18"/>
                <w:szCs w:val="18"/>
                <w:u w:val="single"/>
              </w:rPr>
              <w:fldChar w:fldCharType="begin"/>
            </w:r>
            <w:r w:rsidRPr="009E03B7">
              <w:rPr>
                <w:rFonts w:ascii="Fira Sans" w:eastAsia="Fira Sans Light" w:hAnsi="Fira Sans" w:cs="Times New Roman"/>
                <w:color w:val="001D77"/>
                <w:sz w:val="18"/>
                <w:szCs w:val="18"/>
                <w:u w:val="single"/>
              </w:rPr>
              <w:instrText>HYPERLINK "http://stat.gov.pl/metainformacje/slownik-pojec/pojecia-stosowane-w-statystyce-publicznej/1064,pojecie.html" \o "Link do definicji działalności rolniczej zamieszczonej w Słowniku pojęć stosowanych w statystyce publicznej "</w:instrText>
            </w:r>
            <w:r w:rsidRPr="009E03B7">
              <w:rPr>
                <w:rFonts w:ascii="Fira Sans" w:eastAsia="Fira Sans Light" w:hAnsi="Fira Sans" w:cs="Times New Roman"/>
                <w:color w:val="001D77"/>
                <w:sz w:val="18"/>
                <w:szCs w:val="18"/>
                <w:u w:val="single"/>
              </w:rPr>
              <w:fldChar w:fldCharType="separate"/>
            </w:r>
            <w:r w:rsidR="007C046A" w:rsidRPr="009E03B7">
              <w:rPr>
                <w:rStyle w:val="Hipercze"/>
                <w:rFonts w:ascii="Fira Sans" w:eastAsia="Fira Sans Light" w:hAnsi="Fira Sans"/>
                <w:color w:val="001D77"/>
                <w:sz w:val="18"/>
                <w:szCs w:val="18"/>
              </w:rPr>
              <w:t>Działalność rolnicza</w:t>
            </w:r>
          </w:p>
          <w:p w14:paraId="2B3D23D3" w14:textId="498ECACD" w:rsidR="007C046A" w:rsidRPr="009E03B7" w:rsidRDefault="00961423" w:rsidP="007C046A">
            <w:pPr>
              <w:spacing w:before="120" w:after="120"/>
              <w:rPr>
                <w:rStyle w:val="Hipercze"/>
                <w:rFonts w:ascii="Fira Sans" w:eastAsia="Fira Sans Light" w:hAnsi="Fira Sans"/>
                <w:color w:val="001D77"/>
                <w:sz w:val="18"/>
                <w:szCs w:val="18"/>
              </w:rPr>
            </w:pPr>
            <w:r w:rsidRPr="009E03B7">
              <w:rPr>
                <w:rFonts w:ascii="Fira Sans" w:eastAsia="Fira Sans Light" w:hAnsi="Fira Sans" w:cs="Times New Roman"/>
                <w:color w:val="001D77"/>
                <w:sz w:val="18"/>
                <w:szCs w:val="18"/>
                <w:u w:val="single"/>
              </w:rPr>
              <w:fldChar w:fldCharType="end"/>
            </w:r>
            <w:r w:rsidRPr="009E03B7">
              <w:rPr>
                <w:rFonts w:ascii="Fira Sans" w:eastAsia="Fira Sans Light" w:hAnsi="Fira Sans" w:cs="Times New Roman"/>
                <w:color w:val="001D77"/>
                <w:sz w:val="18"/>
                <w:szCs w:val="18"/>
                <w:u w:val="single"/>
              </w:rPr>
              <w:fldChar w:fldCharType="begin"/>
            </w:r>
            <w:r w:rsidRPr="009E03B7">
              <w:rPr>
                <w:rFonts w:ascii="Fira Sans" w:eastAsia="Fira Sans Light" w:hAnsi="Fira Sans" w:cs="Times New Roman"/>
                <w:color w:val="001D77"/>
                <w:sz w:val="18"/>
                <w:szCs w:val="18"/>
                <w:u w:val="single"/>
              </w:rPr>
              <w:instrText>HYPERLINK "http://stat.gov.pl/metainformacje/slownik-pojec/pojecia-stosowane-w-statystyce-publicznej/2076,pojecie.html" \o "Link do definicji koniunktury zamieszczonej w Słowniku pojęć stosowanych w statystyce publicznej "</w:instrText>
            </w:r>
            <w:r w:rsidRPr="009E03B7">
              <w:rPr>
                <w:rFonts w:ascii="Fira Sans" w:eastAsia="Fira Sans Light" w:hAnsi="Fira Sans" w:cs="Times New Roman"/>
                <w:color w:val="001D77"/>
                <w:sz w:val="18"/>
                <w:szCs w:val="18"/>
                <w:u w:val="single"/>
              </w:rPr>
              <w:fldChar w:fldCharType="separate"/>
            </w:r>
            <w:r w:rsidR="007C046A" w:rsidRPr="009E03B7">
              <w:rPr>
                <w:rStyle w:val="Hipercze"/>
                <w:rFonts w:ascii="Fira Sans" w:eastAsia="Fira Sans Light" w:hAnsi="Fira Sans"/>
                <w:color w:val="001D77"/>
                <w:sz w:val="18"/>
                <w:szCs w:val="18"/>
              </w:rPr>
              <w:t>Koniunktura</w:t>
            </w:r>
          </w:p>
          <w:p w14:paraId="439BECBA" w14:textId="3AE60211" w:rsidR="00FF0DFB" w:rsidRPr="00185238" w:rsidRDefault="00961423" w:rsidP="009E03B7">
            <w:pPr>
              <w:spacing w:before="120" w:after="120"/>
              <w:rPr>
                <w:rFonts w:ascii="Fira Sans" w:eastAsia="Calibri" w:hAnsi="Fira Sans" w:cs="Times New Roman"/>
                <w:b/>
                <w:color w:val="000000"/>
                <w:sz w:val="19"/>
                <w:szCs w:val="24"/>
              </w:rPr>
            </w:pPr>
            <w:r w:rsidRPr="009E03B7">
              <w:rPr>
                <w:rFonts w:ascii="Fira Sans" w:eastAsia="Fira Sans Light" w:hAnsi="Fira Sans" w:cs="Times New Roman"/>
                <w:color w:val="001D77"/>
                <w:sz w:val="18"/>
                <w:szCs w:val="18"/>
                <w:u w:val="single"/>
              </w:rPr>
              <w:fldChar w:fldCharType="end"/>
            </w:r>
            <w:hyperlink r:id="rId37" w:tooltip="Link do definicji popytu zamieszczonej w Słowniku pojęć stosowanych w statystyce publicznej " w:history="1">
              <w:r w:rsidR="007C046A" w:rsidRPr="009E03B7">
                <w:rPr>
                  <w:rStyle w:val="Hipercze"/>
                  <w:rFonts w:ascii="Fira Sans" w:eastAsia="Fira Sans Light" w:hAnsi="Fira Sans"/>
                  <w:color w:val="001D77"/>
                  <w:sz w:val="18"/>
                  <w:szCs w:val="18"/>
                </w:rPr>
                <w:t>Popyt</w:t>
              </w:r>
            </w:hyperlink>
          </w:p>
        </w:tc>
      </w:tr>
    </w:tbl>
    <w:p w14:paraId="49C9DD0B" w14:textId="77777777" w:rsidR="00FF0DFB" w:rsidRPr="00185238" w:rsidRDefault="00FF0DFB" w:rsidP="00FF0DFB">
      <w:pPr>
        <w:spacing w:before="120" w:after="320"/>
        <w:rPr>
          <w:rFonts w:ascii="Fira Sans" w:eastAsia="Calibri" w:hAnsi="Fira Sans" w:cs="Times New Roman"/>
          <w:sz w:val="18"/>
        </w:rPr>
      </w:pPr>
    </w:p>
    <w:sectPr w:rsidR="00FF0DFB" w:rsidRPr="00185238" w:rsidSect="003B6FFA">
      <w:headerReference w:type="default" r:id="rId38"/>
      <w:footerReference w:type="default" r:id="rId3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81FE8" w14:textId="77777777" w:rsidR="00075530" w:rsidRDefault="00075530" w:rsidP="000662E2">
      <w:pPr>
        <w:spacing w:after="0" w:line="240" w:lineRule="auto"/>
      </w:pPr>
      <w:r>
        <w:separator/>
      </w:r>
    </w:p>
  </w:endnote>
  <w:endnote w:type="continuationSeparator" w:id="0">
    <w:p w14:paraId="4B516BDC" w14:textId="77777777" w:rsidR="00075530" w:rsidRDefault="0007553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204093"/>
      <w:docPartObj>
        <w:docPartGallery w:val="Page Numbers (Bottom of Page)"/>
        <w:docPartUnique/>
      </w:docPartObj>
    </w:sdtPr>
    <w:sdtEndPr>
      <w:rPr>
        <w:rFonts w:ascii="Fira Sans" w:hAnsi="Fira Sans"/>
        <w:sz w:val="19"/>
        <w:szCs w:val="19"/>
      </w:rPr>
    </w:sdtEndPr>
    <w:sdtContent>
      <w:p w14:paraId="6D2AEDF4" w14:textId="77777777" w:rsidR="004429EF" w:rsidRPr="00B7359B" w:rsidRDefault="004429EF"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2</w:t>
        </w:r>
        <w:r w:rsidRPr="00B7359B">
          <w:rPr>
            <w:rFonts w:ascii="Fira Sans" w:hAnsi="Fira Sans"/>
            <w:sz w:val="19"/>
            <w:szCs w:val="19"/>
          </w:rPr>
          <w:fldChar w:fldCharType="end"/>
        </w:r>
      </w:p>
    </w:sdtContent>
  </w:sdt>
  <w:p w14:paraId="22F7A5A6" w14:textId="77777777" w:rsidR="004429EF" w:rsidRDefault="00442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788554"/>
      <w:docPartObj>
        <w:docPartGallery w:val="Page Numbers (Bottom of Page)"/>
        <w:docPartUnique/>
      </w:docPartObj>
    </w:sdtPr>
    <w:sdtEndPr>
      <w:rPr>
        <w:rFonts w:ascii="Fira Sans" w:hAnsi="Fira Sans"/>
        <w:sz w:val="19"/>
        <w:szCs w:val="19"/>
      </w:rPr>
    </w:sdtEndPr>
    <w:sdtContent>
      <w:p w14:paraId="48F913A8" w14:textId="77777777" w:rsidR="004429EF" w:rsidRPr="002B1A65" w:rsidRDefault="004429EF"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p w14:paraId="1673E675" w14:textId="77777777" w:rsidR="004429EF" w:rsidRDefault="004429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1CE0B0F8" w14:textId="77777777" w:rsidR="004429EF" w:rsidRDefault="004429EF" w:rsidP="003B6FFA">
        <w:pPr>
          <w:pStyle w:val="Stopka"/>
          <w:jc w:val="center"/>
        </w:pPr>
        <w:r>
          <w:fldChar w:fldCharType="begin"/>
        </w:r>
        <w:r>
          <w:instrText>PAGE   \* MERGEFORMAT</w:instrText>
        </w:r>
        <w:r>
          <w:fldChar w:fldCharType="separate"/>
        </w:r>
        <w:r>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BD025" w14:textId="77777777" w:rsidR="00075530" w:rsidRDefault="00075530" w:rsidP="000662E2">
      <w:pPr>
        <w:spacing w:after="0" w:line="240" w:lineRule="auto"/>
      </w:pPr>
      <w:r>
        <w:separator/>
      </w:r>
    </w:p>
  </w:footnote>
  <w:footnote w:type="continuationSeparator" w:id="0">
    <w:p w14:paraId="22614AED" w14:textId="77777777" w:rsidR="00075530" w:rsidRDefault="00075530" w:rsidP="000662E2">
      <w:pPr>
        <w:spacing w:after="0" w:line="240" w:lineRule="auto"/>
      </w:pPr>
      <w:r>
        <w:continuationSeparator/>
      </w:r>
    </w:p>
  </w:footnote>
  <w:footnote w:id="1">
    <w:p w14:paraId="6D819F54" w14:textId="206EC047" w:rsidR="009952D0" w:rsidRPr="009952D0" w:rsidRDefault="009952D0">
      <w:pPr>
        <w:pStyle w:val="Tekstprzypisudolnego"/>
        <w:rPr>
          <w:rFonts w:ascii="Fira Sans" w:hAnsi="Fira Sans"/>
          <w:sz w:val="16"/>
          <w:szCs w:val="16"/>
        </w:rPr>
      </w:pPr>
      <w:r>
        <w:rPr>
          <w:rStyle w:val="Odwoanieprzypisudolnego"/>
        </w:rPr>
        <w:footnoteRef/>
      </w:r>
      <w:r>
        <w:t xml:space="preserve"> </w:t>
      </w:r>
      <w:r w:rsidR="00D62BAC">
        <w:rPr>
          <w:rFonts w:ascii="Fira Sans" w:hAnsi="Fira Sans"/>
          <w:sz w:val="16"/>
          <w:szCs w:val="16"/>
        </w:rPr>
        <w:t>W</w:t>
      </w:r>
      <w:r>
        <w:rPr>
          <w:rFonts w:ascii="Fira Sans" w:hAnsi="Fira Sans"/>
          <w:sz w:val="16"/>
          <w:szCs w:val="16"/>
        </w:rPr>
        <w:t xml:space="preserve"> lipcu 2025 r. zmieniono częstotliwość zadawania pytań z cyklu rocznego do półrocznego</w:t>
      </w:r>
      <w:r w:rsidR="00D62BAC">
        <w:rPr>
          <w:rFonts w:ascii="Fira Sans" w:hAnsi="Fira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D8BA" w14:textId="0E520E09" w:rsidR="004429EF" w:rsidRDefault="004429EF" w:rsidP="008A4518">
    <w:pPr>
      <w:pStyle w:val="Nagwek"/>
      <w:tabs>
        <w:tab w:val="clear" w:pos="4536"/>
        <w:tab w:val="clear" w:pos="9072"/>
        <w:tab w:val="left" w:pos="6601"/>
      </w:tabs>
      <w:spacing w:before="120" w:after="360"/>
    </w:pPr>
    <w:r>
      <w:rPr>
        <w:noProof/>
        <w:lang w:eastAsia="pl-PL"/>
      </w:rPr>
      <mc:AlternateContent>
        <mc:Choice Requires="wps">
          <w:drawing>
            <wp:anchor distT="0" distB="0" distL="114300" distR="114300" simplePos="0" relativeHeight="251671552" behindDoc="1" locked="0" layoutInCell="1" allowOverlap="1" wp14:anchorId="248C510D" wp14:editId="2CB60C21">
              <wp:simplePos x="0" y="0"/>
              <wp:positionH relativeFrom="column">
                <wp:posOffset>5267325</wp:posOffset>
              </wp:positionH>
              <wp:positionV relativeFrom="paragraph">
                <wp:posOffset>-10325100</wp:posOffset>
              </wp:positionV>
              <wp:extent cx="1875600" cy="22680000"/>
              <wp:effectExtent l="0" t="0" r="0" b="8890"/>
              <wp:wrapNone/>
              <wp:docPr id="60" name="Prostokąt 60"/>
              <wp:cNvGraphicFramePr/>
              <a:graphic xmlns:a="http://schemas.openxmlformats.org/drawingml/2006/main">
                <a:graphicData uri="http://schemas.microsoft.com/office/word/2010/wordprocessingShape">
                  <wps:wsp>
                    <wps:cNvSpPr/>
                    <wps:spPr>
                      <a:xfrm>
                        <a:off x="0" y="0"/>
                        <a:ext cx="1875600" cy="22680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E7DEC6" id="Prostokąt 60" o:spid="_x0000_s1026" style="position:absolute;margin-left:414.75pt;margin-top:-813pt;width:147.7pt;height:178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" fillcolor="#f2f2f2 [3052]"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1575" w14:textId="77777777" w:rsidR="004429EF" w:rsidRDefault="004429EF" w:rsidP="00D34814">
    <w:pPr>
      <w:pStyle w:val="Nagwek"/>
      <w:tabs>
        <w:tab w:val="clear" w:pos="4536"/>
        <w:tab w:val="clear" w:pos="9072"/>
        <w:tab w:val="center" w:pos="2611"/>
      </w:tabs>
      <w:spacing w:before="120" w:after="1080"/>
      <w:rPr>
        <w:noProof/>
        <w:lang w:eastAsia="pl-PL"/>
      </w:rPr>
    </w:pPr>
    <w:r>
      <w:rPr>
        <w:noProof/>
        <w:lang w:eastAsia="pl-PL"/>
      </w:rPr>
      <w:drawing>
        <wp:anchor distT="0" distB="0" distL="114300" distR="114300" simplePos="0" relativeHeight="251675648" behindDoc="1" locked="0" layoutInCell="1" allowOverlap="1" wp14:anchorId="201E6AC5" wp14:editId="49F2CADA">
          <wp:simplePos x="0" y="0"/>
          <wp:positionH relativeFrom="column">
            <wp:posOffset>0</wp:posOffset>
          </wp:positionH>
          <wp:positionV relativeFrom="paragraph">
            <wp:posOffset>76835</wp:posOffset>
          </wp:positionV>
          <wp:extent cx="1114425" cy="619171"/>
          <wp:effectExtent l="0" t="0" r="0" b="9525"/>
          <wp:wrapTight wrapText="bothSides">
            <wp:wrapPolygon edited="0">
              <wp:start x="0" y="0"/>
              <wp:lineTo x="0" y="21268"/>
              <wp:lineTo x="21046" y="21268"/>
              <wp:lineTo x="21046" y="0"/>
              <wp:lineTo x="0" y="0"/>
            </wp:wrapPolygon>
          </wp:wrapTight>
          <wp:docPr id="8" name="Obraz 8"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GUS wersja podstawowa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619171"/>
                  </a:xfrm>
                  <a:prstGeom prst="rect">
                    <a:avLst/>
                  </a:prstGeom>
                </pic:spPr>
              </pic:pic>
            </a:graphicData>
          </a:graphic>
        </wp:anchor>
      </w:drawing>
    </w:r>
    <w:r>
      <w:rPr>
        <w:noProof/>
        <w:lang w:eastAsia="pl-PL"/>
      </w:rPr>
      <mc:AlternateContent>
        <mc:Choice Requires="wps">
          <w:drawing>
            <wp:anchor distT="0" distB="0" distL="114300" distR="114300" simplePos="0" relativeHeight="251672576" behindDoc="1" locked="0" layoutInCell="1" allowOverlap="1" wp14:anchorId="025CEB62" wp14:editId="546ED633">
              <wp:simplePos x="0" y="0"/>
              <wp:positionH relativeFrom="column">
                <wp:posOffset>5266690</wp:posOffset>
              </wp:positionH>
              <wp:positionV relativeFrom="paragraph">
                <wp:posOffset>197485</wp:posOffset>
              </wp:positionV>
              <wp:extent cx="1872000" cy="22906800"/>
              <wp:effectExtent l="0" t="0" r="0" b="0"/>
              <wp:wrapTight wrapText="bothSides">
                <wp:wrapPolygon edited="0">
                  <wp:start x="0" y="0"/>
                  <wp:lineTo x="0" y="21574"/>
                  <wp:lineTo x="21322" y="21574"/>
                  <wp:lineTo x="21322" y="0"/>
                  <wp:lineTo x="0" y="0"/>
                </wp:wrapPolygon>
              </wp:wrapTight>
              <wp:docPr id="62" name="Prostokąt 62"/>
              <wp:cNvGraphicFramePr/>
              <a:graphic xmlns:a="http://schemas.openxmlformats.org/drawingml/2006/main">
                <a:graphicData uri="http://schemas.microsoft.com/office/word/2010/wordprocessingShape">
                  <wps:wsp>
                    <wps:cNvSpPr/>
                    <wps:spPr>
                      <a:xfrm>
                        <a:off x="0" y="0"/>
                        <a:ext cx="1872000" cy="22906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853669" id="Prostokąt 62" o:spid="_x0000_s1026" style="position:absolute;margin-left:414.7pt;margin-top:15.55pt;width:147.4pt;height:1803.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" fillcolor="#f2f2f2 [3052]" stroked="f" strokeweight="1pt">
              <w10:wrap type="tight"/>
            </v:rect>
          </w:pict>
        </mc:Fallback>
      </mc:AlternateContent>
    </w:r>
    <w:r w:rsidRPr="00F37172">
      <w:rPr>
        <w:noProof/>
        <w:lang w:eastAsia="pl-PL"/>
      </w:rPr>
      <mc:AlternateContent>
        <mc:Choice Requires="wps">
          <w:drawing>
            <wp:anchor distT="45720" distB="45720" distL="114300" distR="114300" simplePos="0" relativeHeight="251674624" behindDoc="0" locked="0" layoutInCell="1" allowOverlap="1" wp14:anchorId="5002959A" wp14:editId="21860162">
              <wp:simplePos x="0" y="0"/>
              <wp:positionH relativeFrom="page">
                <wp:posOffset>5760720</wp:posOffset>
              </wp:positionH>
              <wp:positionV relativeFrom="paragraph">
                <wp:posOffset>953516</wp:posOffset>
              </wp:positionV>
              <wp:extent cx="1681200" cy="338400"/>
              <wp:effectExtent l="0" t="0" r="0" b="5080"/>
              <wp:wrapNone/>
              <wp:docPr id="63" name="Pole tekstowe 2" descr="30.09.2025 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200" cy="338400"/>
                      </a:xfrm>
                      <a:prstGeom prst="rect">
                        <a:avLst/>
                      </a:prstGeom>
                      <a:noFill/>
                      <a:ln w="9525">
                        <a:noFill/>
                        <a:miter lim="800000"/>
                        <a:headEnd/>
                        <a:tailEnd/>
                      </a:ln>
                    </wps:spPr>
                    <wps:txbx>
                      <w:txbxContent>
                        <w:p w14:paraId="14BD6E29" w14:textId="77777777" w:rsidR="004429EF" w:rsidRPr="001123E0" w:rsidRDefault="004429EF" w:rsidP="00F37172">
                          <w:pPr>
                            <w:jc w:val="both"/>
                            <w:rPr>
                              <w:rFonts w:ascii="Fira Sans SemiBold" w:hAnsi="Fira Sans SemiBold"/>
                              <w:color w:val="001D77"/>
                              <w:sz w:val="20"/>
                              <w:szCs w:val="20"/>
                            </w:rPr>
                          </w:pPr>
                          <w:r>
                            <w:rPr>
                              <w:rFonts w:ascii="Fira Sans SemiBold" w:eastAsiaTheme="minorEastAsia" w:hAnsi="Fira Sans SemiBold" w:cs="Fira Sans SemiBold"/>
                              <w:color w:val="000080"/>
                              <w:sz w:val="20"/>
                              <w:szCs w:val="20"/>
                              <w:lang w:eastAsia="pl-PL"/>
                            </w:rPr>
                            <w:t>3</w:t>
                          </w:r>
                          <w:r w:rsidR="00622B3D">
                            <w:rPr>
                              <w:rFonts w:ascii="Fira Sans SemiBold" w:eastAsiaTheme="minorEastAsia" w:hAnsi="Fira Sans SemiBold" w:cs="Fira Sans SemiBold"/>
                              <w:color w:val="000080"/>
                              <w:sz w:val="20"/>
                              <w:szCs w:val="20"/>
                              <w:lang w:eastAsia="pl-PL"/>
                            </w:rPr>
                            <w:t>0</w:t>
                          </w:r>
                          <w:r w:rsidRPr="00392074">
                            <w:rPr>
                              <w:rFonts w:ascii="Fira Sans SemiBold" w:eastAsiaTheme="minorEastAsia" w:hAnsi="Fira Sans SemiBold" w:cs="Fira Sans SemiBold"/>
                              <w:color w:val="000080"/>
                              <w:sz w:val="20"/>
                              <w:szCs w:val="20"/>
                              <w:lang w:eastAsia="pl-PL"/>
                            </w:rPr>
                            <w:t>.0</w:t>
                          </w:r>
                          <w:r w:rsidR="00622B3D">
                            <w:rPr>
                              <w:rFonts w:ascii="Fira Sans SemiBold" w:eastAsiaTheme="minorEastAsia" w:hAnsi="Fira Sans SemiBold" w:cs="Fira Sans SemiBold"/>
                              <w:color w:val="000080"/>
                              <w:sz w:val="20"/>
                              <w:szCs w:val="20"/>
                              <w:lang w:eastAsia="pl-PL"/>
                            </w:rPr>
                            <w:t>9</w:t>
                          </w:r>
                          <w:r>
                            <w:rPr>
                              <w:rFonts w:ascii="Fira Sans SemiBold" w:eastAsiaTheme="minorEastAsia" w:hAnsi="Fira Sans SemiBold" w:cs="Fira Sans SemiBold"/>
                              <w:color w:val="000080"/>
                              <w:sz w:val="20"/>
                              <w:szCs w:val="20"/>
                              <w:lang w:eastAsia="pl-PL"/>
                            </w:rPr>
                            <w:t>.2025</w:t>
                          </w:r>
                          <w:r w:rsidRPr="00392074">
                            <w:rPr>
                              <w:rFonts w:ascii="Fira Sans SemiBold" w:eastAsiaTheme="minorEastAsia" w:hAnsi="Fira Sans SemiBold" w:cs="Fira Sans SemiBold"/>
                              <w:color w:val="000080"/>
                              <w:sz w:val="20"/>
                              <w:szCs w:val="20"/>
                              <w:lang w:eastAsia="pl-PL"/>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02959A" id="_x0000_t202" coordsize="21600,21600" o:spt="202" path="m,l,21600r21600,l21600,xe">
              <v:stroke joinstyle="miter"/>
              <v:path gradientshapeok="t" o:connecttype="rect"/>
            </v:shapetype>
            <v:shape id="_x0000_s1043" type="#_x0000_t202" alt="30.09.2025 r.&#10;" style="position:absolute;margin-left:453.6pt;margin-top:75.1pt;width:132.4pt;height:26.6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" filled="f" stroked="f">
              <v:textbox>
                <w:txbxContent>
                  <w:p w14:paraId="14BD6E29" w14:textId="77777777" w:rsidR="004429EF" w:rsidRPr="001123E0" w:rsidRDefault="004429EF" w:rsidP="00F37172">
                    <w:pPr>
                      <w:jc w:val="both"/>
                      <w:rPr>
                        <w:rFonts w:ascii="Fira Sans SemiBold" w:hAnsi="Fira Sans SemiBold"/>
                        <w:color w:val="001D77"/>
                        <w:sz w:val="20"/>
                        <w:szCs w:val="20"/>
                      </w:rPr>
                    </w:pPr>
                    <w:r>
                      <w:rPr>
                        <w:rFonts w:ascii="Fira Sans SemiBold" w:eastAsiaTheme="minorEastAsia" w:hAnsi="Fira Sans SemiBold" w:cs="Fira Sans SemiBold"/>
                        <w:color w:val="000080"/>
                        <w:sz w:val="20"/>
                        <w:szCs w:val="20"/>
                        <w:lang w:eastAsia="pl-PL"/>
                      </w:rPr>
                      <w:t>3</w:t>
                    </w:r>
                    <w:r w:rsidR="00622B3D">
                      <w:rPr>
                        <w:rFonts w:ascii="Fira Sans SemiBold" w:eastAsiaTheme="minorEastAsia" w:hAnsi="Fira Sans SemiBold" w:cs="Fira Sans SemiBold"/>
                        <w:color w:val="000080"/>
                        <w:sz w:val="20"/>
                        <w:szCs w:val="20"/>
                        <w:lang w:eastAsia="pl-PL"/>
                      </w:rPr>
                      <w:t>0</w:t>
                    </w:r>
                    <w:r w:rsidRPr="00392074">
                      <w:rPr>
                        <w:rFonts w:ascii="Fira Sans SemiBold" w:eastAsiaTheme="minorEastAsia" w:hAnsi="Fira Sans SemiBold" w:cs="Fira Sans SemiBold"/>
                        <w:color w:val="000080"/>
                        <w:sz w:val="20"/>
                        <w:szCs w:val="20"/>
                        <w:lang w:eastAsia="pl-PL"/>
                      </w:rPr>
                      <w:t>.0</w:t>
                    </w:r>
                    <w:r w:rsidR="00622B3D">
                      <w:rPr>
                        <w:rFonts w:ascii="Fira Sans SemiBold" w:eastAsiaTheme="minorEastAsia" w:hAnsi="Fira Sans SemiBold" w:cs="Fira Sans SemiBold"/>
                        <w:color w:val="000080"/>
                        <w:sz w:val="20"/>
                        <w:szCs w:val="20"/>
                        <w:lang w:eastAsia="pl-PL"/>
                      </w:rPr>
                      <w:t>9</w:t>
                    </w:r>
                    <w:r>
                      <w:rPr>
                        <w:rFonts w:ascii="Fira Sans SemiBold" w:eastAsiaTheme="minorEastAsia" w:hAnsi="Fira Sans SemiBold" w:cs="Fira Sans SemiBold"/>
                        <w:color w:val="000080"/>
                        <w:sz w:val="20"/>
                        <w:szCs w:val="20"/>
                        <w:lang w:eastAsia="pl-PL"/>
                      </w:rPr>
                      <w:t>.2025</w:t>
                    </w:r>
                    <w:r w:rsidRPr="00392074">
                      <w:rPr>
                        <w:rFonts w:ascii="Fira Sans SemiBold" w:eastAsiaTheme="minorEastAsia" w:hAnsi="Fira Sans SemiBold" w:cs="Fira Sans SemiBold"/>
                        <w:color w:val="000080"/>
                        <w:sz w:val="20"/>
                        <w:szCs w:val="20"/>
                        <w:lang w:eastAsia="pl-PL"/>
                      </w:rPr>
                      <w:t xml:space="preserve"> r.</w:t>
                    </w:r>
                  </w:p>
                </w:txbxContent>
              </v:textbox>
              <w10:wrap anchorx="page"/>
            </v:shape>
          </w:pict>
        </mc:Fallback>
      </mc:AlternateContent>
    </w:r>
    <w:r w:rsidRPr="00F37172">
      <w:rPr>
        <w:noProof/>
        <w:lang w:eastAsia="pl-PL"/>
      </w:rPr>
      <mc:AlternateContent>
        <mc:Choice Requires="wps">
          <w:drawing>
            <wp:anchor distT="0" distB="0" distL="114300" distR="114300" simplePos="0" relativeHeight="251673600" behindDoc="0" locked="0" layoutInCell="1" allowOverlap="1" wp14:anchorId="30A4CFBF" wp14:editId="3DC29958">
              <wp:simplePos x="0" y="0"/>
              <wp:positionH relativeFrom="column">
                <wp:posOffset>5036820</wp:posOffset>
              </wp:positionH>
              <wp:positionV relativeFrom="paragraph">
                <wp:posOffset>198755</wp:posOffset>
              </wp:positionV>
              <wp:extent cx="2060575" cy="357505"/>
              <wp:effectExtent l="0" t="0" r="0" b="4445"/>
              <wp:wrapNone/>
              <wp:docPr id="61" name="Schemat blokowy: opóźnienie 6" descr="Napis &quot;Informacje sygnalne&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20023E" w14:textId="77777777" w:rsidR="004429EF" w:rsidRPr="000201D2" w:rsidRDefault="004429EF"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4CFBF" id="Schemat blokowy: opóźnienie 6" o:spid="_x0000_s1044" alt="Napis &quot;Informacje sygnalne&quot;" style="position:absolute;margin-left:396.6pt;margin-top:15.65pt;width:162.25pt;height:28.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umEAYAANc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tVG0&#10;QpBU36zY+vYDR5wZbqZosrcFF/KSCPmBcKAAAjiAYCrfw0deMrgb4a7TKw9tGP963/dKHjiSsOuh&#10;LZA7l574+5pw6qHy9xrYkymOgE2IpL6I4iSAC27vrOyd+rp6zQAgMFYhOr1U8rLsljln1WfgoV4o&#10;r7BF6gx8w/iWMFjMxWsJ17AFTNaMXlzoNTBAAaWX9ccm62iWDWT+afeZ8Aap5dKTQLJ8xzoi6IE9&#10;Cag+yKoO1eziWrK8UNRKjUxT1/YC2KMaSi3TVdFT7WstdeDjnv8D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wBQLphAG&#10;AADXKwAADgAAAAAAAAAAAAAAAAAuAgAAZHJzL2Uyb0RvYy54bWxQSwECLQAUAAYACAAAACEAME8M&#10;9d4AAAAKAQAADwAAAAAAAAAAAAAAAABqCAAAZHJzL2Rvd25yZXYueG1sUEsFBgAAAAAEAAQA8wAA&#10;AHU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220023E" w14:textId="77777777" w:rsidR="004429EF" w:rsidRPr="000201D2" w:rsidRDefault="004429EF"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00CA" w14:textId="77777777" w:rsidR="004429EF" w:rsidRDefault="004429EF" w:rsidP="00106D6D">
    <w:pPr>
      <w:pStyle w:val="Nagwek"/>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23.6pt;height:125.4pt;visibility:visible;mso-wrap-style:square" o:bullet="t">
        <v:imagedata r:id="rId1" o:title=""/>
      </v:shape>
    </w:pict>
  </w:numPicBullet>
  <w:numPicBullet w:numPicBulletId="1">
    <w:pict>
      <v:shape id="_x0000_i1103" type="#_x0000_t75" style="width:124.2pt;height:125.4pt;visibility:visible;mso-wrap-style:square" o:bullet="t">
        <v:imagedata r:id="rId2" o:title=""/>
      </v:shape>
    </w:pict>
  </w:numPicBullet>
  <w:abstractNum w:abstractNumId="0" w15:restartNumberingAfterBreak="0">
    <w:nsid w:val="0B225BAE"/>
    <w:multiLevelType w:val="hybridMultilevel"/>
    <w:tmpl w:val="D980AD58"/>
    <w:lvl w:ilvl="0" w:tplc="7F0EB95C">
      <w:start w:val="1"/>
      <w:numFmt w:val="bullet"/>
      <w:lvlText w:val=""/>
      <w:lvlJc w:val="left"/>
      <w:pPr>
        <w:ind w:left="1060" w:hanging="360"/>
      </w:pPr>
      <w:rPr>
        <w:rFonts w:ascii="Symbol" w:hAnsi="Symbol"/>
      </w:rPr>
    </w:lvl>
    <w:lvl w:ilvl="1" w:tplc="B00AFD54">
      <w:start w:val="1"/>
      <w:numFmt w:val="bullet"/>
      <w:lvlText w:val=""/>
      <w:lvlJc w:val="left"/>
      <w:pPr>
        <w:ind w:left="1060" w:hanging="360"/>
      </w:pPr>
      <w:rPr>
        <w:rFonts w:ascii="Symbol" w:hAnsi="Symbol"/>
      </w:rPr>
    </w:lvl>
    <w:lvl w:ilvl="2" w:tplc="47DE5FB6">
      <w:start w:val="1"/>
      <w:numFmt w:val="bullet"/>
      <w:lvlText w:val=""/>
      <w:lvlJc w:val="left"/>
      <w:pPr>
        <w:ind w:left="1060" w:hanging="360"/>
      </w:pPr>
      <w:rPr>
        <w:rFonts w:ascii="Symbol" w:hAnsi="Symbol"/>
      </w:rPr>
    </w:lvl>
    <w:lvl w:ilvl="3" w:tplc="1DA834AE">
      <w:start w:val="1"/>
      <w:numFmt w:val="bullet"/>
      <w:lvlText w:val=""/>
      <w:lvlJc w:val="left"/>
      <w:pPr>
        <w:ind w:left="1060" w:hanging="360"/>
      </w:pPr>
      <w:rPr>
        <w:rFonts w:ascii="Symbol" w:hAnsi="Symbol"/>
      </w:rPr>
    </w:lvl>
    <w:lvl w:ilvl="4" w:tplc="5D7E3BE4">
      <w:start w:val="1"/>
      <w:numFmt w:val="bullet"/>
      <w:lvlText w:val=""/>
      <w:lvlJc w:val="left"/>
      <w:pPr>
        <w:ind w:left="1060" w:hanging="360"/>
      </w:pPr>
      <w:rPr>
        <w:rFonts w:ascii="Symbol" w:hAnsi="Symbol"/>
      </w:rPr>
    </w:lvl>
    <w:lvl w:ilvl="5" w:tplc="2E141D32">
      <w:start w:val="1"/>
      <w:numFmt w:val="bullet"/>
      <w:lvlText w:val=""/>
      <w:lvlJc w:val="left"/>
      <w:pPr>
        <w:ind w:left="1060" w:hanging="360"/>
      </w:pPr>
      <w:rPr>
        <w:rFonts w:ascii="Symbol" w:hAnsi="Symbol"/>
      </w:rPr>
    </w:lvl>
    <w:lvl w:ilvl="6" w:tplc="489275A2">
      <w:start w:val="1"/>
      <w:numFmt w:val="bullet"/>
      <w:lvlText w:val=""/>
      <w:lvlJc w:val="left"/>
      <w:pPr>
        <w:ind w:left="1060" w:hanging="360"/>
      </w:pPr>
      <w:rPr>
        <w:rFonts w:ascii="Symbol" w:hAnsi="Symbol"/>
      </w:rPr>
    </w:lvl>
    <w:lvl w:ilvl="7" w:tplc="5D981E16">
      <w:start w:val="1"/>
      <w:numFmt w:val="bullet"/>
      <w:lvlText w:val=""/>
      <w:lvlJc w:val="left"/>
      <w:pPr>
        <w:ind w:left="1060" w:hanging="360"/>
      </w:pPr>
      <w:rPr>
        <w:rFonts w:ascii="Symbol" w:hAnsi="Symbol"/>
      </w:rPr>
    </w:lvl>
    <w:lvl w:ilvl="8" w:tplc="71FAF7FC">
      <w:start w:val="1"/>
      <w:numFmt w:val="bullet"/>
      <w:lvlText w:val=""/>
      <w:lvlJc w:val="left"/>
      <w:pPr>
        <w:ind w:left="1060" w:hanging="360"/>
      </w:pPr>
      <w:rPr>
        <w:rFonts w:ascii="Symbol" w:hAnsi="Symbol"/>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84933D7"/>
    <w:multiLevelType w:val="hybridMultilevel"/>
    <w:tmpl w:val="77E02E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3EE78CB"/>
    <w:multiLevelType w:val="hybridMultilevel"/>
    <w:tmpl w:val="297CE606"/>
    <w:lvl w:ilvl="0" w:tplc="FA52CC8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772765C3"/>
    <w:multiLevelType w:val="hybridMultilevel"/>
    <w:tmpl w:val="4FF6FEA4"/>
    <w:lvl w:ilvl="0" w:tplc="6E4A78EE">
      <w:start w:val="1"/>
      <w:numFmt w:val="bullet"/>
      <w:lvlText w:val=""/>
      <w:lvlJc w:val="left"/>
      <w:pPr>
        <w:ind w:left="1060" w:hanging="360"/>
      </w:pPr>
      <w:rPr>
        <w:rFonts w:ascii="Symbol" w:hAnsi="Symbol"/>
      </w:rPr>
    </w:lvl>
    <w:lvl w:ilvl="1" w:tplc="B97C458E">
      <w:start w:val="1"/>
      <w:numFmt w:val="bullet"/>
      <w:lvlText w:val=""/>
      <w:lvlJc w:val="left"/>
      <w:pPr>
        <w:ind w:left="1060" w:hanging="360"/>
      </w:pPr>
      <w:rPr>
        <w:rFonts w:ascii="Symbol" w:hAnsi="Symbol"/>
      </w:rPr>
    </w:lvl>
    <w:lvl w:ilvl="2" w:tplc="ADC887F0">
      <w:start w:val="1"/>
      <w:numFmt w:val="bullet"/>
      <w:lvlText w:val=""/>
      <w:lvlJc w:val="left"/>
      <w:pPr>
        <w:ind w:left="1060" w:hanging="360"/>
      </w:pPr>
      <w:rPr>
        <w:rFonts w:ascii="Symbol" w:hAnsi="Symbol"/>
      </w:rPr>
    </w:lvl>
    <w:lvl w:ilvl="3" w:tplc="A3266FC0">
      <w:start w:val="1"/>
      <w:numFmt w:val="bullet"/>
      <w:lvlText w:val=""/>
      <w:lvlJc w:val="left"/>
      <w:pPr>
        <w:ind w:left="1060" w:hanging="360"/>
      </w:pPr>
      <w:rPr>
        <w:rFonts w:ascii="Symbol" w:hAnsi="Symbol"/>
      </w:rPr>
    </w:lvl>
    <w:lvl w:ilvl="4" w:tplc="759C6F56">
      <w:start w:val="1"/>
      <w:numFmt w:val="bullet"/>
      <w:lvlText w:val=""/>
      <w:lvlJc w:val="left"/>
      <w:pPr>
        <w:ind w:left="1060" w:hanging="360"/>
      </w:pPr>
      <w:rPr>
        <w:rFonts w:ascii="Symbol" w:hAnsi="Symbol"/>
      </w:rPr>
    </w:lvl>
    <w:lvl w:ilvl="5" w:tplc="9AC63C94">
      <w:start w:val="1"/>
      <w:numFmt w:val="bullet"/>
      <w:lvlText w:val=""/>
      <w:lvlJc w:val="left"/>
      <w:pPr>
        <w:ind w:left="1060" w:hanging="360"/>
      </w:pPr>
      <w:rPr>
        <w:rFonts w:ascii="Symbol" w:hAnsi="Symbol"/>
      </w:rPr>
    </w:lvl>
    <w:lvl w:ilvl="6" w:tplc="80189E82">
      <w:start w:val="1"/>
      <w:numFmt w:val="bullet"/>
      <w:lvlText w:val=""/>
      <w:lvlJc w:val="left"/>
      <w:pPr>
        <w:ind w:left="1060" w:hanging="360"/>
      </w:pPr>
      <w:rPr>
        <w:rFonts w:ascii="Symbol" w:hAnsi="Symbol"/>
      </w:rPr>
    </w:lvl>
    <w:lvl w:ilvl="7" w:tplc="4CFA6F90">
      <w:start w:val="1"/>
      <w:numFmt w:val="bullet"/>
      <w:lvlText w:val=""/>
      <w:lvlJc w:val="left"/>
      <w:pPr>
        <w:ind w:left="1060" w:hanging="360"/>
      </w:pPr>
      <w:rPr>
        <w:rFonts w:ascii="Symbol" w:hAnsi="Symbol"/>
      </w:rPr>
    </w:lvl>
    <w:lvl w:ilvl="8" w:tplc="7A242706">
      <w:start w:val="1"/>
      <w:numFmt w:val="bullet"/>
      <w:lvlText w:val=""/>
      <w:lvlJc w:val="left"/>
      <w:pPr>
        <w:ind w:left="1060" w:hanging="360"/>
      </w:pPr>
      <w:rPr>
        <w:rFonts w:ascii="Symbol" w:hAnsi="Symbol"/>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8E5"/>
    <w:rsid w:val="00000DA0"/>
    <w:rsid w:val="00001C5B"/>
    <w:rsid w:val="00002CD0"/>
    <w:rsid w:val="00003437"/>
    <w:rsid w:val="00003F15"/>
    <w:rsid w:val="00004825"/>
    <w:rsid w:val="00004D41"/>
    <w:rsid w:val="000057E5"/>
    <w:rsid w:val="00005CE7"/>
    <w:rsid w:val="000066AA"/>
    <w:rsid w:val="00006D8E"/>
    <w:rsid w:val="0000709F"/>
    <w:rsid w:val="000072A1"/>
    <w:rsid w:val="0000742A"/>
    <w:rsid w:val="00007455"/>
    <w:rsid w:val="00007D35"/>
    <w:rsid w:val="000108B8"/>
    <w:rsid w:val="000108D5"/>
    <w:rsid w:val="00010CE8"/>
    <w:rsid w:val="00010DE9"/>
    <w:rsid w:val="00011075"/>
    <w:rsid w:val="00011118"/>
    <w:rsid w:val="00011A11"/>
    <w:rsid w:val="00011C7D"/>
    <w:rsid w:val="00015053"/>
    <w:rsid w:val="000152F5"/>
    <w:rsid w:val="0001690E"/>
    <w:rsid w:val="00016D37"/>
    <w:rsid w:val="00017D23"/>
    <w:rsid w:val="000201D2"/>
    <w:rsid w:val="000207D0"/>
    <w:rsid w:val="00021619"/>
    <w:rsid w:val="00021D5F"/>
    <w:rsid w:val="00022730"/>
    <w:rsid w:val="00022ABD"/>
    <w:rsid w:val="000239A1"/>
    <w:rsid w:val="0002530B"/>
    <w:rsid w:val="000259F3"/>
    <w:rsid w:val="00026D09"/>
    <w:rsid w:val="00027359"/>
    <w:rsid w:val="000277F3"/>
    <w:rsid w:val="00027A7D"/>
    <w:rsid w:val="00030EB1"/>
    <w:rsid w:val="00031F4F"/>
    <w:rsid w:val="000321C9"/>
    <w:rsid w:val="000323DB"/>
    <w:rsid w:val="00032432"/>
    <w:rsid w:val="00033353"/>
    <w:rsid w:val="00033B5D"/>
    <w:rsid w:val="00034B19"/>
    <w:rsid w:val="0003657C"/>
    <w:rsid w:val="000366E9"/>
    <w:rsid w:val="00036D9A"/>
    <w:rsid w:val="0003726B"/>
    <w:rsid w:val="00037294"/>
    <w:rsid w:val="00040C90"/>
    <w:rsid w:val="00041BB2"/>
    <w:rsid w:val="00043AA8"/>
    <w:rsid w:val="000443F9"/>
    <w:rsid w:val="000444E6"/>
    <w:rsid w:val="00045569"/>
    <w:rsid w:val="0004582E"/>
    <w:rsid w:val="0004594F"/>
    <w:rsid w:val="00046699"/>
    <w:rsid w:val="000472E6"/>
    <w:rsid w:val="00047F8D"/>
    <w:rsid w:val="00051244"/>
    <w:rsid w:val="00051931"/>
    <w:rsid w:val="00051981"/>
    <w:rsid w:val="00052861"/>
    <w:rsid w:val="00052A2C"/>
    <w:rsid w:val="00052BBA"/>
    <w:rsid w:val="000534A5"/>
    <w:rsid w:val="000544C9"/>
    <w:rsid w:val="00056277"/>
    <w:rsid w:val="000564BC"/>
    <w:rsid w:val="0005714F"/>
    <w:rsid w:val="0005758E"/>
    <w:rsid w:val="00057B5C"/>
    <w:rsid w:val="00057BCF"/>
    <w:rsid w:val="00057CA1"/>
    <w:rsid w:val="0006060F"/>
    <w:rsid w:val="00060C40"/>
    <w:rsid w:val="00060C4D"/>
    <w:rsid w:val="00061350"/>
    <w:rsid w:val="00061635"/>
    <w:rsid w:val="00062C3F"/>
    <w:rsid w:val="000631E9"/>
    <w:rsid w:val="00063AFD"/>
    <w:rsid w:val="00064D21"/>
    <w:rsid w:val="000656B1"/>
    <w:rsid w:val="000662E2"/>
    <w:rsid w:val="000665CB"/>
    <w:rsid w:val="00066883"/>
    <w:rsid w:val="00066D5E"/>
    <w:rsid w:val="00067B49"/>
    <w:rsid w:val="00070069"/>
    <w:rsid w:val="00071612"/>
    <w:rsid w:val="00071636"/>
    <w:rsid w:val="00071C5B"/>
    <w:rsid w:val="00071F07"/>
    <w:rsid w:val="00072583"/>
    <w:rsid w:val="00072A38"/>
    <w:rsid w:val="0007385C"/>
    <w:rsid w:val="00074600"/>
    <w:rsid w:val="00074AAE"/>
    <w:rsid w:val="00074EF0"/>
    <w:rsid w:val="00075359"/>
    <w:rsid w:val="00075530"/>
    <w:rsid w:val="00075563"/>
    <w:rsid w:val="00075740"/>
    <w:rsid w:val="00076913"/>
    <w:rsid w:val="00076AA5"/>
    <w:rsid w:val="00076C1A"/>
    <w:rsid w:val="00076EB8"/>
    <w:rsid w:val="0008045F"/>
    <w:rsid w:val="000806F7"/>
    <w:rsid w:val="00081471"/>
    <w:rsid w:val="00083125"/>
    <w:rsid w:val="000834E9"/>
    <w:rsid w:val="00086779"/>
    <w:rsid w:val="00087473"/>
    <w:rsid w:val="00090A07"/>
    <w:rsid w:val="00090C44"/>
    <w:rsid w:val="00090DEE"/>
    <w:rsid w:val="00090EF0"/>
    <w:rsid w:val="0009276C"/>
    <w:rsid w:val="00092A9F"/>
    <w:rsid w:val="000931D9"/>
    <w:rsid w:val="000934FB"/>
    <w:rsid w:val="0009359E"/>
    <w:rsid w:val="0009439B"/>
    <w:rsid w:val="0009541F"/>
    <w:rsid w:val="0009660E"/>
    <w:rsid w:val="00096AF6"/>
    <w:rsid w:val="00096BB4"/>
    <w:rsid w:val="00097476"/>
    <w:rsid w:val="00097D87"/>
    <w:rsid w:val="00097D95"/>
    <w:rsid w:val="00097FF4"/>
    <w:rsid w:val="000A00C6"/>
    <w:rsid w:val="000A0C17"/>
    <w:rsid w:val="000A1AFF"/>
    <w:rsid w:val="000A257F"/>
    <w:rsid w:val="000A3489"/>
    <w:rsid w:val="000A388D"/>
    <w:rsid w:val="000A3B1F"/>
    <w:rsid w:val="000A3ECC"/>
    <w:rsid w:val="000A46CA"/>
    <w:rsid w:val="000A4B95"/>
    <w:rsid w:val="000A5463"/>
    <w:rsid w:val="000A552D"/>
    <w:rsid w:val="000A5E67"/>
    <w:rsid w:val="000A5E8B"/>
    <w:rsid w:val="000A6194"/>
    <w:rsid w:val="000A638A"/>
    <w:rsid w:val="000A6754"/>
    <w:rsid w:val="000A7811"/>
    <w:rsid w:val="000A7D61"/>
    <w:rsid w:val="000A7E38"/>
    <w:rsid w:val="000B02FD"/>
    <w:rsid w:val="000B0727"/>
    <w:rsid w:val="000B12CB"/>
    <w:rsid w:val="000B1421"/>
    <w:rsid w:val="000B2FEA"/>
    <w:rsid w:val="000B373B"/>
    <w:rsid w:val="000B4470"/>
    <w:rsid w:val="000B5553"/>
    <w:rsid w:val="000B6929"/>
    <w:rsid w:val="000C0392"/>
    <w:rsid w:val="000C0479"/>
    <w:rsid w:val="000C0FE2"/>
    <w:rsid w:val="000C135D"/>
    <w:rsid w:val="000C1F8B"/>
    <w:rsid w:val="000C2A89"/>
    <w:rsid w:val="000C2B9D"/>
    <w:rsid w:val="000C362F"/>
    <w:rsid w:val="000C394F"/>
    <w:rsid w:val="000C411C"/>
    <w:rsid w:val="000C4534"/>
    <w:rsid w:val="000C596E"/>
    <w:rsid w:val="000C5AB5"/>
    <w:rsid w:val="000C5E81"/>
    <w:rsid w:val="000C5ECF"/>
    <w:rsid w:val="000C6CC4"/>
    <w:rsid w:val="000C7BAA"/>
    <w:rsid w:val="000C7E57"/>
    <w:rsid w:val="000D08EB"/>
    <w:rsid w:val="000D1D43"/>
    <w:rsid w:val="000D1F25"/>
    <w:rsid w:val="000D225C"/>
    <w:rsid w:val="000D3624"/>
    <w:rsid w:val="000D48D8"/>
    <w:rsid w:val="000D4DE5"/>
    <w:rsid w:val="000D51F5"/>
    <w:rsid w:val="000D6482"/>
    <w:rsid w:val="000D6BA9"/>
    <w:rsid w:val="000D71FB"/>
    <w:rsid w:val="000D72BC"/>
    <w:rsid w:val="000D743F"/>
    <w:rsid w:val="000D7E3C"/>
    <w:rsid w:val="000D7E90"/>
    <w:rsid w:val="000E0052"/>
    <w:rsid w:val="000E0315"/>
    <w:rsid w:val="000E0918"/>
    <w:rsid w:val="000E0E05"/>
    <w:rsid w:val="000E1B71"/>
    <w:rsid w:val="000E1BBD"/>
    <w:rsid w:val="000E1DEF"/>
    <w:rsid w:val="000E21BC"/>
    <w:rsid w:val="000E27EF"/>
    <w:rsid w:val="000E2E85"/>
    <w:rsid w:val="000E3131"/>
    <w:rsid w:val="000E3DA6"/>
    <w:rsid w:val="000E583C"/>
    <w:rsid w:val="000E6D03"/>
    <w:rsid w:val="000E724D"/>
    <w:rsid w:val="000E747C"/>
    <w:rsid w:val="000E77DD"/>
    <w:rsid w:val="000E7ED0"/>
    <w:rsid w:val="000F0118"/>
    <w:rsid w:val="000F025E"/>
    <w:rsid w:val="000F03E5"/>
    <w:rsid w:val="000F074D"/>
    <w:rsid w:val="000F0A57"/>
    <w:rsid w:val="000F1321"/>
    <w:rsid w:val="000F13F5"/>
    <w:rsid w:val="000F24CD"/>
    <w:rsid w:val="000F2613"/>
    <w:rsid w:val="000F2757"/>
    <w:rsid w:val="000F2902"/>
    <w:rsid w:val="000F2904"/>
    <w:rsid w:val="000F2E08"/>
    <w:rsid w:val="000F3461"/>
    <w:rsid w:val="000F3662"/>
    <w:rsid w:val="000F42CD"/>
    <w:rsid w:val="000F4581"/>
    <w:rsid w:val="000F55B1"/>
    <w:rsid w:val="001005D5"/>
    <w:rsid w:val="00100BB7"/>
    <w:rsid w:val="00100DBC"/>
    <w:rsid w:val="001011C3"/>
    <w:rsid w:val="00101BB6"/>
    <w:rsid w:val="001027F5"/>
    <w:rsid w:val="00103966"/>
    <w:rsid w:val="00104663"/>
    <w:rsid w:val="00105B28"/>
    <w:rsid w:val="001067BA"/>
    <w:rsid w:val="001069BB"/>
    <w:rsid w:val="00106A01"/>
    <w:rsid w:val="00106D6D"/>
    <w:rsid w:val="00107915"/>
    <w:rsid w:val="00110D87"/>
    <w:rsid w:val="00110DEB"/>
    <w:rsid w:val="00110F99"/>
    <w:rsid w:val="00111CDB"/>
    <w:rsid w:val="00111D88"/>
    <w:rsid w:val="00112041"/>
    <w:rsid w:val="001123E0"/>
    <w:rsid w:val="00112B83"/>
    <w:rsid w:val="00112E06"/>
    <w:rsid w:val="00112E88"/>
    <w:rsid w:val="00114ADF"/>
    <w:rsid w:val="00114D3F"/>
    <w:rsid w:val="00114DB9"/>
    <w:rsid w:val="00114E77"/>
    <w:rsid w:val="00114F89"/>
    <w:rsid w:val="0011518C"/>
    <w:rsid w:val="00116087"/>
    <w:rsid w:val="00116F15"/>
    <w:rsid w:val="001178EE"/>
    <w:rsid w:val="00117F9F"/>
    <w:rsid w:val="001203AA"/>
    <w:rsid w:val="0012124A"/>
    <w:rsid w:val="00121976"/>
    <w:rsid w:val="00121D99"/>
    <w:rsid w:val="00123319"/>
    <w:rsid w:val="00123D72"/>
    <w:rsid w:val="001244A5"/>
    <w:rsid w:val="00124665"/>
    <w:rsid w:val="00124C9D"/>
    <w:rsid w:val="001250AF"/>
    <w:rsid w:val="001259F0"/>
    <w:rsid w:val="00125ECF"/>
    <w:rsid w:val="00126049"/>
    <w:rsid w:val="0012746E"/>
    <w:rsid w:val="0012798D"/>
    <w:rsid w:val="00130296"/>
    <w:rsid w:val="00130519"/>
    <w:rsid w:val="00130C99"/>
    <w:rsid w:val="001311B5"/>
    <w:rsid w:val="0013126B"/>
    <w:rsid w:val="001327F1"/>
    <w:rsid w:val="00132BDF"/>
    <w:rsid w:val="0013311A"/>
    <w:rsid w:val="00133B51"/>
    <w:rsid w:val="001340A2"/>
    <w:rsid w:val="00134852"/>
    <w:rsid w:val="00134F39"/>
    <w:rsid w:val="00134F51"/>
    <w:rsid w:val="00136557"/>
    <w:rsid w:val="00137568"/>
    <w:rsid w:val="00137929"/>
    <w:rsid w:val="001411DC"/>
    <w:rsid w:val="001423B6"/>
    <w:rsid w:val="001423DA"/>
    <w:rsid w:val="0014293E"/>
    <w:rsid w:val="00142C02"/>
    <w:rsid w:val="00142FFB"/>
    <w:rsid w:val="0014307A"/>
    <w:rsid w:val="001448A7"/>
    <w:rsid w:val="00144E19"/>
    <w:rsid w:val="00144EC0"/>
    <w:rsid w:val="0014508D"/>
    <w:rsid w:val="00145C03"/>
    <w:rsid w:val="00146621"/>
    <w:rsid w:val="00146677"/>
    <w:rsid w:val="0014698C"/>
    <w:rsid w:val="001475FF"/>
    <w:rsid w:val="001479AC"/>
    <w:rsid w:val="0015004F"/>
    <w:rsid w:val="00150BC6"/>
    <w:rsid w:val="00150E45"/>
    <w:rsid w:val="00151172"/>
    <w:rsid w:val="00151FAD"/>
    <w:rsid w:val="00152011"/>
    <w:rsid w:val="001523FD"/>
    <w:rsid w:val="001531BB"/>
    <w:rsid w:val="00153768"/>
    <w:rsid w:val="00153917"/>
    <w:rsid w:val="00153AB1"/>
    <w:rsid w:val="00153ABA"/>
    <w:rsid w:val="0015435A"/>
    <w:rsid w:val="001557B1"/>
    <w:rsid w:val="00155A33"/>
    <w:rsid w:val="00155B87"/>
    <w:rsid w:val="00155E45"/>
    <w:rsid w:val="00160956"/>
    <w:rsid w:val="00162325"/>
    <w:rsid w:val="00162486"/>
    <w:rsid w:val="00162D31"/>
    <w:rsid w:val="00163E39"/>
    <w:rsid w:val="0016439D"/>
    <w:rsid w:val="0016451D"/>
    <w:rsid w:val="001645F9"/>
    <w:rsid w:val="00164874"/>
    <w:rsid w:val="00164A2E"/>
    <w:rsid w:val="00164D29"/>
    <w:rsid w:val="00165E66"/>
    <w:rsid w:val="00166FEA"/>
    <w:rsid w:val="001670DF"/>
    <w:rsid w:val="001673EF"/>
    <w:rsid w:val="0016745A"/>
    <w:rsid w:val="00167AC7"/>
    <w:rsid w:val="00167C56"/>
    <w:rsid w:val="00167FB7"/>
    <w:rsid w:val="001701A7"/>
    <w:rsid w:val="00170980"/>
    <w:rsid w:val="00170BD8"/>
    <w:rsid w:val="0017118E"/>
    <w:rsid w:val="00171293"/>
    <w:rsid w:val="00171A1E"/>
    <w:rsid w:val="00172888"/>
    <w:rsid w:val="00172A0C"/>
    <w:rsid w:val="00172E2E"/>
    <w:rsid w:val="00173452"/>
    <w:rsid w:val="00173D43"/>
    <w:rsid w:val="00173D48"/>
    <w:rsid w:val="00174773"/>
    <w:rsid w:val="00174BCC"/>
    <w:rsid w:val="00174C8D"/>
    <w:rsid w:val="001757F2"/>
    <w:rsid w:val="00175A81"/>
    <w:rsid w:val="001762A6"/>
    <w:rsid w:val="00177F83"/>
    <w:rsid w:val="0018029F"/>
    <w:rsid w:val="00180F24"/>
    <w:rsid w:val="001817F8"/>
    <w:rsid w:val="00182D1D"/>
    <w:rsid w:val="00183C21"/>
    <w:rsid w:val="00185238"/>
    <w:rsid w:val="001852A3"/>
    <w:rsid w:val="001866DD"/>
    <w:rsid w:val="00186B0A"/>
    <w:rsid w:val="0018748E"/>
    <w:rsid w:val="00187851"/>
    <w:rsid w:val="00187A01"/>
    <w:rsid w:val="00187D5F"/>
    <w:rsid w:val="00187EC6"/>
    <w:rsid w:val="00187FC1"/>
    <w:rsid w:val="00190482"/>
    <w:rsid w:val="00191750"/>
    <w:rsid w:val="00191C12"/>
    <w:rsid w:val="00192197"/>
    <w:rsid w:val="00192200"/>
    <w:rsid w:val="0019293D"/>
    <w:rsid w:val="00192B58"/>
    <w:rsid w:val="001931B0"/>
    <w:rsid w:val="00193BDE"/>
    <w:rsid w:val="001940B0"/>
    <w:rsid w:val="001942CB"/>
    <w:rsid w:val="00194A77"/>
    <w:rsid w:val="001951DA"/>
    <w:rsid w:val="00195864"/>
    <w:rsid w:val="001971C5"/>
    <w:rsid w:val="001974CD"/>
    <w:rsid w:val="00197856"/>
    <w:rsid w:val="001A06C4"/>
    <w:rsid w:val="001A0DC9"/>
    <w:rsid w:val="001A0F43"/>
    <w:rsid w:val="001A160B"/>
    <w:rsid w:val="001A1B86"/>
    <w:rsid w:val="001A1D09"/>
    <w:rsid w:val="001A2895"/>
    <w:rsid w:val="001A317E"/>
    <w:rsid w:val="001A42E2"/>
    <w:rsid w:val="001A6A2E"/>
    <w:rsid w:val="001A784D"/>
    <w:rsid w:val="001A799D"/>
    <w:rsid w:val="001B066E"/>
    <w:rsid w:val="001B0EB6"/>
    <w:rsid w:val="001B1E1C"/>
    <w:rsid w:val="001B2015"/>
    <w:rsid w:val="001B24E0"/>
    <w:rsid w:val="001B286E"/>
    <w:rsid w:val="001B2EB6"/>
    <w:rsid w:val="001B3AB2"/>
    <w:rsid w:val="001B48F9"/>
    <w:rsid w:val="001B4B41"/>
    <w:rsid w:val="001B56B5"/>
    <w:rsid w:val="001B64A6"/>
    <w:rsid w:val="001B64F3"/>
    <w:rsid w:val="001B74A7"/>
    <w:rsid w:val="001C015C"/>
    <w:rsid w:val="001C10C8"/>
    <w:rsid w:val="001C223E"/>
    <w:rsid w:val="001C2AD8"/>
    <w:rsid w:val="001C2E1C"/>
    <w:rsid w:val="001C3084"/>
    <w:rsid w:val="001C3269"/>
    <w:rsid w:val="001C3468"/>
    <w:rsid w:val="001C3882"/>
    <w:rsid w:val="001C42BE"/>
    <w:rsid w:val="001C5CA0"/>
    <w:rsid w:val="001C678B"/>
    <w:rsid w:val="001C6ED5"/>
    <w:rsid w:val="001C7397"/>
    <w:rsid w:val="001C7E20"/>
    <w:rsid w:val="001D0F04"/>
    <w:rsid w:val="001D1305"/>
    <w:rsid w:val="001D1586"/>
    <w:rsid w:val="001D183A"/>
    <w:rsid w:val="001D1B00"/>
    <w:rsid w:val="001D1DB4"/>
    <w:rsid w:val="001D310B"/>
    <w:rsid w:val="001D4C50"/>
    <w:rsid w:val="001D5205"/>
    <w:rsid w:val="001D5261"/>
    <w:rsid w:val="001D5433"/>
    <w:rsid w:val="001D5E3D"/>
    <w:rsid w:val="001D65E3"/>
    <w:rsid w:val="001D68AC"/>
    <w:rsid w:val="001D7C72"/>
    <w:rsid w:val="001E07B6"/>
    <w:rsid w:val="001E14AC"/>
    <w:rsid w:val="001E155C"/>
    <w:rsid w:val="001E178B"/>
    <w:rsid w:val="001E3E29"/>
    <w:rsid w:val="001E3F7F"/>
    <w:rsid w:val="001E4FEB"/>
    <w:rsid w:val="001E5D72"/>
    <w:rsid w:val="001E5FFA"/>
    <w:rsid w:val="001E6667"/>
    <w:rsid w:val="001E668B"/>
    <w:rsid w:val="001E6AC0"/>
    <w:rsid w:val="001E6BB9"/>
    <w:rsid w:val="001E6E75"/>
    <w:rsid w:val="001E7232"/>
    <w:rsid w:val="001E7909"/>
    <w:rsid w:val="001F0297"/>
    <w:rsid w:val="001F0562"/>
    <w:rsid w:val="001F0737"/>
    <w:rsid w:val="001F0E57"/>
    <w:rsid w:val="001F0E73"/>
    <w:rsid w:val="001F135A"/>
    <w:rsid w:val="001F1393"/>
    <w:rsid w:val="001F1BE1"/>
    <w:rsid w:val="001F1D7A"/>
    <w:rsid w:val="001F2F57"/>
    <w:rsid w:val="001F33D0"/>
    <w:rsid w:val="001F347B"/>
    <w:rsid w:val="001F3BF9"/>
    <w:rsid w:val="001F3E25"/>
    <w:rsid w:val="001F44CC"/>
    <w:rsid w:val="001F5BB3"/>
    <w:rsid w:val="001F6AA4"/>
    <w:rsid w:val="001F6F95"/>
    <w:rsid w:val="001F6FFE"/>
    <w:rsid w:val="00200529"/>
    <w:rsid w:val="00200C33"/>
    <w:rsid w:val="00202845"/>
    <w:rsid w:val="00204467"/>
    <w:rsid w:val="002053BC"/>
    <w:rsid w:val="00205BC2"/>
    <w:rsid w:val="002068A4"/>
    <w:rsid w:val="00207ED8"/>
    <w:rsid w:val="00207F04"/>
    <w:rsid w:val="0021004E"/>
    <w:rsid w:val="002105E1"/>
    <w:rsid w:val="00210632"/>
    <w:rsid w:val="002112C0"/>
    <w:rsid w:val="00211B1D"/>
    <w:rsid w:val="002121A3"/>
    <w:rsid w:val="002124DB"/>
    <w:rsid w:val="002130E1"/>
    <w:rsid w:val="00213F4E"/>
    <w:rsid w:val="002140F5"/>
    <w:rsid w:val="00214459"/>
    <w:rsid w:val="00214581"/>
    <w:rsid w:val="00216024"/>
    <w:rsid w:val="00216388"/>
    <w:rsid w:val="00216397"/>
    <w:rsid w:val="002164D1"/>
    <w:rsid w:val="002213DC"/>
    <w:rsid w:val="002216DD"/>
    <w:rsid w:val="00221E29"/>
    <w:rsid w:val="002226FE"/>
    <w:rsid w:val="00222797"/>
    <w:rsid w:val="002227FB"/>
    <w:rsid w:val="00223D5A"/>
    <w:rsid w:val="00224302"/>
    <w:rsid w:val="002248CD"/>
    <w:rsid w:val="00224BF7"/>
    <w:rsid w:val="00224FBD"/>
    <w:rsid w:val="0022695C"/>
    <w:rsid w:val="00226D7A"/>
    <w:rsid w:val="00227A92"/>
    <w:rsid w:val="00227AA4"/>
    <w:rsid w:val="00227B18"/>
    <w:rsid w:val="00230A60"/>
    <w:rsid w:val="00231301"/>
    <w:rsid w:val="002317C9"/>
    <w:rsid w:val="0023186B"/>
    <w:rsid w:val="00231AF4"/>
    <w:rsid w:val="00232255"/>
    <w:rsid w:val="00232B7B"/>
    <w:rsid w:val="00233883"/>
    <w:rsid w:val="00233BC3"/>
    <w:rsid w:val="00236316"/>
    <w:rsid w:val="00236553"/>
    <w:rsid w:val="00236586"/>
    <w:rsid w:val="00236D7C"/>
    <w:rsid w:val="00236E6D"/>
    <w:rsid w:val="00237257"/>
    <w:rsid w:val="0023792A"/>
    <w:rsid w:val="00237D17"/>
    <w:rsid w:val="00237ED9"/>
    <w:rsid w:val="00240E32"/>
    <w:rsid w:val="00240F98"/>
    <w:rsid w:val="00241A1A"/>
    <w:rsid w:val="00241D11"/>
    <w:rsid w:val="00241ECD"/>
    <w:rsid w:val="0024359D"/>
    <w:rsid w:val="002449D7"/>
    <w:rsid w:val="00244E38"/>
    <w:rsid w:val="0024604E"/>
    <w:rsid w:val="00246B4B"/>
    <w:rsid w:val="002476AC"/>
    <w:rsid w:val="002477A4"/>
    <w:rsid w:val="00247C30"/>
    <w:rsid w:val="00247D62"/>
    <w:rsid w:val="00247DC5"/>
    <w:rsid w:val="00250299"/>
    <w:rsid w:val="002514D2"/>
    <w:rsid w:val="002518BC"/>
    <w:rsid w:val="0025215D"/>
    <w:rsid w:val="0025250A"/>
    <w:rsid w:val="00252628"/>
    <w:rsid w:val="00252B05"/>
    <w:rsid w:val="00252D23"/>
    <w:rsid w:val="0025316F"/>
    <w:rsid w:val="00253506"/>
    <w:rsid w:val="0025362D"/>
    <w:rsid w:val="00253E18"/>
    <w:rsid w:val="00255670"/>
    <w:rsid w:val="002574F9"/>
    <w:rsid w:val="00260240"/>
    <w:rsid w:val="00262306"/>
    <w:rsid w:val="00262E47"/>
    <w:rsid w:val="0026306F"/>
    <w:rsid w:val="0026325D"/>
    <w:rsid w:val="00263742"/>
    <w:rsid w:val="002656CC"/>
    <w:rsid w:val="00265D79"/>
    <w:rsid w:val="00266A16"/>
    <w:rsid w:val="00266F19"/>
    <w:rsid w:val="00266F8B"/>
    <w:rsid w:val="002676BE"/>
    <w:rsid w:val="0027088D"/>
    <w:rsid w:val="00271DB2"/>
    <w:rsid w:val="00272AE5"/>
    <w:rsid w:val="00273168"/>
    <w:rsid w:val="00273293"/>
    <w:rsid w:val="0027339B"/>
    <w:rsid w:val="002734DE"/>
    <w:rsid w:val="00273F7D"/>
    <w:rsid w:val="00274289"/>
    <w:rsid w:val="00274B9B"/>
    <w:rsid w:val="00275D41"/>
    <w:rsid w:val="0027623D"/>
    <w:rsid w:val="00276811"/>
    <w:rsid w:val="002768C6"/>
    <w:rsid w:val="0027692E"/>
    <w:rsid w:val="00276993"/>
    <w:rsid w:val="00277047"/>
    <w:rsid w:val="0027719C"/>
    <w:rsid w:val="00277ADD"/>
    <w:rsid w:val="00281073"/>
    <w:rsid w:val="002810A2"/>
    <w:rsid w:val="00281218"/>
    <w:rsid w:val="00281BC2"/>
    <w:rsid w:val="00282326"/>
    <w:rsid w:val="00282699"/>
    <w:rsid w:val="00282DCD"/>
    <w:rsid w:val="00283A8A"/>
    <w:rsid w:val="00283D06"/>
    <w:rsid w:val="00283E75"/>
    <w:rsid w:val="00284A6F"/>
    <w:rsid w:val="00286003"/>
    <w:rsid w:val="00287290"/>
    <w:rsid w:val="00287F1F"/>
    <w:rsid w:val="00290346"/>
    <w:rsid w:val="002914A7"/>
    <w:rsid w:val="002914E4"/>
    <w:rsid w:val="00291EB1"/>
    <w:rsid w:val="0029253E"/>
    <w:rsid w:val="002926DF"/>
    <w:rsid w:val="00293563"/>
    <w:rsid w:val="00293A75"/>
    <w:rsid w:val="002946A4"/>
    <w:rsid w:val="0029470F"/>
    <w:rsid w:val="002948A7"/>
    <w:rsid w:val="00295492"/>
    <w:rsid w:val="00295A58"/>
    <w:rsid w:val="00295A68"/>
    <w:rsid w:val="00295B9B"/>
    <w:rsid w:val="00296697"/>
    <w:rsid w:val="00297190"/>
    <w:rsid w:val="002A08DD"/>
    <w:rsid w:val="002A16E3"/>
    <w:rsid w:val="002A1920"/>
    <w:rsid w:val="002A39B1"/>
    <w:rsid w:val="002A3C8F"/>
    <w:rsid w:val="002A486C"/>
    <w:rsid w:val="002A5E7C"/>
    <w:rsid w:val="002A6437"/>
    <w:rsid w:val="002A71A0"/>
    <w:rsid w:val="002A7546"/>
    <w:rsid w:val="002B02E1"/>
    <w:rsid w:val="002B0472"/>
    <w:rsid w:val="002B0FF3"/>
    <w:rsid w:val="002B104E"/>
    <w:rsid w:val="002B1A65"/>
    <w:rsid w:val="002B1FAC"/>
    <w:rsid w:val="002B3566"/>
    <w:rsid w:val="002B393D"/>
    <w:rsid w:val="002B3BC7"/>
    <w:rsid w:val="002B3EC3"/>
    <w:rsid w:val="002B5972"/>
    <w:rsid w:val="002B5DD2"/>
    <w:rsid w:val="002B6259"/>
    <w:rsid w:val="002B6B12"/>
    <w:rsid w:val="002B756E"/>
    <w:rsid w:val="002B7DA0"/>
    <w:rsid w:val="002C01DB"/>
    <w:rsid w:val="002C1672"/>
    <w:rsid w:val="002C1C3D"/>
    <w:rsid w:val="002C22D7"/>
    <w:rsid w:val="002C2337"/>
    <w:rsid w:val="002C2FBF"/>
    <w:rsid w:val="002C39DC"/>
    <w:rsid w:val="002C3BAF"/>
    <w:rsid w:val="002C3C87"/>
    <w:rsid w:val="002C420B"/>
    <w:rsid w:val="002C4A43"/>
    <w:rsid w:val="002C4FF0"/>
    <w:rsid w:val="002C573D"/>
    <w:rsid w:val="002C6501"/>
    <w:rsid w:val="002C67FF"/>
    <w:rsid w:val="002C6D90"/>
    <w:rsid w:val="002C7B39"/>
    <w:rsid w:val="002D0554"/>
    <w:rsid w:val="002D0779"/>
    <w:rsid w:val="002D15D1"/>
    <w:rsid w:val="002D19E0"/>
    <w:rsid w:val="002D20A4"/>
    <w:rsid w:val="002D22C9"/>
    <w:rsid w:val="002D2459"/>
    <w:rsid w:val="002D2D76"/>
    <w:rsid w:val="002D3F81"/>
    <w:rsid w:val="002D402F"/>
    <w:rsid w:val="002D415A"/>
    <w:rsid w:val="002D4278"/>
    <w:rsid w:val="002D431B"/>
    <w:rsid w:val="002D436D"/>
    <w:rsid w:val="002D492A"/>
    <w:rsid w:val="002D4BB9"/>
    <w:rsid w:val="002D4DEC"/>
    <w:rsid w:val="002D5310"/>
    <w:rsid w:val="002D5776"/>
    <w:rsid w:val="002D58BA"/>
    <w:rsid w:val="002D5A7F"/>
    <w:rsid w:val="002D5D3A"/>
    <w:rsid w:val="002D6119"/>
    <w:rsid w:val="002D6F2E"/>
    <w:rsid w:val="002D7C90"/>
    <w:rsid w:val="002D7C97"/>
    <w:rsid w:val="002D7CA2"/>
    <w:rsid w:val="002E198E"/>
    <w:rsid w:val="002E1D54"/>
    <w:rsid w:val="002E2458"/>
    <w:rsid w:val="002E3019"/>
    <w:rsid w:val="002E5495"/>
    <w:rsid w:val="002E6068"/>
    <w:rsid w:val="002E6140"/>
    <w:rsid w:val="002E6985"/>
    <w:rsid w:val="002E6D45"/>
    <w:rsid w:val="002E71B6"/>
    <w:rsid w:val="002E77FB"/>
    <w:rsid w:val="002E7990"/>
    <w:rsid w:val="002F109A"/>
    <w:rsid w:val="002F10D7"/>
    <w:rsid w:val="002F14FA"/>
    <w:rsid w:val="002F2B58"/>
    <w:rsid w:val="002F2C2E"/>
    <w:rsid w:val="002F2CD6"/>
    <w:rsid w:val="002F43D2"/>
    <w:rsid w:val="002F4D66"/>
    <w:rsid w:val="002F4E60"/>
    <w:rsid w:val="002F4F01"/>
    <w:rsid w:val="002F66A7"/>
    <w:rsid w:val="002F685E"/>
    <w:rsid w:val="002F77C8"/>
    <w:rsid w:val="00300CE5"/>
    <w:rsid w:val="00300CF4"/>
    <w:rsid w:val="00301633"/>
    <w:rsid w:val="0030263A"/>
    <w:rsid w:val="00303D35"/>
    <w:rsid w:val="00303E34"/>
    <w:rsid w:val="003041CB"/>
    <w:rsid w:val="00304F22"/>
    <w:rsid w:val="003055C3"/>
    <w:rsid w:val="00305BCC"/>
    <w:rsid w:val="00305CAD"/>
    <w:rsid w:val="0030652F"/>
    <w:rsid w:val="003065C9"/>
    <w:rsid w:val="00306C7C"/>
    <w:rsid w:val="00310C8E"/>
    <w:rsid w:val="00311059"/>
    <w:rsid w:val="003113E1"/>
    <w:rsid w:val="00311CE9"/>
    <w:rsid w:val="0031303D"/>
    <w:rsid w:val="00313722"/>
    <w:rsid w:val="00313ACB"/>
    <w:rsid w:val="00313AD5"/>
    <w:rsid w:val="00314148"/>
    <w:rsid w:val="00315067"/>
    <w:rsid w:val="00315142"/>
    <w:rsid w:val="003151BF"/>
    <w:rsid w:val="003156B1"/>
    <w:rsid w:val="003165A3"/>
    <w:rsid w:val="003166A4"/>
    <w:rsid w:val="00316B47"/>
    <w:rsid w:val="00317707"/>
    <w:rsid w:val="0032058B"/>
    <w:rsid w:val="00321488"/>
    <w:rsid w:val="00321A79"/>
    <w:rsid w:val="0032208A"/>
    <w:rsid w:val="003222AC"/>
    <w:rsid w:val="00322D35"/>
    <w:rsid w:val="00322EDD"/>
    <w:rsid w:val="00323111"/>
    <w:rsid w:val="0032388D"/>
    <w:rsid w:val="003238AD"/>
    <w:rsid w:val="003239A4"/>
    <w:rsid w:val="00323EF1"/>
    <w:rsid w:val="00326351"/>
    <w:rsid w:val="003269C6"/>
    <w:rsid w:val="00326DCC"/>
    <w:rsid w:val="0033055D"/>
    <w:rsid w:val="00330949"/>
    <w:rsid w:val="003313BA"/>
    <w:rsid w:val="00332320"/>
    <w:rsid w:val="00332BB4"/>
    <w:rsid w:val="00333612"/>
    <w:rsid w:val="003337DC"/>
    <w:rsid w:val="00333992"/>
    <w:rsid w:val="00334BE9"/>
    <w:rsid w:val="00335366"/>
    <w:rsid w:val="00335E02"/>
    <w:rsid w:val="00336804"/>
    <w:rsid w:val="00336DB9"/>
    <w:rsid w:val="00337091"/>
    <w:rsid w:val="0034052C"/>
    <w:rsid w:val="003407E4"/>
    <w:rsid w:val="00341996"/>
    <w:rsid w:val="003419F3"/>
    <w:rsid w:val="00341F92"/>
    <w:rsid w:val="00344A32"/>
    <w:rsid w:val="00344BDD"/>
    <w:rsid w:val="00344DCE"/>
    <w:rsid w:val="0034561C"/>
    <w:rsid w:val="00345A28"/>
    <w:rsid w:val="0034619C"/>
    <w:rsid w:val="00346794"/>
    <w:rsid w:val="00346D76"/>
    <w:rsid w:val="0034734A"/>
    <w:rsid w:val="00347A0E"/>
    <w:rsid w:val="00347D72"/>
    <w:rsid w:val="003500C3"/>
    <w:rsid w:val="003501BC"/>
    <w:rsid w:val="00350520"/>
    <w:rsid w:val="00350561"/>
    <w:rsid w:val="00351097"/>
    <w:rsid w:val="0035206A"/>
    <w:rsid w:val="00352DFD"/>
    <w:rsid w:val="00352E29"/>
    <w:rsid w:val="003538AF"/>
    <w:rsid w:val="00353A7C"/>
    <w:rsid w:val="00354A53"/>
    <w:rsid w:val="00354FA6"/>
    <w:rsid w:val="00355631"/>
    <w:rsid w:val="0035647F"/>
    <w:rsid w:val="00356B8E"/>
    <w:rsid w:val="00357F62"/>
    <w:rsid w:val="0036049A"/>
    <w:rsid w:val="0036165F"/>
    <w:rsid w:val="00361BEA"/>
    <w:rsid w:val="00362A7C"/>
    <w:rsid w:val="0036304B"/>
    <w:rsid w:val="00363E95"/>
    <w:rsid w:val="0036425F"/>
    <w:rsid w:val="00364AD4"/>
    <w:rsid w:val="00365A7C"/>
    <w:rsid w:val="00365F62"/>
    <w:rsid w:val="0036698B"/>
    <w:rsid w:val="00367237"/>
    <w:rsid w:val="0036763D"/>
    <w:rsid w:val="00367C61"/>
    <w:rsid w:val="003703DC"/>
    <w:rsid w:val="0037077F"/>
    <w:rsid w:val="00371234"/>
    <w:rsid w:val="0037141A"/>
    <w:rsid w:val="00371D1D"/>
    <w:rsid w:val="003733E7"/>
    <w:rsid w:val="00373882"/>
    <w:rsid w:val="003740C7"/>
    <w:rsid w:val="00374A15"/>
    <w:rsid w:val="00374CAC"/>
    <w:rsid w:val="00374EC8"/>
    <w:rsid w:val="00375B4D"/>
    <w:rsid w:val="00377EC9"/>
    <w:rsid w:val="0038178F"/>
    <w:rsid w:val="003823E5"/>
    <w:rsid w:val="00382578"/>
    <w:rsid w:val="0038337F"/>
    <w:rsid w:val="003848F9"/>
    <w:rsid w:val="00384A68"/>
    <w:rsid w:val="003855E8"/>
    <w:rsid w:val="003858DA"/>
    <w:rsid w:val="003860FF"/>
    <w:rsid w:val="0038792C"/>
    <w:rsid w:val="00390010"/>
    <w:rsid w:val="003904F8"/>
    <w:rsid w:val="00391145"/>
    <w:rsid w:val="00391BE8"/>
    <w:rsid w:val="00391E93"/>
    <w:rsid w:val="00392074"/>
    <w:rsid w:val="0039281E"/>
    <w:rsid w:val="003929A3"/>
    <w:rsid w:val="003937DB"/>
    <w:rsid w:val="00393C8C"/>
    <w:rsid w:val="00393CB1"/>
    <w:rsid w:val="003945BD"/>
    <w:rsid w:val="00395702"/>
    <w:rsid w:val="00395E8E"/>
    <w:rsid w:val="003967C2"/>
    <w:rsid w:val="003972AF"/>
    <w:rsid w:val="0039759D"/>
    <w:rsid w:val="00397D18"/>
    <w:rsid w:val="003A04BC"/>
    <w:rsid w:val="003A0847"/>
    <w:rsid w:val="003A0ABA"/>
    <w:rsid w:val="003A0E92"/>
    <w:rsid w:val="003A15A8"/>
    <w:rsid w:val="003A1B36"/>
    <w:rsid w:val="003A1E6D"/>
    <w:rsid w:val="003A1EF7"/>
    <w:rsid w:val="003A2052"/>
    <w:rsid w:val="003A271E"/>
    <w:rsid w:val="003A2905"/>
    <w:rsid w:val="003A2A75"/>
    <w:rsid w:val="003A2DFB"/>
    <w:rsid w:val="003A311C"/>
    <w:rsid w:val="003A3943"/>
    <w:rsid w:val="003A42AD"/>
    <w:rsid w:val="003A48C2"/>
    <w:rsid w:val="003A5036"/>
    <w:rsid w:val="003A67CE"/>
    <w:rsid w:val="003B1297"/>
    <w:rsid w:val="003B16F5"/>
    <w:rsid w:val="003B1FED"/>
    <w:rsid w:val="003B2183"/>
    <w:rsid w:val="003B22FE"/>
    <w:rsid w:val="003B2B69"/>
    <w:rsid w:val="003B2C96"/>
    <w:rsid w:val="003B2FE4"/>
    <w:rsid w:val="003B30FD"/>
    <w:rsid w:val="003B4893"/>
    <w:rsid w:val="003B504F"/>
    <w:rsid w:val="003B580C"/>
    <w:rsid w:val="003B5B72"/>
    <w:rsid w:val="003B5ECD"/>
    <w:rsid w:val="003B5EE4"/>
    <w:rsid w:val="003B635A"/>
    <w:rsid w:val="003B64D0"/>
    <w:rsid w:val="003B6740"/>
    <w:rsid w:val="003B6C59"/>
    <w:rsid w:val="003B6E59"/>
    <w:rsid w:val="003B6FDC"/>
    <w:rsid w:val="003B6FFA"/>
    <w:rsid w:val="003C0845"/>
    <w:rsid w:val="003C0978"/>
    <w:rsid w:val="003C09C0"/>
    <w:rsid w:val="003C15A2"/>
    <w:rsid w:val="003C196E"/>
    <w:rsid w:val="003C1DDE"/>
    <w:rsid w:val="003C2AFF"/>
    <w:rsid w:val="003C3C1A"/>
    <w:rsid w:val="003C4226"/>
    <w:rsid w:val="003C4464"/>
    <w:rsid w:val="003C4528"/>
    <w:rsid w:val="003C5758"/>
    <w:rsid w:val="003C59E0"/>
    <w:rsid w:val="003C6AEF"/>
    <w:rsid w:val="003C6C8D"/>
    <w:rsid w:val="003C7247"/>
    <w:rsid w:val="003D05D4"/>
    <w:rsid w:val="003D0DE7"/>
    <w:rsid w:val="003D1B0C"/>
    <w:rsid w:val="003D27E4"/>
    <w:rsid w:val="003D2D75"/>
    <w:rsid w:val="003D2F16"/>
    <w:rsid w:val="003D3201"/>
    <w:rsid w:val="003D3E83"/>
    <w:rsid w:val="003D4BAB"/>
    <w:rsid w:val="003D4F95"/>
    <w:rsid w:val="003D509B"/>
    <w:rsid w:val="003D5EA6"/>
    <w:rsid w:val="003D5F42"/>
    <w:rsid w:val="003D60A9"/>
    <w:rsid w:val="003D6869"/>
    <w:rsid w:val="003D7387"/>
    <w:rsid w:val="003E10D7"/>
    <w:rsid w:val="003E1635"/>
    <w:rsid w:val="003E170B"/>
    <w:rsid w:val="003E1C87"/>
    <w:rsid w:val="003E1EC1"/>
    <w:rsid w:val="003E1FC9"/>
    <w:rsid w:val="003E21F4"/>
    <w:rsid w:val="003E26D7"/>
    <w:rsid w:val="003E30AE"/>
    <w:rsid w:val="003E402D"/>
    <w:rsid w:val="003E4C00"/>
    <w:rsid w:val="003E4F1E"/>
    <w:rsid w:val="003E52D3"/>
    <w:rsid w:val="003E764F"/>
    <w:rsid w:val="003E769F"/>
    <w:rsid w:val="003E781B"/>
    <w:rsid w:val="003E7CA1"/>
    <w:rsid w:val="003E7FF7"/>
    <w:rsid w:val="003F102C"/>
    <w:rsid w:val="003F1DDF"/>
    <w:rsid w:val="003F1ED6"/>
    <w:rsid w:val="003F218D"/>
    <w:rsid w:val="003F2B54"/>
    <w:rsid w:val="003F3065"/>
    <w:rsid w:val="003F33F6"/>
    <w:rsid w:val="003F3851"/>
    <w:rsid w:val="003F4C97"/>
    <w:rsid w:val="003F4DC8"/>
    <w:rsid w:val="003F529F"/>
    <w:rsid w:val="003F56E4"/>
    <w:rsid w:val="003F5AB3"/>
    <w:rsid w:val="003F7FE6"/>
    <w:rsid w:val="004002B7"/>
    <w:rsid w:val="0040262C"/>
    <w:rsid w:val="00402B19"/>
    <w:rsid w:val="00402B65"/>
    <w:rsid w:val="00403AD3"/>
    <w:rsid w:val="00403C6B"/>
    <w:rsid w:val="004040CC"/>
    <w:rsid w:val="0040435C"/>
    <w:rsid w:val="00404D25"/>
    <w:rsid w:val="00405699"/>
    <w:rsid w:val="004056FA"/>
    <w:rsid w:val="00407254"/>
    <w:rsid w:val="00410B80"/>
    <w:rsid w:val="00410C2D"/>
    <w:rsid w:val="00411187"/>
    <w:rsid w:val="00411768"/>
    <w:rsid w:val="004118D1"/>
    <w:rsid w:val="00411D3B"/>
    <w:rsid w:val="0041238A"/>
    <w:rsid w:val="00412B41"/>
    <w:rsid w:val="0041373E"/>
    <w:rsid w:val="0041394C"/>
    <w:rsid w:val="00413AE4"/>
    <w:rsid w:val="004148A9"/>
    <w:rsid w:val="00415036"/>
    <w:rsid w:val="00415097"/>
    <w:rsid w:val="004157DD"/>
    <w:rsid w:val="004159FA"/>
    <w:rsid w:val="00415B06"/>
    <w:rsid w:val="00415C94"/>
    <w:rsid w:val="004200B1"/>
    <w:rsid w:val="004204A2"/>
    <w:rsid w:val="00420588"/>
    <w:rsid w:val="00420628"/>
    <w:rsid w:val="004208D3"/>
    <w:rsid w:val="0042262E"/>
    <w:rsid w:val="0042323E"/>
    <w:rsid w:val="004232C1"/>
    <w:rsid w:val="004238D0"/>
    <w:rsid w:val="00423D86"/>
    <w:rsid w:val="0042406F"/>
    <w:rsid w:val="0042446D"/>
    <w:rsid w:val="00425512"/>
    <w:rsid w:val="00425F6A"/>
    <w:rsid w:val="00426F8A"/>
    <w:rsid w:val="00427BF8"/>
    <w:rsid w:val="0043075E"/>
    <w:rsid w:val="0043126D"/>
    <w:rsid w:val="00431C02"/>
    <w:rsid w:val="004329F8"/>
    <w:rsid w:val="00432D54"/>
    <w:rsid w:val="00432D84"/>
    <w:rsid w:val="00432E3F"/>
    <w:rsid w:val="004335CF"/>
    <w:rsid w:val="00433A69"/>
    <w:rsid w:val="0043416E"/>
    <w:rsid w:val="004366B1"/>
    <w:rsid w:val="00436F11"/>
    <w:rsid w:val="00437395"/>
    <w:rsid w:val="00437734"/>
    <w:rsid w:val="0044037C"/>
    <w:rsid w:val="00441377"/>
    <w:rsid w:val="004422FD"/>
    <w:rsid w:val="004429EF"/>
    <w:rsid w:val="004449D9"/>
    <w:rsid w:val="00444B87"/>
    <w:rsid w:val="00445047"/>
    <w:rsid w:val="004450E7"/>
    <w:rsid w:val="00445683"/>
    <w:rsid w:val="00445A7C"/>
    <w:rsid w:val="0044644A"/>
    <w:rsid w:val="00447798"/>
    <w:rsid w:val="00447C2F"/>
    <w:rsid w:val="004523B3"/>
    <w:rsid w:val="0045269C"/>
    <w:rsid w:val="00452A39"/>
    <w:rsid w:val="00452BBB"/>
    <w:rsid w:val="00453495"/>
    <w:rsid w:val="00453F1A"/>
    <w:rsid w:val="004541A0"/>
    <w:rsid w:val="00454346"/>
    <w:rsid w:val="004545FA"/>
    <w:rsid w:val="004546ED"/>
    <w:rsid w:val="00454828"/>
    <w:rsid w:val="00454A5C"/>
    <w:rsid w:val="0045517D"/>
    <w:rsid w:val="004553E8"/>
    <w:rsid w:val="00456CF9"/>
    <w:rsid w:val="00457611"/>
    <w:rsid w:val="00460C64"/>
    <w:rsid w:val="0046145E"/>
    <w:rsid w:val="004619FE"/>
    <w:rsid w:val="00461CA9"/>
    <w:rsid w:val="0046200B"/>
    <w:rsid w:val="00462235"/>
    <w:rsid w:val="00462D22"/>
    <w:rsid w:val="00463E39"/>
    <w:rsid w:val="004645BB"/>
    <w:rsid w:val="00464F48"/>
    <w:rsid w:val="004657FC"/>
    <w:rsid w:val="00465891"/>
    <w:rsid w:val="00465DD4"/>
    <w:rsid w:val="004662CE"/>
    <w:rsid w:val="00466534"/>
    <w:rsid w:val="00466DFD"/>
    <w:rsid w:val="00466E49"/>
    <w:rsid w:val="00470014"/>
    <w:rsid w:val="00470A70"/>
    <w:rsid w:val="00471129"/>
    <w:rsid w:val="004714CB"/>
    <w:rsid w:val="004716D6"/>
    <w:rsid w:val="00471B7A"/>
    <w:rsid w:val="00472ED6"/>
    <w:rsid w:val="00472FA7"/>
    <w:rsid w:val="004733F6"/>
    <w:rsid w:val="00473463"/>
    <w:rsid w:val="00474408"/>
    <w:rsid w:val="00474464"/>
    <w:rsid w:val="0047464C"/>
    <w:rsid w:val="00474B44"/>
    <w:rsid w:val="00474E69"/>
    <w:rsid w:val="00476DCA"/>
    <w:rsid w:val="00477086"/>
    <w:rsid w:val="004777DF"/>
    <w:rsid w:val="0047798B"/>
    <w:rsid w:val="00477B47"/>
    <w:rsid w:val="00480564"/>
    <w:rsid w:val="00480CE7"/>
    <w:rsid w:val="00481A87"/>
    <w:rsid w:val="004823C7"/>
    <w:rsid w:val="00482BBE"/>
    <w:rsid w:val="00482E9C"/>
    <w:rsid w:val="00482FAD"/>
    <w:rsid w:val="00483989"/>
    <w:rsid w:val="0048414B"/>
    <w:rsid w:val="004845AA"/>
    <w:rsid w:val="00484F8D"/>
    <w:rsid w:val="004853D3"/>
    <w:rsid w:val="00485BEF"/>
    <w:rsid w:val="00485D23"/>
    <w:rsid w:val="00485DC2"/>
    <w:rsid w:val="00486B5A"/>
    <w:rsid w:val="00486DE1"/>
    <w:rsid w:val="00487216"/>
    <w:rsid w:val="00491909"/>
    <w:rsid w:val="004930E9"/>
    <w:rsid w:val="00493E8A"/>
    <w:rsid w:val="0049479A"/>
    <w:rsid w:val="004951F0"/>
    <w:rsid w:val="00495F83"/>
    <w:rsid w:val="0049618D"/>
    <w:rsid w:val="0049621B"/>
    <w:rsid w:val="00496A48"/>
    <w:rsid w:val="0049731C"/>
    <w:rsid w:val="00497BEC"/>
    <w:rsid w:val="00497E35"/>
    <w:rsid w:val="004A0ED6"/>
    <w:rsid w:val="004A1063"/>
    <w:rsid w:val="004A4B91"/>
    <w:rsid w:val="004A4B9C"/>
    <w:rsid w:val="004A4DF7"/>
    <w:rsid w:val="004A50BE"/>
    <w:rsid w:val="004A569A"/>
    <w:rsid w:val="004A592F"/>
    <w:rsid w:val="004A5C2D"/>
    <w:rsid w:val="004A6C60"/>
    <w:rsid w:val="004A6CA1"/>
    <w:rsid w:val="004A6CC2"/>
    <w:rsid w:val="004B059E"/>
    <w:rsid w:val="004B05D0"/>
    <w:rsid w:val="004B0752"/>
    <w:rsid w:val="004B1FEA"/>
    <w:rsid w:val="004B21A7"/>
    <w:rsid w:val="004B2534"/>
    <w:rsid w:val="004B35E0"/>
    <w:rsid w:val="004B3A8A"/>
    <w:rsid w:val="004B492B"/>
    <w:rsid w:val="004B5159"/>
    <w:rsid w:val="004B57CF"/>
    <w:rsid w:val="004B5B15"/>
    <w:rsid w:val="004B5B91"/>
    <w:rsid w:val="004B6A39"/>
    <w:rsid w:val="004B7384"/>
    <w:rsid w:val="004B7812"/>
    <w:rsid w:val="004C05D4"/>
    <w:rsid w:val="004C07B9"/>
    <w:rsid w:val="004C0840"/>
    <w:rsid w:val="004C0E8B"/>
    <w:rsid w:val="004C1895"/>
    <w:rsid w:val="004C21B2"/>
    <w:rsid w:val="004C2C80"/>
    <w:rsid w:val="004C2F30"/>
    <w:rsid w:val="004C329D"/>
    <w:rsid w:val="004C3E78"/>
    <w:rsid w:val="004C42A5"/>
    <w:rsid w:val="004C432F"/>
    <w:rsid w:val="004C4611"/>
    <w:rsid w:val="004C4859"/>
    <w:rsid w:val="004C4D15"/>
    <w:rsid w:val="004C5696"/>
    <w:rsid w:val="004C5A76"/>
    <w:rsid w:val="004C5EAA"/>
    <w:rsid w:val="004C5EFD"/>
    <w:rsid w:val="004C6C78"/>
    <w:rsid w:val="004C6D40"/>
    <w:rsid w:val="004C7599"/>
    <w:rsid w:val="004D036F"/>
    <w:rsid w:val="004D211A"/>
    <w:rsid w:val="004D2F26"/>
    <w:rsid w:val="004D303B"/>
    <w:rsid w:val="004D30A4"/>
    <w:rsid w:val="004D3634"/>
    <w:rsid w:val="004D450A"/>
    <w:rsid w:val="004D453A"/>
    <w:rsid w:val="004D4BCB"/>
    <w:rsid w:val="004D52B8"/>
    <w:rsid w:val="004D6C26"/>
    <w:rsid w:val="004D7471"/>
    <w:rsid w:val="004E04F8"/>
    <w:rsid w:val="004E070B"/>
    <w:rsid w:val="004E1B1E"/>
    <w:rsid w:val="004E2A40"/>
    <w:rsid w:val="004E3427"/>
    <w:rsid w:val="004E4195"/>
    <w:rsid w:val="004E6AB5"/>
    <w:rsid w:val="004E6C76"/>
    <w:rsid w:val="004E70CF"/>
    <w:rsid w:val="004E7601"/>
    <w:rsid w:val="004E79A8"/>
    <w:rsid w:val="004E7DEA"/>
    <w:rsid w:val="004F03D7"/>
    <w:rsid w:val="004F096D"/>
    <w:rsid w:val="004F0A1F"/>
    <w:rsid w:val="004F0C3C"/>
    <w:rsid w:val="004F0D71"/>
    <w:rsid w:val="004F1585"/>
    <w:rsid w:val="004F23CC"/>
    <w:rsid w:val="004F2AEE"/>
    <w:rsid w:val="004F38B2"/>
    <w:rsid w:val="004F3AEE"/>
    <w:rsid w:val="004F41C3"/>
    <w:rsid w:val="004F4AF2"/>
    <w:rsid w:val="004F4B2E"/>
    <w:rsid w:val="004F5C6C"/>
    <w:rsid w:val="004F63FC"/>
    <w:rsid w:val="004F68CD"/>
    <w:rsid w:val="004F6A6E"/>
    <w:rsid w:val="004F7033"/>
    <w:rsid w:val="00500147"/>
    <w:rsid w:val="00500367"/>
    <w:rsid w:val="0050144E"/>
    <w:rsid w:val="00501AE4"/>
    <w:rsid w:val="0050225F"/>
    <w:rsid w:val="00502452"/>
    <w:rsid w:val="00502BF4"/>
    <w:rsid w:val="005030CC"/>
    <w:rsid w:val="0050403D"/>
    <w:rsid w:val="0050579E"/>
    <w:rsid w:val="00505A92"/>
    <w:rsid w:val="00506E7F"/>
    <w:rsid w:val="00506FD7"/>
    <w:rsid w:val="005072AC"/>
    <w:rsid w:val="00507888"/>
    <w:rsid w:val="00507D32"/>
    <w:rsid w:val="005103BA"/>
    <w:rsid w:val="00511568"/>
    <w:rsid w:val="00512936"/>
    <w:rsid w:val="00514677"/>
    <w:rsid w:val="00514735"/>
    <w:rsid w:val="005151B9"/>
    <w:rsid w:val="005159CD"/>
    <w:rsid w:val="005167C0"/>
    <w:rsid w:val="0051700D"/>
    <w:rsid w:val="005203F1"/>
    <w:rsid w:val="0052092C"/>
    <w:rsid w:val="00520B52"/>
    <w:rsid w:val="0052132E"/>
    <w:rsid w:val="00521BC3"/>
    <w:rsid w:val="00521FD1"/>
    <w:rsid w:val="00522982"/>
    <w:rsid w:val="00523157"/>
    <w:rsid w:val="0052493A"/>
    <w:rsid w:val="00526B0F"/>
    <w:rsid w:val="00527A4E"/>
    <w:rsid w:val="00527C3A"/>
    <w:rsid w:val="00530063"/>
    <w:rsid w:val="00530775"/>
    <w:rsid w:val="00530791"/>
    <w:rsid w:val="00530B2D"/>
    <w:rsid w:val="00531767"/>
    <w:rsid w:val="00532035"/>
    <w:rsid w:val="005323FA"/>
    <w:rsid w:val="00532B4D"/>
    <w:rsid w:val="00533DED"/>
    <w:rsid w:val="00534D51"/>
    <w:rsid w:val="00535364"/>
    <w:rsid w:val="00535664"/>
    <w:rsid w:val="00535C62"/>
    <w:rsid w:val="0053606D"/>
    <w:rsid w:val="005361A7"/>
    <w:rsid w:val="005368EA"/>
    <w:rsid w:val="005376C7"/>
    <w:rsid w:val="00537F5E"/>
    <w:rsid w:val="00541C9F"/>
    <w:rsid w:val="0054251F"/>
    <w:rsid w:val="00542AA3"/>
    <w:rsid w:val="00542E9F"/>
    <w:rsid w:val="0054306B"/>
    <w:rsid w:val="005436D8"/>
    <w:rsid w:val="005437A8"/>
    <w:rsid w:val="00543869"/>
    <w:rsid w:val="00545724"/>
    <w:rsid w:val="0054593C"/>
    <w:rsid w:val="00546045"/>
    <w:rsid w:val="00546255"/>
    <w:rsid w:val="005462CC"/>
    <w:rsid w:val="005462FF"/>
    <w:rsid w:val="005471BB"/>
    <w:rsid w:val="00547318"/>
    <w:rsid w:val="00551389"/>
    <w:rsid w:val="005516BF"/>
    <w:rsid w:val="005520D8"/>
    <w:rsid w:val="00552243"/>
    <w:rsid w:val="005524C4"/>
    <w:rsid w:val="00553383"/>
    <w:rsid w:val="0055415A"/>
    <w:rsid w:val="00554197"/>
    <w:rsid w:val="00554289"/>
    <w:rsid w:val="005545A0"/>
    <w:rsid w:val="00555170"/>
    <w:rsid w:val="00555C83"/>
    <w:rsid w:val="00556020"/>
    <w:rsid w:val="005561C0"/>
    <w:rsid w:val="00556351"/>
    <w:rsid w:val="00556CF1"/>
    <w:rsid w:val="005572D1"/>
    <w:rsid w:val="00557D23"/>
    <w:rsid w:val="00560300"/>
    <w:rsid w:val="00560493"/>
    <w:rsid w:val="0056126B"/>
    <w:rsid w:val="005612BD"/>
    <w:rsid w:val="005614D9"/>
    <w:rsid w:val="0056155F"/>
    <w:rsid w:val="005619C2"/>
    <w:rsid w:val="00561C5A"/>
    <w:rsid w:val="0056319D"/>
    <w:rsid w:val="00563DC2"/>
    <w:rsid w:val="005643FE"/>
    <w:rsid w:val="00564FCF"/>
    <w:rsid w:val="00565A3D"/>
    <w:rsid w:val="00566932"/>
    <w:rsid w:val="005671E8"/>
    <w:rsid w:val="00570D02"/>
    <w:rsid w:val="00570FD5"/>
    <w:rsid w:val="00571B3C"/>
    <w:rsid w:val="00571CAA"/>
    <w:rsid w:val="005720AE"/>
    <w:rsid w:val="005723B5"/>
    <w:rsid w:val="00572AB5"/>
    <w:rsid w:val="00573323"/>
    <w:rsid w:val="0057419B"/>
    <w:rsid w:val="00574203"/>
    <w:rsid w:val="005742EB"/>
    <w:rsid w:val="00574EFA"/>
    <w:rsid w:val="005755F9"/>
    <w:rsid w:val="005762A7"/>
    <w:rsid w:val="00576D1F"/>
    <w:rsid w:val="005772AD"/>
    <w:rsid w:val="0057767A"/>
    <w:rsid w:val="00581633"/>
    <w:rsid w:val="00582408"/>
    <w:rsid w:val="005828BF"/>
    <w:rsid w:val="00582988"/>
    <w:rsid w:val="005834FE"/>
    <w:rsid w:val="005849A0"/>
    <w:rsid w:val="0058585A"/>
    <w:rsid w:val="005859AA"/>
    <w:rsid w:val="005864BA"/>
    <w:rsid w:val="005870C1"/>
    <w:rsid w:val="00591004"/>
    <w:rsid w:val="00591688"/>
    <w:rsid w:val="005916D7"/>
    <w:rsid w:val="005921E4"/>
    <w:rsid w:val="00593774"/>
    <w:rsid w:val="00593F2E"/>
    <w:rsid w:val="00595236"/>
    <w:rsid w:val="0059550D"/>
    <w:rsid w:val="00595B51"/>
    <w:rsid w:val="00596563"/>
    <w:rsid w:val="005965BF"/>
    <w:rsid w:val="005973B7"/>
    <w:rsid w:val="00597546"/>
    <w:rsid w:val="00597CA5"/>
    <w:rsid w:val="005A1C1A"/>
    <w:rsid w:val="005A1E16"/>
    <w:rsid w:val="005A1EF2"/>
    <w:rsid w:val="005A444B"/>
    <w:rsid w:val="005A4E94"/>
    <w:rsid w:val="005A5E0B"/>
    <w:rsid w:val="005A698C"/>
    <w:rsid w:val="005A6F50"/>
    <w:rsid w:val="005A7E7C"/>
    <w:rsid w:val="005B11DA"/>
    <w:rsid w:val="005B124C"/>
    <w:rsid w:val="005B2287"/>
    <w:rsid w:val="005B2433"/>
    <w:rsid w:val="005B2442"/>
    <w:rsid w:val="005B2E55"/>
    <w:rsid w:val="005B3CAD"/>
    <w:rsid w:val="005B42C4"/>
    <w:rsid w:val="005B44E2"/>
    <w:rsid w:val="005B5280"/>
    <w:rsid w:val="005B5787"/>
    <w:rsid w:val="005B5E12"/>
    <w:rsid w:val="005B5FAA"/>
    <w:rsid w:val="005B7422"/>
    <w:rsid w:val="005B76C2"/>
    <w:rsid w:val="005B7CFB"/>
    <w:rsid w:val="005C0BCC"/>
    <w:rsid w:val="005C1573"/>
    <w:rsid w:val="005C1DDD"/>
    <w:rsid w:val="005C2875"/>
    <w:rsid w:val="005C2972"/>
    <w:rsid w:val="005C2CF9"/>
    <w:rsid w:val="005C3083"/>
    <w:rsid w:val="005C3970"/>
    <w:rsid w:val="005C49AE"/>
    <w:rsid w:val="005C4F00"/>
    <w:rsid w:val="005C57B2"/>
    <w:rsid w:val="005C5F96"/>
    <w:rsid w:val="005C7964"/>
    <w:rsid w:val="005C7EEF"/>
    <w:rsid w:val="005D021D"/>
    <w:rsid w:val="005D0578"/>
    <w:rsid w:val="005D0C0F"/>
    <w:rsid w:val="005D0E21"/>
    <w:rsid w:val="005D0E81"/>
    <w:rsid w:val="005D0FDE"/>
    <w:rsid w:val="005D1569"/>
    <w:rsid w:val="005D1E24"/>
    <w:rsid w:val="005D1E5C"/>
    <w:rsid w:val="005D212C"/>
    <w:rsid w:val="005D271B"/>
    <w:rsid w:val="005D28CA"/>
    <w:rsid w:val="005D295F"/>
    <w:rsid w:val="005D3A46"/>
    <w:rsid w:val="005D3DD0"/>
    <w:rsid w:val="005D4217"/>
    <w:rsid w:val="005D42B3"/>
    <w:rsid w:val="005D46F8"/>
    <w:rsid w:val="005D47AF"/>
    <w:rsid w:val="005D7252"/>
    <w:rsid w:val="005D77FB"/>
    <w:rsid w:val="005D7C1F"/>
    <w:rsid w:val="005E0068"/>
    <w:rsid w:val="005E0799"/>
    <w:rsid w:val="005E14A3"/>
    <w:rsid w:val="005E2C69"/>
    <w:rsid w:val="005E2CB6"/>
    <w:rsid w:val="005E47F5"/>
    <w:rsid w:val="005E4ABD"/>
    <w:rsid w:val="005E5E39"/>
    <w:rsid w:val="005E6129"/>
    <w:rsid w:val="005E6146"/>
    <w:rsid w:val="005E6FB1"/>
    <w:rsid w:val="005E7240"/>
    <w:rsid w:val="005F050E"/>
    <w:rsid w:val="005F0962"/>
    <w:rsid w:val="005F0A31"/>
    <w:rsid w:val="005F0C15"/>
    <w:rsid w:val="005F0DD0"/>
    <w:rsid w:val="005F1CBA"/>
    <w:rsid w:val="005F21A5"/>
    <w:rsid w:val="005F3E6C"/>
    <w:rsid w:val="005F4C91"/>
    <w:rsid w:val="005F4FE0"/>
    <w:rsid w:val="005F504D"/>
    <w:rsid w:val="005F5A80"/>
    <w:rsid w:val="005F61D6"/>
    <w:rsid w:val="005F6358"/>
    <w:rsid w:val="005F6903"/>
    <w:rsid w:val="005F6DFA"/>
    <w:rsid w:val="005F7577"/>
    <w:rsid w:val="00600661"/>
    <w:rsid w:val="0060091A"/>
    <w:rsid w:val="00600D69"/>
    <w:rsid w:val="00601033"/>
    <w:rsid w:val="006031BD"/>
    <w:rsid w:val="006041D5"/>
    <w:rsid w:val="006044FF"/>
    <w:rsid w:val="00605F33"/>
    <w:rsid w:val="006062E1"/>
    <w:rsid w:val="00606660"/>
    <w:rsid w:val="00606AB8"/>
    <w:rsid w:val="0060792B"/>
    <w:rsid w:val="00607BA6"/>
    <w:rsid w:val="00607CC5"/>
    <w:rsid w:val="00610108"/>
    <w:rsid w:val="006110DF"/>
    <w:rsid w:val="006119CD"/>
    <w:rsid w:val="00611E75"/>
    <w:rsid w:val="0061219D"/>
    <w:rsid w:val="00612941"/>
    <w:rsid w:val="006134B4"/>
    <w:rsid w:val="00613526"/>
    <w:rsid w:val="00613939"/>
    <w:rsid w:val="00613C8E"/>
    <w:rsid w:val="00613D38"/>
    <w:rsid w:val="006140C6"/>
    <w:rsid w:val="00614625"/>
    <w:rsid w:val="006146DD"/>
    <w:rsid w:val="00615809"/>
    <w:rsid w:val="00615E34"/>
    <w:rsid w:val="00617632"/>
    <w:rsid w:val="00620025"/>
    <w:rsid w:val="006205DD"/>
    <w:rsid w:val="00621501"/>
    <w:rsid w:val="006218D3"/>
    <w:rsid w:val="00622181"/>
    <w:rsid w:val="0062238D"/>
    <w:rsid w:val="00622B3D"/>
    <w:rsid w:val="00623A30"/>
    <w:rsid w:val="00623AEC"/>
    <w:rsid w:val="00623C8B"/>
    <w:rsid w:val="00623F4D"/>
    <w:rsid w:val="00624272"/>
    <w:rsid w:val="00624488"/>
    <w:rsid w:val="00625089"/>
    <w:rsid w:val="006250B0"/>
    <w:rsid w:val="00626D66"/>
    <w:rsid w:val="006274BF"/>
    <w:rsid w:val="00630EC5"/>
    <w:rsid w:val="00632056"/>
    <w:rsid w:val="00633014"/>
    <w:rsid w:val="00633B23"/>
    <w:rsid w:val="00633E26"/>
    <w:rsid w:val="00634359"/>
    <w:rsid w:val="0063437B"/>
    <w:rsid w:val="006346E1"/>
    <w:rsid w:val="00635AE0"/>
    <w:rsid w:val="0063612A"/>
    <w:rsid w:val="006364C0"/>
    <w:rsid w:val="006374B3"/>
    <w:rsid w:val="0063792B"/>
    <w:rsid w:val="00640163"/>
    <w:rsid w:val="00640195"/>
    <w:rsid w:val="00640CD8"/>
    <w:rsid w:val="00640F41"/>
    <w:rsid w:val="006427E0"/>
    <w:rsid w:val="00642F93"/>
    <w:rsid w:val="006450E9"/>
    <w:rsid w:val="006453C8"/>
    <w:rsid w:val="0064579F"/>
    <w:rsid w:val="00645894"/>
    <w:rsid w:val="0064651F"/>
    <w:rsid w:val="00646554"/>
    <w:rsid w:val="006467C3"/>
    <w:rsid w:val="00647794"/>
    <w:rsid w:val="00647A17"/>
    <w:rsid w:val="006506FC"/>
    <w:rsid w:val="00650896"/>
    <w:rsid w:val="00650B67"/>
    <w:rsid w:val="006511E9"/>
    <w:rsid w:val="006516CF"/>
    <w:rsid w:val="00651974"/>
    <w:rsid w:val="006524DF"/>
    <w:rsid w:val="006528E7"/>
    <w:rsid w:val="00652DEE"/>
    <w:rsid w:val="00652FE9"/>
    <w:rsid w:val="006532F8"/>
    <w:rsid w:val="0065356C"/>
    <w:rsid w:val="006540AC"/>
    <w:rsid w:val="00654699"/>
    <w:rsid w:val="00655471"/>
    <w:rsid w:val="00655A9A"/>
    <w:rsid w:val="00655B16"/>
    <w:rsid w:val="00655FB7"/>
    <w:rsid w:val="00655FD9"/>
    <w:rsid w:val="0065644D"/>
    <w:rsid w:val="006567D8"/>
    <w:rsid w:val="0065694C"/>
    <w:rsid w:val="00657F37"/>
    <w:rsid w:val="00661D83"/>
    <w:rsid w:val="00662E47"/>
    <w:rsid w:val="0066358F"/>
    <w:rsid w:val="00664332"/>
    <w:rsid w:val="00664714"/>
    <w:rsid w:val="006650CE"/>
    <w:rsid w:val="00665485"/>
    <w:rsid w:val="00665B1C"/>
    <w:rsid w:val="006667DB"/>
    <w:rsid w:val="00666ED5"/>
    <w:rsid w:val="00666FE6"/>
    <w:rsid w:val="006673CA"/>
    <w:rsid w:val="00667C4F"/>
    <w:rsid w:val="006715A8"/>
    <w:rsid w:val="00671C72"/>
    <w:rsid w:val="00672548"/>
    <w:rsid w:val="00672BBB"/>
    <w:rsid w:val="00673E12"/>
    <w:rsid w:val="00674918"/>
    <w:rsid w:val="00675109"/>
    <w:rsid w:val="00675304"/>
    <w:rsid w:val="006755A3"/>
    <w:rsid w:val="006756BC"/>
    <w:rsid w:val="00676840"/>
    <w:rsid w:val="00676B47"/>
    <w:rsid w:val="006773D9"/>
    <w:rsid w:val="0068052F"/>
    <w:rsid w:val="00681A0F"/>
    <w:rsid w:val="0068231B"/>
    <w:rsid w:val="00682B9F"/>
    <w:rsid w:val="00682FF1"/>
    <w:rsid w:val="00683277"/>
    <w:rsid w:val="00683C7C"/>
    <w:rsid w:val="00684A7C"/>
    <w:rsid w:val="00684A87"/>
    <w:rsid w:val="00684CBC"/>
    <w:rsid w:val="0068547F"/>
    <w:rsid w:val="00685D3A"/>
    <w:rsid w:val="006864D6"/>
    <w:rsid w:val="00690BEE"/>
    <w:rsid w:val="00691282"/>
    <w:rsid w:val="00691A4B"/>
    <w:rsid w:val="0069208C"/>
    <w:rsid w:val="00692138"/>
    <w:rsid w:val="006932A5"/>
    <w:rsid w:val="00694257"/>
    <w:rsid w:val="00694612"/>
    <w:rsid w:val="00694994"/>
    <w:rsid w:val="00694FAD"/>
    <w:rsid w:val="00695688"/>
    <w:rsid w:val="00695709"/>
    <w:rsid w:val="006959AD"/>
    <w:rsid w:val="00695D66"/>
    <w:rsid w:val="006966AD"/>
    <w:rsid w:val="006975EC"/>
    <w:rsid w:val="006A11F4"/>
    <w:rsid w:val="006A13F4"/>
    <w:rsid w:val="006A16B5"/>
    <w:rsid w:val="006A1BDC"/>
    <w:rsid w:val="006A22D5"/>
    <w:rsid w:val="006A22F2"/>
    <w:rsid w:val="006A26EE"/>
    <w:rsid w:val="006A303C"/>
    <w:rsid w:val="006A33D6"/>
    <w:rsid w:val="006A3657"/>
    <w:rsid w:val="006A41E2"/>
    <w:rsid w:val="006A5D52"/>
    <w:rsid w:val="006A75A2"/>
    <w:rsid w:val="006B05FA"/>
    <w:rsid w:val="006B0E9E"/>
    <w:rsid w:val="006B1D37"/>
    <w:rsid w:val="006B1F35"/>
    <w:rsid w:val="006B2D75"/>
    <w:rsid w:val="006B3239"/>
    <w:rsid w:val="006B3857"/>
    <w:rsid w:val="006B59FB"/>
    <w:rsid w:val="006B5AE4"/>
    <w:rsid w:val="006B6060"/>
    <w:rsid w:val="006B6D7F"/>
    <w:rsid w:val="006B6DF1"/>
    <w:rsid w:val="006B708F"/>
    <w:rsid w:val="006B7528"/>
    <w:rsid w:val="006B7E22"/>
    <w:rsid w:val="006C2464"/>
    <w:rsid w:val="006C262D"/>
    <w:rsid w:val="006C2C23"/>
    <w:rsid w:val="006C2CA5"/>
    <w:rsid w:val="006C2E11"/>
    <w:rsid w:val="006C3918"/>
    <w:rsid w:val="006C3D7E"/>
    <w:rsid w:val="006C4562"/>
    <w:rsid w:val="006C6432"/>
    <w:rsid w:val="006D08D5"/>
    <w:rsid w:val="006D09B4"/>
    <w:rsid w:val="006D0E95"/>
    <w:rsid w:val="006D109B"/>
    <w:rsid w:val="006D141B"/>
    <w:rsid w:val="006D16A9"/>
    <w:rsid w:val="006D38F5"/>
    <w:rsid w:val="006D3ECE"/>
    <w:rsid w:val="006D4054"/>
    <w:rsid w:val="006D4318"/>
    <w:rsid w:val="006D4940"/>
    <w:rsid w:val="006D51B4"/>
    <w:rsid w:val="006D54CC"/>
    <w:rsid w:val="006D55D8"/>
    <w:rsid w:val="006D5773"/>
    <w:rsid w:val="006D6347"/>
    <w:rsid w:val="006D7274"/>
    <w:rsid w:val="006D7758"/>
    <w:rsid w:val="006D7DBC"/>
    <w:rsid w:val="006E02EC"/>
    <w:rsid w:val="006E03D7"/>
    <w:rsid w:val="006E05BB"/>
    <w:rsid w:val="006E0E4C"/>
    <w:rsid w:val="006E1123"/>
    <w:rsid w:val="006E1245"/>
    <w:rsid w:val="006E1C2F"/>
    <w:rsid w:val="006E2869"/>
    <w:rsid w:val="006E2E60"/>
    <w:rsid w:val="006E30F5"/>
    <w:rsid w:val="006E3C23"/>
    <w:rsid w:val="006E4ACA"/>
    <w:rsid w:val="006E4BB4"/>
    <w:rsid w:val="006E5334"/>
    <w:rsid w:val="006E560A"/>
    <w:rsid w:val="006E5F14"/>
    <w:rsid w:val="006E6D76"/>
    <w:rsid w:val="006E7789"/>
    <w:rsid w:val="006E77BF"/>
    <w:rsid w:val="006E795F"/>
    <w:rsid w:val="006F04D4"/>
    <w:rsid w:val="006F2080"/>
    <w:rsid w:val="006F2D52"/>
    <w:rsid w:val="006F339C"/>
    <w:rsid w:val="006F35A3"/>
    <w:rsid w:val="006F4BDE"/>
    <w:rsid w:val="006F57E5"/>
    <w:rsid w:val="006F5DEB"/>
    <w:rsid w:val="006F7753"/>
    <w:rsid w:val="006F7FA8"/>
    <w:rsid w:val="0070166B"/>
    <w:rsid w:val="00701DF3"/>
    <w:rsid w:val="00702664"/>
    <w:rsid w:val="00702737"/>
    <w:rsid w:val="00703154"/>
    <w:rsid w:val="00703444"/>
    <w:rsid w:val="00706806"/>
    <w:rsid w:val="00706CF3"/>
    <w:rsid w:val="007078CC"/>
    <w:rsid w:val="007108A9"/>
    <w:rsid w:val="00710960"/>
    <w:rsid w:val="00710966"/>
    <w:rsid w:val="00710A47"/>
    <w:rsid w:val="00710E4C"/>
    <w:rsid w:val="00711297"/>
    <w:rsid w:val="00711571"/>
    <w:rsid w:val="007119AF"/>
    <w:rsid w:val="00712025"/>
    <w:rsid w:val="00712EE3"/>
    <w:rsid w:val="0071443D"/>
    <w:rsid w:val="0071456B"/>
    <w:rsid w:val="00714BD2"/>
    <w:rsid w:val="00714DE1"/>
    <w:rsid w:val="00714E46"/>
    <w:rsid w:val="00715357"/>
    <w:rsid w:val="00715BE3"/>
    <w:rsid w:val="007175B5"/>
    <w:rsid w:val="00717A15"/>
    <w:rsid w:val="0072008B"/>
    <w:rsid w:val="007205CE"/>
    <w:rsid w:val="007209E1"/>
    <w:rsid w:val="0072115A"/>
    <w:rsid w:val="007211B1"/>
    <w:rsid w:val="00722348"/>
    <w:rsid w:val="007223D6"/>
    <w:rsid w:val="00722417"/>
    <w:rsid w:val="007227F3"/>
    <w:rsid w:val="00722E61"/>
    <w:rsid w:val="007243F0"/>
    <w:rsid w:val="00725216"/>
    <w:rsid w:val="007255DE"/>
    <w:rsid w:val="007265CE"/>
    <w:rsid w:val="00726B70"/>
    <w:rsid w:val="00726E75"/>
    <w:rsid w:val="00730184"/>
    <w:rsid w:val="00730ECA"/>
    <w:rsid w:val="0073187B"/>
    <w:rsid w:val="00731918"/>
    <w:rsid w:val="00731E67"/>
    <w:rsid w:val="00732354"/>
    <w:rsid w:val="00732401"/>
    <w:rsid w:val="00732809"/>
    <w:rsid w:val="00733DA2"/>
    <w:rsid w:val="0073602C"/>
    <w:rsid w:val="007368D2"/>
    <w:rsid w:val="007368FF"/>
    <w:rsid w:val="00737ADD"/>
    <w:rsid w:val="007402CD"/>
    <w:rsid w:val="00740314"/>
    <w:rsid w:val="007408B3"/>
    <w:rsid w:val="00742C35"/>
    <w:rsid w:val="00743C9B"/>
    <w:rsid w:val="00743F79"/>
    <w:rsid w:val="0074429A"/>
    <w:rsid w:val="00745912"/>
    <w:rsid w:val="00746187"/>
    <w:rsid w:val="00746323"/>
    <w:rsid w:val="00747F84"/>
    <w:rsid w:val="007500D3"/>
    <w:rsid w:val="007500FF"/>
    <w:rsid w:val="00750EB3"/>
    <w:rsid w:val="007518B2"/>
    <w:rsid w:val="007519BB"/>
    <w:rsid w:val="00752B07"/>
    <w:rsid w:val="00752D31"/>
    <w:rsid w:val="00754106"/>
    <w:rsid w:val="007543F5"/>
    <w:rsid w:val="00754C63"/>
    <w:rsid w:val="00754D0D"/>
    <w:rsid w:val="00755C20"/>
    <w:rsid w:val="00755F95"/>
    <w:rsid w:val="007577F0"/>
    <w:rsid w:val="007600A2"/>
    <w:rsid w:val="00760876"/>
    <w:rsid w:val="007615BC"/>
    <w:rsid w:val="00762384"/>
    <w:rsid w:val="007623ED"/>
    <w:rsid w:val="00762403"/>
    <w:rsid w:val="0076254F"/>
    <w:rsid w:val="0076405F"/>
    <w:rsid w:val="00765532"/>
    <w:rsid w:val="007658F6"/>
    <w:rsid w:val="00766490"/>
    <w:rsid w:val="0076662C"/>
    <w:rsid w:val="007667E4"/>
    <w:rsid w:val="007667F6"/>
    <w:rsid w:val="00766C6E"/>
    <w:rsid w:val="007670B0"/>
    <w:rsid w:val="00767F9C"/>
    <w:rsid w:val="007700E4"/>
    <w:rsid w:val="00770359"/>
    <w:rsid w:val="00770B99"/>
    <w:rsid w:val="0077196D"/>
    <w:rsid w:val="007734E8"/>
    <w:rsid w:val="00773E86"/>
    <w:rsid w:val="00774C6B"/>
    <w:rsid w:val="00776D72"/>
    <w:rsid w:val="007774DE"/>
    <w:rsid w:val="0077775C"/>
    <w:rsid w:val="00777923"/>
    <w:rsid w:val="00777CD1"/>
    <w:rsid w:val="00777F21"/>
    <w:rsid w:val="00777FA8"/>
    <w:rsid w:val="007801F5"/>
    <w:rsid w:val="00781050"/>
    <w:rsid w:val="007812FB"/>
    <w:rsid w:val="00781FDA"/>
    <w:rsid w:val="00782381"/>
    <w:rsid w:val="007824EE"/>
    <w:rsid w:val="00782EB3"/>
    <w:rsid w:val="00783CA4"/>
    <w:rsid w:val="007842FB"/>
    <w:rsid w:val="007844EC"/>
    <w:rsid w:val="00784B79"/>
    <w:rsid w:val="00784CC1"/>
    <w:rsid w:val="00785725"/>
    <w:rsid w:val="00785BBB"/>
    <w:rsid w:val="00785C4B"/>
    <w:rsid w:val="00786124"/>
    <w:rsid w:val="00790751"/>
    <w:rsid w:val="0079127B"/>
    <w:rsid w:val="00791FC6"/>
    <w:rsid w:val="00792ACE"/>
    <w:rsid w:val="007930BF"/>
    <w:rsid w:val="007945B4"/>
    <w:rsid w:val="007946BC"/>
    <w:rsid w:val="00794932"/>
    <w:rsid w:val="00795040"/>
    <w:rsid w:val="0079514B"/>
    <w:rsid w:val="007956F1"/>
    <w:rsid w:val="007963AE"/>
    <w:rsid w:val="00796583"/>
    <w:rsid w:val="00796C70"/>
    <w:rsid w:val="007979BE"/>
    <w:rsid w:val="00797A2B"/>
    <w:rsid w:val="00797A85"/>
    <w:rsid w:val="007A02A0"/>
    <w:rsid w:val="007A0BEE"/>
    <w:rsid w:val="007A140D"/>
    <w:rsid w:val="007A1F66"/>
    <w:rsid w:val="007A207B"/>
    <w:rsid w:val="007A2DC1"/>
    <w:rsid w:val="007A3200"/>
    <w:rsid w:val="007A3438"/>
    <w:rsid w:val="007A374B"/>
    <w:rsid w:val="007A3C6F"/>
    <w:rsid w:val="007A4253"/>
    <w:rsid w:val="007A58FE"/>
    <w:rsid w:val="007A59DF"/>
    <w:rsid w:val="007A62F1"/>
    <w:rsid w:val="007A7173"/>
    <w:rsid w:val="007A7B75"/>
    <w:rsid w:val="007A7C0E"/>
    <w:rsid w:val="007A7FD5"/>
    <w:rsid w:val="007B145B"/>
    <w:rsid w:val="007B1B50"/>
    <w:rsid w:val="007B2651"/>
    <w:rsid w:val="007B2945"/>
    <w:rsid w:val="007B2BAE"/>
    <w:rsid w:val="007B3A7A"/>
    <w:rsid w:val="007B3DD3"/>
    <w:rsid w:val="007B404F"/>
    <w:rsid w:val="007B47BA"/>
    <w:rsid w:val="007B5805"/>
    <w:rsid w:val="007B59C1"/>
    <w:rsid w:val="007B68A4"/>
    <w:rsid w:val="007B6E6F"/>
    <w:rsid w:val="007B7014"/>
    <w:rsid w:val="007B75E5"/>
    <w:rsid w:val="007C046A"/>
    <w:rsid w:val="007C14FB"/>
    <w:rsid w:val="007C1649"/>
    <w:rsid w:val="007C233F"/>
    <w:rsid w:val="007C366B"/>
    <w:rsid w:val="007C3926"/>
    <w:rsid w:val="007C3F94"/>
    <w:rsid w:val="007C4A0E"/>
    <w:rsid w:val="007C5121"/>
    <w:rsid w:val="007C562A"/>
    <w:rsid w:val="007C63DA"/>
    <w:rsid w:val="007D04E6"/>
    <w:rsid w:val="007D0B82"/>
    <w:rsid w:val="007D261B"/>
    <w:rsid w:val="007D2669"/>
    <w:rsid w:val="007D274B"/>
    <w:rsid w:val="007D2B3F"/>
    <w:rsid w:val="007D2B8D"/>
    <w:rsid w:val="007D3319"/>
    <w:rsid w:val="007D335D"/>
    <w:rsid w:val="007D3CF9"/>
    <w:rsid w:val="007D473A"/>
    <w:rsid w:val="007D5635"/>
    <w:rsid w:val="007D5ACA"/>
    <w:rsid w:val="007D5EF3"/>
    <w:rsid w:val="007D624B"/>
    <w:rsid w:val="007D6BBD"/>
    <w:rsid w:val="007D7311"/>
    <w:rsid w:val="007D7898"/>
    <w:rsid w:val="007D7F70"/>
    <w:rsid w:val="007E016D"/>
    <w:rsid w:val="007E02C0"/>
    <w:rsid w:val="007E0607"/>
    <w:rsid w:val="007E160D"/>
    <w:rsid w:val="007E1CB1"/>
    <w:rsid w:val="007E20C5"/>
    <w:rsid w:val="007E2275"/>
    <w:rsid w:val="007E231E"/>
    <w:rsid w:val="007E2821"/>
    <w:rsid w:val="007E285F"/>
    <w:rsid w:val="007E3301"/>
    <w:rsid w:val="007E3314"/>
    <w:rsid w:val="007E4196"/>
    <w:rsid w:val="007E4204"/>
    <w:rsid w:val="007E431E"/>
    <w:rsid w:val="007E46E3"/>
    <w:rsid w:val="007E47A6"/>
    <w:rsid w:val="007E4B03"/>
    <w:rsid w:val="007E55DE"/>
    <w:rsid w:val="007E6147"/>
    <w:rsid w:val="007E6512"/>
    <w:rsid w:val="007E6B4A"/>
    <w:rsid w:val="007E7848"/>
    <w:rsid w:val="007F06CB"/>
    <w:rsid w:val="007F0FAF"/>
    <w:rsid w:val="007F10BF"/>
    <w:rsid w:val="007F164C"/>
    <w:rsid w:val="007F1F58"/>
    <w:rsid w:val="007F2321"/>
    <w:rsid w:val="007F29E4"/>
    <w:rsid w:val="007F2C2F"/>
    <w:rsid w:val="007F2DC4"/>
    <w:rsid w:val="007F324B"/>
    <w:rsid w:val="007F3482"/>
    <w:rsid w:val="007F35BF"/>
    <w:rsid w:val="007F3871"/>
    <w:rsid w:val="007F4BF3"/>
    <w:rsid w:val="007F5606"/>
    <w:rsid w:val="007F5697"/>
    <w:rsid w:val="007F7CF2"/>
    <w:rsid w:val="00800C23"/>
    <w:rsid w:val="00801CF4"/>
    <w:rsid w:val="00802737"/>
    <w:rsid w:val="0080339B"/>
    <w:rsid w:val="008038C7"/>
    <w:rsid w:val="00803E09"/>
    <w:rsid w:val="008040A3"/>
    <w:rsid w:val="0080476C"/>
    <w:rsid w:val="00804892"/>
    <w:rsid w:val="0080553C"/>
    <w:rsid w:val="00805B46"/>
    <w:rsid w:val="00805E45"/>
    <w:rsid w:val="00806439"/>
    <w:rsid w:val="008106B9"/>
    <w:rsid w:val="0081118B"/>
    <w:rsid w:val="008114CF"/>
    <w:rsid w:val="00811595"/>
    <w:rsid w:val="008119BD"/>
    <w:rsid w:val="00813327"/>
    <w:rsid w:val="0081480C"/>
    <w:rsid w:val="0081603F"/>
    <w:rsid w:val="0082170B"/>
    <w:rsid w:val="00821A4C"/>
    <w:rsid w:val="00822513"/>
    <w:rsid w:val="00822DA6"/>
    <w:rsid w:val="00823DDF"/>
    <w:rsid w:val="008252FD"/>
    <w:rsid w:val="0082557D"/>
    <w:rsid w:val="008258B5"/>
    <w:rsid w:val="00825977"/>
    <w:rsid w:val="00825DC2"/>
    <w:rsid w:val="0082705D"/>
    <w:rsid w:val="008278E4"/>
    <w:rsid w:val="00827A31"/>
    <w:rsid w:val="00830BF5"/>
    <w:rsid w:val="00831364"/>
    <w:rsid w:val="00832552"/>
    <w:rsid w:val="008325FD"/>
    <w:rsid w:val="00833C16"/>
    <w:rsid w:val="008340F1"/>
    <w:rsid w:val="00834AD3"/>
    <w:rsid w:val="00834C1D"/>
    <w:rsid w:val="00834D34"/>
    <w:rsid w:val="00834FFD"/>
    <w:rsid w:val="00835564"/>
    <w:rsid w:val="0083594E"/>
    <w:rsid w:val="00835F27"/>
    <w:rsid w:val="00840437"/>
    <w:rsid w:val="00841CAB"/>
    <w:rsid w:val="00842594"/>
    <w:rsid w:val="008425E7"/>
    <w:rsid w:val="00842738"/>
    <w:rsid w:val="00842B85"/>
    <w:rsid w:val="00843448"/>
    <w:rsid w:val="00843795"/>
    <w:rsid w:val="008443B3"/>
    <w:rsid w:val="008468C4"/>
    <w:rsid w:val="00846BFF"/>
    <w:rsid w:val="00847F0F"/>
    <w:rsid w:val="0085032D"/>
    <w:rsid w:val="00850344"/>
    <w:rsid w:val="0085047B"/>
    <w:rsid w:val="00850692"/>
    <w:rsid w:val="008508CE"/>
    <w:rsid w:val="00851143"/>
    <w:rsid w:val="008512FD"/>
    <w:rsid w:val="00851363"/>
    <w:rsid w:val="0085190B"/>
    <w:rsid w:val="00852448"/>
    <w:rsid w:val="00852932"/>
    <w:rsid w:val="0085293A"/>
    <w:rsid w:val="00852FE6"/>
    <w:rsid w:val="0085395F"/>
    <w:rsid w:val="00854334"/>
    <w:rsid w:val="0085562D"/>
    <w:rsid w:val="00856D71"/>
    <w:rsid w:val="008573A0"/>
    <w:rsid w:val="008602E5"/>
    <w:rsid w:val="00860354"/>
    <w:rsid w:val="008609A2"/>
    <w:rsid w:val="00860EEA"/>
    <w:rsid w:val="008627F7"/>
    <w:rsid w:val="008639AA"/>
    <w:rsid w:val="00863D2E"/>
    <w:rsid w:val="0086492B"/>
    <w:rsid w:val="00864BCC"/>
    <w:rsid w:val="0086509D"/>
    <w:rsid w:val="008659BE"/>
    <w:rsid w:val="008665DB"/>
    <w:rsid w:val="008667ED"/>
    <w:rsid w:val="00866BE1"/>
    <w:rsid w:val="00866D6E"/>
    <w:rsid w:val="008672E8"/>
    <w:rsid w:val="00867BA1"/>
    <w:rsid w:val="00867D21"/>
    <w:rsid w:val="00870420"/>
    <w:rsid w:val="0087080B"/>
    <w:rsid w:val="0087165C"/>
    <w:rsid w:val="00871AEC"/>
    <w:rsid w:val="00871F83"/>
    <w:rsid w:val="008720E4"/>
    <w:rsid w:val="00872B57"/>
    <w:rsid w:val="00872DF1"/>
    <w:rsid w:val="008736F6"/>
    <w:rsid w:val="00875D1F"/>
    <w:rsid w:val="00876B3A"/>
    <w:rsid w:val="008778ED"/>
    <w:rsid w:val="00877A02"/>
    <w:rsid w:val="00880870"/>
    <w:rsid w:val="00880CBC"/>
    <w:rsid w:val="00880DD6"/>
    <w:rsid w:val="00880F1C"/>
    <w:rsid w:val="0088188F"/>
    <w:rsid w:val="00881C05"/>
    <w:rsid w:val="0088258A"/>
    <w:rsid w:val="00882EF2"/>
    <w:rsid w:val="00883303"/>
    <w:rsid w:val="00883AA9"/>
    <w:rsid w:val="00884717"/>
    <w:rsid w:val="00884F51"/>
    <w:rsid w:val="00884FF1"/>
    <w:rsid w:val="00885589"/>
    <w:rsid w:val="00885760"/>
    <w:rsid w:val="0088598E"/>
    <w:rsid w:val="00885A66"/>
    <w:rsid w:val="00886332"/>
    <w:rsid w:val="0088650F"/>
    <w:rsid w:val="00886696"/>
    <w:rsid w:val="0088706B"/>
    <w:rsid w:val="00887885"/>
    <w:rsid w:val="008879B5"/>
    <w:rsid w:val="00887B3A"/>
    <w:rsid w:val="008913C4"/>
    <w:rsid w:val="00891A64"/>
    <w:rsid w:val="0089266D"/>
    <w:rsid w:val="00892C69"/>
    <w:rsid w:val="00893ACD"/>
    <w:rsid w:val="008952D3"/>
    <w:rsid w:val="00895F48"/>
    <w:rsid w:val="00896B37"/>
    <w:rsid w:val="008971E0"/>
    <w:rsid w:val="008A0B80"/>
    <w:rsid w:val="008A0DA3"/>
    <w:rsid w:val="008A2570"/>
    <w:rsid w:val="008A264B"/>
    <w:rsid w:val="008A26D9"/>
    <w:rsid w:val="008A2ABD"/>
    <w:rsid w:val="008A3183"/>
    <w:rsid w:val="008A3431"/>
    <w:rsid w:val="008A4518"/>
    <w:rsid w:val="008A4AB4"/>
    <w:rsid w:val="008A5856"/>
    <w:rsid w:val="008A58BA"/>
    <w:rsid w:val="008A5991"/>
    <w:rsid w:val="008A5DE7"/>
    <w:rsid w:val="008A61DC"/>
    <w:rsid w:val="008A665D"/>
    <w:rsid w:val="008A6753"/>
    <w:rsid w:val="008A6991"/>
    <w:rsid w:val="008A6D84"/>
    <w:rsid w:val="008A781A"/>
    <w:rsid w:val="008B0BE6"/>
    <w:rsid w:val="008B1DDC"/>
    <w:rsid w:val="008B1E2E"/>
    <w:rsid w:val="008B1E67"/>
    <w:rsid w:val="008B1EC9"/>
    <w:rsid w:val="008B28BA"/>
    <w:rsid w:val="008B330C"/>
    <w:rsid w:val="008B3D3A"/>
    <w:rsid w:val="008B4591"/>
    <w:rsid w:val="008B511A"/>
    <w:rsid w:val="008B51D3"/>
    <w:rsid w:val="008B5923"/>
    <w:rsid w:val="008B6A1F"/>
    <w:rsid w:val="008B6C73"/>
    <w:rsid w:val="008B6FE1"/>
    <w:rsid w:val="008B79BE"/>
    <w:rsid w:val="008C0242"/>
    <w:rsid w:val="008C06D5"/>
    <w:rsid w:val="008C1100"/>
    <w:rsid w:val="008C1ACC"/>
    <w:rsid w:val="008C1C8C"/>
    <w:rsid w:val="008C27D0"/>
    <w:rsid w:val="008C37FF"/>
    <w:rsid w:val="008C41D7"/>
    <w:rsid w:val="008C4E4E"/>
    <w:rsid w:val="008C530A"/>
    <w:rsid w:val="008C5679"/>
    <w:rsid w:val="008C692F"/>
    <w:rsid w:val="008C6CD8"/>
    <w:rsid w:val="008C7013"/>
    <w:rsid w:val="008C73F5"/>
    <w:rsid w:val="008D0E95"/>
    <w:rsid w:val="008D1AF6"/>
    <w:rsid w:val="008D1C94"/>
    <w:rsid w:val="008D33CA"/>
    <w:rsid w:val="008D361F"/>
    <w:rsid w:val="008D3901"/>
    <w:rsid w:val="008D424B"/>
    <w:rsid w:val="008D49EC"/>
    <w:rsid w:val="008D671C"/>
    <w:rsid w:val="008E01F5"/>
    <w:rsid w:val="008E0426"/>
    <w:rsid w:val="008E18E9"/>
    <w:rsid w:val="008E1AE0"/>
    <w:rsid w:val="008E2157"/>
    <w:rsid w:val="008E22FA"/>
    <w:rsid w:val="008E2760"/>
    <w:rsid w:val="008E3158"/>
    <w:rsid w:val="008E3BC3"/>
    <w:rsid w:val="008E3FD2"/>
    <w:rsid w:val="008E4C27"/>
    <w:rsid w:val="008E6509"/>
    <w:rsid w:val="008E67EB"/>
    <w:rsid w:val="008E6907"/>
    <w:rsid w:val="008E6D40"/>
    <w:rsid w:val="008E70C8"/>
    <w:rsid w:val="008E750B"/>
    <w:rsid w:val="008E754F"/>
    <w:rsid w:val="008E7B86"/>
    <w:rsid w:val="008E7DB2"/>
    <w:rsid w:val="008E7EDE"/>
    <w:rsid w:val="008F0070"/>
    <w:rsid w:val="008F074A"/>
    <w:rsid w:val="008F0AB5"/>
    <w:rsid w:val="008F1AC9"/>
    <w:rsid w:val="008F3638"/>
    <w:rsid w:val="008F3654"/>
    <w:rsid w:val="008F41AD"/>
    <w:rsid w:val="008F423C"/>
    <w:rsid w:val="008F430A"/>
    <w:rsid w:val="008F4DB9"/>
    <w:rsid w:val="008F592B"/>
    <w:rsid w:val="008F6632"/>
    <w:rsid w:val="008F6805"/>
    <w:rsid w:val="008F6971"/>
    <w:rsid w:val="008F6CB7"/>
    <w:rsid w:val="008F6F31"/>
    <w:rsid w:val="008F6FE3"/>
    <w:rsid w:val="008F74DF"/>
    <w:rsid w:val="0090026F"/>
    <w:rsid w:val="00900CCE"/>
    <w:rsid w:val="00901BC7"/>
    <w:rsid w:val="009021D3"/>
    <w:rsid w:val="0090281E"/>
    <w:rsid w:val="00902896"/>
    <w:rsid w:val="0090306F"/>
    <w:rsid w:val="00903778"/>
    <w:rsid w:val="00903EC3"/>
    <w:rsid w:val="00904379"/>
    <w:rsid w:val="009046CB"/>
    <w:rsid w:val="009055F6"/>
    <w:rsid w:val="00905DC8"/>
    <w:rsid w:val="00905F4C"/>
    <w:rsid w:val="00906936"/>
    <w:rsid w:val="00906D07"/>
    <w:rsid w:val="0090773D"/>
    <w:rsid w:val="009104D1"/>
    <w:rsid w:val="00910C2A"/>
    <w:rsid w:val="00910C4C"/>
    <w:rsid w:val="0091110E"/>
    <w:rsid w:val="00911235"/>
    <w:rsid w:val="009127BA"/>
    <w:rsid w:val="009128BB"/>
    <w:rsid w:val="00912F59"/>
    <w:rsid w:val="00913067"/>
    <w:rsid w:val="00913383"/>
    <w:rsid w:val="00914BA8"/>
    <w:rsid w:val="0091509B"/>
    <w:rsid w:val="00915408"/>
    <w:rsid w:val="0091546E"/>
    <w:rsid w:val="009157F7"/>
    <w:rsid w:val="00915EE3"/>
    <w:rsid w:val="009179B6"/>
    <w:rsid w:val="00917CA5"/>
    <w:rsid w:val="0092031B"/>
    <w:rsid w:val="009203E7"/>
    <w:rsid w:val="009209AA"/>
    <w:rsid w:val="00920B7D"/>
    <w:rsid w:val="00921091"/>
    <w:rsid w:val="009210C8"/>
    <w:rsid w:val="009227A6"/>
    <w:rsid w:val="00922C8A"/>
    <w:rsid w:val="00922FAF"/>
    <w:rsid w:val="0092366F"/>
    <w:rsid w:val="0092391F"/>
    <w:rsid w:val="009253E7"/>
    <w:rsid w:val="00925F89"/>
    <w:rsid w:val="009268CB"/>
    <w:rsid w:val="009269E1"/>
    <w:rsid w:val="00926C98"/>
    <w:rsid w:val="00926FA5"/>
    <w:rsid w:val="0092753D"/>
    <w:rsid w:val="00930D90"/>
    <w:rsid w:val="00930F17"/>
    <w:rsid w:val="0093218B"/>
    <w:rsid w:val="00932372"/>
    <w:rsid w:val="00932EB5"/>
    <w:rsid w:val="009335BA"/>
    <w:rsid w:val="00933EC1"/>
    <w:rsid w:val="009342BE"/>
    <w:rsid w:val="00936692"/>
    <w:rsid w:val="00936AB4"/>
    <w:rsid w:val="00936B02"/>
    <w:rsid w:val="0093708A"/>
    <w:rsid w:val="009370A5"/>
    <w:rsid w:val="00937A43"/>
    <w:rsid w:val="0094021A"/>
    <w:rsid w:val="009404D5"/>
    <w:rsid w:val="009411B3"/>
    <w:rsid w:val="00941BB9"/>
    <w:rsid w:val="00941C5E"/>
    <w:rsid w:val="00941CF0"/>
    <w:rsid w:val="00941EF9"/>
    <w:rsid w:val="00942B4A"/>
    <w:rsid w:val="0094304F"/>
    <w:rsid w:val="009436F7"/>
    <w:rsid w:val="00943829"/>
    <w:rsid w:val="00943F43"/>
    <w:rsid w:val="0094531F"/>
    <w:rsid w:val="00945F8B"/>
    <w:rsid w:val="009466D3"/>
    <w:rsid w:val="00946A8A"/>
    <w:rsid w:val="00946EF7"/>
    <w:rsid w:val="00947AED"/>
    <w:rsid w:val="009522F3"/>
    <w:rsid w:val="00952504"/>
    <w:rsid w:val="00952ABE"/>
    <w:rsid w:val="009530DB"/>
    <w:rsid w:val="00953676"/>
    <w:rsid w:val="009536BD"/>
    <w:rsid w:val="009538D7"/>
    <w:rsid w:val="00953AB3"/>
    <w:rsid w:val="009546BD"/>
    <w:rsid w:val="009549AF"/>
    <w:rsid w:val="00955403"/>
    <w:rsid w:val="009556FC"/>
    <w:rsid w:val="0095596A"/>
    <w:rsid w:val="00956768"/>
    <w:rsid w:val="009568E5"/>
    <w:rsid w:val="00957840"/>
    <w:rsid w:val="00957E41"/>
    <w:rsid w:val="00957F18"/>
    <w:rsid w:val="009602FC"/>
    <w:rsid w:val="009603AD"/>
    <w:rsid w:val="0096077F"/>
    <w:rsid w:val="0096080A"/>
    <w:rsid w:val="00961423"/>
    <w:rsid w:val="00961A8B"/>
    <w:rsid w:val="00962443"/>
    <w:rsid w:val="0096259C"/>
    <w:rsid w:val="009645E7"/>
    <w:rsid w:val="009647C9"/>
    <w:rsid w:val="0096491C"/>
    <w:rsid w:val="00964B83"/>
    <w:rsid w:val="00964E84"/>
    <w:rsid w:val="00965325"/>
    <w:rsid w:val="00966C5D"/>
    <w:rsid w:val="00967D27"/>
    <w:rsid w:val="00967F99"/>
    <w:rsid w:val="009705EE"/>
    <w:rsid w:val="00973210"/>
    <w:rsid w:val="0097373A"/>
    <w:rsid w:val="0097376B"/>
    <w:rsid w:val="00975365"/>
    <w:rsid w:val="009762F8"/>
    <w:rsid w:val="00976BDA"/>
    <w:rsid w:val="00977927"/>
    <w:rsid w:val="0098009F"/>
    <w:rsid w:val="00980223"/>
    <w:rsid w:val="0098135C"/>
    <w:rsid w:val="0098156A"/>
    <w:rsid w:val="00983FE4"/>
    <w:rsid w:val="0098422A"/>
    <w:rsid w:val="00984347"/>
    <w:rsid w:val="00984351"/>
    <w:rsid w:val="0098537F"/>
    <w:rsid w:val="00985B99"/>
    <w:rsid w:val="00985CAD"/>
    <w:rsid w:val="00986135"/>
    <w:rsid w:val="009871E2"/>
    <w:rsid w:val="009872A5"/>
    <w:rsid w:val="00990182"/>
    <w:rsid w:val="009921EB"/>
    <w:rsid w:val="0099253C"/>
    <w:rsid w:val="009947FA"/>
    <w:rsid w:val="009952D0"/>
    <w:rsid w:val="0099584D"/>
    <w:rsid w:val="00996693"/>
    <w:rsid w:val="00996729"/>
    <w:rsid w:val="00997392"/>
    <w:rsid w:val="00997E65"/>
    <w:rsid w:val="009A0036"/>
    <w:rsid w:val="009A02B2"/>
    <w:rsid w:val="009A16AA"/>
    <w:rsid w:val="009A1CD2"/>
    <w:rsid w:val="009A203A"/>
    <w:rsid w:val="009A24B0"/>
    <w:rsid w:val="009A2819"/>
    <w:rsid w:val="009A34B2"/>
    <w:rsid w:val="009A3B0F"/>
    <w:rsid w:val="009A40B0"/>
    <w:rsid w:val="009A4C7B"/>
    <w:rsid w:val="009A4E18"/>
    <w:rsid w:val="009A6736"/>
    <w:rsid w:val="009A726A"/>
    <w:rsid w:val="009A792E"/>
    <w:rsid w:val="009B068E"/>
    <w:rsid w:val="009B1532"/>
    <w:rsid w:val="009B34CD"/>
    <w:rsid w:val="009B44E2"/>
    <w:rsid w:val="009B4CC8"/>
    <w:rsid w:val="009B5808"/>
    <w:rsid w:val="009B743A"/>
    <w:rsid w:val="009B75C1"/>
    <w:rsid w:val="009C0165"/>
    <w:rsid w:val="009C0FB5"/>
    <w:rsid w:val="009C1335"/>
    <w:rsid w:val="009C1AB2"/>
    <w:rsid w:val="009C22CC"/>
    <w:rsid w:val="009C3183"/>
    <w:rsid w:val="009C3B6E"/>
    <w:rsid w:val="009C3BE7"/>
    <w:rsid w:val="009C41DE"/>
    <w:rsid w:val="009C46C3"/>
    <w:rsid w:val="009C55CE"/>
    <w:rsid w:val="009C58E0"/>
    <w:rsid w:val="009C59D5"/>
    <w:rsid w:val="009C5DCB"/>
    <w:rsid w:val="009C65D5"/>
    <w:rsid w:val="009C6B67"/>
    <w:rsid w:val="009C7251"/>
    <w:rsid w:val="009C7F79"/>
    <w:rsid w:val="009D03BD"/>
    <w:rsid w:val="009D0E86"/>
    <w:rsid w:val="009D208E"/>
    <w:rsid w:val="009D22A1"/>
    <w:rsid w:val="009D2444"/>
    <w:rsid w:val="009D27B7"/>
    <w:rsid w:val="009D2AD9"/>
    <w:rsid w:val="009D31EB"/>
    <w:rsid w:val="009D3868"/>
    <w:rsid w:val="009D3EFE"/>
    <w:rsid w:val="009D3FA5"/>
    <w:rsid w:val="009D48BF"/>
    <w:rsid w:val="009D48D2"/>
    <w:rsid w:val="009D4EB8"/>
    <w:rsid w:val="009D4ED8"/>
    <w:rsid w:val="009D5A59"/>
    <w:rsid w:val="009D5C73"/>
    <w:rsid w:val="009D7974"/>
    <w:rsid w:val="009D7B31"/>
    <w:rsid w:val="009D7E2E"/>
    <w:rsid w:val="009D7E71"/>
    <w:rsid w:val="009E03B7"/>
    <w:rsid w:val="009E085B"/>
    <w:rsid w:val="009E1846"/>
    <w:rsid w:val="009E19E6"/>
    <w:rsid w:val="009E1BA3"/>
    <w:rsid w:val="009E1D0F"/>
    <w:rsid w:val="009E223D"/>
    <w:rsid w:val="009E2E91"/>
    <w:rsid w:val="009E5AE7"/>
    <w:rsid w:val="009E5E98"/>
    <w:rsid w:val="009E60C2"/>
    <w:rsid w:val="009E61CF"/>
    <w:rsid w:val="009E6553"/>
    <w:rsid w:val="009E67BF"/>
    <w:rsid w:val="009E6B1C"/>
    <w:rsid w:val="009E6CC1"/>
    <w:rsid w:val="009E708E"/>
    <w:rsid w:val="009E75FB"/>
    <w:rsid w:val="009E791B"/>
    <w:rsid w:val="009F0255"/>
    <w:rsid w:val="009F14DE"/>
    <w:rsid w:val="009F32DF"/>
    <w:rsid w:val="009F425E"/>
    <w:rsid w:val="009F46AA"/>
    <w:rsid w:val="009F4C1D"/>
    <w:rsid w:val="009F4F4B"/>
    <w:rsid w:val="009F5B69"/>
    <w:rsid w:val="009F62B9"/>
    <w:rsid w:val="009F7688"/>
    <w:rsid w:val="009F7BAC"/>
    <w:rsid w:val="009F7FB9"/>
    <w:rsid w:val="00A00B1C"/>
    <w:rsid w:val="00A00B80"/>
    <w:rsid w:val="00A00D1C"/>
    <w:rsid w:val="00A011D3"/>
    <w:rsid w:val="00A0171D"/>
    <w:rsid w:val="00A021D1"/>
    <w:rsid w:val="00A02EA5"/>
    <w:rsid w:val="00A02F3A"/>
    <w:rsid w:val="00A0402E"/>
    <w:rsid w:val="00A051E2"/>
    <w:rsid w:val="00A051F6"/>
    <w:rsid w:val="00A05903"/>
    <w:rsid w:val="00A068AA"/>
    <w:rsid w:val="00A06BD8"/>
    <w:rsid w:val="00A07F1D"/>
    <w:rsid w:val="00A07FB6"/>
    <w:rsid w:val="00A10289"/>
    <w:rsid w:val="00A11789"/>
    <w:rsid w:val="00A11D43"/>
    <w:rsid w:val="00A1251E"/>
    <w:rsid w:val="00A12E83"/>
    <w:rsid w:val="00A13211"/>
    <w:rsid w:val="00A13956"/>
    <w:rsid w:val="00A139F5"/>
    <w:rsid w:val="00A13D15"/>
    <w:rsid w:val="00A1570A"/>
    <w:rsid w:val="00A15954"/>
    <w:rsid w:val="00A15E77"/>
    <w:rsid w:val="00A1764D"/>
    <w:rsid w:val="00A206F5"/>
    <w:rsid w:val="00A20E20"/>
    <w:rsid w:val="00A22043"/>
    <w:rsid w:val="00A223E6"/>
    <w:rsid w:val="00A2281C"/>
    <w:rsid w:val="00A22927"/>
    <w:rsid w:val="00A22FE4"/>
    <w:rsid w:val="00A231F3"/>
    <w:rsid w:val="00A235A0"/>
    <w:rsid w:val="00A23AB4"/>
    <w:rsid w:val="00A24EE1"/>
    <w:rsid w:val="00A25A93"/>
    <w:rsid w:val="00A25E14"/>
    <w:rsid w:val="00A26203"/>
    <w:rsid w:val="00A266B5"/>
    <w:rsid w:val="00A267BE"/>
    <w:rsid w:val="00A268F8"/>
    <w:rsid w:val="00A26D58"/>
    <w:rsid w:val="00A26F5E"/>
    <w:rsid w:val="00A31325"/>
    <w:rsid w:val="00A31F84"/>
    <w:rsid w:val="00A321E4"/>
    <w:rsid w:val="00A32A72"/>
    <w:rsid w:val="00A32A86"/>
    <w:rsid w:val="00A32B9C"/>
    <w:rsid w:val="00A336F9"/>
    <w:rsid w:val="00A33AF9"/>
    <w:rsid w:val="00A33C43"/>
    <w:rsid w:val="00A33F4A"/>
    <w:rsid w:val="00A341BE"/>
    <w:rsid w:val="00A35935"/>
    <w:rsid w:val="00A35D5B"/>
    <w:rsid w:val="00A365F4"/>
    <w:rsid w:val="00A36A5C"/>
    <w:rsid w:val="00A36AF6"/>
    <w:rsid w:val="00A36B48"/>
    <w:rsid w:val="00A36BA6"/>
    <w:rsid w:val="00A36C7F"/>
    <w:rsid w:val="00A36EB7"/>
    <w:rsid w:val="00A36F79"/>
    <w:rsid w:val="00A3727D"/>
    <w:rsid w:val="00A4019F"/>
    <w:rsid w:val="00A40BC7"/>
    <w:rsid w:val="00A40D4F"/>
    <w:rsid w:val="00A41422"/>
    <w:rsid w:val="00A422C5"/>
    <w:rsid w:val="00A44AB4"/>
    <w:rsid w:val="00A44B64"/>
    <w:rsid w:val="00A44F76"/>
    <w:rsid w:val="00A461E8"/>
    <w:rsid w:val="00A461F5"/>
    <w:rsid w:val="00A466F4"/>
    <w:rsid w:val="00A475A6"/>
    <w:rsid w:val="00A47D80"/>
    <w:rsid w:val="00A47D98"/>
    <w:rsid w:val="00A47FB5"/>
    <w:rsid w:val="00A50D17"/>
    <w:rsid w:val="00A510D2"/>
    <w:rsid w:val="00A5161A"/>
    <w:rsid w:val="00A5206D"/>
    <w:rsid w:val="00A521CD"/>
    <w:rsid w:val="00A5294B"/>
    <w:rsid w:val="00A52EA8"/>
    <w:rsid w:val="00A53132"/>
    <w:rsid w:val="00A543FD"/>
    <w:rsid w:val="00A54FE2"/>
    <w:rsid w:val="00A55245"/>
    <w:rsid w:val="00A55D19"/>
    <w:rsid w:val="00A560CA"/>
    <w:rsid w:val="00A563F2"/>
    <w:rsid w:val="00A566E8"/>
    <w:rsid w:val="00A56BA3"/>
    <w:rsid w:val="00A56FCB"/>
    <w:rsid w:val="00A57623"/>
    <w:rsid w:val="00A5782D"/>
    <w:rsid w:val="00A57A69"/>
    <w:rsid w:val="00A61A12"/>
    <w:rsid w:val="00A62657"/>
    <w:rsid w:val="00A63E3D"/>
    <w:rsid w:val="00A640B6"/>
    <w:rsid w:val="00A643BB"/>
    <w:rsid w:val="00A66A57"/>
    <w:rsid w:val="00A66C2E"/>
    <w:rsid w:val="00A66EAC"/>
    <w:rsid w:val="00A673EB"/>
    <w:rsid w:val="00A6778B"/>
    <w:rsid w:val="00A6791C"/>
    <w:rsid w:val="00A67A65"/>
    <w:rsid w:val="00A70B9B"/>
    <w:rsid w:val="00A70FEB"/>
    <w:rsid w:val="00A71448"/>
    <w:rsid w:val="00A71478"/>
    <w:rsid w:val="00A71ED5"/>
    <w:rsid w:val="00A72D5C"/>
    <w:rsid w:val="00A72F76"/>
    <w:rsid w:val="00A7332B"/>
    <w:rsid w:val="00A7341B"/>
    <w:rsid w:val="00A7366D"/>
    <w:rsid w:val="00A73880"/>
    <w:rsid w:val="00A73914"/>
    <w:rsid w:val="00A73A32"/>
    <w:rsid w:val="00A73ABE"/>
    <w:rsid w:val="00A73AE7"/>
    <w:rsid w:val="00A73B75"/>
    <w:rsid w:val="00A7422C"/>
    <w:rsid w:val="00A74B25"/>
    <w:rsid w:val="00A750E3"/>
    <w:rsid w:val="00A758C8"/>
    <w:rsid w:val="00A75F9D"/>
    <w:rsid w:val="00A76285"/>
    <w:rsid w:val="00A764BD"/>
    <w:rsid w:val="00A80CFB"/>
    <w:rsid w:val="00A810BB"/>
    <w:rsid w:val="00A811F0"/>
    <w:rsid w:val="00A83308"/>
    <w:rsid w:val="00A852B4"/>
    <w:rsid w:val="00A86723"/>
    <w:rsid w:val="00A86A42"/>
    <w:rsid w:val="00A86CFA"/>
    <w:rsid w:val="00A86ECC"/>
    <w:rsid w:val="00A86FCC"/>
    <w:rsid w:val="00A8706C"/>
    <w:rsid w:val="00A870FB"/>
    <w:rsid w:val="00A87B2A"/>
    <w:rsid w:val="00A90624"/>
    <w:rsid w:val="00A917F7"/>
    <w:rsid w:val="00A92431"/>
    <w:rsid w:val="00A93290"/>
    <w:rsid w:val="00A94271"/>
    <w:rsid w:val="00A94A12"/>
    <w:rsid w:val="00A96559"/>
    <w:rsid w:val="00A96926"/>
    <w:rsid w:val="00A96C4E"/>
    <w:rsid w:val="00A9781B"/>
    <w:rsid w:val="00A97C7D"/>
    <w:rsid w:val="00A97CB1"/>
    <w:rsid w:val="00AA011F"/>
    <w:rsid w:val="00AA0221"/>
    <w:rsid w:val="00AA04B6"/>
    <w:rsid w:val="00AA0C5A"/>
    <w:rsid w:val="00AA1B2D"/>
    <w:rsid w:val="00AA3431"/>
    <w:rsid w:val="00AA34FD"/>
    <w:rsid w:val="00AA6722"/>
    <w:rsid w:val="00AA6911"/>
    <w:rsid w:val="00AA705A"/>
    <w:rsid w:val="00AA710D"/>
    <w:rsid w:val="00AA7560"/>
    <w:rsid w:val="00AB01F1"/>
    <w:rsid w:val="00AB132A"/>
    <w:rsid w:val="00AB3135"/>
    <w:rsid w:val="00AB3317"/>
    <w:rsid w:val="00AB37B4"/>
    <w:rsid w:val="00AB37B7"/>
    <w:rsid w:val="00AB4A33"/>
    <w:rsid w:val="00AB4C34"/>
    <w:rsid w:val="00AB5850"/>
    <w:rsid w:val="00AB62A0"/>
    <w:rsid w:val="00AB637D"/>
    <w:rsid w:val="00AB6B89"/>
    <w:rsid w:val="00AB6D25"/>
    <w:rsid w:val="00AB6D9B"/>
    <w:rsid w:val="00AB72CA"/>
    <w:rsid w:val="00AB7B3A"/>
    <w:rsid w:val="00AB7BE5"/>
    <w:rsid w:val="00AB7E3B"/>
    <w:rsid w:val="00AC11FB"/>
    <w:rsid w:val="00AC13AF"/>
    <w:rsid w:val="00AC16C5"/>
    <w:rsid w:val="00AC28F2"/>
    <w:rsid w:val="00AC2BAC"/>
    <w:rsid w:val="00AC3527"/>
    <w:rsid w:val="00AC4085"/>
    <w:rsid w:val="00AC4CDB"/>
    <w:rsid w:val="00AC5106"/>
    <w:rsid w:val="00AC5CC2"/>
    <w:rsid w:val="00AC6605"/>
    <w:rsid w:val="00AC7586"/>
    <w:rsid w:val="00AC7777"/>
    <w:rsid w:val="00AC7F81"/>
    <w:rsid w:val="00AD085B"/>
    <w:rsid w:val="00AD1E75"/>
    <w:rsid w:val="00AD2A26"/>
    <w:rsid w:val="00AD300C"/>
    <w:rsid w:val="00AD3E7F"/>
    <w:rsid w:val="00AD3F2E"/>
    <w:rsid w:val="00AD44DF"/>
    <w:rsid w:val="00AD4767"/>
    <w:rsid w:val="00AD6428"/>
    <w:rsid w:val="00AD699B"/>
    <w:rsid w:val="00AD7219"/>
    <w:rsid w:val="00AE0403"/>
    <w:rsid w:val="00AE0502"/>
    <w:rsid w:val="00AE1068"/>
    <w:rsid w:val="00AE110F"/>
    <w:rsid w:val="00AE14B1"/>
    <w:rsid w:val="00AE19FD"/>
    <w:rsid w:val="00AE2434"/>
    <w:rsid w:val="00AE269F"/>
    <w:rsid w:val="00AE2ADF"/>
    <w:rsid w:val="00AE2D4B"/>
    <w:rsid w:val="00AE432E"/>
    <w:rsid w:val="00AE464A"/>
    <w:rsid w:val="00AE4822"/>
    <w:rsid w:val="00AE4F99"/>
    <w:rsid w:val="00AE62E6"/>
    <w:rsid w:val="00AE6D71"/>
    <w:rsid w:val="00AF0440"/>
    <w:rsid w:val="00AF2781"/>
    <w:rsid w:val="00AF48F2"/>
    <w:rsid w:val="00AF4F89"/>
    <w:rsid w:val="00AF5350"/>
    <w:rsid w:val="00AF5E70"/>
    <w:rsid w:val="00AF6313"/>
    <w:rsid w:val="00B00EB5"/>
    <w:rsid w:val="00B00F58"/>
    <w:rsid w:val="00B01C23"/>
    <w:rsid w:val="00B030A8"/>
    <w:rsid w:val="00B03199"/>
    <w:rsid w:val="00B033BB"/>
    <w:rsid w:val="00B04B45"/>
    <w:rsid w:val="00B0588C"/>
    <w:rsid w:val="00B05A32"/>
    <w:rsid w:val="00B05B24"/>
    <w:rsid w:val="00B062C7"/>
    <w:rsid w:val="00B06495"/>
    <w:rsid w:val="00B06AC7"/>
    <w:rsid w:val="00B06B0F"/>
    <w:rsid w:val="00B074A1"/>
    <w:rsid w:val="00B075EB"/>
    <w:rsid w:val="00B0783E"/>
    <w:rsid w:val="00B10D73"/>
    <w:rsid w:val="00B1200C"/>
    <w:rsid w:val="00B12184"/>
    <w:rsid w:val="00B126B5"/>
    <w:rsid w:val="00B145E2"/>
    <w:rsid w:val="00B14952"/>
    <w:rsid w:val="00B1514F"/>
    <w:rsid w:val="00B15EBB"/>
    <w:rsid w:val="00B161C1"/>
    <w:rsid w:val="00B16943"/>
    <w:rsid w:val="00B16C73"/>
    <w:rsid w:val="00B16F73"/>
    <w:rsid w:val="00B172DF"/>
    <w:rsid w:val="00B200E7"/>
    <w:rsid w:val="00B200FA"/>
    <w:rsid w:val="00B206A0"/>
    <w:rsid w:val="00B206B7"/>
    <w:rsid w:val="00B210BF"/>
    <w:rsid w:val="00B211FA"/>
    <w:rsid w:val="00B2134C"/>
    <w:rsid w:val="00B21431"/>
    <w:rsid w:val="00B21986"/>
    <w:rsid w:val="00B221E5"/>
    <w:rsid w:val="00B23412"/>
    <w:rsid w:val="00B23D69"/>
    <w:rsid w:val="00B24A8B"/>
    <w:rsid w:val="00B24CD2"/>
    <w:rsid w:val="00B24E11"/>
    <w:rsid w:val="00B24E62"/>
    <w:rsid w:val="00B25B97"/>
    <w:rsid w:val="00B25FE1"/>
    <w:rsid w:val="00B261B5"/>
    <w:rsid w:val="00B2691D"/>
    <w:rsid w:val="00B26EB2"/>
    <w:rsid w:val="00B27092"/>
    <w:rsid w:val="00B27B75"/>
    <w:rsid w:val="00B31E5A"/>
    <w:rsid w:val="00B31F85"/>
    <w:rsid w:val="00B321E5"/>
    <w:rsid w:val="00B34383"/>
    <w:rsid w:val="00B350A0"/>
    <w:rsid w:val="00B35AB8"/>
    <w:rsid w:val="00B35DDE"/>
    <w:rsid w:val="00B35F4F"/>
    <w:rsid w:val="00B362F8"/>
    <w:rsid w:val="00B366F3"/>
    <w:rsid w:val="00B36FEF"/>
    <w:rsid w:val="00B37483"/>
    <w:rsid w:val="00B37F45"/>
    <w:rsid w:val="00B407A6"/>
    <w:rsid w:val="00B41A2C"/>
    <w:rsid w:val="00B42674"/>
    <w:rsid w:val="00B4298B"/>
    <w:rsid w:val="00B42FDE"/>
    <w:rsid w:val="00B43512"/>
    <w:rsid w:val="00B43E3C"/>
    <w:rsid w:val="00B445D6"/>
    <w:rsid w:val="00B447C4"/>
    <w:rsid w:val="00B4481E"/>
    <w:rsid w:val="00B44F0A"/>
    <w:rsid w:val="00B45428"/>
    <w:rsid w:val="00B46CA6"/>
    <w:rsid w:val="00B47305"/>
    <w:rsid w:val="00B47433"/>
    <w:rsid w:val="00B4786B"/>
    <w:rsid w:val="00B50344"/>
    <w:rsid w:val="00B50AEE"/>
    <w:rsid w:val="00B511F2"/>
    <w:rsid w:val="00B51648"/>
    <w:rsid w:val="00B51E9F"/>
    <w:rsid w:val="00B52697"/>
    <w:rsid w:val="00B5274C"/>
    <w:rsid w:val="00B52C5A"/>
    <w:rsid w:val="00B52CD2"/>
    <w:rsid w:val="00B52D67"/>
    <w:rsid w:val="00B53BF2"/>
    <w:rsid w:val="00B55F11"/>
    <w:rsid w:val="00B560E4"/>
    <w:rsid w:val="00B562B0"/>
    <w:rsid w:val="00B56BFB"/>
    <w:rsid w:val="00B56C44"/>
    <w:rsid w:val="00B56D99"/>
    <w:rsid w:val="00B57CCE"/>
    <w:rsid w:val="00B57E6A"/>
    <w:rsid w:val="00B6005B"/>
    <w:rsid w:val="00B607E7"/>
    <w:rsid w:val="00B60A8B"/>
    <w:rsid w:val="00B60A9B"/>
    <w:rsid w:val="00B60BE8"/>
    <w:rsid w:val="00B60C8B"/>
    <w:rsid w:val="00B60CAA"/>
    <w:rsid w:val="00B60CAC"/>
    <w:rsid w:val="00B60EB4"/>
    <w:rsid w:val="00B62C22"/>
    <w:rsid w:val="00B63913"/>
    <w:rsid w:val="00B63A3C"/>
    <w:rsid w:val="00B6450F"/>
    <w:rsid w:val="00B653AB"/>
    <w:rsid w:val="00B653BB"/>
    <w:rsid w:val="00B653FD"/>
    <w:rsid w:val="00B65F9E"/>
    <w:rsid w:val="00B66839"/>
    <w:rsid w:val="00B66B19"/>
    <w:rsid w:val="00B70B43"/>
    <w:rsid w:val="00B71535"/>
    <w:rsid w:val="00B7359B"/>
    <w:rsid w:val="00B73851"/>
    <w:rsid w:val="00B73A3E"/>
    <w:rsid w:val="00B7448A"/>
    <w:rsid w:val="00B74F89"/>
    <w:rsid w:val="00B76EA1"/>
    <w:rsid w:val="00B77B0B"/>
    <w:rsid w:val="00B805EF"/>
    <w:rsid w:val="00B80676"/>
    <w:rsid w:val="00B80DCF"/>
    <w:rsid w:val="00B81944"/>
    <w:rsid w:val="00B81F95"/>
    <w:rsid w:val="00B820CE"/>
    <w:rsid w:val="00B82221"/>
    <w:rsid w:val="00B847C2"/>
    <w:rsid w:val="00B848F9"/>
    <w:rsid w:val="00B8526D"/>
    <w:rsid w:val="00B85801"/>
    <w:rsid w:val="00B86633"/>
    <w:rsid w:val="00B8712B"/>
    <w:rsid w:val="00B87436"/>
    <w:rsid w:val="00B90948"/>
    <w:rsid w:val="00B914E9"/>
    <w:rsid w:val="00B918CA"/>
    <w:rsid w:val="00B92CDE"/>
    <w:rsid w:val="00B94373"/>
    <w:rsid w:val="00B9564E"/>
    <w:rsid w:val="00B956EE"/>
    <w:rsid w:val="00B95BFE"/>
    <w:rsid w:val="00B97210"/>
    <w:rsid w:val="00B97DCA"/>
    <w:rsid w:val="00B97E8A"/>
    <w:rsid w:val="00BA00A0"/>
    <w:rsid w:val="00BA0245"/>
    <w:rsid w:val="00BA0895"/>
    <w:rsid w:val="00BA09FF"/>
    <w:rsid w:val="00BA0FAF"/>
    <w:rsid w:val="00BA1213"/>
    <w:rsid w:val="00BA1328"/>
    <w:rsid w:val="00BA272B"/>
    <w:rsid w:val="00BA2BA1"/>
    <w:rsid w:val="00BA3B38"/>
    <w:rsid w:val="00BA3E13"/>
    <w:rsid w:val="00BA437D"/>
    <w:rsid w:val="00BA4A82"/>
    <w:rsid w:val="00BA62DF"/>
    <w:rsid w:val="00BA6475"/>
    <w:rsid w:val="00BA6E49"/>
    <w:rsid w:val="00BA6E7F"/>
    <w:rsid w:val="00BA7208"/>
    <w:rsid w:val="00BA73E2"/>
    <w:rsid w:val="00BA7944"/>
    <w:rsid w:val="00BB0131"/>
    <w:rsid w:val="00BB127F"/>
    <w:rsid w:val="00BB20E3"/>
    <w:rsid w:val="00BB2EB4"/>
    <w:rsid w:val="00BB2F29"/>
    <w:rsid w:val="00BB2FFB"/>
    <w:rsid w:val="00BB37E6"/>
    <w:rsid w:val="00BB3FFB"/>
    <w:rsid w:val="00BB4795"/>
    <w:rsid w:val="00BB67A7"/>
    <w:rsid w:val="00BB6EB5"/>
    <w:rsid w:val="00BB7375"/>
    <w:rsid w:val="00BB7783"/>
    <w:rsid w:val="00BB77CB"/>
    <w:rsid w:val="00BB784B"/>
    <w:rsid w:val="00BB7C37"/>
    <w:rsid w:val="00BC1295"/>
    <w:rsid w:val="00BC30E5"/>
    <w:rsid w:val="00BC3226"/>
    <w:rsid w:val="00BC32E1"/>
    <w:rsid w:val="00BC3899"/>
    <w:rsid w:val="00BC399A"/>
    <w:rsid w:val="00BC4B59"/>
    <w:rsid w:val="00BC4CA6"/>
    <w:rsid w:val="00BC4DE3"/>
    <w:rsid w:val="00BC512B"/>
    <w:rsid w:val="00BC62B2"/>
    <w:rsid w:val="00BC6B1C"/>
    <w:rsid w:val="00BC6C00"/>
    <w:rsid w:val="00BC6D91"/>
    <w:rsid w:val="00BC717A"/>
    <w:rsid w:val="00BC77E9"/>
    <w:rsid w:val="00BD0AF7"/>
    <w:rsid w:val="00BD0E36"/>
    <w:rsid w:val="00BD11FA"/>
    <w:rsid w:val="00BD26FA"/>
    <w:rsid w:val="00BD3265"/>
    <w:rsid w:val="00BD3AD3"/>
    <w:rsid w:val="00BD4458"/>
    <w:rsid w:val="00BD4BD5"/>
    <w:rsid w:val="00BD4E33"/>
    <w:rsid w:val="00BD5D93"/>
    <w:rsid w:val="00BD5F21"/>
    <w:rsid w:val="00BD6CBF"/>
    <w:rsid w:val="00BD6FA3"/>
    <w:rsid w:val="00BE0358"/>
    <w:rsid w:val="00BE25CD"/>
    <w:rsid w:val="00BE289F"/>
    <w:rsid w:val="00BE29A1"/>
    <w:rsid w:val="00BE49AD"/>
    <w:rsid w:val="00BE5923"/>
    <w:rsid w:val="00BE6128"/>
    <w:rsid w:val="00BE6264"/>
    <w:rsid w:val="00BE6E57"/>
    <w:rsid w:val="00BE7644"/>
    <w:rsid w:val="00BF1100"/>
    <w:rsid w:val="00BF19AC"/>
    <w:rsid w:val="00BF1A32"/>
    <w:rsid w:val="00BF21DD"/>
    <w:rsid w:val="00BF2AF3"/>
    <w:rsid w:val="00BF2BE0"/>
    <w:rsid w:val="00BF2D3C"/>
    <w:rsid w:val="00BF2F2C"/>
    <w:rsid w:val="00BF38E3"/>
    <w:rsid w:val="00BF3EC2"/>
    <w:rsid w:val="00BF3F8A"/>
    <w:rsid w:val="00BF4383"/>
    <w:rsid w:val="00BF470A"/>
    <w:rsid w:val="00BF4924"/>
    <w:rsid w:val="00BF584F"/>
    <w:rsid w:val="00BF5D18"/>
    <w:rsid w:val="00BF5F01"/>
    <w:rsid w:val="00BF7CA3"/>
    <w:rsid w:val="00C00040"/>
    <w:rsid w:val="00C00164"/>
    <w:rsid w:val="00C01805"/>
    <w:rsid w:val="00C0207B"/>
    <w:rsid w:val="00C02B99"/>
    <w:rsid w:val="00C030DE"/>
    <w:rsid w:val="00C03EE1"/>
    <w:rsid w:val="00C040ED"/>
    <w:rsid w:val="00C04116"/>
    <w:rsid w:val="00C045D8"/>
    <w:rsid w:val="00C045E4"/>
    <w:rsid w:val="00C04CDF"/>
    <w:rsid w:val="00C053B3"/>
    <w:rsid w:val="00C06378"/>
    <w:rsid w:val="00C064E4"/>
    <w:rsid w:val="00C06507"/>
    <w:rsid w:val="00C07F0B"/>
    <w:rsid w:val="00C07FA4"/>
    <w:rsid w:val="00C116FD"/>
    <w:rsid w:val="00C12DDE"/>
    <w:rsid w:val="00C13BC5"/>
    <w:rsid w:val="00C14AAE"/>
    <w:rsid w:val="00C15E8A"/>
    <w:rsid w:val="00C163BD"/>
    <w:rsid w:val="00C16FE4"/>
    <w:rsid w:val="00C17BB9"/>
    <w:rsid w:val="00C20E2E"/>
    <w:rsid w:val="00C22105"/>
    <w:rsid w:val="00C22830"/>
    <w:rsid w:val="00C22ACA"/>
    <w:rsid w:val="00C2352A"/>
    <w:rsid w:val="00C23AAF"/>
    <w:rsid w:val="00C244B6"/>
    <w:rsid w:val="00C24708"/>
    <w:rsid w:val="00C248C1"/>
    <w:rsid w:val="00C25805"/>
    <w:rsid w:val="00C2702E"/>
    <w:rsid w:val="00C2740D"/>
    <w:rsid w:val="00C27648"/>
    <w:rsid w:val="00C27A0B"/>
    <w:rsid w:val="00C27BE6"/>
    <w:rsid w:val="00C27CD1"/>
    <w:rsid w:val="00C314F2"/>
    <w:rsid w:val="00C3244F"/>
    <w:rsid w:val="00C32A13"/>
    <w:rsid w:val="00C345E8"/>
    <w:rsid w:val="00C3598D"/>
    <w:rsid w:val="00C35FC8"/>
    <w:rsid w:val="00C36365"/>
    <w:rsid w:val="00C36EA1"/>
    <w:rsid w:val="00C372D6"/>
    <w:rsid w:val="00C3739E"/>
    <w:rsid w:val="00C37609"/>
    <w:rsid w:val="00C40D4F"/>
    <w:rsid w:val="00C40E24"/>
    <w:rsid w:val="00C411ED"/>
    <w:rsid w:val="00C41277"/>
    <w:rsid w:val="00C412F7"/>
    <w:rsid w:val="00C417B2"/>
    <w:rsid w:val="00C42219"/>
    <w:rsid w:val="00C4267E"/>
    <w:rsid w:val="00C427AE"/>
    <w:rsid w:val="00C42B6B"/>
    <w:rsid w:val="00C42E05"/>
    <w:rsid w:val="00C43B21"/>
    <w:rsid w:val="00C4481B"/>
    <w:rsid w:val="00C45334"/>
    <w:rsid w:val="00C45FA6"/>
    <w:rsid w:val="00C465CF"/>
    <w:rsid w:val="00C46C22"/>
    <w:rsid w:val="00C47261"/>
    <w:rsid w:val="00C4751D"/>
    <w:rsid w:val="00C4786E"/>
    <w:rsid w:val="00C47FC4"/>
    <w:rsid w:val="00C51A8A"/>
    <w:rsid w:val="00C51C6B"/>
    <w:rsid w:val="00C51F98"/>
    <w:rsid w:val="00C5230F"/>
    <w:rsid w:val="00C537C3"/>
    <w:rsid w:val="00C5394E"/>
    <w:rsid w:val="00C548B8"/>
    <w:rsid w:val="00C549B0"/>
    <w:rsid w:val="00C5561A"/>
    <w:rsid w:val="00C57069"/>
    <w:rsid w:val="00C5773C"/>
    <w:rsid w:val="00C579CE"/>
    <w:rsid w:val="00C60C4B"/>
    <w:rsid w:val="00C60D63"/>
    <w:rsid w:val="00C6125C"/>
    <w:rsid w:val="00C614D2"/>
    <w:rsid w:val="00C615DF"/>
    <w:rsid w:val="00C617A6"/>
    <w:rsid w:val="00C6198C"/>
    <w:rsid w:val="00C63D66"/>
    <w:rsid w:val="00C648ED"/>
    <w:rsid w:val="00C64A37"/>
    <w:rsid w:val="00C64D56"/>
    <w:rsid w:val="00C652B3"/>
    <w:rsid w:val="00C65676"/>
    <w:rsid w:val="00C6574D"/>
    <w:rsid w:val="00C6629C"/>
    <w:rsid w:val="00C668EA"/>
    <w:rsid w:val="00C67861"/>
    <w:rsid w:val="00C67FB9"/>
    <w:rsid w:val="00C70AFF"/>
    <w:rsid w:val="00C7158E"/>
    <w:rsid w:val="00C715FF"/>
    <w:rsid w:val="00C7250B"/>
    <w:rsid w:val="00C7295D"/>
    <w:rsid w:val="00C7322A"/>
    <w:rsid w:val="00C7346B"/>
    <w:rsid w:val="00C73BAE"/>
    <w:rsid w:val="00C73C19"/>
    <w:rsid w:val="00C74257"/>
    <w:rsid w:val="00C75437"/>
    <w:rsid w:val="00C75714"/>
    <w:rsid w:val="00C75940"/>
    <w:rsid w:val="00C75CAD"/>
    <w:rsid w:val="00C75DE5"/>
    <w:rsid w:val="00C76242"/>
    <w:rsid w:val="00C76DB1"/>
    <w:rsid w:val="00C7757B"/>
    <w:rsid w:val="00C775FA"/>
    <w:rsid w:val="00C77C0E"/>
    <w:rsid w:val="00C8318C"/>
    <w:rsid w:val="00C8330E"/>
    <w:rsid w:val="00C839F0"/>
    <w:rsid w:val="00C83F3D"/>
    <w:rsid w:val="00C841F8"/>
    <w:rsid w:val="00C850B6"/>
    <w:rsid w:val="00C90344"/>
    <w:rsid w:val="00C90C85"/>
    <w:rsid w:val="00C91687"/>
    <w:rsid w:val="00C91718"/>
    <w:rsid w:val="00C9206D"/>
    <w:rsid w:val="00C92481"/>
    <w:rsid w:val="00C924A8"/>
    <w:rsid w:val="00C926EB"/>
    <w:rsid w:val="00C92C67"/>
    <w:rsid w:val="00C9305A"/>
    <w:rsid w:val="00C932FB"/>
    <w:rsid w:val="00C9373E"/>
    <w:rsid w:val="00C93EB3"/>
    <w:rsid w:val="00C942D0"/>
    <w:rsid w:val="00C945FE"/>
    <w:rsid w:val="00C94819"/>
    <w:rsid w:val="00C94E93"/>
    <w:rsid w:val="00C96473"/>
    <w:rsid w:val="00C96FAA"/>
    <w:rsid w:val="00C97A04"/>
    <w:rsid w:val="00C97B98"/>
    <w:rsid w:val="00C97D7D"/>
    <w:rsid w:val="00C97E85"/>
    <w:rsid w:val="00CA026C"/>
    <w:rsid w:val="00CA0495"/>
    <w:rsid w:val="00CA107B"/>
    <w:rsid w:val="00CA14E6"/>
    <w:rsid w:val="00CA23F5"/>
    <w:rsid w:val="00CA2427"/>
    <w:rsid w:val="00CA38AE"/>
    <w:rsid w:val="00CA484D"/>
    <w:rsid w:val="00CA4A38"/>
    <w:rsid w:val="00CA6407"/>
    <w:rsid w:val="00CA6856"/>
    <w:rsid w:val="00CA6E34"/>
    <w:rsid w:val="00CA6E97"/>
    <w:rsid w:val="00CA7E40"/>
    <w:rsid w:val="00CB047A"/>
    <w:rsid w:val="00CB0DAC"/>
    <w:rsid w:val="00CB2CE6"/>
    <w:rsid w:val="00CB3A5F"/>
    <w:rsid w:val="00CB43E1"/>
    <w:rsid w:val="00CB4742"/>
    <w:rsid w:val="00CB47ED"/>
    <w:rsid w:val="00CB5572"/>
    <w:rsid w:val="00CB57DE"/>
    <w:rsid w:val="00CB61AE"/>
    <w:rsid w:val="00CB691F"/>
    <w:rsid w:val="00CB7623"/>
    <w:rsid w:val="00CB77D4"/>
    <w:rsid w:val="00CB7B94"/>
    <w:rsid w:val="00CB7CC0"/>
    <w:rsid w:val="00CC15DD"/>
    <w:rsid w:val="00CC20A7"/>
    <w:rsid w:val="00CC25D0"/>
    <w:rsid w:val="00CC2DF1"/>
    <w:rsid w:val="00CC39DC"/>
    <w:rsid w:val="00CC3FFE"/>
    <w:rsid w:val="00CC4B15"/>
    <w:rsid w:val="00CC4D5F"/>
    <w:rsid w:val="00CC4F14"/>
    <w:rsid w:val="00CC51C5"/>
    <w:rsid w:val="00CC5481"/>
    <w:rsid w:val="00CC57DD"/>
    <w:rsid w:val="00CC5A92"/>
    <w:rsid w:val="00CC610C"/>
    <w:rsid w:val="00CC6E4A"/>
    <w:rsid w:val="00CC739E"/>
    <w:rsid w:val="00CC7714"/>
    <w:rsid w:val="00CC7A47"/>
    <w:rsid w:val="00CC7E7A"/>
    <w:rsid w:val="00CD0E16"/>
    <w:rsid w:val="00CD1BB3"/>
    <w:rsid w:val="00CD3020"/>
    <w:rsid w:val="00CD3028"/>
    <w:rsid w:val="00CD367F"/>
    <w:rsid w:val="00CD38F7"/>
    <w:rsid w:val="00CD3CEA"/>
    <w:rsid w:val="00CD3F77"/>
    <w:rsid w:val="00CD44CC"/>
    <w:rsid w:val="00CD5579"/>
    <w:rsid w:val="00CD58B7"/>
    <w:rsid w:val="00CD6D4C"/>
    <w:rsid w:val="00CD790C"/>
    <w:rsid w:val="00CD795B"/>
    <w:rsid w:val="00CD7EAB"/>
    <w:rsid w:val="00CE06F1"/>
    <w:rsid w:val="00CE104F"/>
    <w:rsid w:val="00CE11EB"/>
    <w:rsid w:val="00CE2BA3"/>
    <w:rsid w:val="00CE42E4"/>
    <w:rsid w:val="00CE469C"/>
    <w:rsid w:val="00CE479B"/>
    <w:rsid w:val="00CE4B17"/>
    <w:rsid w:val="00CE5119"/>
    <w:rsid w:val="00CE52D3"/>
    <w:rsid w:val="00CE5AE4"/>
    <w:rsid w:val="00CE69C6"/>
    <w:rsid w:val="00CE6A10"/>
    <w:rsid w:val="00CE6D4A"/>
    <w:rsid w:val="00CE6F55"/>
    <w:rsid w:val="00CE738C"/>
    <w:rsid w:val="00CF059E"/>
    <w:rsid w:val="00CF0700"/>
    <w:rsid w:val="00CF098C"/>
    <w:rsid w:val="00CF0EB6"/>
    <w:rsid w:val="00CF1BCC"/>
    <w:rsid w:val="00CF3244"/>
    <w:rsid w:val="00CF3311"/>
    <w:rsid w:val="00CF354B"/>
    <w:rsid w:val="00CF3739"/>
    <w:rsid w:val="00CF3ABD"/>
    <w:rsid w:val="00CF3FF1"/>
    <w:rsid w:val="00CF4099"/>
    <w:rsid w:val="00CF40D2"/>
    <w:rsid w:val="00CF4ECC"/>
    <w:rsid w:val="00CF6371"/>
    <w:rsid w:val="00CF67BA"/>
    <w:rsid w:val="00CF7097"/>
    <w:rsid w:val="00CF70FD"/>
    <w:rsid w:val="00CF77E4"/>
    <w:rsid w:val="00CF787A"/>
    <w:rsid w:val="00CF78FE"/>
    <w:rsid w:val="00CF7B34"/>
    <w:rsid w:val="00CF7BB9"/>
    <w:rsid w:val="00D0156F"/>
    <w:rsid w:val="00D035ED"/>
    <w:rsid w:val="00D050BB"/>
    <w:rsid w:val="00D05162"/>
    <w:rsid w:val="00D05C62"/>
    <w:rsid w:val="00D06AC9"/>
    <w:rsid w:val="00D07944"/>
    <w:rsid w:val="00D07A39"/>
    <w:rsid w:val="00D10474"/>
    <w:rsid w:val="00D10529"/>
    <w:rsid w:val="00D10570"/>
    <w:rsid w:val="00D105ED"/>
    <w:rsid w:val="00D10C61"/>
    <w:rsid w:val="00D10D57"/>
    <w:rsid w:val="00D110BD"/>
    <w:rsid w:val="00D126C5"/>
    <w:rsid w:val="00D13B1A"/>
    <w:rsid w:val="00D13B92"/>
    <w:rsid w:val="00D13E33"/>
    <w:rsid w:val="00D13FE9"/>
    <w:rsid w:val="00D144D4"/>
    <w:rsid w:val="00D148B0"/>
    <w:rsid w:val="00D14F44"/>
    <w:rsid w:val="00D16814"/>
    <w:rsid w:val="00D16B1B"/>
    <w:rsid w:val="00D17D8C"/>
    <w:rsid w:val="00D208DD"/>
    <w:rsid w:val="00D20D4B"/>
    <w:rsid w:val="00D22A74"/>
    <w:rsid w:val="00D22F17"/>
    <w:rsid w:val="00D22F3C"/>
    <w:rsid w:val="00D23533"/>
    <w:rsid w:val="00D23A75"/>
    <w:rsid w:val="00D23A9D"/>
    <w:rsid w:val="00D248F4"/>
    <w:rsid w:val="00D24DFD"/>
    <w:rsid w:val="00D261A2"/>
    <w:rsid w:val="00D26424"/>
    <w:rsid w:val="00D26EC1"/>
    <w:rsid w:val="00D272B7"/>
    <w:rsid w:val="00D30038"/>
    <w:rsid w:val="00D30667"/>
    <w:rsid w:val="00D30873"/>
    <w:rsid w:val="00D30AB1"/>
    <w:rsid w:val="00D313B7"/>
    <w:rsid w:val="00D31EDD"/>
    <w:rsid w:val="00D32051"/>
    <w:rsid w:val="00D32507"/>
    <w:rsid w:val="00D32E28"/>
    <w:rsid w:val="00D33600"/>
    <w:rsid w:val="00D33ADF"/>
    <w:rsid w:val="00D33AF1"/>
    <w:rsid w:val="00D33C0E"/>
    <w:rsid w:val="00D34790"/>
    <w:rsid w:val="00D34814"/>
    <w:rsid w:val="00D34B9C"/>
    <w:rsid w:val="00D350AE"/>
    <w:rsid w:val="00D35CA9"/>
    <w:rsid w:val="00D35FC9"/>
    <w:rsid w:val="00D3676A"/>
    <w:rsid w:val="00D36F49"/>
    <w:rsid w:val="00D377EE"/>
    <w:rsid w:val="00D378DC"/>
    <w:rsid w:val="00D37939"/>
    <w:rsid w:val="00D4076C"/>
    <w:rsid w:val="00D40BFF"/>
    <w:rsid w:val="00D4119F"/>
    <w:rsid w:val="00D41C37"/>
    <w:rsid w:val="00D423AF"/>
    <w:rsid w:val="00D424E9"/>
    <w:rsid w:val="00D42C69"/>
    <w:rsid w:val="00D42F89"/>
    <w:rsid w:val="00D43133"/>
    <w:rsid w:val="00D4442D"/>
    <w:rsid w:val="00D45562"/>
    <w:rsid w:val="00D45C50"/>
    <w:rsid w:val="00D46354"/>
    <w:rsid w:val="00D46AAD"/>
    <w:rsid w:val="00D46DAF"/>
    <w:rsid w:val="00D475CA"/>
    <w:rsid w:val="00D477D3"/>
    <w:rsid w:val="00D50F65"/>
    <w:rsid w:val="00D511A5"/>
    <w:rsid w:val="00D527B6"/>
    <w:rsid w:val="00D52EBA"/>
    <w:rsid w:val="00D53226"/>
    <w:rsid w:val="00D53FB9"/>
    <w:rsid w:val="00D54E78"/>
    <w:rsid w:val="00D55234"/>
    <w:rsid w:val="00D5712F"/>
    <w:rsid w:val="00D608CF"/>
    <w:rsid w:val="00D61206"/>
    <w:rsid w:val="00D615C0"/>
    <w:rsid w:val="00D616D2"/>
    <w:rsid w:val="00D61E16"/>
    <w:rsid w:val="00D620E9"/>
    <w:rsid w:val="00D629C5"/>
    <w:rsid w:val="00D62BAC"/>
    <w:rsid w:val="00D635A9"/>
    <w:rsid w:val="00D63B5F"/>
    <w:rsid w:val="00D63E6A"/>
    <w:rsid w:val="00D63F51"/>
    <w:rsid w:val="00D648DE"/>
    <w:rsid w:val="00D64C6A"/>
    <w:rsid w:val="00D6714E"/>
    <w:rsid w:val="00D67785"/>
    <w:rsid w:val="00D67A76"/>
    <w:rsid w:val="00D70186"/>
    <w:rsid w:val="00D7099F"/>
    <w:rsid w:val="00D70EF7"/>
    <w:rsid w:val="00D7110A"/>
    <w:rsid w:val="00D715DF"/>
    <w:rsid w:val="00D71B34"/>
    <w:rsid w:val="00D72389"/>
    <w:rsid w:val="00D733F4"/>
    <w:rsid w:val="00D735C2"/>
    <w:rsid w:val="00D738D3"/>
    <w:rsid w:val="00D741A0"/>
    <w:rsid w:val="00D742B6"/>
    <w:rsid w:val="00D74A5A"/>
    <w:rsid w:val="00D76E82"/>
    <w:rsid w:val="00D770F8"/>
    <w:rsid w:val="00D77205"/>
    <w:rsid w:val="00D816EE"/>
    <w:rsid w:val="00D81C58"/>
    <w:rsid w:val="00D81EF8"/>
    <w:rsid w:val="00D82305"/>
    <w:rsid w:val="00D8319E"/>
    <w:rsid w:val="00D83308"/>
    <w:rsid w:val="00D83966"/>
    <w:rsid w:val="00D8397C"/>
    <w:rsid w:val="00D83FF3"/>
    <w:rsid w:val="00D854A4"/>
    <w:rsid w:val="00D865B0"/>
    <w:rsid w:val="00D8754D"/>
    <w:rsid w:val="00D90208"/>
    <w:rsid w:val="00D91047"/>
    <w:rsid w:val="00D9133B"/>
    <w:rsid w:val="00D920F9"/>
    <w:rsid w:val="00D92B60"/>
    <w:rsid w:val="00D93123"/>
    <w:rsid w:val="00D93376"/>
    <w:rsid w:val="00D9368A"/>
    <w:rsid w:val="00D9409F"/>
    <w:rsid w:val="00D9448F"/>
    <w:rsid w:val="00D94657"/>
    <w:rsid w:val="00D94BB0"/>
    <w:rsid w:val="00D94CE0"/>
    <w:rsid w:val="00D94EED"/>
    <w:rsid w:val="00D96026"/>
    <w:rsid w:val="00D96083"/>
    <w:rsid w:val="00D9640F"/>
    <w:rsid w:val="00D9643D"/>
    <w:rsid w:val="00D96619"/>
    <w:rsid w:val="00D967E9"/>
    <w:rsid w:val="00D97655"/>
    <w:rsid w:val="00D97F2A"/>
    <w:rsid w:val="00DA0110"/>
    <w:rsid w:val="00DA0125"/>
    <w:rsid w:val="00DA0179"/>
    <w:rsid w:val="00DA1044"/>
    <w:rsid w:val="00DA11F9"/>
    <w:rsid w:val="00DA1D07"/>
    <w:rsid w:val="00DA281E"/>
    <w:rsid w:val="00DA42BA"/>
    <w:rsid w:val="00DA5596"/>
    <w:rsid w:val="00DA5E0F"/>
    <w:rsid w:val="00DA70D1"/>
    <w:rsid w:val="00DA7990"/>
    <w:rsid w:val="00DB0097"/>
    <w:rsid w:val="00DB01E8"/>
    <w:rsid w:val="00DB0B3F"/>
    <w:rsid w:val="00DB0C17"/>
    <w:rsid w:val="00DB147A"/>
    <w:rsid w:val="00DB159E"/>
    <w:rsid w:val="00DB176E"/>
    <w:rsid w:val="00DB1B7A"/>
    <w:rsid w:val="00DB1BA1"/>
    <w:rsid w:val="00DB29CE"/>
    <w:rsid w:val="00DB2D3A"/>
    <w:rsid w:val="00DB4EFB"/>
    <w:rsid w:val="00DB5158"/>
    <w:rsid w:val="00DB555A"/>
    <w:rsid w:val="00DB5613"/>
    <w:rsid w:val="00DB6D58"/>
    <w:rsid w:val="00DB72F4"/>
    <w:rsid w:val="00DB778D"/>
    <w:rsid w:val="00DC0739"/>
    <w:rsid w:val="00DC09C3"/>
    <w:rsid w:val="00DC10F1"/>
    <w:rsid w:val="00DC1C11"/>
    <w:rsid w:val="00DC1DEC"/>
    <w:rsid w:val="00DC25CD"/>
    <w:rsid w:val="00DC3808"/>
    <w:rsid w:val="00DC4B03"/>
    <w:rsid w:val="00DC4DDD"/>
    <w:rsid w:val="00DC5668"/>
    <w:rsid w:val="00DC5762"/>
    <w:rsid w:val="00DC58EC"/>
    <w:rsid w:val="00DC6000"/>
    <w:rsid w:val="00DC6708"/>
    <w:rsid w:val="00DC6F18"/>
    <w:rsid w:val="00DC77F9"/>
    <w:rsid w:val="00DD0693"/>
    <w:rsid w:val="00DD0C95"/>
    <w:rsid w:val="00DD10A7"/>
    <w:rsid w:val="00DD112C"/>
    <w:rsid w:val="00DD1692"/>
    <w:rsid w:val="00DD1ABC"/>
    <w:rsid w:val="00DD2439"/>
    <w:rsid w:val="00DD25F7"/>
    <w:rsid w:val="00DD2701"/>
    <w:rsid w:val="00DD42AD"/>
    <w:rsid w:val="00DD45DC"/>
    <w:rsid w:val="00DD460A"/>
    <w:rsid w:val="00DD4D9D"/>
    <w:rsid w:val="00DD54A4"/>
    <w:rsid w:val="00DD6C42"/>
    <w:rsid w:val="00DD7469"/>
    <w:rsid w:val="00DD7C48"/>
    <w:rsid w:val="00DE0352"/>
    <w:rsid w:val="00DE060D"/>
    <w:rsid w:val="00DE0D53"/>
    <w:rsid w:val="00DE0DEE"/>
    <w:rsid w:val="00DE0EA7"/>
    <w:rsid w:val="00DE22E5"/>
    <w:rsid w:val="00DE2DE3"/>
    <w:rsid w:val="00DE3D79"/>
    <w:rsid w:val="00DE5AB6"/>
    <w:rsid w:val="00DE5DF8"/>
    <w:rsid w:val="00DE6052"/>
    <w:rsid w:val="00DE6313"/>
    <w:rsid w:val="00DE6E09"/>
    <w:rsid w:val="00DE7698"/>
    <w:rsid w:val="00DE78B6"/>
    <w:rsid w:val="00DE7969"/>
    <w:rsid w:val="00DF013A"/>
    <w:rsid w:val="00DF065B"/>
    <w:rsid w:val="00DF16C0"/>
    <w:rsid w:val="00DF1D45"/>
    <w:rsid w:val="00DF2963"/>
    <w:rsid w:val="00DF39C9"/>
    <w:rsid w:val="00DF3B68"/>
    <w:rsid w:val="00DF3BFD"/>
    <w:rsid w:val="00DF4D04"/>
    <w:rsid w:val="00DF50C1"/>
    <w:rsid w:val="00DF5197"/>
    <w:rsid w:val="00DF542D"/>
    <w:rsid w:val="00DF543F"/>
    <w:rsid w:val="00DF77F4"/>
    <w:rsid w:val="00E00026"/>
    <w:rsid w:val="00E00298"/>
    <w:rsid w:val="00E00F91"/>
    <w:rsid w:val="00E011CF"/>
    <w:rsid w:val="00E01436"/>
    <w:rsid w:val="00E01BC8"/>
    <w:rsid w:val="00E01EBF"/>
    <w:rsid w:val="00E020FD"/>
    <w:rsid w:val="00E0233B"/>
    <w:rsid w:val="00E03C52"/>
    <w:rsid w:val="00E03FF7"/>
    <w:rsid w:val="00E045BD"/>
    <w:rsid w:val="00E04FF2"/>
    <w:rsid w:val="00E0587B"/>
    <w:rsid w:val="00E05B90"/>
    <w:rsid w:val="00E06262"/>
    <w:rsid w:val="00E06546"/>
    <w:rsid w:val="00E0664E"/>
    <w:rsid w:val="00E06DD1"/>
    <w:rsid w:val="00E10C95"/>
    <w:rsid w:val="00E10FCD"/>
    <w:rsid w:val="00E11664"/>
    <w:rsid w:val="00E116D8"/>
    <w:rsid w:val="00E12CDC"/>
    <w:rsid w:val="00E130AD"/>
    <w:rsid w:val="00E130B3"/>
    <w:rsid w:val="00E1366D"/>
    <w:rsid w:val="00E1378D"/>
    <w:rsid w:val="00E144E4"/>
    <w:rsid w:val="00E14756"/>
    <w:rsid w:val="00E14EFF"/>
    <w:rsid w:val="00E163BB"/>
    <w:rsid w:val="00E16D71"/>
    <w:rsid w:val="00E17AB7"/>
    <w:rsid w:val="00E17B77"/>
    <w:rsid w:val="00E206DA"/>
    <w:rsid w:val="00E20F26"/>
    <w:rsid w:val="00E21325"/>
    <w:rsid w:val="00E21369"/>
    <w:rsid w:val="00E22028"/>
    <w:rsid w:val="00E2213D"/>
    <w:rsid w:val="00E22AA5"/>
    <w:rsid w:val="00E233B5"/>
    <w:rsid w:val="00E23621"/>
    <w:rsid w:val="00E23C0E"/>
    <w:rsid w:val="00E24021"/>
    <w:rsid w:val="00E249C3"/>
    <w:rsid w:val="00E251F6"/>
    <w:rsid w:val="00E26825"/>
    <w:rsid w:val="00E26998"/>
    <w:rsid w:val="00E272AA"/>
    <w:rsid w:val="00E30A17"/>
    <w:rsid w:val="00E30AAF"/>
    <w:rsid w:val="00E3131F"/>
    <w:rsid w:val="00E31714"/>
    <w:rsid w:val="00E318F3"/>
    <w:rsid w:val="00E31A42"/>
    <w:rsid w:val="00E31A90"/>
    <w:rsid w:val="00E31B92"/>
    <w:rsid w:val="00E31B99"/>
    <w:rsid w:val="00E32061"/>
    <w:rsid w:val="00E3294D"/>
    <w:rsid w:val="00E32C96"/>
    <w:rsid w:val="00E33C74"/>
    <w:rsid w:val="00E33ED9"/>
    <w:rsid w:val="00E33FB2"/>
    <w:rsid w:val="00E3451F"/>
    <w:rsid w:val="00E3508C"/>
    <w:rsid w:val="00E35948"/>
    <w:rsid w:val="00E35D77"/>
    <w:rsid w:val="00E360C7"/>
    <w:rsid w:val="00E36381"/>
    <w:rsid w:val="00E36AD5"/>
    <w:rsid w:val="00E36B28"/>
    <w:rsid w:val="00E36F46"/>
    <w:rsid w:val="00E36F85"/>
    <w:rsid w:val="00E37368"/>
    <w:rsid w:val="00E377B8"/>
    <w:rsid w:val="00E40336"/>
    <w:rsid w:val="00E406F0"/>
    <w:rsid w:val="00E407E2"/>
    <w:rsid w:val="00E40BBB"/>
    <w:rsid w:val="00E40DD7"/>
    <w:rsid w:val="00E41165"/>
    <w:rsid w:val="00E41760"/>
    <w:rsid w:val="00E42E54"/>
    <w:rsid w:val="00E42FF9"/>
    <w:rsid w:val="00E43A7E"/>
    <w:rsid w:val="00E43B1E"/>
    <w:rsid w:val="00E44307"/>
    <w:rsid w:val="00E44CEE"/>
    <w:rsid w:val="00E45327"/>
    <w:rsid w:val="00E454B8"/>
    <w:rsid w:val="00E458E1"/>
    <w:rsid w:val="00E45948"/>
    <w:rsid w:val="00E46438"/>
    <w:rsid w:val="00E46BA1"/>
    <w:rsid w:val="00E4714C"/>
    <w:rsid w:val="00E47218"/>
    <w:rsid w:val="00E476A0"/>
    <w:rsid w:val="00E51242"/>
    <w:rsid w:val="00E517C2"/>
    <w:rsid w:val="00E5190C"/>
    <w:rsid w:val="00E51AD7"/>
    <w:rsid w:val="00E51AEB"/>
    <w:rsid w:val="00E51E90"/>
    <w:rsid w:val="00E522A7"/>
    <w:rsid w:val="00E5342D"/>
    <w:rsid w:val="00E5369D"/>
    <w:rsid w:val="00E53909"/>
    <w:rsid w:val="00E54452"/>
    <w:rsid w:val="00E54B98"/>
    <w:rsid w:val="00E558B2"/>
    <w:rsid w:val="00E5604E"/>
    <w:rsid w:val="00E561EE"/>
    <w:rsid w:val="00E568B2"/>
    <w:rsid w:val="00E56B65"/>
    <w:rsid w:val="00E606A7"/>
    <w:rsid w:val="00E6257D"/>
    <w:rsid w:val="00E62F8C"/>
    <w:rsid w:val="00E637E4"/>
    <w:rsid w:val="00E64B1E"/>
    <w:rsid w:val="00E650CA"/>
    <w:rsid w:val="00E65E04"/>
    <w:rsid w:val="00E6607E"/>
    <w:rsid w:val="00E6622F"/>
    <w:rsid w:val="00E664C5"/>
    <w:rsid w:val="00E6655D"/>
    <w:rsid w:val="00E671A2"/>
    <w:rsid w:val="00E67F8A"/>
    <w:rsid w:val="00E7052E"/>
    <w:rsid w:val="00E70683"/>
    <w:rsid w:val="00E707D9"/>
    <w:rsid w:val="00E7165D"/>
    <w:rsid w:val="00E7180B"/>
    <w:rsid w:val="00E71CE1"/>
    <w:rsid w:val="00E72C42"/>
    <w:rsid w:val="00E7323D"/>
    <w:rsid w:val="00E7345B"/>
    <w:rsid w:val="00E74945"/>
    <w:rsid w:val="00E74B3C"/>
    <w:rsid w:val="00E761B5"/>
    <w:rsid w:val="00E76289"/>
    <w:rsid w:val="00E76D26"/>
    <w:rsid w:val="00E76ECE"/>
    <w:rsid w:val="00E77CC5"/>
    <w:rsid w:val="00E80351"/>
    <w:rsid w:val="00E809A7"/>
    <w:rsid w:val="00E815DD"/>
    <w:rsid w:val="00E839A7"/>
    <w:rsid w:val="00E83F75"/>
    <w:rsid w:val="00E83FED"/>
    <w:rsid w:val="00E84352"/>
    <w:rsid w:val="00E85383"/>
    <w:rsid w:val="00E8543C"/>
    <w:rsid w:val="00E861ED"/>
    <w:rsid w:val="00E86C4D"/>
    <w:rsid w:val="00E86E0C"/>
    <w:rsid w:val="00E86E99"/>
    <w:rsid w:val="00E9034A"/>
    <w:rsid w:val="00E90EE0"/>
    <w:rsid w:val="00E910CE"/>
    <w:rsid w:val="00E9175F"/>
    <w:rsid w:val="00E9189E"/>
    <w:rsid w:val="00E9194D"/>
    <w:rsid w:val="00E91ADB"/>
    <w:rsid w:val="00E91C07"/>
    <w:rsid w:val="00E91EBC"/>
    <w:rsid w:val="00E92036"/>
    <w:rsid w:val="00E94A7F"/>
    <w:rsid w:val="00E95726"/>
    <w:rsid w:val="00E95DE6"/>
    <w:rsid w:val="00E966E0"/>
    <w:rsid w:val="00E97DA6"/>
    <w:rsid w:val="00EA0278"/>
    <w:rsid w:val="00EA1D9A"/>
    <w:rsid w:val="00EA2049"/>
    <w:rsid w:val="00EA2BF4"/>
    <w:rsid w:val="00EA2E62"/>
    <w:rsid w:val="00EA2FFC"/>
    <w:rsid w:val="00EA3343"/>
    <w:rsid w:val="00EA3376"/>
    <w:rsid w:val="00EA45BA"/>
    <w:rsid w:val="00EA471D"/>
    <w:rsid w:val="00EA505D"/>
    <w:rsid w:val="00EA505F"/>
    <w:rsid w:val="00EA6211"/>
    <w:rsid w:val="00EA6380"/>
    <w:rsid w:val="00EB1219"/>
    <w:rsid w:val="00EB1390"/>
    <w:rsid w:val="00EB2818"/>
    <w:rsid w:val="00EB2C71"/>
    <w:rsid w:val="00EB3266"/>
    <w:rsid w:val="00EB3DD7"/>
    <w:rsid w:val="00EB4340"/>
    <w:rsid w:val="00EB6164"/>
    <w:rsid w:val="00EB7AB1"/>
    <w:rsid w:val="00EB7FF2"/>
    <w:rsid w:val="00EC013D"/>
    <w:rsid w:val="00EC091E"/>
    <w:rsid w:val="00EC11A6"/>
    <w:rsid w:val="00EC1598"/>
    <w:rsid w:val="00EC301F"/>
    <w:rsid w:val="00EC41F8"/>
    <w:rsid w:val="00EC45C4"/>
    <w:rsid w:val="00EC48CD"/>
    <w:rsid w:val="00EC4BEA"/>
    <w:rsid w:val="00EC526F"/>
    <w:rsid w:val="00EC5695"/>
    <w:rsid w:val="00EC59AD"/>
    <w:rsid w:val="00EC5FFD"/>
    <w:rsid w:val="00EC6F1B"/>
    <w:rsid w:val="00EC71BC"/>
    <w:rsid w:val="00EC7DBE"/>
    <w:rsid w:val="00ED0A2A"/>
    <w:rsid w:val="00ED1449"/>
    <w:rsid w:val="00ED19AA"/>
    <w:rsid w:val="00ED19F1"/>
    <w:rsid w:val="00ED1FFF"/>
    <w:rsid w:val="00ED219C"/>
    <w:rsid w:val="00ED5262"/>
    <w:rsid w:val="00ED55C0"/>
    <w:rsid w:val="00ED682B"/>
    <w:rsid w:val="00ED6FDF"/>
    <w:rsid w:val="00ED710B"/>
    <w:rsid w:val="00ED7F3A"/>
    <w:rsid w:val="00EE0828"/>
    <w:rsid w:val="00EE08D1"/>
    <w:rsid w:val="00EE096A"/>
    <w:rsid w:val="00EE0F05"/>
    <w:rsid w:val="00EE0F10"/>
    <w:rsid w:val="00EE2477"/>
    <w:rsid w:val="00EE3D78"/>
    <w:rsid w:val="00EE4180"/>
    <w:rsid w:val="00EE41D5"/>
    <w:rsid w:val="00EE426F"/>
    <w:rsid w:val="00EE432C"/>
    <w:rsid w:val="00EE4391"/>
    <w:rsid w:val="00EE4537"/>
    <w:rsid w:val="00EE4A24"/>
    <w:rsid w:val="00EE505A"/>
    <w:rsid w:val="00EE5ABA"/>
    <w:rsid w:val="00EE6647"/>
    <w:rsid w:val="00EE74A4"/>
    <w:rsid w:val="00EE7679"/>
    <w:rsid w:val="00EE7D11"/>
    <w:rsid w:val="00EF1AD5"/>
    <w:rsid w:val="00EF2A56"/>
    <w:rsid w:val="00EF3131"/>
    <w:rsid w:val="00EF39B2"/>
    <w:rsid w:val="00EF4AF2"/>
    <w:rsid w:val="00EF5861"/>
    <w:rsid w:val="00EF5E8D"/>
    <w:rsid w:val="00EF6082"/>
    <w:rsid w:val="00EF6153"/>
    <w:rsid w:val="00EF6AAD"/>
    <w:rsid w:val="00EF7DE9"/>
    <w:rsid w:val="00F0031B"/>
    <w:rsid w:val="00F00A3C"/>
    <w:rsid w:val="00F0115A"/>
    <w:rsid w:val="00F02FC9"/>
    <w:rsid w:val="00F037A4"/>
    <w:rsid w:val="00F0474B"/>
    <w:rsid w:val="00F048E7"/>
    <w:rsid w:val="00F05B80"/>
    <w:rsid w:val="00F06415"/>
    <w:rsid w:val="00F06B16"/>
    <w:rsid w:val="00F070E2"/>
    <w:rsid w:val="00F07A6E"/>
    <w:rsid w:val="00F07C17"/>
    <w:rsid w:val="00F07EE6"/>
    <w:rsid w:val="00F1014E"/>
    <w:rsid w:val="00F109B0"/>
    <w:rsid w:val="00F10EB2"/>
    <w:rsid w:val="00F10F98"/>
    <w:rsid w:val="00F11112"/>
    <w:rsid w:val="00F112DF"/>
    <w:rsid w:val="00F11A5C"/>
    <w:rsid w:val="00F11CDE"/>
    <w:rsid w:val="00F133FF"/>
    <w:rsid w:val="00F13DFD"/>
    <w:rsid w:val="00F14538"/>
    <w:rsid w:val="00F1528D"/>
    <w:rsid w:val="00F162AE"/>
    <w:rsid w:val="00F16874"/>
    <w:rsid w:val="00F170D5"/>
    <w:rsid w:val="00F213C1"/>
    <w:rsid w:val="00F233F3"/>
    <w:rsid w:val="00F23FA7"/>
    <w:rsid w:val="00F24FFC"/>
    <w:rsid w:val="00F2593A"/>
    <w:rsid w:val="00F25F27"/>
    <w:rsid w:val="00F25FD6"/>
    <w:rsid w:val="00F27C8F"/>
    <w:rsid w:val="00F31150"/>
    <w:rsid w:val="00F31A08"/>
    <w:rsid w:val="00F31C42"/>
    <w:rsid w:val="00F31DA6"/>
    <w:rsid w:val="00F32749"/>
    <w:rsid w:val="00F32B43"/>
    <w:rsid w:val="00F32BAF"/>
    <w:rsid w:val="00F33826"/>
    <w:rsid w:val="00F33B6D"/>
    <w:rsid w:val="00F34843"/>
    <w:rsid w:val="00F34B38"/>
    <w:rsid w:val="00F352BC"/>
    <w:rsid w:val="00F3564D"/>
    <w:rsid w:val="00F358F8"/>
    <w:rsid w:val="00F35B45"/>
    <w:rsid w:val="00F364E6"/>
    <w:rsid w:val="00F36A2A"/>
    <w:rsid w:val="00F37172"/>
    <w:rsid w:val="00F37308"/>
    <w:rsid w:val="00F37483"/>
    <w:rsid w:val="00F3796B"/>
    <w:rsid w:val="00F37D5F"/>
    <w:rsid w:val="00F4061B"/>
    <w:rsid w:val="00F410E9"/>
    <w:rsid w:val="00F41A30"/>
    <w:rsid w:val="00F42BCB"/>
    <w:rsid w:val="00F439E7"/>
    <w:rsid w:val="00F4477E"/>
    <w:rsid w:val="00F45642"/>
    <w:rsid w:val="00F45F0B"/>
    <w:rsid w:val="00F460CA"/>
    <w:rsid w:val="00F47224"/>
    <w:rsid w:val="00F47508"/>
    <w:rsid w:val="00F5003E"/>
    <w:rsid w:val="00F5035E"/>
    <w:rsid w:val="00F51D98"/>
    <w:rsid w:val="00F525A4"/>
    <w:rsid w:val="00F52D34"/>
    <w:rsid w:val="00F533A8"/>
    <w:rsid w:val="00F54937"/>
    <w:rsid w:val="00F56F1A"/>
    <w:rsid w:val="00F579C5"/>
    <w:rsid w:val="00F601A3"/>
    <w:rsid w:val="00F60387"/>
    <w:rsid w:val="00F61164"/>
    <w:rsid w:val="00F64978"/>
    <w:rsid w:val="00F64A02"/>
    <w:rsid w:val="00F64AB0"/>
    <w:rsid w:val="00F64E0A"/>
    <w:rsid w:val="00F64E8F"/>
    <w:rsid w:val="00F65C01"/>
    <w:rsid w:val="00F67B9B"/>
    <w:rsid w:val="00F67D8F"/>
    <w:rsid w:val="00F702D3"/>
    <w:rsid w:val="00F70A4C"/>
    <w:rsid w:val="00F70CFF"/>
    <w:rsid w:val="00F71749"/>
    <w:rsid w:val="00F731DE"/>
    <w:rsid w:val="00F734CF"/>
    <w:rsid w:val="00F73AFC"/>
    <w:rsid w:val="00F743F5"/>
    <w:rsid w:val="00F746A9"/>
    <w:rsid w:val="00F74CAC"/>
    <w:rsid w:val="00F76396"/>
    <w:rsid w:val="00F7650F"/>
    <w:rsid w:val="00F76BAA"/>
    <w:rsid w:val="00F76BFB"/>
    <w:rsid w:val="00F76F0A"/>
    <w:rsid w:val="00F777FE"/>
    <w:rsid w:val="00F7783D"/>
    <w:rsid w:val="00F82B38"/>
    <w:rsid w:val="00F83112"/>
    <w:rsid w:val="00F83140"/>
    <w:rsid w:val="00F8334D"/>
    <w:rsid w:val="00F83A28"/>
    <w:rsid w:val="00F83A51"/>
    <w:rsid w:val="00F840A5"/>
    <w:rsid w:val="00F84F00"/>
    <w:rsid w:val="00F8532E"/>
    <w:rsid w:val="00F8588F"/>
    <w:rsid w:val="00F86024"/>
    <w:rsid w:val="00F8611A"/>
    <w:rsid w:val="00F865C6"/>
    <w:rsid w:val="00F86708"/>
    <w:rsid w:val="00F86787"/>
    <w:rsid w:val="00F8700B"/>
    <w:rsid w:val="00F87F12"/>
    <w:rsid w:val="00F90944"/>
    <w:rsid w:val="00F9119C"/>
    <w:rsid w:val="00F911CC"/>
    <w:rsid w:val="00F91C3A"/>
    <w:rsid w:val="00F91DB7"/>
    <w:rsid w:val="00F91E01"/>
    <w:rsid w:val="00F9212F"/>
    <w:rsid w:val="00F92EF8"/>
    <w:rsid w:val="00F931BE"/>
    <w:rsid w:val="00F93588"/>
    <w:rsid w:val="00F93ADE"/>
    <w:rsid w:val="00F94BC4"/>
    <w:rsid w:val="00F9534F"/>
    <w:rsid w:val="00F95888"/>
    <w:rsid w:val="00F95B8D"/>
    <w:rsid w:val="00F9600A"/>
    <w:rsid w:val="00F96D8D"/>
    <w:rsid w:val="00F976F0"/>
    <w:rsid w:val="00F97862"/>
    <w:rsid w:val="00F97D78"/>
    <w:rsid w:val="00FA05E8"/>
    <w:rsid w:val="00FA07AA"/>
    <w:rsid w:val="00FA0A80"/>
    <w:rsid w:val="00FA0AAF"/>
    <w:rsid w:val="00FA0FA3"/>
    <w:rsid w:val="00FA1F50"/>
    <w:rsid w:val="00FA2205"/>
    <w:rsid w:val="00FA2604"/>
    <w:rsid w:val="00FA2EB5"/>
    <w:rsid w:val="00FA31B9"/>
    <w:rsid w:val="00FA3205"/>
    <w:rsid w:val="00FA3557"/>
    <w:rsid w:val="00FA3FC3"/>
    <w:rsid w:val="00FA41AA"/>
    <w:rsid w:val="00FA4459"/>
    <w:rsid w:val="00FA50A8"/>
    <w:rsid w:val="00FA5128"/>
    <w:rsid w:val="00FA5552"/>
    <w:rsid w:val="00FA58B6"/>
    <w:rsid w:val="00FA6B75"/>
    <w:rsid w:val="00FA6D8E"/>
    <w:rsid w:val="00FA6DDB"/>
    <w:rsid w:val="00FA733A"/>
    <w:rsid w:val="00FA7F5C"/>
    <w:rsid w:val="00FB1592"/>
    <w:rsid w:val="00FB267F"/>
    <w:rsid w:val="00FB26B3"/>
    <w:rsid w:val="00FB401D"/>
    <w:rsid w:val="00FB42D4"/>
    <w:rsid w:val="00FB535C"/>
    <w:rsid w:val="00FB53C8"/>
    <w:rsid w:val="00FB546C"/>
    <w:rsid w:val="00FB565B"/>
    <w:rsid w:val="00FB5906"/>
    <w:rsid w:val="00FB5A7F"/>
    <w:rsid w:val="00FB5C4F"/>
    <w:rsid w:val="00FB5EFD"/>
    <w:rsid w:val="00FB64BD"/>
    <w:rsid w:val="00FB6886"/>
    <w:rsid w:val="00FB762F"/>
    <w:rsid w:val="00FB7F7F"/>
    <w:rsid w:val="00FB7FC6"/>
    <w:rsid w:val="00FC0E8A"/>
    <w:rsid w:val="00FC110D"/>
    <w:rsid w:val="00FC1932"/>
    <w:rsid w:val="00FC1F31"/>
    <w:rsid w:val="00FC2056"/>
    <w:rsid w:val="00FC23D7"/>
    <w:rsid w:val="00FC2562"/>
    <w:rsid w:val="00FC2847"/>
    <w:rsid w:val="00FC2A10"/>
    <w:rsid w:val="00FC2AED"/>
    <w:rsid w:val="00FC4A0F"/>
    <w:rsid w:val="00FC50D1"/>
    <w:rsid w:val="00FC58C4"/>
    <w:rsid w:val="00FC5C06"/>
    <w:rsid w:val="00FC5EA6"/>
    <w:rsid w:val="00FC605A"/>
    <w:rsid w:val="00FC6141"/>
    <w:rsid w:val="00FC6C3C"/>
    <w:rsid w:val="00FC7A0F"/>
    <w:rsid w:val="00FC7C4B"/>
    <w:rsid w:val="00FD0C73"/>
    <w:rsid w:val="00FD1DD9"/>
    <w:rsid w:val="00FD2760"/>
    <w:rsid w:val="00FD27DF"/>
    <w:rsid w:val="00FD368A"/>
    <w:rsid w:val="00FD36B3"/>
    <w:rsid w:val="00FD3753"/>
    <w:rsid w:val="00FD3D1E"/>
    <w:rsid w:val="00FD3DD3"/>
    <w:rsid w:val="00FD3EC6"/>
    <w:rsid w:val="00FD413D"/>
    <w:rsid w:val="00FD459D"/>
    <w:rsid w:val="00FD470C"/>
    <w:rsid w:val="00FD4C00"/>
    <w:rsid w:val="00FD52C7"/>
    <w:rsid w:val="00FD635D"/>
    <w:rsid w:val="00FD6E64"/>
    <w:rsid w:val="00FE0B7F"/>
    <w:rsid w:val="00FE0C96"/>
    <w:rsid w:val="00FE0D83"/>
    <w:rsid w:val="00FE1081"/>
    <w:rsid w:val="00FE1393"/>
    <w:rsid w:val="00FE1A8E"/>
    <w:rsid w:val="00FE2B04"/>
    <w:rsid w:val="00FE2DD1"/>
    <w:rsid w:val="00FE3A4F"/>
    <w:rsid w:val="00FE3C85"/>
    <w:rsid w:val="00FE41B7"/>
    <w:rsid w:val="00FE449D"/>
    <w:rsid w:val="00FE489B"/>
    <w:rsid w:val="00FE56A2"/>
    <w:rsid w:val="00FE6D85"/>
    <w:rsid w:val="00FE70A3"/>
    <w:rsid w:val="00FE7441"/>
    <w:rsid w:val="00FE79AB"/>
    <w:rsid w:val="00FF0B7C"/>
    <w:rsid w:val="00FF0DFB"/>
    <w:rsid w:val="00FF1E43"/>
    <w:rsid w:val="00FF2C37"/>
    <w:rsid w:val="00FF48A8"/>
    <w:rsid w:val="00FF52F5"/>
    <w:rsid w:val="00FF5373"/>
    <w:rsid w:val="00FF57B6"/>
    <w:rsid w:val="00FF5B4F"/>
    <w:rsid w:val="00FF67F0"/>
    <w:rsid w:val="00FF6A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3B2B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9B34CD"/>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customStyle="1" w:styleId="Ikonawskanika">
    <w:name w:val="Ikona wskaźnika"/>
    <w:basedOn w:val="Normalny"/>
    <w:link w:val="IkonawskanikaZnak"/>
    <w:qFormat/>
    <w:rsid w:val="00E761B5"/>
    <w:pPr>
      <w:autoSpaceDE w:val="0"/>
      <w:autoSpaceDN w:val="0"/>
      <w:adjustRightInd w:val="0"/>
      <w:spacing w:before="12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E761B5"/>
    <w:rPr>
      <w:rFonts w:ascii="Fira Sans SemiBold" w:hAnsi="Fira Sans SemiBold"/>
      <w:color w:val="66AFDE"/>
      <w:sz w:val="60"/>
      <w:szCs w:val="60"/>
    </w:rPr>
  </w:style>
  <w:style w:type="paragraph" w:customStyle="1" w:styleId="Wartowskanika">
    <w:name w:val="Wartość wskaźnika"/>
    <w:basedOn w:val="Normalny"/>
    <w:link w:val="WartowskanikaZnak"/>
    <w:qFormat/>
    <w:rsid w:val="00E761B5"/>
    <w:pPr>
      <w:autoSpaceDE w:val="0"/>
      <w:autoSpaceDN w:val="0"/>
      <w:adjustRightInd w:val="0"/>
      <w:spacing w:after="0" w:line="240" w:lineRule="auto"/>
    </w:pPr>
    <w:rPr>
      <w:rFonts w:ascii="Fira Sans SemiBold" w:hAnsi="Fira Sans SemiBold"/>
      <w:color w:val="FFFFFF" w:themeColor="background1"/>
      <w:sz w:val="40"/>
      <w:szCs w:val="56"/>
    </w:rPr>
  </w:style>
  <w:style w:type="paragraph" w:customStyle="1" w:styleId="Opiswskanika">
    <w:name w:val="Opis wskaźnika"/>
    <w:basedOn w:val="Normalny"/>
    <w:link w:val="OpiswskanikaZnak"/>
    <w:qFormat/>
    <w:rsid w:val="00E761B5"/>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E761B5"/>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E761B5"/>
    <w:rPr>
      <w:rFonts w:ascii="Fira Sans" w:hAnsi="Fira Sans"/>
      <w:color w:val="FFFFFF" w:themeColor="background1"/>
      <w:sz w:val="20"/>
    </w:rPr>
  </w:style>
  <w:style w:type="table" w:customStyle="1" w:styleId="Tabela-Siatka1">
    <w:name w:val="Tabela - Siatka1"/>
    <w:basedOn w:val="Standardowy"/>
    <w:next w:val="Tabela-Siatka"/>
    <w:uiPriority w:val="39"/>
    <w:rsid w:val="00FF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40437"/>
    <w:rPr>
      <w:sz w:val="16"/>
      <w:szCs w:val="16"/>
    </w:rPr>
  </w:style>
  <w:style w:type="paragraph" w:styleId="Tekstkomentarza">
    <w:name w:val="annotation text"/>
    <w:basedOn w:val="Normalny"/>
    <w:link w:val="TekstkomentarzaZnak"/>
    <w:uiPriority w:val="99"/>
    <w:unhideWhenUsed/>
    <w:rsid w:val="00840437"/>
    <w:pPr>
      <w:spacing w:line="240" w:lineRule="auto"/>
    </w:pPr>
    <w:rPr>
      <w:sz w:val="20"/>
      <w:szCs w:val="20"/>
    </w:rPr>
  </w:style>
  <w:style w:type="character" w:customStyle="1" w:styleId="TekstkomentarzaZnak">
    <w:name w:val="Tekst komentarza Znak"/>
    <w:basedOn w:val="Domylnaczcionkaakapitu"/>
    <w:link w:val="Tekstkomentarza"/>
    <w:uiPriority w:val="99"/>
    <w:rsid w:val="00840437"/>
    <w:rPr>
      <w:sz w:val="20"/>
      <w:szCs w:val="20"/>
    </w:rPr>
  </w:style>
  <w:style w:type="paragraph" w:styleId="Tematkomentarza">
    <w:name w:val="annotation subject"/>
    <w:basedOn w:val="Tekstkomentarza"/>
    <w:next w:val="Tekstkomentarza"/>
    <w:link w:val="TematkomentarzaZnak"/>
    <w:uiPriority w:val="99"/>
    <w:semiHidden/>
    <w:unhideWhenUsed/>
    <w:rsid w:val="00840437"/>
    <w:rPr>
      <w:b/>
      <w:bCs/>
    </w:rPr>
  </w:style>
  <w:style w:type="character" w:customStyle="1" w:styleId="TematkomentarzaZnak">
    <w:name w:val="Temat komentarza Znak"/>
    <w:basedOn w:val="TekstkomentarzaZnak"/>
    <w:link w:val="Tematkomentarza"/>
    <w:uiPriority w:val="99"/>
    <w:semiHidden/>
    <w:rsid w:val="00840437"/>
    <w:rPr>
      <w:b/>
      <w:bCs/>
      <w:sz w:val="20"/>
      <w:szCs w:val="20"/>
    </w:rPr>
  </w:style>
  <w:style w:type="character" w:customStyle="1" w:styleId="markedcontent">
    <w:name w:val="markedcontent"/>
    <w:basedOn w:val="Domylnaczcionkaakapitu"/>
    <w:rsid w:val="00941EF9"/>
  </w:style>
  <w:style w:type="character" w:customStyle="1" w:styleId="LIDZnak">
    <w:name w:val="LID Znak"/>
    <w:basedOn w:val="Domylnaczcionkaakapitu"/>
    <w:link w:val="LID"/>
    <w:rsid w:val="00E70683"/>
    <w:rPr>
      <w:rFonts w:ascii="Fira Sans" w:hAnsi="Fira Sans"/>
      <w:b/>
      <w:noProof/>
      <w:sz w:val="19"/>
      <w:szCs w:val="19"/>
      <w:lang w:eastAsia="pl-PL"/>
    </w:rPr>
  </w:style>
  <w:style w:type="paragraph" w:styleId="NormalnyWeb">
    <w:name w:val="Normal (Web)"/>
    <w:basedOn w:val="Normalny"/>
    <w:uiPriority w:val="99"/>
    <w:semiHidden/>
    <w:unhideWhenUsed/>
    <w:rsid w:val="005742EB"/>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Poprawka">
    <w:name w:val="Revision"/>
    <w:hidden/>
    <w:uiPriority w:val="99"/>
    <w:semiHidden/>
    <w:rsid w:val="00187FC1"/>
    <w:pPr>
      <w:spacing w:after="0" w:line="240" w:lineRule="auto"/>
    </w:pPr>
    <w:rPr>
      <w:rFonts w:ascii="Fira Sans" w:hAnsi="Fira Sans"/>
      <w:sz w:val="19"/>
    </w:rPr>
  </w:style>
  <w:style w:type="paragraph" w:styleId="Tekstprzypisukocowego">
    <w:name w:val="endnote text"/>
    <w:basedOn w:val="Normalny"/>
    <w:link w:val="TekstprzypisukocowegoZnak"/>
    <w:uiPriority w:val="99"/>
    <w:semiHidden/>
    <w:unhideWhenUsed/>
    <w:rsid w:val="00B4481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481E"/>
    <w:rPr>
      <w:sz w:val="20"/>
      <w:szCs w:val="20"/>
    </w:rPr>
  </w:style>
  <w:style w:type="character" w:styleId="Odwoanieprzypisukocowego">
    <w:name w:val="endnote reference"/>
    <w:basedOn w:val="Domylnaczcionkaakapitu"/>
    <w:uiPriority w:val="99"/>
    <w:semiHidden/>
    <w:unhideWhenUsed/>
    <w:rsid w:val="00B4481E"/>
    <w:rPr>
      <w:vertAlign w:val="superscript"/>
    </w:rPr>
  </w:style>
  <w:style w:type="paragraph" w:customStyle="1" w:styleId="pf0">
    <w:name w:val="pf0"/>
    <w:basedOn w:val="Normalny"/>
    <w:rsid w:val="00E46BA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E46BA1"/>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96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646">
      <w:bodyDiv w:val="1"/>
      <w:marLeft w:val="0"/>
      <w:marRight w:val="0"/>
      <w:marTop w:val="0"/>
      <w:marBottom w:val="0"/>
      <w:divBdr>
        <w:top w:val="none" w:sz="0" w:space="0" w:color="auto"/>
        <w:left w:val="none" w:sz="0" w:space="0" w:color="auto"/>
        <w:bottom w:val="none" w:sz="0" w:space="0" w:color="auto"/>
        <w:right w:val="none" w:sz="0" w:space="0" w:color="auto"/>
      </w:divBdr>
    </w:div>
    <w:div w:id="4290311">
      <w:bodyDiv w:val="1"/>
      <w:marLeft w:val="0"/>
      <w:marRight w:val="0"/>
      <w:marTop w:val="0"/>
      <w:marBottom w:val="0"/>
      <w:divBdr>
        <w:top w:val="none" w:sz="0" w:space="0" w:color="auto"/>
        <w:left w:val="none" w:sz="0" w:space="0" w:color="auto"/>
        <w:bottom w:val="none" w:sz="0" w:space="0" w:color="auto"/>
        <w:right w:val="none" w:sz="0" w:space="0" w:color="auto"/>
      </w:divBdr>
    </w:div>
    <w:div w:id="89593696">
      <w:bodyDiv w:val="1"/>
      <w:marLeft w:val="0"/>
      <w:marRight w:val="0"/>
      <w:marTop w:val="0"/>
      <w:marBottom w:val="0"/>
      <w:divBdr>
        <w:top w:val="none" w:sz="0" w:space="0" w:color="auto"/>
        <w:left w:val="none" w:sz="0" w:space="0" w:color="auto"/>
        <w:bottom w:val="none" w:sz="0" w:space="0" w:color="auto"/>
        <w:right w:val="none" w:sz="0" w:space="0" w:color="auto"/>
      </w:divBdr>
    </w:div>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05658294">
      <w:bodyDiv w:val="1"/>
      <w:marLeft w:val="0"/>
      <w:marRight w:val="0"/>
      <w:marTop w:val="0"/>
      <w:marBottom w:val="0"/>
      <w:divBdr>
        <w:top w:val="none" w:sz="0" w:space="0" w:color="auto"/>
        <w:left w:val="none" w:sz="0" w:space="0" w:color="auto"/>
        <w:bottom w:val="none" w:sz="0" w:space="0" w:color="auto"/>
        <w:right w:val="none" w:sz="0" w:space="0" w:color="auto"/>
      </w:divBdr>
    </w:div>
    <w:div w:id="133563966">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201675583">
      <w:bodyDiv w:val="1"/>
      <w:marLeft w:val="0"/>
      <w:marRight w:val="0"/>
      <w:marTop w:val="0"/>
      <w:marBottom w:val="0"/>
      <w:divBdr>
        <w:top w:val="none" w:sz="0" w:space="0" w:color="auto"/>
        <w:left w:val="none" w:sz="0" w:space="0" w:color="auto"/>
        <w:bottom w:val="none" w:sz="0" w:space="0" w:color="auto"/>
        <w:right w:val="none" w:sz="0" w:space="0" w:color="auto"/>
      </w:divBdr>
    </w:div>
    <w:div w:id="202526270">
      <w:bodyDiv w:val="1"/>
      <w:marLeft w:val="0"/>
      <w:marRight w:val="0"/>
      <w:marTop w:val="0"/>
      <w:marBottom w:val="0"/>
      <w:divBdr>
        <w:top w:val="none" w:sz="0" w:space="0" w:color="auto"/>
        <w:left w:val="none" w:sz="0" w:space="0" w:color="auto"/>
        <w:bottom w:val="none" w:sz="0" w:space="0" w:color="auto"/>
        <w:right w:val="none" w:sz="0" w:space="0" w:color="auto"/>
      </w:divBdr>
    </w:div>
    <w:div w:id="240680785">
      <w:bodyDiv w:val="1"/>
      <w:marLeft w:val="0"/>
      <w:marRight w:val="0"/>
      <w:marTop w:val="0"/>
      <w:marBottom w:val="0"/>
      <w:divBdr>
        <w:top w:val="none" w:sz="0" w:space="0" w:color="auto"/>
        <w:left w:val="none" w:sz="0" w:space="0" w:color="auto"/>
        <w:bottom w:val="none" w:sz="0" w:space="0" w:color="auto"/>
        <w:right w:val="none" w:sz="0" w:space="0" w:color="auto"/>
      </w:divBdr>
    </w:div>
    <w:div w:id="250436503">
      <w:bodyDiv w:val="1"/>
      <w:marLeft w:val="0"/>
      <w:marRight w:val="0"/>
      <w:marTop w:val="0"/>
      <w:marBottom w:val="0"/>
      <w:divBdr>
        <w:top w:val="none" w:sz="0" w:space="0" w:color="auto"/>
        <w:left w:val="none" w:sz="0" w:space="0" w:color="auto"/>
        <w:bottom w:val="none" w:sz="0" w:space="0" w:color="auto"/>
        <w:right w:val="none" w:sz="0" w:space="0" w:color="auto"/>
      </w:divBdr>
    </w:div>
    <w:div w:id="269972878">
      <w:bodyDiv w:val="1"/>
      <w:marLeft w:val="0"/>
      <w:marRight w:val="0"/>
      <w:marTop w:val="0"/>
      <w:marBottom w:val="0"/>
      <w:divBdr>
        <w:top w:val="none" w:sz="0" w:space="0" w:color="auto"/>
        <w:left w:val="none" w:sz="0" w:space="0" w:color="auto"/>
        <w:bottom w:val="none" w:sz="0" w:space="0" w:color="auto"/>
        <w:right w:val="none" w:sz="0" w:space="0" w:color="auto"/>
      </w:divBdr>
    </w:div>
    <w:div w:id="279606544">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41395062">
      <w:bodyDiv w:val="1"/>
      <w:marLeft w:val="0"/>
      <w:marRight w:val="0"/>
      <w:marTop w:val="0"/>
      <w:marBottom w:val="0"/>
      <w:divBdr>
        <w:top w:val="none" w:sz="0" w:space="0" w:color="auto"/>
        <w:left w:val="none" w:sz="0" w:space="0" w:color="auto"/>
        <w:bottom w:val="none" w:sz="0" w:space="0" w:color="auto"/>
        <w:right w:val="none" w:sz="0" w:space="0" w:color="auto"/>
      </w:divBdr>
    </w:div>
    <w:div w:id="34926077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6811582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7186771">
      <w:bodyDiv w:val="1"/>
      <w:marLeft w:val="0"/>
      <w:marRight w:val="0"/>
      <w:marTop w:val="0"/>
      <w:marBottom w:val="0"/>
      <w:divBdr>
        <w:top w:val="none" w:sz="0" w:space="0" w:color="auto"/>
        <w:left w:val="none" w:sz="0" w:space="0" w:color="auto"/>
        <w:bottom w:val="none" w:sz="0" w:space="0" w:color="auto"/>
        <w:right w:val="none" w:sz="0" w:space="0" w:color="auto"/>
      </w:divBdr>
    </w:div>
    <w:div w:id="393699846">
      <w:bodyDiv w:val="1"/>
      <w:marLeft w:val="0"/>
      <w:marRight w:val="0"/>
      <w:marTop w:val="0"/>
      <w:marBottom w:val="0"/>
      <w:divBdr>
        <w:top w:val="none" w:sz="0" w:space="0" w:color="auto"/>
        <w:left w:val="none" w:sz="0" w:space="0" w:color="auto"/>
        <w:bottom w:val="none" w:sz="0" w:space="0" w:color="auto"/>
        <w:right w:val="none" w:sz="0" w:space="0" w:color="auto"/>
      </w:divBdr>
    </w:div>
    <w:div w:id="404188644">
      <w:bodyDiv w:val="1"/>
      <w:marLeft w:val="0"/>
      <w:marRight w:val="0"/>
      <w:marTop w:val="0"/>
      <w:marBottom w:val="0"/>
      <w:divBdr>
        <w:top w:val="none" w:sz="0" w:space="0" w:color="auto"/>
        <w:left w:val="none" w:sz="0" w:space="0" w:color="auto"/>
        <w:bottom w:val="none" w:sz="0" w:space="0" w:color="auto"/>
        <w:right w:val="none" w:sz="0" w:space="0" w:color="auto"/>
      </w:divBdr>
    </w:div>
    <w:div w:id="422991038">
      <w:bodyDiv w:val="1"/>
      <w:marLeft w:val="0"/>
      <w:marRight w:val="0"/>
      <w:marTop w:val="0"/>
      <w:marBottom w:val="0"/>
      <w:divBdr>
        <w:top w:val="none" w:sz="0" w:space="0" w:color="auto"/>
        <w:left w:val="none" w:sz="0" w:space="0" w:color="auto"/>
        <w:bottom w:val="none" w:sz="0" w:space="0" w:color="auto"/>
        <w:right w:val="none" w:sz="0" w:space="0" w:color="auto"/>
      </w:divBdr>
    </w:div>
    <w:div w:id="445470853">
      <w:bodyDiv w:val="1"/>
      <w:marLeft w:val="0"/>
      <w:marRight w:val="0"/>
      <w:marTop w:val="0"/>
      <w:marBottom w:val="0"/>
      <w:divBdr>
        <w:top w:val="none" w:sz="0" w:space="0" w:color="auto"/>
        <w:left w:val="none" w:sz="0" w:space="0" w:color="auto"/>
        <w:bottom w:val="none" w:sz="0" w:space="0" w:color="auto"/>
        <w:right w:val="none" w:sz="0" w:space="0" w:color="auto"/>
      </w:divBdr>
    </w:div>
    <w:div w:id="456333259">
      <w:bodyDiv w:val="1"/>
      <w:marLeft w:val="0"/>
      <w:marRight w:val="0"/>
      <w:marTop w:val="0"/>
      <w:marBottom w:val="0"/>
      <w:divBdr>
        <w:top w:val="none" w:sz="0" w:space="0" w:color="auto"/>
        <w:left w:val="none" w:sz="0" w:space="0" w:color="auto"/>
        <w:bottom w:val="none" w:sz="0" w:space="0" w:color="auto"/>
        <w:right w:val="none" w:sz="0" w:space="0" w:color="auto"/>
      </w:divBdr>
    </w:div>
    <w:div w:id="468472611">
      <w:bodyDiv w:val="1"/>
      <w:marLeft w:val="0"/>
      <w:marRight w:val="0"/>
      <w:marTop w:val="0"/>
      <w:marBottom w:val="0"/>
      <w:divBdr>
        <w:top w:val="none" w:sz="0" w:space="0" w:color="auto"/>
        <w:left w:val="none" w:sz="0" w:space="0" w:color="auto"/>
        <w:bottom w:val="none" w:sz="0" w:space="0" w:color="auto"/>
        <w:right w:val="none" w:sz="0" w:space="0" w:color="auto"/>
      </w:divBdr>
    </w:div>
    <w:div w:id="489058259">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05562379">
      <w:bodyDiv w:val="1"/>
      <w:marLeft w:val="0"/>
      <w:marRight w:val="0"/>
      <w:marTop w:val="0"/>
      <w:marBottom w:val="0"/>
      <w:divBdr>
        <w:top w:val="none" w:sz="0" w:space="0" w:color="auto"/>
        <w:left w:val="none" w:sz="0" w:space="0" w:color="auto"/>
        <w:bottom w:val="none" w:sz="0" w:space="0" w:color="auto"/>
        <w:right w:val="none" w:sz="0" w:space="0" w:color="auto"/>
      </w:divBdr>
    </w:div>
    <w:div w:id="516309309">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847503">
      <w:bodyDiv w:val="1"/>
      <w:marLeft w:val="0"/>
      <w:marRight w:val="0"/>
      <w:marTop w:val="0"/>
      <w:marBottom w:val="0"/>
      <w:divBdr>
        <w:top w:val="none" w:sz="0" w:space="0" w:color="auto"/>
        <w:left w:val="none" w:sz="0" w:space="0" w:color="auto"/>
        <w:bottom w:val="none" w:sz="0" w:space="0" w:color="auto"/>
        <w:right w:val="none" w:sz="0" w:space="0" w:color="auto"/>
      </w:divBdr>
    </w:div>
    <w:div w:id="573970377">
      <w:bodyDiv w:val="1"/>
      <w:marLeft w:val="0"/>
      <w:marRight w:val="0"/>
      <w:marTop w:val="0"/>
      <w:marBottom w:val="0"/>
      <w:divBdr>
        <w:top w:val="none" w:sz="0" w:space="0" w:color="auto"/>
        <w:left w:val="none" w:sz="0" w:space="0" w:color="auto"/>
        <w:bottom w:val="none" w:sz="0" w:space="0" w:color="auto"/>
        <w:right w:val="none" w:sz="0" w:space="0" w:color="auto"/>
      </w:divBdr>
    </w:div>
    <w:div w:id="594554457">
      <w:bodyDiv w:val="1"/>
      <w:marLeft w:val="0"/>
      <w:marRight w:val="0"/>
      <w:marTop w:val="0"/>
      <w:marBottom w:val="0"/>
      <w:divBdr>
        <w:top w:val="none" w:sz="0" w:space="0" w:color="auto"/>
        <w:left w:val="none" w:sz="0" w:space="0" w:color="auto"/>
        <w:bottom w:val="none" w:sz="0" w:space="0" w:color="auto"/>
        <w:right w:val="none" w:sz="0" w:space="0" w:color="auto"/>
      </w:divBdr>
    </w:div>
    <w:div w:id="597566328">
      <w:bodyDiv w:val="1"/>
      <w:marLeft w:val="0"/>
      <w:marRight w:val="0"/>
      <w:marTop w:val="0"/>
      <w:marBottom w:val="0"/>
      <w:divBdr>
        <w:top w:val="none" w:sz="0" w:space="0" w:color="auto"/>
        <w:left w:val="none" w:sz="0" w:space="0" w:color="auto"/>
        <w:bottom w:val="none" w:sz="0" w:space="0" w:color="auto"/>
        <w:right w:val="none" w:sz="0" w:space="0" w:color="auto"/>
      </w:divBdr>
    </w:div>
    <w:div w:id="640959082">
      <w:bodyDiv w:val="1"/>
      <w:marLeft w:val="0"/>
      <w:marRight w:val="0"/>
      <w:marTop w:val="0"/>
      <w:marBottom w:val="0"/>
      <w:divBdr>
        <w:top w:val="none" w:sz="0" w:space="0" w:color="auto"/>
        <w:left w:val="none" w:sz="0" w:space="0" w:color="auto"/>
        <w:bottom w:val="none" w:sz="0" w:space="0" w:color="auto"/>
        <w:right w:val="none" w:sz="0" w:space="0" w:color="auto"/>
      </w:divBdr>
    </w:div>
    <w:div w:id="648436070">
      <w:bodyDiv w:val="1"/>
      <w:marLeft w:val="0"/>
      <w:marRight w:val="0"/>
      <w:marTop w:val="0"/>
      <w:marBottom w:val="0"/>
      <w:divBdr>
        <w:top w:val="none" w:sz="0" w:space="0" w:color="auto"/>
        <w:left w:val="none" w:sz="0" w:space="0" w:color="auto"/>
        <w:bottom w:val="none" w:sz="0" w:space="0" w:color="auto"/>
        <w:right w:val="none" w:sz="0" w:space="0" w:color="auto"/>
      </w:divBdr>
    </w:div>
    <w:div w:id="650595908">
      <w:bodyDiv w:val="1"/>
      <w:marLeft w:val="0"/>
      <w:marRight w:val="0"/>
      <w:marTop w:val="0"/>
      <w:marBottom w:val="0"/>
      <w:divBdr>
        <w:top w:val="none" w:sz="0" w:space="0" w:color="auto"/>
        <w:left w:val="none" w:sz="0" w:space="0" w:color="auto"/>
        <w:bottom w:val="none" w:sz="0" w:space="0" w:color="auto"/>
        <w:right w:val="none" w:sz="0" w:space="0" w:color="auto"/>
      </w:divBdr>
    </w:div>
    <w:div w:id="683900758">
      <w:bodyDiv w:val="1"/>
      <w:marLeft w:val="0"/>
      <w:marRight w:val="0"/>
      <w:marTop w:val="0"/>
      <w:marBottom w:val="0"/>
      <w:divBdr>
        <w:top w:val="none" w:sz="0" w:space="0" w:color="auto"/>
        <w:left w:val="none" w:sz="0" w:space="0" w:color="auto"/>
        <w:bottom w:val="none" w:sz="0" w:space="0" w:color="auto"/>
        <w:right w:val="none" w:sz="0" w:space="0" w:color="auto"/>
      </w:divBdr>
    </w:div>
    <w:div w:id="704714922">
      <w:bodyDiv w:val="1"/>
      <w:marLeft w:val="0"/>
      <w:marRight w:val="0"/>
      <w:marTop w:val="0"/>
      <w:marBottom w:val="0"/>
      <w:divBdr>
        <w:top w:val="none" w:sz="0" w:space="0" w:color="auto"/>
        <w:left w:val="none" w:sz="0" w:space="0" w:color="auto"/>
        <w:bottom w:val="none" w:sz="0" w:space="0" w:color="auto"/>
        <w:right w:val="none" w:sz="0" w:space="0" w:color="auto"/>
      </w:divBdr>
    </w:div>
    <w:div w:id="705789925">
      <w:bodyDiv w:val="1"/>
      <w:marLeft w:val="0"/>
      <w:marRight w:val="0"/>
      <w:marTop w:val="0"/>
      <w:marBottom w:val="0"/>
      <w:divBdr>
        <w:top w:val="none" w:sz="0" w:space="0" w:color="auto"/>
        <w:left w:val="none" w:sz="0" w:space="0" w:color="auto"/>
        <w:bottom w:val="none" w:sz="0" w:space="0" w:color="auto"/>
        <w:right w:val="none" w:sz="0" w:space="0" w:color="auto"/>
      </w:divBdr>
    </w:div>
    <w:div w:id="730808340">
      <w:bodyDiv w:val="1"/>
      <w:marLeft w:val="0"/>
      <w:marRight w:val="0"/>
      <w:marTop w:val="0"/>
      <w:marBottom w:val="0"/>
      <w:divBdr>
        <w:top w:val="none" w:sz="0" w:space="0" w:color="auto"/>
        <w:left w:val="none" w:sz="0" w:space="0" w:color="auto"/>
        <w:bottom w:val="none" w:sz="0" w:space="0" w:color="auto"/>
        <w:right w:val="none" w:sz="0" w:space="0" w:color="auto"/>
      </w:divBdr>
    </w:div>
    <w:div w:id="733893508">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768165650">
      <w:bodyDiv w:val="1"/>
      <w:marLeft w:val="0"/>
      <w:marRight w:val="0"/>
      <w:marTop w:val="0"/>
      <w:marBottom w:val="0"/>
      <w:divBdr>
        <w:top w:val="none" w:sz="0" w:space="0" w:color="auto"/>
        <w:left w:val="none" w:sz="0" w:space="0" w:color="auto"/>
        <w:bottom w:val="none" w:sz="0" w:space="0" w:color="auto"/>
        <w:right w:val="none" w:sz="0" w:space="0" w:color="auto"/>
      </w:divBdr>
    </w:div>
    <w:div w:id="807013343">
      <w:bodyDiv w:val="1"/>
      <w:marLeft w:val="0"/>
      <w:marRight w:val="0"/>
      <w:marTop w:val="0"/>
      <w:marBottom w:val="0"/>
      <w:divBdr>
        <w:top w:val="none" w:sz="0" w:space="0" w:color="auto"/>
        <w:left w:val="none" w:sz="0" w:space="0" w:color="auto"/>
        <w:bottom w:val="none" w:sz="0" w:space="0" w:color="auto"/>
        <w:right w:val="none" w:sz="0" w:space="0" w:color="auto"/>
      </w:divBdr>
    </w:div>
    <w:div w:id="826168904">
      <w:bodyDiv w:val="1"/>
      <w:marLeft w:val="0"/>
      <w:marRight w:val="0"/>
      <w:marTop w:val="0"/>
      <w:marBottom w:val="0"/>
      <w:divBdr>
        <w:top w:val="none" w:sz="0" w:space="0" w:color="auto"/>
        <w:left w:val="none" w:sz="0" w:space="0" w:color="auto"/>
        <w:bottom w:val="none" w:sz="0" w:space="0" w:color="auto"/>
        <w:right w:val="none" w:sz="0" w:space="0" w:color="auto"/>
      </w:divBdr>
    </w:div>
    <w:div w:id="847986402">
      <w:bodyDiv w:val="1"/>
      <w:marLeft w:val="0"/>
      <w:marRight w:val="0"/>
      <w:marTop w:val="0"/>
      <w:marBottom w:val="0"/>
      <w:divBdr>
        <w:top w:val="none" w:sz="0" w:space="0" w:color="auto"/>
        <w:left w:val="none" w:sz="0" w:space="0" w:color="auto"/>
        <w:bottom w:val="none" w:sz="0" w:space="0" w:color="auto"/>
        <w:right w:val="none" w:sz="0" w:space="0" w:color="auto"/>
      </w:divBdr>
    </w:div>
    <w:div w:id="875585743">
      <w:bodyDiv w:val="1"/>
      <w:marLeft w:val="0"/>
      <w:marRight w:val="0"/>
      <w:marTop w:val="0"/>
      <w:marBottom w:val="0"/>
      <w:divBdr>
        <w:top w:val="none" w:sz="0" w:space="0" w:color="auto"/>
        <w:left w:val="none" w:sz="0" w:space="0" w:color="auto"/>
        <w:bottom w:val="none" w:sz="0" w:space="0" w:color="auto"/>
        <w:right w:val="none" w:sz="0" w:space="0" w:color="auto"/>
      </w:divBdr>
    </w:div>
    <w:div w:id="887230572">
      <w:bodyDiv w:val="1"/>
      <w:marLeft w:val="0"/>
      <w:marRight w:val="0"/>
      <w:marTop w:val="0"/>
      <w:marBottom w:val="0"/>
      <w:divBdr>
        <w:top w:val="none" w:sz="0" w:space="0" w:color="auto"/>
        <w:left w:val="none" w:sz="0" w:space="0" w:color="auto"/>
        <w:bottom w:val="none" w:sz="0" w:space="0" w:color="auto"/>
        <w:right w:val="none" w:sz="0" w:space="0" w:color="auto"/>
      </w:divBdr>
    </w:div>
    <w:div w:id="947545281">
      <w:bodyDiv w:val="1"/>
      <w:marLeft w:val="0"/>
      <w:marRight w:val="0"/>
      <w:marTop w:val="0"/>
      <w:marBottom w:val="0"/>
      <w:divBdr>
        <w:top w:val="none" w:sz="0" w:space="0" w:color="auto"/>
        <w:left w:val="none" w:sz="0" w:space="0" w:color="auto"/>
        <w:bottom w:val="none" w:sz="0" w:space="0" w:color="auto"/>
        <w:right w:val="none" w:sz="0" w:space="0" w:color="auto"/>
      </w:divBdr>
    </w:div>
    <w:div w:id="984234434">
      <w:bodyDiv w:val="1"/>
      <w:marLeft w:val="0"/>
      <w:marRight w:val="0"/>
      <w:marTop w:val="0"/>
      <w:marBottom w:val="0"/>
      <w:divBdr>
        <w:top w:val="none" w:sz="0" w:space="0" w:color="auto"/>
        <w:left w:val="none" w:sz="0" w:space="0" w:color="auto"/>
        <w:bottom w:val="none" w:sz="0" w:space="0" w:color="auto"/>
        <w:right w:val="none" w:sz="0" w:space="0" w:color="auto"/>
      </w:divBdr>
    </w:div>
    <w:div w:id="1009454383">
      <w:bodyDiv w:val="1"/>
      <w:marLeft w:val="0"/>
      <w:marRight w:val="0"/>
      <w:marTop w:val="0"/>
      <w:marBottom w:val="0"/>
      <w:divBdr>
        <w:top w:val="none" w:sz="0" w:space="0" w:color="auto"/>
        <w:left w:val="none" w:sz="0" w:space="0" w:color="auto"/>
        <w:bottom w:val="none" w:sz="0" w:space="0" w:color="auto"/>
        <w:right w:val="none" w:sz="0" w:space="0" w:color="auto"/>
      </w:divBdr>
    </w:div>
    <w:div w:id="1023170302">
      <w:bodyDiv w:val="1"/>
      <w:marLeft w:val="0"/>
      <w:marRight w:val="0"/>
      <w:marTop w:val="0"/>
      <w:marBottom w:val="0"/>
      <w:divBdr>
        <w:top w:val="none" w:sz="0" w:space="0" w:color="auto"/>
        <w:left w:val="none" w:sz="0" w:space="0" w:color="auto"/>
        <w:bottom w:val="none" w:sz="0" w:space="0" w:color="auto"/>
        <w:right w:val="none" w:sz="0" w:space="0" w:color="auto"/>
      </w:divBdr>
    </w:div>
    <w:div w:id="1023290362">
      <w:bodyDiv w:val="1"/>
      <w:marLeft w:val="0"/>
      <w:marRight w:val="0"/>
      <w:marTop w:val="0"/>
      <w:marBottom w:val="0"/>
      <w:divBdr>
        <w:top w:val="none" w:sz="0" w:space="0" w:color="auto"/>
        <w:left w:val="none" w:sz="0" w:space="0" w:color="auto"/>
        <w:bottom w:val="none" w:sz="0" w:space="0" w:color="auto"/>
        <w:right w:val="none" w:sz="0" w:space="0" w:color="auto"/>
      </w:divBdr>
    </w:div>
    <w:div w:id="1023672875">
      <w:bodyDiv w:val="1"/>
      <w:marLeft w:val="0"/>
      <w:marRight w:val="0"/>
      <w:marTop w:val="0"/>
      <w:marBottom w:val="0"/>
      <w:divBdr>
        <w:top w:val="none" w:sz="0" w:space="0" w:color="auto"/>
        <w:left w:val="none" w:sz="0" w:space="0" w:color="auto"/>
        <w:bottom w:val="none" w:sz="0" w:space="0" w:color="auto"/>
        <w:right w:val="none" w:sz="0" w:space="0" w:color="auto"/>
      </w:divBdr>
    </w:div>
    <w:div w:id="1038505346">
      <w:bodyDiv w:val="1"/>
      <w:marLeft w:val="0"/>
      <w:marRight w:val="0"/>
      <w:marTop w:val="0"/>
      <w:marBottom w:val="0"/>
      <w:divBdr>
        <w:top w:val="none" w:sz="0" w:space="0" w:color="auto"/>
        <w:left w:val="none" w:sz="0" w:space="0" w:color="auto"/>
        <w:bottom w:val="none" w:sz="0" w:space="0" w:color="auto"/>
        <w:right w:val="none" w:sz="0" w:space="0" w:color="auto"/>
      </w:divBdr>
    </w:div>
    <w:div w:id="1074621550">
      <w:bodyDiv w:val="1"/>
      <w:marLeft w:val="0"/>
      <w:marRight w:val="0"/>
      <w:marTop w:val="0"/>
      <w:marBottom w:val="0"/>
      <w:divBdr>
        <w:top w:val="none" w:sz="0" w:space="0" w:color="auto"/>
        <w:left w:val="none" w:sz="0" w:space="0" w:color="auto"/>
        <w:bottom w:val="none" w:sz="0" w:space="0" w:color="auto"/>
        <w:right w:val="none" w:sz="0" w:space="0" w:color="auto"/>
      </w:divBdr>
    </w:div>
    <w:div w:id="1075668833">
      <w:bodyDiv w:val="1"/>
      <w:marLeft w:val="0"/>
      <w:marRight w:val="0"/>
      <w:marTop w:val="0"/>
      <w:marBottom w:val="0"/>
      <w:divBdr>
        <w:top w:val="none" w:sz="0" w:space="0" w:color="auto"/>
        <w:left w:val="none" w:sz="0" w:space="0" w:color="auto"/>
        <w:bottom w:val="none" w:sz="0" w:space="0" w:color="auto"/>
        <w:right w:val="none" w:sz="0" w:space="0" w:color="auto"/>
      </w:divBdr>
    </w:div>
    <w:div w:id="1115127493">
      <w:bodyDiv w:val="1"/>
      <w:marLeft w:val="0"/>
      <w:marRight w:val="0"/>
      <w:marTop w:val="0"/>
      <w:marBottom w:val="0"/>
      <w:divBdr>
        <w:top w:val="none" w:sz="0" w:space="0" w:color="auto"/>
        <w:left w:val="none" w:sz="0" w:space="0" w:color="auto"/>
        <w:bottom w:val="none" w:sz="0" w:space="0" w:color="auto"/>
        <w:right w:val="none" w:sz="0" w:space="0" w:color="auto"/>
      </w:divBdr>
    </w:div>
    <w:div w:id="1131898509">
      <w:bodyDiv w:val="1"/>
      <w:marLeft w:val="0"/>
      <w:marRight w:val="0"/>
      <w:marTop w:val="0"/>
      <w:marBottom w:val="0"/>
      <w:divBdr>
        <w:top w:val="none" w:sz="0" w:space="0" w:color="auto"/>
        <w:left w:val="none" w:sz="0" w:space="0" w:color="auto"/>
        <w:bottom w:val="none" w:sz="0" w:space="0" w:color="auto"/>
        <w:right w:val="none" w:sz="0" w:space="0" w:color="auto"/>
      </w:divBdr>
    </w:div>
    <w:div w:id="1177113024">
      <w:bodyDiv w:val="1"/>
      <w:marLeft w:val="0"/>
      <w:marRight w:val="0"/>
      <w:marTop w:val="0"/>
      <w:marBottom w:val="0"/>
      <w:divBdr>
        <w:top w:val="none" w:sz="0" w:space="0" w:color="auto"/>
        <w:left w:val="none" w:sz="0" w:space="0" w:color="auto"/>
        <w:bottom w:val="none" w:sz="0" w:space="0" w:color="auto"/>
        <w:right w:val="none" w:sz="0" w:space="0" w:color="auto"/>
      </w:divBdr>
    </w:div>
    <w:div w:id="1191988042">
      <w:bodyDiv w:val="1"/>
      <w:marLeft w:val="0"/>
      <w:marRight w:val="0"/>
      <w:marTop w:val="0"/>
      <w:marBottom w:val="0"/>
      <w:divBdr>
        <w:top w:val="none" w:sz="0" w:space="0" w:color="auto"/>
        <w:left w:val="none" w:sz="0" w:space="0" w:color="auto"/>
        <w:bottom w:val="none" w:sz="0" w:space="0" w:color="auto"/>
        <w:right w:val="none" w:sz="0" w:space="0" w:color="auto"/>
      </w:divBdr>
    </w:div>
    <w:div w:id="1217165352">
      <w:bodyDiv w:val="1"/>
      <w:marLeft w:val="0"/>
      <w:marRight w:val="0"/>
      <w:marTop w:val="0"/>
      <w:marBottom w:val="0"/>
      <w:divBdr>
        <w:top w:val="none" w:sz="0" w:space="0" w:color="auto"/>
        <w:left w:val="none" w:sz="0" w:space="0" w:color="auto"/>
        <w:bottom w:val="none" w:sz="0" w:space="0" w:color="auto"/>
        <w:right w:val="none" w:sz="0" w:space="0" w:color="auto"/>
      </w:divBdr>
    </w:div>
    <w:div w:id="123084331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5068640">
      <w:bodyDiv w:val="1"/>
      <w:marLeft w:val="0"/>
      <w:marRight w:val="0"/>
      <w:marTop w:val="0"/>
      <w:marBottom w:val="0"/>
      <w:divBdr>
        <w:top w:val="none" w:sz="0" w:space="0" w:color="auto"/>
        <w:left w:val="none" w:sz="0" w:space="0" w:color="auto"/>
        <w:bottom w:val="none" w:sz="0" w:space="0" w:color="auto"/>
        <w:right w:val="none" w:sz="0" w:space="0" w:color="auto"/>
      </w:divBdr>
    </w:div>
    <w:div w:id="1275404154">
      <w:bodyDiv w:val="1"/>
      <w:marLeft w:val="0"/>
      <w:marRight w:val="0"/>
      <w:marTop w:val="0"/>
      <w:marBottom w:val="0"/>
      <w:divBdr>
        <w:top w:val="none" w:sz="0" w:space="0" w:color="auto"/>
        <w:left w:val="none" w:sz="0" w:space="0" w:color="auto"/>
        <w:bottom w:val="none" w:sz="0" w:space="0" w:color="auto"/>
        <w:right w:val="none" w:sz="0" w:space="0" w:color="auto"/>
      </w:divBdr>
    </w:div>
    <w:div w:id="1278950009">
      <w:bodyDiv w:val="1"/>
      <w:marLeft w:val="0"/>
      <w:marRight w:val="0"/>
      <w:marTop w:val="0"/>
      <w:marBottom w:val="0"/>
      <w:divBdr>
        <w:top w:val="none" w:sz="0" w:space="0" w:color="auto"/>
        <w:left w:val="none" w:sz="0" w:space="0" w:color="auto"/>
        <w:bottom w:val="none" w:sz="0" w:space="0" w:color="auto"/>
        <w:right w:val="none" w:sz="0" w:space="0" w:color="auto"/>
      </w:divBdr>
    </w:div>
    <w:div w:id="1294092112">
      <w:bodyDiv w:val="1"/>
      <w:marLeft w:val="0"/>
      <w:marRight w:val="0"/>
      <w:marTop w:val="0"/>
      <w:marBottom w:val="0"/>
      <w:divBdr>
        <w:top w:val="none" w:sz="0" w:space="0" w:color="auto"/>
        <w:left w:val="none" w:sz="0" w:space="0" w:color="auto"/>
        <w:bottom w:val="none" w:sz="0" w:space="0" w:color="auto"/>
        <w:right w:val="none" w:sz="0" w:space="0" w:color="auto"/>
      </w:divBdr>
    </w:div>
    <w:div w:id="1310863805">
      <w:bodyDiv w:val="1"/>
      <w:marLeft w:val="0"/>
      <w:marRight w:val="0"/>
      <w:marTop w:val="0"/>
      <w:marBottom w:val="0"/>
      <w:divBdr>
        <w:top w:val="none" w:sz="0" w:space="0" w:color="auto"/>
        <w:left w:val="none" w:sz="0" w:space="0" w:color="auto"/>
        <w:bottom w:val="none" w:sz="0" w:space="0" w:color="auto"/>
        <w:right w:val="none" w:sz="0" w:space="0" w:color="auto"/>
      </w:divBdr>
    </w:div>
    <w:div w:id="132057354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48408456">
      <w:bodyDiv w:val="1"/>
      <w:marLeft w:val="0"/>
      <w:marRight w:val="0"/>
      <w:marTop w:val="0"/>
      <w:marBottom w:val="0"/>
      <w:divBdr>
        <w:top w:val="none" w:sz="0" w:space="0" w:color="auto"/>
        <w:left w:val="none" w:sz="0" w:space="0" w:color="auto"/>
        <w:bottom w:val="none" w:sz="0" w:space="0" w:color="auto"/>
        <w:right w:val="none" w:sz="0" w:space="0" w:color="auto"/>
      </w:divBdr>
    </w:div>
    <w:div w:id="1364863753">
      <w:bodyDiv w:val="1"/>
      <w:marLeft w:val="0"/>
      <w:marRight w:val="0"/>
      <w:marTop w:val="0"/>
      <w:marBottom w:val="0"/>
      <w:divBdr>
        <w:top w:val="none" w:sz="0" w:space="0" w:color="auto"/>
        <w:left w:val="none" w:sz="0" w:space="0" w:color="auto"/>
        <w:bottom w:val="none" w:sz="0" w:space="0" w:color="auto"/>
        <w:right w:val="none" w:sz="0" w:space="0" w:color="auto"/>
      </w:divBdr>
    </w:div>
    <w:div w:id="1373384719">
      <w:bodyDiv w:val="1"/>
      <w:marLeft w:val="0"/>
      <w:marRight w:val="0"/>
      <w:marTop w:val="0"/>
      <w:marBottom w:val="0"/>
      <w:divBdr>
        <w:top w:val="none" w:sz="0" w:space="0" w:color="auto"/>
        <w:left w:val="none" w:sz="0" w:space="0" w:color="auto"/>
        <w:bottom w:val="none" w:sz="0" w:space="0" w:color="auto"/>
        <w:right w:val="none" w:sz="0" w:space="0" w:color="auto"/>
      </w:divBdr>
    </w:div>
    <w:div w:id="1407216954">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449740933">
      <w:bodyDiv w:val="1"/>
      <w:marLeft w:val="0"/>
      <w:marRight w:val="0"/>
      <w:marTop w:val="0"/>
      <w:marBottom w:val="0"/>
      <w:divBdr>
        <w:top w:val="none" w:sz="0" w:space="0" w:color="auto"/>
        <w:left w:val="none" w:sz="0" w:space="0" w:color="auto"/>
        <w:bottom w:val="none" w:sz="0" w:space="0" w:color="auto"/>
        <w:right w:val="none" w:sz="0" w:space="0" w:color="auto"/>
      </w:divBdr>
    </w:div>
    <w:div w:id="1457017937">
      <w:bodyDiv w:val="1"/>
      <w:marLeft w:val="0"/>
      <w:marRight w:val="0"/>
      <w:marTop w:val="0"/>
      <w:marBottom w:val="0"/>
      <w:divBdr>
        <w:top w:val="none" w:sz="0" w:space="0" w:color="auto"/>
        <w:left w:val="none" w:sz="0" w:space="0" w:color="auto"/>
        <w:bottom w:val="none" w:sz="0" w:space="0" w:color="auto"/>
        <w:right w:val="none" w:sz="0" w:space="0" w:color="auto"/>
      </w:divBdr>
    </w:div>
    <w:div w:id="1475222423">
      <w:bodyDiv w:val="1"/>
      <w:marLeft w:val="0"/>
      <w:marRight w:val="0"/>
      <w:marTop w:val="0"/>
      <w:marBottom w:val="0"/>
      <w:divBdr>
        <w:top w:val="none" w:sz="0" w:space="0" w:color="auto"/>
        <w:left w:val="none" w:sz="0" w:space="0" w:color="auto"/>
        <w:bottom w:val="none" w:sz="0" w:space="0" w:color="auto"/>
        <w:right w:val="none" w:sz="0" w:space="0" w:color="auto"/>
      </w:divBdr>
    </w:div>
    <w:div w:id="1497305503">
      <w:bodyDiv w:val="1"/>
      <w:marLeft w:val="0"/>
      <w:marRight w:val="0"/>
      <w:marTop w:val="0"/>
      <w:marBottom w:val="0"/>
      <w:divBdr>
        <w:top w:val="none" w:sz="0" w:space="0" w:color="auto"/>
        <w:left w:val="none" w:sz="0" w:space="0" w:color="auto"/>
        <w:bottom w:val="none" w:sz="0" w:space="0" w:color="auto"/>
        <w:right w:val="none" w:sz="0" w:space="0" w:color="auto"/>
      </w:divBdr>
    </w:div>
    <w:div w:id="1504589844">
      <w:bodyDiv w:val="1"/>
      <w:marLeft w:val="0"/>
      <w:marRight w:val="0"/>
      <w:marTop w:val="0"/>
      <w:marBottom w:val="0"/>
      <w:divBdr>
        <w:top w:val="none" w:sz="0" w:space="0" w:color="auto"/>
        <w:left w:val="none" w:sz="0" w:space="0" w:color="auto"/>
        <w:bottom w:val="none" w:sz="0" w:space="0" w:color="auto"/>
        <w:right w:val="none" w:sz="0" w:space="0" w:color="auto"/>
      </w:divBdr>
    </w:div>
    <w:div w:id="1511067015">
      <w:bodyDiv w:val="1"/>
      <w:marLeft w:val="0"/>
      <w:marRight w:val="0"/>
      <w:marTop w:val="0"/>
      <w:marBottom w:val="0"/>
      <w:divBdr>
        <w:top w:val="none" w:sz="0" w:space="0" w:color="auto"/>
        <w:left w:val="none" w:sz="0" w:space="0" w:color="auto"/>
        <w:bottom w:val="none" w:sz="0" w:space="0" w:color="auto"/>
        <w:right w:val="none" w:sz="0" w:space="0" w:color="auto"/>
      </w:divBdr>
    </w:div>
    <w:div w:id="1538395417">
      <w:bodyDiv w:val="1"/>
      <w:marLeft w:val="0"/>
      <w:marRight w:val="0"/>
      <w:marTop w:val="0"/>
      <w:marBottom w:val="0"/>
      <w:divBdr>
        <w:top w:val="none" w:sz="0" w:space="0" w:color="auto"/>
        <w:left w:val="none" w:sz="0" w:space="0" w:color="auto"/>
        <w:bottom w:val="none" w:sz="0" w:space="0" w:color="auto"/>
        <w:right w:val="none" w:sz="0" w:space="0" w:color="auto"/>
      </w:divBdr>
    </w:div>
    <w:div w:id="1552226690">
      <w:bodyDiv w:val="1"/>
      <w:marLeft w:val="0"/>
      <w:marRight w:val="0"/>
      <w:marTop w:val="0"/>
      <w:marBottom w:val="0"/>
      <w:divBdr>
        <w:top w:val="none" w:sz="0" w:space="0" w:color="auto"/>
        <w:left w:val="none" w:sz="0" w:space="0" w:color="auto"/>
        <w:bottom w:val="none" w:sz="0" w:space="0" w:color="auto"/>
        <w:right w:val="none" w:sz="0" w:space="0" w:color="auto"/>
      </w:divBdr>
    </w:div>
    <w:div w:id="1570850154">
      <w:bodyDiv w:val="1"/>
      <w:marLeft w:val="0"/>
      <w:marRight w:val="0"/>
      <w:marTop w:val="0"/>
      <w:marBottom w:val="0"/>
      <w:divBdr>
        <w:top w:val="none" w:sz="0" w:space="0" w:color="auto"/>
        <w:left w:val="none" w:sz="0" w:space="0" w:color="auto"/>
        <w:bottom w:val="none" w:sz="0" w:space="0" w:color="auto"/>
        <w:right w:val="none" w:sz="0" w:space="0" w:color="auto"/>
      </w:divBdr>
    </w:div>
    <w:div w:id="1590651284">
      <w:bodyDiv w:val="1"/>
      <w:marLeft w:val="0"/>
      <w:marRight w:val="0"/>
      <w:marTop w:val="0"/>
      <w:marBottom w:val="0"/>
      <w:divBdr>
        <w:top w:val="none" w:sz="0" w:space="0" w:color="auto"/>
        <w:left w:val="none" w:sz="0" w:space="0" w:color="auto"/>
        <w:bottom w:val="none" w:sz="0" w:space="0" w:color="auto"/>
        <w:right w:val="none" w:sz="0" w:space="0" w:color="auto"/>
      </w:divBdr>
    </w:div>
    <w:div w:id="1598829825">
      <w:bodyDiv w:val="1"/>
      <w:marLeft w:val="0"/>
      <w:marRight w:val="0"/>
      <w:marTop w:val="0"/>
      <w:marBottom w:val="0"/>
      <w:divBdr>
        <w:top w:val="none" w:sz="0" w:space="0" w:color="auto"/>
        <w:left w:val="none" w:sz="0" w:space="0" w:color="auto"/>
        <w:bottom w:val="none" w:sz="0" w:space="0" w:color="auto"/>
        <w:right w:val="none" w:sz="0" w:space="0" w:color="auto"/>
      </w:divBdr>
    </w:div>
    <w:div w:id="1601328689">
      <w:bodyDiv w:val="1"/>
      <w:marLeft w:val="0"/>
      <w:marRight w:val="0"/>
      <w:marTop w:val="0"/>
      <w:marBottom w:val="0"/>
      <w:divBdr>
        <w:top w:val="none" w:sz="0" w:space="0" w:color="auto"/>
        <w:left w:val="none" w:sz="0" w:space="0" w:color="auto"/>
        <w:bottom w:val="none" w:sz="0" w:space="0" w:color="auto"/>
        <w:right w:val="none" w:sz="0" w:space="0" w:color="auto"/>
      </w:divBdr>
    </w:div>
    <w:div w:id="1618564828">
      <w:bodyDiv w:val="1"/>
      <w:marLeft w:val="0"/>
      <w:marRight w:val="0"/>
      <w:marTop w:val="0"/>
      <w:marBottom w:val="0"/>
      <w:divBdr>
        <w:top w:val="none" w:sz="0" w:space="0" w:color="auto"/>
        <w:left w:val="none" w:sz="0" w:space="0" w:color="auto"/>
        <w:bottom w:val="none" w:sz="0" w:space="0" w:color="auto"/>
        <w:right w:val="none" w:sz="0" w:space="0" w:color="auto"/>
      </w:divBdr>
    </w:div>
    <w:div w:id="1657420703">
      <w:bodyDiv w:val="1"/>
      <w:marLeft w:val="0"/>
      <w:marRight w:val="0"/>
      <w:marTop w:val="0"/>
      <w:marBottom w:val="0"/>
      <w:divBdr>
        <w:top w:val="none" w:sz="0" w:space="0" w:color="auto"/>
        <w:left w:val="none" w:sz="0" w:space="0" w:color="auto"/>
        <w:bottom w:val="none" w:sz="0" w:space="0" w:color="auto"/>
        <w:right w:val="none" w:sz="0" w:space="0" w:color="auto"/>
      </w:divBdr>
    </w:div>
    <w:div w:id="1660771311">
      <w:bodyDiv w:val="1"/>
      <w:marLeft w:val="0"/>
      <w:marRight w:val="0"/>
      <w:marTop w:val="0"/>
      <w:marBottom w:val="0"/>
      <w:divBdr>
        <w:top w:val="none" w:sz="0" w:space="0" w:color="auto"/>
        <w:left w:val="none" w:sz="0" w:space="0" w:color="auto"/>
        <w:bottom w:val="none" w:sz="0" w:space="0" w:color="auto"/>
        <w:right w:val="none" w:sz="0" w:space="0" w:color="auto"/>
      </w:divBdr>
    </w:div>
    <w:div w:id="1668167986">
      <w:bodyDiv w:val="1"/>
      <w:marLeft w:val="0"/>
      <w:marRight w:val="0"/>
      <w:marTop w:val="0"/>
      <w:marBottom w:val="0"/>
      <w:divBdr>
        <w:top w:val="none" w:sz="0" w:space="0" w:color="auto"/>
        <w:left w:val="none" w:sz="0" w:space="0" w:color="auto"/>
        <w:bottom w:val="none" w:sz="0" w:space="0" w:color="auto"/>
        <w:right w:val="none" w:sz="0" w:space="0" w:color="auto"/>
      </w:divBdr>
    </w:div>
    <w:div w:id="1668358818">
      <w:bodyDiv w:val="1"/>
      <w:marLeft w:val="0"/>
      <w:marRight w:val="0"/>
      <w:marTop w:val="0"/>
      <w:marBottom w:val="0"/>
      <w:divBdr>
        <w:top w:val="none" w:sz="0" w:space="0" w:color="auto"/>
        <w:left w:val="none" w:sz="0" w:space="0" w:color="auto"/>
        <w:bottom w:val="none" w:sz="0" w:space="0" w:color="auto"/>
        <w:right w:val="none" w:sz="0" w:space="0" w:color="auto"/>
      </w:divBdr>
    </w:div>
    <w:div w:id="1699968939">
      <w:bodyDiv w:val="1"/>
      <w:marLeft w:val="0"/>
      <w:marRight w:val="0"/>
      <w:marTop w:val="0"/>
      <w:marBottom w:val="0"/>
      <w:divBdr>
        <w:top w:val="none" w:sz="0" w:space="0" w:color="auto"/>
        <w:left w:val="none" w:sz="0" w:space="0" w:color="auto"/>
        <w:bottom w:val="none" w:sz="0" w:space="0" w:color="auto"/>
        <w:right w:val="none" w:sz="0" w:space="0" w:color="auto"/>
      </w:divBdr>
    </w:div>
    <w:div w:id="1707876271">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729570759">
      <w:bodyDiv w:val="1"/>
      <w:marLeft w:val="0"/>
      <w:marRight w:val="0"/>
      <w:marTop w:val="0"/>
      <w:marBottom w:val="0"/>
      <w:divBdr>
        <w:top w:val="none" w:sz="0" w:space="0" w:color="auto"/>
        <w:left w:val="none" w:sz="0" w:space="0" w:color="auto"/>
        <w:bottom w:val="none" w:sz="0" w:space="0" w:color="auto"/>
        <w:right w:val="none" w:sz="0" w:space="0" w:color="auto"/>
      </w:divBdr>
    </w:div>
    <w:div w:id="1735622392">
      <w:bodyDiv w:val="1"/>
      <w:marLeft w:val="0"/>
      <w:marRight w:val="0"/>
      <w:marTop w:val="0"/>
      <w:marBottom w:val="0"/>
      <w:divBdr>
        <w:top w:val="none" w:sz="0" w:space="0" w:color="auto"/>
        <w:left w:val="none" w:sz="0" w:space="0" w:color="auto"/>
        <w:bottom w:val="none" w:sz="0" w:space="0" w:color="auto"/>
        <w:right w:val="none" w:sz="0" w:space="0" w:color="auto"/>
      </w:divBdr>
    </w:div>
    <w:div w:id="1747459665">
      <w:bodyDiv w:val="1"/>
      <w:marLeft w:val="0"/>
      <w:marRight w:val="0"/>
      <w:marTop w:val="0"/>
      <w:marBottom w:val="0"/>
      <w:divBdr>
        <w:top w:val="none" w:sz="0" w:space="0" w:color="auto"/>
        <w:left w:val="none" w:sz="0" w:space="0" w:color="auto"/>
        <w:bottom w:val="none" w:sz="0" w:space="0" w:color="auto"/>
        <w:right w:val="none" w:sz="0" w:space="0" w:color="auto"/>
      </w:divBdr>
    </w:div>
    <w:div w:id="1767382520">
      <w:bodyDiv w:val="1"/>
      <w:marLeft w:val="0"/>
      <w:marRight w:val="0"/>
      <w:marTop w:val="0"/>
      <w:marBottom w:val="0"/>
      <w:divBdr>
        <w:top w:val="none" w:sz="0" w:space="0" w:color="auto"/>
        <w:left w:val="none" w:sz="0" w:space="0" w:color="auto"/>
        <w:bottom w:val="none" w:sz="0" w:space="0" w:color="auto"/>
        <w:right w:val="none" w:sz="0" w:space="0" w:color="auto"/>
      </w:divBdr>
    </w:div>
    <w:div w:id="1783110018">
      <w:bodyDiv w:val="1"/>
      <w:marLeft w:val="0"/>
      <w:marRight w:val="0"/>
      <w:marTop w:val="0"/>
      <w:marBottom w:val="0"/>
      <w:divBdr>
        <w:top w:val="none" w:sz="0" w:space="0" w:color="auto"/>
        <w:left w:val="none" w:sz="0" w:space="0" w:color="auto"/>
        <w:bottom w:val="none" w:sz="0" w:space="0" w:color="auto"/>
        <w:right w:val="none" w:sz="0" w:space="0" w:color="auto"/>
      </w:divBdr>
    </w:div>
    <w:div w:id="1786926234">
      <w:bodyDiv w:val="1"/>
      <w:marLeft w:val="0"/>
      <w:marRight w:val="0"/>
      <w:marTop w:val="0"/>
      <w:marBottom w:val="0"/>
      <w:divBdr>
        <w:top w:val="none" w:sz="0" w:space="0" w:color="auto"/>
        <w:left w:val="none" w:sz="0" w:space="0" w:color="auto"/>
        <w:bottom w:val="none" w:sz="0" w:space="0" w:color="auto"/>
        <w:right w:val="none" w:sz="0" w:space="0" w:color="auto"/>
      </w:divBdr>
    </w:div>
    <w:div w:id="1819682585">
      <w:bodyDiv w:val="1"/>
      <w:marLeft w:val="0"/>
      <w:marRight w:val="0"/>
      <w:marTop w:val="0"/>
      <w:marBottom w:val="0"/>
      <w:divBdr>
        <w:top w:val="none" w:sz="0" w:space="0" w:color="auto"/>
        <w:left w:val="none" w:sz="0" w:space="0" w:color="auto"/>
        <w:bottom w:val="none" w:sz="0" w:space="0" w:color="auto"/>
        <w:right w:val="none" w:sz="0" w:space="0" w:color="auto"/>
      </w:divBdr>
    </w:div>
    <w:div w:id="1866408983">
      <w:bodyDiv w:val="1"/>
      <w:marLeft w:val="0"/>
      <w:marRight w:val="0"/>
      <w:marTop w:val="0"/>
      <w:marBottom w:val="0"/>
      <w:divBdr>
        <w:top w:val="none" w:sz="0" w:space="0" w:color="auto"/>
        <w:left w:val="none" w:sz="0" w:space="0" w:color="auto"/>
        <w:bottom w:val="none" w:sz="0" w:space="0" w:color="auto"/>
        <w:right w:val="none" w:sz="0" w:space="0" w:color="auto"/>
      </w:divBdr>
    </w:div>
    <w:div w:id="1890871238">
      <w:bodyDiv w:val="1"/>
      <w:marLeft w:val="0"/>
      <w:marRight w:val="0"/>
      <w:marTop w:val="0"/>
      <w:marBottom w:val="0"/>
      <w:divBdr>
        <w:top w:val="none" w:sz="0" w:space="0" w:color="auto"/>
        <w:left w:val="none" w:sz="0" w:space="0" w:color="auto"/>
        <w:bottom w:val="none" w:sz="0" w:space="0" w:color="auto"/>
        <w:right w:val="none" w:sz="0" w:space="0" w:color="auto"/>
      </w:divBdr>
    </w:div>
    <w:div w:id="190382904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6456723">
      <w:bodyDiv w:val="1"/>
      <w:marLeft w:val="0"/>
      <w:marRight w:val="0"/>
      <w:marTop w:val="0"/>
      <w:marBottom w:val="0"/>
      <w:divBdr>
        <w:top w:val="none" w:sz="0" w:space="0" w:color="auto"/>
        <w:left w:val="none" w:sz="0" w:space="0" w:color="auto"/>
        <w:bottom w:val="none" w:sz="0" w:space="0" w:color="auto"/>
        <w:right w:val="none" w:sz="0" w:space="0" w:color="auto"/>
      </w:divBdr>
    </w:div>
    <w:div w:id="1926962097">
      <w:bodyDiv w:val="1"/>
      <w:marLeft w:val="0"/>
      <w:marRight w:val="0"/>
      <w:marTop w:val="0"/>
      <w:marBottom w:val="0"/>
      <w:divBdr>
        <w:top w:val="none" w:sz="0" w:space="0" w:color="auto"/>
        <w:left w:val="none" w:sz="0" w:space="0" w:color="auto"/>
        <w:bottom w:val="none" w:sz="0" w:space="0" w:color="auto"/>
        <w:right w:val="none" w:sz="0" w:space="0" w:color="auto"/>
      </w:divBdr>
    </w:div>
    <w:div w:id="1930314528">
      <w:bodyDiv w:val="1"/>
      <w:marLeft w:val="0"/>
      <w:marRight w:val="0"/>
      <w:marTop w:val="0"/>
      <w:marBottom w:val="0"/>
      <w:divBdr>
        <w:top w:val="none" w:sz="0" w:space="0" w:color="auto"/>
        <w:left w:val="none" w:sz="0" w:space="0" w:color="auto"/>
        <w:bottom w:val="none" w:sz="0" w:space="0" w:color="auto"/>
        <w:right w:val="none" w:sz="0" w:space="0" w:color="auto"/>
      </w:divBdr>
    </w:div>
    <w:div w:id="1963151638">
      <w:bodyDiv w:val="1"/>
      <w:marLeft w:val="0"/>
      <w:marRight w:val="0"/>
      <w:marTop w:val="0"/>
      <w:marBottom w:val="0"/>
      <w:divBdr>
        <w:top w:val="none" w:sz="0" w:space="0" w:color="auto"/>
        <w:left w:val="none" w:sz="0" w:space="0" w:color="auto"/>
        <w:bottom w:val="none" w:sz="0" w:space="0" w:color="auto"/>
        <w:right w:val="none" w:sz="0" w:space="0" w:color="auto"/>
      </w:divBdr>
    </w:div>
    <w:div w:id="1972594570">
      <w:bodyDiv w:val="1"/>
      <w:marLeft w:val="0"/>
      <w:marRight w:val="0"/>
      <w:marTop w:val="0"/>
      <w:marBottom w:val="0"/>
      <w:divBdr>
        <w:top w:val="none" w:sz="0" w:space="0" w:color="auto"/>
        <w:left w:val="none" w:sz="0" w:space="0" w:color="auto"/>
        <w:bottom w:val="none" w:sz="0" w:space="0" w:color="auto"/>
        <w:right w:val="none" w:sz="0" w:space="0" w:color="auto"/>
      </w:divBdr>
    </w:div>
    <w:div w:id="1973753586">
      <w:bodyDiv w:val="1"/>
      <w:marLeft w:val="0"/>
      <w:marRight w:val="0"/>
      <w:marTop w:val="0"/>
      <w:marBottom w:val="0"/>
      <w:divBdr>
        <w:top w:val="none" w:sz="0" w:space="0" w:color="auto"/>
        <w:left w:val="none" w:sz="0" w:space="0" w:color="auto"/>
        <w:bottom w:val="none" w:sz="0" w:space="0" w:color="auto"/>
        <w:right w:val="none" w:sz="0" w:space="0" w:color="auto"/>
      </w:divBdr>
    </w:div>
    <w:div w:id="1994482651">
      <w:bodyDiv w:val="1"/>
      <w:marLeft w:val="0"/>
      <w:marRight w:val="0"/>
      <w:marTop w:val="0"/>
      <w:marBottom w:val="0"/>
      <w:divBdr>
        <w:top w:val="none" w:sz="0" w:space="0" w:color="auto"/>
        <w:left w:val="none" w:sz="0" w:space="0" w:color="auto"/>
        <w:bottom w:val="none" w:sz="0" w:space="0" w:color="auto"/>
        <w:right w:val="none" w:sz="0" w:space="0" w:color="auto"/>
      </w:divBdr>
    </w:div>
    <w:div w:id="2006005888">
      <w:bodyDiv w:val="1"/>
      <w:marLeft w:val="0"/>
      <w:marRight w:val="0"/>
      <w:marTop w:val="0"/>
      <w:marBottom w:val="0"/>
      <w:divBdr>
        <w:top w:val="none" w:sz="0" w:space="0" w:color="auto"/>
        <w:left w:val="none" w:sz="0" w:space="0" w:color="auto"/>
        <w:bottom w:val="none" w:sz="0" w:space="0" w:color="auto"/>
        <w:right w:val="none" w:sz="0" w:space="0" w:color="auto"/>
      </w:divBdr>
    </w:div>
    <w:div w:id="2031447096">
      <w:bodyDiv w:val="1"/>
      <w:marLeft w:val="0"/>
      <w:marRight w:val="0"/>
      <w:marTop w:val="0"/>
      <w:marBottom w:val="0"/>
      <w:divBdr>
        <w:top w:val="none" w:sz="0" w:space="0" w:color="auto"/>
        <w:left w:val="none" w:sz="0" w:space="0" w:color="auto"/>
        <w:bottom w:val="none" w:sz="0" w:space="0" w:color="auto"/>
        <w:right w:val="none" w:sz="0" w:space="0" w:color="auto"/>
      </w:divBdr>
    </w:div>
    <w:div w:id="2039115868">
      <w:bodyDiv w:val="1"/>
      <w:marLeft w:val="0"/>
      <w:marRight w:val="0"/>
      <w:marTop w:val="0"/>
      <w:marBottom w:val="0"/>
      <w:divBdr>
        <w:top w:val="none" w:sz="0" w:space="0" w:color="auto"/>
        <w:left w:val="none" w:sz="0" w:space="0" w:color="auto"/>
        <w:bottom w:val="none" w:sz="0" w:space="0" w:color="auto"/>
        <w:right w:val="none" w:sz="0" w:space="0" w:color="auto"/>
      </w:divBdr>
    </w:div>
    <w:div w:id="2056272286">
      <w:bodyDiv w:val="1"/>
      <w:marLeft w:val="0"/>
      <w:marRight w:val="0"/>
      <w:marTop w:val="0"/>
      <w:marBottom w:val="0"/>
      <w:divBdr>
        <w:top w:val="none" w:sz="0" w:space="0" w:color="auto"/>
        <w:left w:val="none" w:sz="0" w:space="0" w:color="auto"/>
        <w:bottom w:val="none" w:sz="0" w:space="0" w:color="auto"/>
        <w:right w:val="none" w:sz="0" w:space="0" w:color="auto"/>
      </w:divBdr>
    </w:div>
    <w:div w:id="2060085328">
      <w:bodyDiv w:val="1"/>
      <w:marLeft w:val="0"/>
      <w:marRight w:val="0"/>
      <w:marTop w:val="0"/>
      <w:marBottom w:val="0"/>
      <w:divBdr>
        <w:top w:val="none" w:sz="0" w:space="0" w:color="auto"/>
        <w:left w:val="none" w:sz="0" w:space="0" w:color="auto"/>
        <w:bottom w:val="none" w:sz="0" w:space="0" w:color="auto"/>
        <w:right w:val="none" w:sz="0" w:space="0" w:color="auto"/>
      </w:divBdr>
    </w:div>
    <w:div w:id="2076779061">
      <w:bodyDiv w:val="1"/>
      <w:marLeft w:val="0"/>
      <w:marRight w:val="0"/>
      <w:marTop w:val="0"/>
      <w:marBottom w:val="0"/>
      <w:divBdr>
        <w:top w:val="none" w:sz="0" w:space="0" w:color="auto"/>
        <w:left w:val="none" w:sz="0" w:space="0" w:color="auto"/>
        <w:bottom w:val="none" w:sz="0" w:space="0" w:color="auto"/>
        <w:right w:val="none" w:sz="0" w:space="0" w:color="auto"/>
      </w:divBdr>
    </w:div>
    <w:div w:id="2097090673">
      <w:bodyDiv w:val="1"/>
      <w:marLeft w:val="0"/>
      <w:marRight w:val="0"/>
      <w:marTop w:val="0"/>
      <w:marBottom w:val="0"/>
      <w:divBdr>
        <w:top w:val="none" w:sz="0" w:space="0" w:color="auto"/>
        <w:left w:val="none" w:sz="0" w:space="0" w:color="auto"/>
        <w:bottom w:val="none" w:sz="0" w:space="0" w:color="auto"/>
        <w:right w:val="none" w:sz="0" w:space="0" w:color="auto"/>
      </w:divBdr>
    </w:div>
    <w:div w:id="212796092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 w:id="2130664326">
      <w:bodyDiv w:val="1"/>
      <w:marLeft w:val="0"/>
      <w:marRight w:val="0"/>
      <w:marTop w:val="0"/>
      <w:marBottom w:val="0"/>
      <w:divBdr>
        <w:top w:val="none" w:sz="0" w:space="0" w:color="auto"/>
        <w:left w:val="none" w:sz="0" w:space="0" w:color="auto"/>
        <w:bottom w:val="none" w:sz="0" w:space="0" w:color="auto"/>
        <w:right w:val="none" w:sz="0" w:space="0" w:color="auto"/>
      </w:divBdr>
    </w:div>
    <w:div w:id="21449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9" Type="http://schemas.openxmlformats.org/officeDocument/2006/relationships/footer" Target="footer3.xml"/><Relationship Id="rId21" Type="http://schemas.openxmlformats.org/officeDocument/2006/relationships/image" Target="media/image14.png"/><Relationship Id="rId34" Type="http://schemas.openxmlformats.org/officeDocument/2006/relationships/image" Target="media/image23.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mailto:obslugaprasowa@stat.gov.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1.png"/><Relationship Id="rId37" Type="http://schemas.openxmlformats.org/officeDocument/2006/relationships/hyperlink" Target="http://stat.gov.pl/metainformacje/slownik-pojec/pojecia-stosowane-w-statystyce-publicznej/313,pojecie.html"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36" Type="http://schemas.openxmlformats.org/officeDocument/2006/relationships/hyperlink" Target="https://stat.gov.pl/obszary-tematyczne/koniunktura/"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33" Type="http://schemas.openxmlformats.org/officeDocument/2006/relationships/image" Target="media/image22.png"/><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Koniunktura w gospodarstwach rolnym w pierwszym półroczu 2024 roku.docx</NazwaPliku>
    <Osoba xmlns="1E9983FF-DC4B-4F4E-A072-0441E2B88E6D">STAT\JANKOWSKAA</Osoba>
    <Odbiorcy2 xmlns="1E9983FF-DC4B-4F4E-A072-0441E2B88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373B0-EED0-4D7A-8F82-AEEE10E26278}">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F0E2DEDA-484A-42F0-88A5-DA26377E4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8BF10-B2C7-4DF6-AEE0-81A237A6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3484</Words>
  <Characters>20904</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Koniunktura w gospodarstwach rolnych</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Koniunktura w gospodarstwach rolnych</dc:title>
  <dc:subject/>
  <dc:creator>Główny Urząd Statystyczny</dc:creator>
  <cp:keywords/>
  <dc:description/>
  <cp:lastPrinted>2025-09-11T12:57:00Z</cp:lastPrinted>
  <dcterms:created xsi:type="dcterms:W3CDTF">2025-09-24T09:01:00Z</dcterms:created>
  <dcterms:modified xsi:type="dcterms:W3CDTF">2025-09-29T12:48:00Z</dcterms:modified>
</cp:coreProperties>
</file>