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206D7" w14:textId="12262D0C" w:rsidR="000168FF" w:rsidRPr="0041606C" w:rsidRDefault="00C67C6D" w:rsidP="00C14D8E">
      <w:pPr>
        <w:pStyle w:val="tytuinformacji"/>
        <w:spacing w:after="600"/>
        <w:rPr>
          <w:shd w:val="clear" w:color="auto" w:fill="FFFFFF"/>
          <w:lang w:val="en-GB"/>
        </w:rPr>
      </w:pPr>
      <w:r w:rsidRPr="0041606C">
        <w:rPr>
          <w:shd w:val="clear" w:color="auto" w:fill="FFFFFF"/>
          <w:lang w:val="en-GB"/>
        </w:rPr>
        <w:t>Entities of the national economy in border areas in Poland in</w:t>
      </w:r>
      <w:r w:rsidR="00DD42E7" w:rsidRPr="0041606C">
        <w:rPr>
          <w:shd w:val="clear" w:color="auto" w:fill="FFFFFF"/>
          <w:lang w:val="en-GB"/>
        </w:rPr>
        <w:t xml:space="preserve"> 20</w:t>
      </w:r>
      <w:r w:rsidR="007539C3" w:rsidRPr="0041606C">
        <w:rPr>
          <w:shd w:val="clear" w:color="auto" w:fill="FFFFFF"/>
          <w:lang w:val="en-GB"/>
        </w:rPr>
        <w:t>2</w:t>
      </w:r>
      <w:r w:rsidRPr="0041606C">
        <w:rPr>
          <w:shd w:val="clear" w:color="auto" w:fill="FFFFFF"/>
          <w:lang w:val="en-GB"/>
        </w:rPr>
        <w:t>5</w:t>
      </w:r>
    </w:p>
    <w:p w14:paraId="7B920C38" w14:textId="2D72CDC9" w:rsidR="005916D7" w:rsidRPr="0041606C" w:rsidRDefault="00867B55" w:rsidP="00DE01C8">
      <w:pPr>
        <w:pStyle w:val="LID"/>
        <w:rPr>
          <w:lang w:val="en-GB"/>
        </w:rPr>
      </w:pPr>
      <w:r w:rsidRPr="0041606C">
        <w:rPr>
          <w:color w:val="001D77"/>
          <w:lang w:val="en-GB"/>
        </w:rPr>
        <mc:AlternateContent>
          <mc:Choice Requires="wps">
            <w:drawing>
              <wp:anchor distT="45720" distB="45720" distL="114300" distR="114300" simplePos="0" relativeHeight="251763712" behindDoc="0" locked="0" layoutInCell="1" allowOverlap="1" wp14:anchorId="2813CC7B" wp14:editId="246F7F47">
                <wp:simplePos x="0" y="0"/>
                <wp:positionH relativeFrom="margin">
                  <wp:align>left</wp:align>
                </wp:positionH>
                <wp:positionV relativeFrom="paragraph">
                  <wp:posOffset>13335</wp:posOffset>
                </wp:positionV>
                <wp:extent cx="2329180" cy="1327785"/>
                <wp:effectExtent l="0" t="0" r="0" b="5715"/>
                <wp:wrapSquare wrapText="bothSides"/>
                <wp:docPr id="6" name="Pole tekstowe 2" descr="Arrowhead icon pointing upwards, indicating an increase of 1.9%. Increase in the number of national economy entities in the border area compared to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327868"/>
                        </a:xfrm>
                        <a:prstGeom prst="roundRect">
                          <a:avLst/>
                        </a:prstGeom>
                        <a:solidFill>
                          <a:srgbClr val="001D77"/>
                        </a:solidFill>
                        <a:ln w="9525">
                          <a:noFill/>
                          <a:miter lim="800000"/>
                          <a:headEnd/>
                          <a:tailEnd/>
                        </a:ln>
                      </wps:spPr>
                      <wps:txbx>
                        <w:txbxContent>
                          <w:p w14:paraId="4305F80E" w14:textId="643917A5" w:rsidR="00AD66BD" w:rsidRPr="00B2492B" w:rsidRDefault="009B55E4" w:rsidP="00AD66BD">
                            <w:pPr>
                              <w:autoSpaceDE w:val="0"/>
                              <w:autoSpaceDN w:val="0"/>
                              <w:adjustRightInd w:val="0"/>
                              <w:spacing w:before="0" w:after="0" w:line="240" w:lineRule="auto"/>
                              <w:rPr>
                                <w:rFonts w:ascii="Fira Sans SemiBold" w:hAnsi="Fira Sans SemiBold"/>
                                <w:color w:val="FFFFFF" w:themeColor="background1"/>
                                <w:sz w:val="60"/>
                                <w:szCs w:val="60"/>
                                <w:lang w:val="en-AU"/>
                              </w:rPr>
                            </w:pPr>
                            <w:r w:rsidRPr="004B4292">
                              <w:rPr>
                                <w:rStyle w:val="IkonawskanikaZnak"/>
                                <w:sz w:val="76"/>
                                <w:szCs w:val="76"/>
                              </w:rPr>
                              <w:sym w:font="Wingdings" w:char="F0F1"/>
                            </w:r>
                            <w:r w:rsidRPr="00B2492B">
                              <w:rPr>
                                <w:rStyle w:val="WartowskanikaZnak"/>
                                <w:lang w:val="en-AU"/>
                              </w:rPr>
                              <w:t xml:space="preserve"> </w:t>
                            </w:r>
                            <w:r w:rsidR="00FE4206">
                              <w:rPr>
                                <w:rStyle w:val="WartowskanikaZnak"/>
                                <w:sz w:val="72"/>
                                <w:szCs w:val="72"/>
                                <w:lang w:val="en-AU"/>
                              </w:rPr>
                              <w:t>1.9</w:t>
                            </w:r>
                            <w:r w:rsidRPr="00B2492B">
                              <w:rPr>
                                <w:rStyle w:val="WartowskanikaZnak"/>
                                <w:sz w:val="72"/>
                                <w:szCs w:val="72"/>
                                <w:lang w:val="en-AU"/>
                              </w:rPr>
                              <w:t>%</w:t>
                            </w:r>
                          </w:p>
                          <w:p w14:paraId="3854AC22" w14:textId="0EFAB798" w:rsidR="00AD66BD" w:rsidRPr="00B2492B" w:rsidRDefault="009B2D2E" w:rsidP="00C14D8E">
                            <w:pPr>
                              <w:pStyle w:val="Opiswskanika"/>
                              <w:spacing w:before="120"/>
                              <w:rPr>
                                <w:sz w:val="18"/>
                                <w:szCs w:val="20"/>
                                <w:lang w:val="en-AU"/>
                              </w:rPr>
                            </w:pPr>
                            <w:r w:rsidRPr="00B2492B">
                              <w:rPr>
                                <w:lang w:val="en-AU"/>
                              </w:rPr>
                              <w:t>Increase in the number of entities of the national economy in the border area in relation to 202</w:t>
                            </w:r>
                            <w:r w:rsidR="00FE4206">
                              <w:rPr>
                                <w:lang w:val="en-AU"/>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813CC7B" id="Pole tekstowe 2" o:spid="_x0000_s1026" alt="Arrowhead icon pointing upwards, indicating an increase of 1.9%. Increase in the number of national economy entities in the border area compared to 2024" style="position:absolute;margin-left:0;margin-top:1.05pt;width:183.4pt;height:104.55pt;z-index:2517637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" fillcolor="#001d77" stroked="f">
                <v:stroke joinstyle="miter"/>
                <v:textbox>
                  <w:txbxContent>
                    <w:p w14:paraId="4305F80E" w14:textId="643917A5" w:rsidR="00AD66BD" w:rsidRPr="00B2492B" w:rsidRDefault="009B55E4" w:rsidP="00AD66BD">
                      <w:pPr>
                        <w:autoSpaceDE w:val="0"/>
                        <w:autoSpaceDN w:val="0"/>
                        <w:adjustRightInd w:val="0"/>
                        <w:spacing w:before="0" w:after="0" w:line="240" w:lineRule="auto"/>
                        <w:rPr>
                          <w:rFonts w:ascii="Fira Sans SemiBold" w:hAnsi="Fira Sans SemiBold"/>
                          <w:color w:val="FFFFFF" w:themeColor="background1"/>
                          <w:sz w:val="60"/>
                          <w:szCs w:val="60"/>
                          <w:lang w:val="en-AU"/>
                        </w:rPr>
                      </w:pPr>
                      <w:r w:rsidRPr="004B4292">
                        <w:rPr>
                          <w:rStyle w:val="IkonawskanikaZnak"/>
                          <w:sz w:val="76"/>
                          <w:szCs w:val="76"/>
                        </w:rPr>
                        <w:sym w:font="Wingdings" w:char="F0F1"/>
                      </w:r>
                      <w:r w:rsidRPr="00B2492B">
                        <w:rPr>
                          <w:rStyle w:val="WartowskanikaZnak"/>
                          <w:lang w:val="en-AU"/>
                        </w:rPr>
                        <w:t xml:space="preserve"> </w:t>
                      </w:r>
                      <w:r w:rsidR="00FE4206">
                        <w:rPr>
                          <w:rStyle w:val="WartowskanikaZnak"/>
                          <w:sz w:val="72"/>
                          <w:szCs w:val="72"/>
                          <w:lang w:val="en-AU"/>
                        </w:rPr>
                        <w:t>1.9</w:t>
                      </w:r>
                      <w:r w:rsidRPr="00B2492B">
                        <w:rPr>
                          <w:rStyle w:val="WartowskanikaZnak"/>
                          <w:sz w:val="72"/>
                          <w:szCs w:val="72"/>
                          <w:lang w:val="en-AU"/>
                        </w:rPr>
                        <w:t>%</w:t>
                      </w:r>
                    </w:p>
                    <w:p w14:paraId="3854AC22" w14:textId="0EFAB798" w:rsidR="00AD66BD" w:rsidRPr="00B2492B" w:rsidRDefault="009B2D2E" w:rsidP="00C14D8E">
                      <w:pPr>
                        <w:pStyle w:val="Opiswskanika"/>
                        <w:spacing w:before="120"/>
                        <w:rPr>
                          <w:sz w:val="18"/>
                          <w:szCs w:val="20"/>
                          <w:lang w:val="en-AU"/>
                        </w:rPr>
                      </w:pPr>
                      <w:r w:rsidRPr="00B2492B">
                        <w:rPr>
                          <w:lang w:val="en-AU"/>
                        </w:rPr>
                        <w:t>Increase in the number of entities of the national economy in the border area in relation to 202</w:t>
                      </w:r>
                      <w:r w:rsidR="00FE4206">
                        <w:rPr>
                          <w:lang w:val="en-AU"/>
                        </w:rPr>
                        <w:t>4</w:t>
                      </w:r>
                    </w:p>
                  </w:txbxContent>
                </v:textbox>
                <w10:wrap type="square" anchorx="margin"/>
              </v:roundrect>
            </w:pict>
          </mc:Fallback>
        </mc:AlternateContent>
      </w:r>
      <w:r w:rsidR="006C2B13" w:rsidRPr="0041606C">
        <w:rPr>
          <w:lang w:val="en-GB"/>
        </w:rPr>
        <w:t>As of the end of December 202</w:t>
      </w:r>
      <w:r w:rsidR="00FE4206" w:rsidRPr="0041606C">
        <w:rPr>
          <w:lang w:val="en-GB"/>
        </w:rPr>
        <w:t>5</w:t>
      </w:r>
      <w:r w:rsidR="006C2B13" w:rsidRPr="0041606C">
        <w:rPr>
          <w:lang w:val="en-GB"/>
        </w:rPr>
        <w:t xml:space="preserve">, </w:t>
      </w:r>
      <w:r w:rsidR="00FE4206" w:rsidRPr="0041606C">
        <w:rPr>
          <w:lang w:val="en-GB"/>
        </w:rPr>
        <w:t xml:space="preserve">879.6 </w:t>
      </w:r>
      <w:r w:rsidR="006C2B13" w:rsidRPr="0041606C">
        <w:rPr>
          <w:lang w:val="en-GB"/>
        </w:rPr>
        <w:t xml:space="preserve">thousand entities of the national economy located in the border areas in Poland were entered in the REGON register. </w:t>
      </w:r>
      <w:r w:rsidR="0065640D" w:rsidRPr="0041606C">
        <w:rPr>
          <w:lang w:val="en-GB"/>
        </w:rPr>
        <w:t>I</w:t>
      </w:r>
      <w:r w:rsidR="006C2B13" w:rsidRPr="0041606C">
        <w:rPr>
          <w:lang w:val="en-GB"/>
        </w:rPr>
        <w:t>t constituted 16.</w:t>
      </w:r>
      <w:r w:rsidR="00FE4206" w:rsidRPr="0041606C">
        <w:rPr>
          <w:lang w:val="en-GB"/>
        </w:rPr>
        <w:t>2</w:t>
      </w:r>
      <w:r w:rsidR="006C2B13" w:rsidRPr="0041606C">
        <w:rPr>
          <w:lang w:val="en-GB"/>
        </w:rPr>
        <w:t>% of the total number of entities in Poland. In comparison with 202</w:t>
      </w:r>
      <w:r w:rsidR="00FE4206" w:rsidRPr="0041606C">
        <w:rPr>
          <w:lang w:val="en-GB"/>
        </w:rPr>
        <w:t>4</w:t>
      </w:r>
      <w:r w:rsidR="006C2B13" w:rsidRPr="0041606C">
        <w:rPr>
          <w:lang w:val="en-GB"/>
        </w:rPr>
        <w:t xml:space="preserve">, in the analysed zone the number of entities increased by </w:t>
      </w:r>
      <w:r w:rsidR="0065640D" w:rsidRPr="0041606C">
        <w:rPr>
          <w:lang w:val="en-GB"/>
        </w:rPr>
        <w:t>1</w:t>
      </w:r>
      <w:r w:rsidR="00FE4206" w:rsidRPr="0041606C">
        <w:rPr>
          <w:lang w:val="en-GB"/>
        </w:rPr>
        <w:t>6.4</w:t>
      </w:r>
      <w:r w:rsidR="006C2B13" w:rsidRPr="0041606C">
        <w:rPr>
          <w:lang w:val="en-GB"/>
        </w:rPr>
        <w:t xml:space="preserve"> thousand, i.e. by </w:t>
      </w:r>
      <w:r w:rsidR="00FE4206" w:rsidRPr="0041606C">
        <w:rPr>
          <w:lang w:val="en-GB"/>
        </w:rPr>
        <w:t>1.9</w:t>
      </w:r>
      <w:r w:rsidR="006C2B13" w:rsidRPr="0041606C">
        <w:rPr>
          <w:lang w:val="en-GB"/>
        </w:rPr>
        <w:t xml:space="preserve">% (in Poland by </w:t>
      </w:r>
      <w:r w:rsidR="00FE4206" w:rsidRPr="0041606C">
        <w:rPr>
          <w:lang w:val="en-GB"/>
        </w:rPr>
        <w:t>2.6</w:t>
      </w:r>
      <w:r w:rsidR="006C2B13" w:rsidRPr="0041606C">
        <w:rPr>
          <w:lang w:val="en-GB"/>
        </w:rPr>
        <w:t>%).</w:t>
      </w:r>
    </w:p>
    <w:p w14:paraId="4153AB1B" w14:textId="4F959471" w:rsidR="00A9377F" w:rsidRPr="0041606C" w:rsidRDefault="00A9377F" w:rsidP="00A9377F">
      <w:pPr>
        <w:pStyle w:val="Nagwek1"/>
        <w:spacing w:before="0"/>
        <w:rPr>
          <w:rFonts w:ascii="Fira Sans" w:hAnsi="Fira Sans"/>
          <w:b/>
          <w:color w:val="auto"/>
          <w:sz w:val="18"/>
          <w:szCs w:val="18"/>
          <w:lang w:val="en-GB"/>
        </w:rPr>
      </w:pPr>
    </w:p>
    <w:p w14:paraId="7B920C3D" w14:textId="17FAF1CA" w:rsidR="00116087" w:rsidRPr="0041606C" w:rsidRDefault="007D1726" w:rsidP="00DE01C8">
      <w:pPr>
        <w:pStyle w:val="LID"/>
        <w:rPr>
          <w:shd w:val="clear" w:color="auto" w:fill="FFFFFF"/>
          <w:lang w:val="en-GB"/>
        </w:rPr>
      </w:pPr>
      <w:r w:rsidRPr="0041606C">
        <w:rPr>
          <w:lang w:val="en-GB"/>
        </w:rPr>
        <w:t>Chart 1. Entities of the national economy</w:t>
      </w:r>
    </w:p>
    <w:p w14:paraId="7CF2EC5B" w14:textId="5B95BE45" w:rsidR="007615CD" w:rsidRPr="0041606C" w:rsidRDefault="007B04E8" w:rsidP="007615CD">
      <w:pPr>
        <w:spacing w:line="240" w:lineRule="auto"/>
        <w:jc w:val="center"/>
        <w:rPr>
          <w:lang w:val="en-GB" w:eastAsia="pl-PL"/>
        </w:rPr>
      </w:pPr>
      <w:r w:rsidRPr="0041606C">
        <w:rPr>
          <w:noProof/>
          <w:lang w:val="en-GB" w:eastAsia="pl-PL"/>
        </w:rPr>
        <w:drawing>
          <wp:inline distT="0" distB="0" distL="0" distR="0" wp14:anchorId="1AB14658" wp14:editId="06EB3DBF">
            <wp:extent cx="4695822" cy="2484000"/>
            <wp:effectExtent l="0" t="0" r="0" b="0"/>
            <wp:docPr id="4" name="Obraz 4" descr="Chart 1. Entities of the national economy.&#10;Number of total entities for Poland and for entities located in the border area. Data for the chart are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Chart 1. Entities of the national economy.&#10;Number of total entities for Poland and for entities located in the border area. Data for the chart are available in the attached Excel fil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95822" cy="2484000"/>
                    </a:xfrm>
                    <a:prstGeom prst="rect">
                      <a:avLst/>
                    </a:prstGeom>
                  </pic:spPr>
                </pic:pic>
              </a:graphicData>
            </a:graphic>
          </wp:inline>
        </w:drawing>
      </w:r>
    </w:p>
    <w:p w14:paraId="53F80A71" w14:textId="01DF3DDD" w:rsidR="00AB3D48" w:rsidRPr="00F44246" w:rsidRDefault="00243DD5" w:rsidP="009E0CF5">
      <w:pPr>
        <w:pStyle w:val="Nagwek1"/>
        <w:rPr>
          <w:lang w:val="en-GB"/>
        </w:rPr>
      </w:pPr>
      <w:r w:rsidRPr="00F44246">
        <w:rPr>
          <w:noProof/>
          <w:lang w:val="en-GB"/>
        </w:rPr>
        <mc:AlternateContent>
          <mc:Choice Requires="wps">
            <w:drawing>
              <wp:anchor distT="45720" distB="45720" distL="114300" distR="114300" simplePos="0" relativeHeight="251674624" behindDoc="1" locked="0" layoutInCell="1" allowOverlap="1" wp14:anchorId="7B920CDB" wp14:editId="3EDB2AB6">
                <wp:simplePos x="0" y="0"/>
                <wp:positionH relativeFrom="column">
                  <wp:posOffset>5237480</wp:posOffset>
                </wp:positionH>
                <wp:positionV relativeFrom="paragraph">
                  <wp:posOffset>405926</wp:posOffset>
                </wp:positionV>
                <wp:extent cx="1802765" cy="784225"/>
                <wp:effectExtent l="0" t="0" r="0" b="0"/>
                <wp:wrapTight wrapText="bothSides">
                  <wp:wrapPolygon edited="0">
                    <wp:start x="685" y="0"/>
                    <wp:lineTo x="685" y="20988"/>
                    <wp:lineTo x="20771" y="20988"/>
                    <wp:lineTo x="20771" y="0"/>
                    <wp:lineTo x="685" y="0"/>
                  </wp:wrapPolygon>
                </wp:wrapTight>
                <wp:docPr id="2" name="Pole tekstowe 2" descr="95.5% of the entities of the national economy of the border zone were in the private sector (in the country – 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784225"/>
                        </a:xfrm>
                        <a:prstGeom prst="rect">
                          <a:avLst/>
                        </a:prstGeom>
                        <a:noFill/>
                        <a:ln w="9525">
                          <a:noFill/>
                          <a:miter lim="800000"/>
                          <a:headEnd/>
                          <a:tailEnd/>
                        </a:ln>
                      </wps:spPr>
                      <wps:txbx>
                        <w:txbxContent>
                          <w:p w14:paraId="7B920D04" w14:textId="2FA2E1A3" w:rsidR="00D616D2" w:rsidRPr="00B2492B" w:rsidRDefault="009D3E9F" w:rsidP="00B074E0">
                            <w:pPr>
                              <w:pStyle w:val="tekstzboku"/>
                              <w:spacing w:before="0"/>
                              <w:rPr>
                                <w:lang w:val="en-AU"/>
                              </w:rPr>
                            </w:pPr>
                            <w:r w:rsidRPr="00B2492B">
                              <w:rPr>
                                <w:lang w:val="en-AU"/>
                              </w:rPr>
                              <w:t>95.</w:t>
                            </w:r>
                            <w:r w:rsidR="0025205A">
                              <w:rPr>
                                <w:lang w:val="en-AU"/>
                              </w:rPr>
                              <w:t>5</w:t>
                            </w:r>
                            <w:r w:rsidRPr="00B2492B">
                              <w:rPr>
                                <w:lang w:val="en-AU"/>
                              </w:rPr>
                              <w:t xml:space="preserve">% of the entities of the national economy of the border zone </w:t>
                            </w:r>
                            <w:r w:rsidR="008818FB">
                              <w:rPr>
                                <w:lang w:val="en-AU"/>
                              </w:rPr>
                              <w:t>were in</w:t>
                            </w:r>
                            <w:r w:rsidRPr="00B2492B">
                              <w:rPr>
                                <w:lang w:val="en-AU"/>
                              </w:rPr>
                              <w:t xml:space="preserve"> the private sector (in the country </w:t>
                            </w:r>
                            <w:r w:rsidR="008B5BC9">
                              <w:rPr>
                                <w:lang w:val="en-AU"/>
                              </w:rPr>
                              <w:t>–</w:t>
                            </w:r>
                            <w:r w:rsidRPr="00B2492B">
                              <w:rPr>
                                <w:lang w:val="en-AU"/>
                              </w:rPr>
                              <w:t xml:space="preserve"> 95.</w:t>
                            </w:r>
                            <w:r w:rsidR="0025205A">
                              <w:rPr>
                                <w:lang w:val="en-AU"/>
                              </w:rPr>
                              <w:t>2</w:t>
                            </w:r>
                            <w:r w:rsidRPr="00B2492B">
                              <w:rPr>
                                <w:lang w:val="en-AU"/>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920CDB" id="_x0000_t202" coordsize="21600,21600" o:spt="202" path="m,l,21600r21600,l21600,xe">
                <v:stroke joinstyle="miter"/>
                <v:path gradientshapeok="t" o:connecttype="rect"/>
              </v:shapetype>
              <v:shape id="_x0000_s1027" type="#_x0000_t202" alt="95.5% of the entities of the national economy of the border zone were in the private sector (in the country – 95.2%)" style="position:absolute;margin-left:412.4pt;margin-top:31.95pt;width:141.95pt;height:61.7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" filled="f" stroked="f">
                <v:textbox>
                  <w:txbxContent>
                    <w:p w14:paraId="7B920D04" w14:textId="2FA2E1A3" w:rsidR="00D616D2" w:rsidRPr="00B2492B" w:rsidRDefault="009D3E9F" w:rsidP="00B074E0">
                      <w:pPr>
                        <w:pStyle w:val="tekstzboku"/>
                        <w:spacing w:before="0"/>
                        <w:rPr>
                          <w:lang w:val="en-AU"/>
                        </w:rPr>
                      </w:pPr>
                      <w:r w:rsidRPr="00B2492B">
                        <w:rPr>
                          <w:lang w:val="en-AU"/>
                        </w:rPr>
                        <w:t>95.</w:t>
                      </w:r>
                      <w:r w:rsidR="0025205A">
                        <w:rPr>
                          <w:lang w:val="en-AU"/>
                        </w:rPr>
                        <w:t>5</w:t>
                      </w:r>
                      <w:r w:rsidRPr="00B2492B">
                        <w:rPr>
                          <w:lang w:val="en-AU"/>
                        </w:rPr>
                        <w:t xml:space="preserve">% of the entities of the national economy of the border zone </w:t>
                      </w:r>
                      <w:r w:rsidR="008818FB">
                        <w:rPr>
                          <w:lang w:val="en-AU"/>
                        </w:rPr>
                        <w:t>were in</w:t>
                      </w:r>
                      <w:r w:rsidRPr="00B2492B">
                        <w:rPr>
                          <w:lang w:val="en-AU"/>
                        </w:rPr>
                        <w:t xml:space="preserve"> the private sector (in the country </w:t>
                      </w:r>
                      <w:r w:rsidR="008B5BC9">
                        <w:rPr>
                          <w:lang w:val="en-AU"/>
                        </w:rPr>
                        <w:t>–</w:t>
                      </w:r>
                      <w:r w:rsidRPr="00B2492B">
                        <w:rPr>
                          <w:lang w:val="en-AU"/>
                        </w:rPr>
                        <w:t xml:space="preserve"> 95.</w:t>
                      </w:r>
                      <w:r w:rsidR="0025205A">
                        <w:rPr>
                          <w:lang w:val="en-AU"/>
                        </w:rPr>
                        <w:t>2</w:t>
                      </w:r>
                      <w:r w:rsidRPr="00B2492B">
                        <w:rPr>
                          <w:lang w:val="en-AU"/>
                        </w:rPr>
                        <w:t>%)</w:t>
                      </w:r>
                    </w:p>
                  </w:txbxContent>
                </v:textbox>
                <w10:wrap type="tight"/>
              </v:shape>
            </w:pict>
          </mc:Fallback>
        </mc:AlternateContent>
      </w:r>
      <w:r w:rsidR="002E29E8" w:rsidRPr="00F44246">
        <w:rPr>
          <w:noProof/>
          <w:lang w:val="en-GB"/>
        </w:rPr>
        <w:t>Structure of entities of the national economy by ownership sectors and selected legal forms</w:t>
      </w:r>
    </w:p>
    <w:p w14:paraId="0E42B8D8" w14:textId="7E2D5B35" w:rsidR="00540409" w:rsidRPr="00C53F53" w:rsidRDefault="00587296" w:rsidP="006D4A47">
      <w:pPr>
        <w:spacing w:line="288" w:lineRule="auto"/>
        <w:rPr>
          <w:shd w:val="clear" w:color="auto" w:fill="FFFFFF"/>
          <w:lang w:val="en-GB"/>
        </w:rPr>
      </w:pPr>
      <w:r w:rsidRPr="00C53F53">
        <w:rPr>
          <w:shd w:val="clear" w:color="auto" w:fill="FFFFFF"/>
          <w:lang w:val="en-GB"/>
        </w:rPr>
        <w:t>At the end of 202</w:t>
      </w:r>
      <w:r w:rsidR="0025205A" w:rsidRPr="00C53F53">
        <w:rPr>
          <w:shd w:val="clear" w:color="auto" w:fill="FFFFFF"/>
          <w:lang w:val="en-GB"/>
        </w:rPr>
        <w:t>5</w:t>
      </w:r>
      <w:r w:rsidRPr="00C53F53">
        <w:rPr>
          <w:shd w:val="clear" w:color="auto" w:fill="FFFFFF"/>
          <w:lang w:val="en-GB"/>
        </w:rPr>
        <w:t>, the vast majority of entities in the border area belonged to the private sector (95.</w:t>
      </w:r>
      <w:r w:rsidR="0025205A" w:rsidRPr="00C53F53">
        <w:rPr>
          <w:shd w:val="clear" w:color="auto" w:fill="FFFFFF"/>
          <w:lang w:val="en-GB"/>
        </w:rPr>
        <w:t>5</w:t>
      </w:r>
      <w:r w:rsidRPr="00C53F53">
        <w:rPr>
          <w:shd w:val="clear" w:color="auto" w:fill="FFFFFF"/>
          <w:lang w:val="en-GB"/>
        </w:rPr>
        <w:t>% compared to 95.</w:t>
      </w:r>
      <w:r w:rsidR="0025205A" w:rsidRPr="00C53F53">
        <w:rPr>
          <w:shd w:val="clear" w:color="auto" w:fill="FFFFFF"/>
          <w:lang w:val="en-GB"/>
        </w:rPr>
        <w:t>2</w:t>
      </w:r>
      <w:r w:rsidRPr="00C53F53">
        <w:rPr>
          <w:shd w:val="clear" w:color="auto" w:fill="FFFFFF"/>
          <w:lang w:val="en-GB"/>
        </w:rPr>
        <w:t>% in the country). In comparison with 202</w:t>
      </w:r>
      <w:r w:rsidR="0025205A" w:rsidRPr="00C53F53">
        <w:rPr>
          <w:shd w:val="clear" w:color="auto" w:fill="FFFFFF"/>
          <w:lang w:val="en-GB"/>
        </w:rPr>
        <w:t>4</w:t>
      </w:r>
      <w:r w:rsidRPr="00C53F53">
        <w:rPr>
          <w:shd w:val="clear" w:color="auto" w:fill="FFFFFF"/>
          <w:lang w:val="en-GB"/>
        </w:rPr>
        <w:t xml:space="preserve">, the number of entities of the national economy in this sector increased by </w:t>
      </w:r>
      <w:r w:rsidR="00E7094F" w:rsidRPr="00C53F53">
        <w:rPr>
          <w:shd w:val="clear" w:color="auto" w:fill="FFFFFF"/>
          <w:lang w:val="en-GB"/>
        </w:rPr>
        <w:t>1</w:t>
      </w:r>
      <w:r w:rsidR="0025205A" w:rsidRPr="00C53F53">
        <w:rPr>
          <w:shd w:val="clear" w:color="auto" w:fill="FFFFFF"/>
          <w:lang w:val="en-GB"/>
        </w:rPr>
        <w:t>5.0</w:t>
      </w:r>
      <w:r w:rsidRPr="00C53F53">
        <w:rPr>
          <w:shd w:val="clear" w:color="auto" w:fill="FFFFFF"/>
          <w:lang w:val="en-GB"/>
        </w:rPr>
        <w:t xml:space="preserve"> thousand to </w:t>
      </w:r>
      <w:r w:rsidR="00E7094F" w:rsidRPr="00C53F53">
        <w:rPr>
          <w:shd w:val="clear" w:color="auto" w:fill="FFFFFF"/>
          <w:lang w:val="en-GB"/>
        </w:rPr>
        <w:t>8</w:t>
      </w:r>
      <w:r w:rsidR="0025205A" w:rsidRPr="00C53F53">
        <w:rPr>
          <w:shd w:val="clear" w:color="auto" w:fill="FFFFFF"/>
          <w:lang w:val="en-GB"/>
        </w:rPr>
        <w:t>40.3</w:t>
      </w:r>
      <w:r w:rsidRPr="00C53F53">
        <w:rPr>
          <w:shd w:val="clear" w:color="auto" w:fill="FFFFFF"/>
          <w:lang w:val="en-GB"/>
        </w:rPr>
        <w:t xml:space="preserve"> thousand, i.e. by </w:t>
      </w:r>
      <w:r w:rsidR="0025205A" w:rsidRPr="00C53F53">
        <w:rPr>
          <w:shd w:val="clear" w:color="auto" w:fill="FFFFFF"/>
          <w:lang w:val="en-GB"/>
        </w:rPr>
        <w:t>1.8</w:t>
      </w:r>
      <w:r w:rsidRPr="00C53F53">
        <w:rPr>
          <w:shd w:val="clear" w:color="auto" w:fill="FFFFFF"/>
          <w:lang w:val="en-GB"/>
        </w:rPr>
        <w:t xml:space="preserve">% (in the country it </w:t>
      </w:r>
      <w:r w:rsidR="002760CA">
        <w:rPr>
          <w:shd w:val="clear" w:color="auto" w:fill="FFFFFF"/>
          <w:lang w:val="en-GB"/>
        </w:rPr>
        <w:t>increased</w:t>
      </w:r>
      <w:r w:rsidRPr="00C53F53">
        <w:rPr>
          <w:shd w:val="clear" w:color="auto" w:fill="FFFFFF"/>
          <w:lang w:val="en-GB"/>
        </w:rPr>
        <w:t xml:space="preserve"> by </w:t>
      </w:r>
      <w:r w:rsidR="0025205A" w:rsidRPr="00C53F53">
        <w:rPr>
          <w:shd w:val="clear" w:color="auto" w:fill="FFFFFF"/>
          <w:lang w:val="en-GB"/>
        </w:rPr>
        <w:t>2.5</w:t>
      </w:r>
      <w:r w:rsidRPr="00C53F53">
        <w:rPr>
          <w:shd w:val="clear" w:color="auto" w:fill="FFFFFF"/>
          <w:lang w:val="en-GB"/>
        </w:rPr>
        <w:t>%). On the other hand, the public sector included 26.</w:t>
      </w:r>
      <w:r w:rsidR="0025205A" w:rsidRPr="00C53F53">
        <w:rPr>
          <w:shd w:val="clear" w:color="auto" w:fill="FFFFFF"/>
          <w:lang w:val="en-GB"/>
        </w:rPr>
        <w:t>0</w:t>
      </w:r>
      <w:r w:rsidRPr="00C53F53">
        <w:rPr>
          <w:shd w:val="clear" w:color="auto" w:fill="FFFFFF"/>
          <w:lang w:val="en-GB"/>
        </w:rPr>
        <w:t xml:space="preserve"> thousand entities, i.e. </w:t>
      </w:r>
      <w:r w:rsidR="00E7094F" w:rsidRPr="00C53F53">
        <w:rPr>
          <w:shd w:val="clear" w:color="auto" w:fill="FFFFFF"/>
          <w:lang w:val="en-GB"/>
        </w:rPr>
        <w:t>1</w:t>
      </w:r>
      <w:r w:rsidR="0025205A" w:rsidRPr="00C53F53">
        <w:rPr>
          <w:shd w:val="clear" w:color="auto" w:fill="FFFFFF"/>
          <w:lang w:val="en-GB"/>
        </w:rPr>
        <w:t>92</w:t>
      </w:r>
      <w:r w:rsidRPr="00C53F53">
        <w:rPr>
          <w:shd w:val="clear" w:color="auto" w:fill="FFFFFF"/>
          <w:lang w:val="en-GB"/>
        </w:rPr>
        <w:t xml:space="preserve"> less than in the previous year (in the country 1</w:t>
      </w:r>
      <w:r w:rsidR="0025205A" w:rsidRPr="00C53F53">
        <w:rPr>
          <w:shd w:val="clear" w:color="auto" w:fill="FFFFFF"/>
          <w:lang w:val="en-GB"/>
        </w:rPr>
        <w:t>12.1</w:t>
      </w:r>
      <w:r w:rsidRPr="00C53F53">
        <w:rPr>
          <w:shd w:val="clear" w:color="auto" w:fill="FFFFFF"/>
          <w:lang w:val="en-GB"/>
        </w:rPr>
        <w:t xml:space="preserve"> thousand </w:t>
      </w:r>
      <w:r w:rsidR="005A34DA" w:rsidRPr="00C53F53">
        <w:rPr>
          <w:shd w:val="clear" w:color="auto" w:fill="FFFFFF"/>
          <w:lang w:val="en-GB"/>
        </w:rPr>
        <w:t>–</w:t>
      </w:r>
      <w:r w:rsidR="00D0128A">
        <w:rPr>
          <w:shd w:val="clear" w:color="auto" w:fill="FFFFFF"/>
          <w:lang w:val="en-GB"/>
        </w:rPr>
        <w:t xml:space="preserve"> </w:t>
      </w:r>
      <w:r w:rsidR="0025205A" w:rsidRPr="00C53F53">
        <w:rPr>
          <w:shd w:val="clear" w:color="auto" w:fill="FFFFFF"/>
          <w:lang w:val="en-GB"/>
        </w:rPr>
        <w:t>71</w:t>
      </w:r>
      <w:r w:rsidRPr="00C53F53">
        <w:rPr>
          <w:shd w:val="clear" w:color="auto" w:fill="FFFFFF"/>
          <w:lang w:val="en-GB"/>
        </w:rPr>
        <w:t xml:space="preserve"> </w:t>
      </w:r>
      <w:r w:rsidR="00E7094F" w:rsidRPr="00C53F53">
        <w:rPr>
          <w:shd w:val="clear" w:color="auto" w:fill="FFFFFF"/>
          <w:lang w:val="en-GB"/>
        </w:rPr>
        <w:t>less</w:t>
      </w:r>
      <w:r w:rsidRPr="00C53F53">
        <w:rPr>
          <w:shd w:val="clear" w:color="auto" w:fill="FFFFFF"/>
          <w:lang w:val="en-GB"/>
        </w:rPr>
        <w:t xml:space="preserve"> than in 202</w:t>
      </w:r>
      <w:r w:rsidR="0025205A" w:rsidRPr="00C53F53">
        <w:rPr>
          <w:shd w:val="clear" w:color="auto" w:fill="FFFFFF"/>
          <w:lang w:val="en-GB"/>
        </w:rPr>
        <w:t>4</w:t>
      </w:r>
      <w:r w:rsidRPr="00C53F53">
        <w:rPr>
          <w:shd w:val="clear" w:color="auto" w:fill="FFFFFF"/>
          <w:lang w:val="en-GB"/>
        </w:rPr>
        <w:t>).</w:t>
      </w:r>
    </w:p>
    <w:p w14:paraId="30B9EA19" w14:textId="3281BA34" w:rsidR="00540409" w:rsidRPr="00C53F53" w:rsidRDefault="00020849" w:rsidP="006D4A47">
      <w:pPr>
        <w:spacing w:line="288" w:lineRule="auto"/>
        <w:rPr>
          <w:lang w:val="en-GB" w:eastAsia="pl-PL"/>
        </w:rPr>
      </w:pPr>
      <w:r w:rsidRPr="00C53F53">
        <w:rPr>
          <w:shd w:val="clear" w:color="auto" w:fill="FFFFFF"/>
          <w:lang w:val="en-GB"/>
        </w:rPr>
        <w:t>In the total number of entities located in the border area in 202</w:t>
      </w:r>
      <w:r w:rsidR="0025205A" w:rsidRPr="00C53F53">
        <w:rPr>
          <w:shd w:val="clear" w:color="auto" w:fill="FFFFFF"/>
          <w:lang w:val="en-GB"/>
        </w:rPr>
        <w:t>5</w:t>
      </w:r>
      <w:r w:rsidRPr="00C53F53">
        <w:rPr>
          <w:shd w:val="clear" w:color="auto" w:fill="FFFFFF"/>
          <w:lang w:val="en-GB"/>
        </w:rPr>
        <w:t xml:space="preserve">, the largest share was constituted by natural persons conducting economic activity </w:t>
      </w:r>
      <w:r w:rsidR="005A34DA" w:rsidRPr="00C53F53">
        <w:rPr>
          <w:shd w:val="clear" w:color="auto" w:fill="FFFFFF"/>
          <w:lang w:val="en-GB"/>
        </w:rPr>
        <w:t>–</w:t>
      </w:r>
      <w:r w:rsidRPr="00C53F53">
        <w:rPr>
          <w:shd w:val="clear" w:color="auto" w:fill="FFFFFF"/>
          <w:lang w:val="en-GB"/>
        </w:rPr>
        <w:t xml:space="preserve"> 7</w:t>
      </w:r>
      <w:r w:rsidR="0025205A" w:rsidRPr="00C53F53">
        <w:rPr>
          <w:shd w:val="clear" w:color="auto" w:fill="FFFFFF"/>
          <w:lang w:val="en-GB"/>
        </w:rPr>
        <w:t>2.7</w:t>
      </w:r>
      <w:r w:rsidRPr="00C53F53">
        <w:rPr>
          <w:shd w:val="clear" w:color="auto" w:fill="FFFFFF"/>
          <w:lang w:val="en-GB"/>
        </w:rPr>
        <w:t>% (in Poland 7</w:t>
      </w:r>
      <w:r w:rsidR="0025205A" w:rsidRPr="00C53F53">
        <w:rPr>
          <w:shd w:val="clear" w:color="auto" w:fill="FFFFFF"/>
          <w:lang w:val="en-GB"/>
        </w:rPr>
        <w:t>0.8</w:t>
      </w:r>
      <w:r w:rsidRPr="00C53F53">
        <w:rPr>
          <w:shd w:val="clear" w:color="auto" w:fill="FFFFFF"/>
          <w:lang w:val="en-GB"/>
        </w:rPr>
        <w:t>%). In comparison with 202</w:t>
      </w:r>
      <w:r w:rsidR="0025205A" w:rsidRPr="00C53F53">
        <w:rPr>
          <w:shd w:val="clear" w:color="auto" w:fill="FFFFFF"/>
          <w:lang w:val="en-GB"/>
        </w:rPr>
        <w:t>4</w:t>
      </w:r>
      <w:r w:rsidRPr="00C53F53">
        <w:rPr>
          <w:shd w:val="clear" w:color="auto" w:fill="FFFFFF"/>
          <w:lang w:val="en-GB"/>
        </w:rPr>
        <w:t>, there were 1</w:t>
      </w:r>
      <w:r w:rsidR="0025205A" w:rsidRPr="00C53F53">
        <w:rPr>
          <w:shd w:val="clear" w:color="auto" w:fill="FFFFFF"/>
          <w:lang w:val="en-GB"/>
        </w:rPr>
        <w:t>1.3</w:t>
      </w:r>
      <w:r w:rsidRPr="00C53F53">
        <w:rPr>
          <w:shd w:val="clear" w:color="auto" w:fill="FFFFFF"/>
          <w:lang w:val="en-GB"/>
        </w:rPr>
        <w:t xml:space="preserve"> thousand more (</w:t>
      </w:r>
      <w:r w:rsidR="0025205A" w:rsidRPr="00C53F53">
        <w:rPr>
          <w:shd w:val="clear" w:color="auto" w:fill="FFFFFF"/>
          <w:lang w:val="en-GB"/>
        </w:rPr>
        <w:t>1.8</w:t>
      </w:r>
      <w:r w:rsidRPr="00C53F53">
        <w:rPr>
          <w:shd w:val="clear" w:color="auto" w:fill="FFFFFF"/>
          <w:lang w:val="en-GB"/>
        </w:rPr>
        <w:t>%</w:t>
      </w:r>
      <w:r w:rsidR="002C65A0" w:rsidRPr="00C53F53">
        <w:rPr>
          <w:shd w:val="clear" w:color="auto" w:fill="FFFFFF"/>
          <w:lang w:val="en-GB"/>
        </w:rPr>
        <w:t xml:space="preserve"> more</w:t>
      </w:r>
      <w:r w:rsidRPr="00C53F53">
        <w:rPr>
          <w:shd w:val="clear" w:color="auto" w:fill="FFFFFF"/>
          <w:lang w:val="en-GB"/>
        </w:rPr>
        <w:t xml:space="preserve">) natural persons conducting economic activity in the REGON register (in the country </w:t>
      </w:r>
      <w:r w:rsidR="005A34DA" w:rsidRPr="00C53F53">
        <w:rPr>
          <w:shd w:val="clear" w:color="auto" w:fill="FFFFFF"/>
          <w:lang w:val="en-GB"/>
        </w:rPr>
        <w:t>–</w:t>
      </w:r>
      <w:r w:rsidR="004A6F9C" w:rsidRPr="00C53F53">
        <w:rPr>
          <w:shd w:val="clear" w:color="auto" w:fill="FFFFFF"/>
          <w:lang w:val="en-GB"/>
        </w:rPr>
        <w:t xml:space="preserve"> </w:t>
      </w:r>
      <w:r w:rsidR="00591507" w:rsidRPr="00C53F53">
        <w:rPr>
          <w:shd w:val="clear" w:color="auto" w:fill="FFFFFF"/>
          <w:lang w:val="en-GB"/>
        </w:rPr>
        <w:t>2</w:t>
      </w:r>
      <w:r w:rsidRPr="00C53F53">
        <w:rPr>
          <w:shd w:val="clear" w:color="auto" w:fill="FFFFFF"/>
          <w:lang w:val="en-GB"/>
        </w:rPr>
        <w:t>.</w:t>
      </w:r>
      <w:r w:rsidR="0025205A" w:rsidRPr="00C53F53">
        <w:rPr>
          <w:shd w:val="clear" w:color="auto" w:fill="FFFFFF"/>
          <w:lang w:val="en-GB"/>
        </w:rPr>
        <w:t>5</w:t>
      </w:r>
      <w:r w:rsidRPr="00C53F53">
        <w:rPr>
          <w:shd w:val="clear" w:color="auto" w:fill="FFFFFF"/>
          <w:lang w:val="en-GB"/>
        </w:rPr>
        <w:t>% more).</w:t>
      </w:r>
    </w:p>
    <w:p w14:paraId="08BF88C5" w14:textId="5B94F044" w:rsidR="0030567F" w:rsidRPr="00C53F53" w:rsidRDefault="00B878FC" w:rsidP="006D4A47">
      <w:pPr>
        <w:spacing w:line="288" w:lineRule="auto"/>
        <w:rPr>
          <w:rFonts w:eastAsia="Myriad Pro" w:cs="Arial"/>
          <w:szCs w:val="19"/>
          <w:lang w:val="en-GB" w:eastAsia="pl-PL" w:bidi="pl-PL"/>
        </w:rPr>
      </w:pPr>
      <w:r w:rsidRPr="00C53F53">
        <w:rPr>
          <w:rFonts w:eastAsia="Myriad Pro" w:cs="Arial"/>
          <w:szCs w:val="19"/>
          <w:lang w:val="en-GB" w:eastAsia="pl-PL" w:bidi="pl-PL"/>
        </w:rPr>
        <w:t>Commercial companies operating within the zone</w:t>
      </w:r>
      <w:r w:rsidR="0020401A" w:rsidRPr="00C53F53">
        <w:rPr>
          <w:rFonts w:eastAsia="Myriad Pro" w:cs="Arial"/>
          <w:szCs w:val="19"/>
          <w:lang w:val="en-GB" w:eastAsia="pl-PL" w:bidi="pl-PL"/>
        </w:rPr>
        <w:t xml:space="preserve"> in 202</w:t>
      </w:r>
      <w:r w:rsidR="00016DCF" w:rsidRPr="00C53F53">
        <w:rPr>
          <w:rFonts w:eastAsia="Myriad Pro" w:cs="Arial"/>
          <w:szCs w:val="19"/>
          <w:lang w:val="en-GB" w:eastAsia="pl-PL" w:bidi="pl-PL"/>
        </w:rPr>
        <w:t>5</w:t>
      </w:r>
      <w:r w:rsidRPr="00C53F53">
        <w:rPr>
          <w:rFonts w:eastAsia="Myriad Pro" w:cs="Arial"/>
          <w:szCs w:val="19"/>
          <w:lang w:val="en-GB" w:eastAsia="pl-PL" w:bidi="pl-PL"/>
        </w:rPr>
        <w:t xml:space="preserve"> accounted for </w:t>
      </w:r>
      <w:r w:rsidR="00016DCF" w:rsidRPr="00C53F53">
        <w:rPr>
          <w:rFonts w:eastAsia="Myriad Pro" w:cs="Arial"/>
          <w:szCs w:val="19"/>
          <w:lang w:val="en-GB" w:eastAsia="pl-PL" w:bidi="pl-PL"/>
        </w:rPr>
        <w:t>8.5</w:t>
      </w:r>
      <w:r w:rsidRPr="00C53F53">
        <w:rPr>
          <w:rFonts w:eastAsia="Myriad Pro" w:cs="Arial"/>
          <w:szCs w:val="19"/>
          <w:lang w:val="en-GB" w:eastAsia="pl-PL" w:bidi="pl-PL"/>
        </w:rPr>
        <w:t>% of the entities entered in the REGON register (in Poland 1</w:t>
      </w:r>
      <w:r w:rsidR="00016DCF" w:rsidRPr="00C53F53">
        <w:rPr>
          <w:rFonts w:eastAsia="Myriad Pro" w:cs="Arial"/>
          <w:szCs w:val="19"/>
          <w:lang w:val="en-GB" w:eastAsia="pl-PL" w:bidi="pl-PL"/>
        </w:rPr>
        <w:t>3.5</w:t>
      </w:r>
      <w:r w:rsidRPr="00C53F53">
        <w:rPr>
          <w:rFonts w:eastAsia="Myriad Pro" w:cs="Arial"/>
          <w:szCs w:val="19"/>
          <w:lang w:val="en-GB" w:eastAsia="pl-PL" w:bidi="pl-PL"/>
        </w:rPr>
        <w:t xml:space="preserve">%). In the previous year, these shares were </w:t>
      </w:r>
      <w:r w:rsidR="00016DCF" w:rsidRPr="00C53F53">
        <w:rPr>
          <w:rFonts w:eastAsia="Myriad Pro" w:cs="Arial"/>
          <w:szCs w:val="19"/>
          <w:lang w:val="en-GB" w:eastAsia="pl-PL" w:bidi="pl-PL"/>
        </w:rPr>
        <w:t>8.3</w:t>
      </w:r>
      <w:r w:rsidRPr="00C53F53">
        <w:rPr>
          <w:rFonts w:eastAsia="Myriad Pro" w:cs="Arial"/>
          <w:szCs w:val="19"/>
          <w:lang w:val="en-GB" w:eastAsia="pl-PL" w:bidi="pl-PL"/>
        </w:rPr>
        <w:t>% and 1</w:t>
      </w:r>
      <w:r w:rsidR="00016DCF" w:rsidRPr="00C53F53">
        <w:rPr>
          <w:rFonts w:eastAsia="Myriad Pro" w:cs="Arial"/>
          <w:szCs w:val="19"/>
          <w:lang w:val="en-GB" w:eastAsia="pl-PL" w:bidi="pl-PL"/>
        </w:rPr>
        <w:t>3.2</w:t>
      </w:r>
      <w:r w:rsidRPr="00C53F53">
        <w:rPr>
          <w:rFonts w:eastAsia="Myriad Pro" w:cs="Arial"/>
          <w:szCs w:val="19"/>
          <w:lang w:val="en-GB" w:eastAsia="pl-PL" w:bidi="pl-PL"/>
        </w:rPr>
        <w:t>% respectively.</w:t>
      </w:r>
    </w:p>
    <w:p w14:paraId="3DB12AAA" w14:textId="654363F9" w:rsidR="00D333E7" w:rsidRPr="0041606C" w:rsidRDefault="00D333E7" w:rsidP="00D333E7">
      <w:pPr>
        <w:spacing w:line="288" w:lineRule="auto"/>
        <w:rPr>
          <w:rFonts w:eastAsia="Myriad Pro" w:cs="Arial"/>
          <w:szCs w:val="19"/>
          <w:lang w:val="en-GB" w:eastAsia="pl-PL" w:bidi="pl-PL"/>
        </w:rPr>
      </w:pPr>
      <w:r w:rsidRPr="00C53F53">
        <w:rPr>
          <w:rFonts w:eastAsia="Myriad Pro" w:cs="Arial"/>
          <w:szCs w:val="19"/>
          <w:lang w:val="en-GB" w:eastAsia="pl-PL" w:bidi="pl-PL"/>
        </w:rPr>
        <w:t xml:space="preserve">The REGON register also included civil law partnerships with a </w:t>
      </w:r>
      <w:r w:rsidR="006D11A1" w:rsidRPr="00C53F53">
        <w:rPr>
          <w:rFonts w:eastAsia="Myriad Pro" w:cs="Arial"/>
          <w:szCs w:val="19"/>
          <w:lang w:val="en-GB" w:eastAsia="pl-PL" w:bidi="pl-PL"/>
        </w:rPr>
        <w:t>5</w:t>
      </w:r>
      <w:r w:rsidRPr="00C53F53">
        <w:rPr>
          <w:rFonts w:eastAsia="Myriad Pro" w:cs="Arial"/>
          <w:szCs w:val="19"/>
          <w:lang w:val="en-GB" w:eastAsia="pl-PL" w:bidi="pl-PL"/>
        </w:rPr>
        <w:t>.</w:t>
      </w:r>
      <w:r w:rsidR="001F0342" w:rsidRPr="00C53F53">
        <w:rPr>
          <w:rFonts w:eastAsia="Myriad Pro" w:cs="Arial"/>
          <w:szCs w:val="19"/>
          <w:lang w:val="en-GB" w:eastAsia="pl-PL" w:bidi="pl-PL"/>
        </w:rPr>
        <w:t>5</w:t>
      </w:r>
      <w:r w:rsidRPr="00C53F53">
        <w:rPr>
          <w:rFonts w:eastAsia="Myriad Pro" w:cs="Arial"/>
          <w:szCs w:val="19"/>
          <w:lang w:val="en-GB" w:eastAsia="pl-PL" w:bidi="pl-PL"/>
        </w:rPr>
        <w:t xml:space="preserve">% share in the structure of entities of the national economy within the zone, foundations, associations and social organizations </w:t>
      </w:r>
      <w:r w:rsidR="005A34DA" w:rsidRPr="00C53F53">
        <w:rPr>
          <w:rFonts w:eastAsia="Myriad Pro" w:cs="Arial"/>
          <w:szCs w:val="19"/>
          <w:lang w:val="en-GB" w:eastAsia="pl-PL" w:bidi="pl-PL"/>
        </w:rPr>
        <w:t>–</w:t>
      </w:r>
      <w:r w:rsidRPr="00C53F53">
        <w:rPr>
          <w:rFonts w:eastAsia="Myriad Pro" w:cs="Arial"/>
          <w:szCs w:val="19"/>
          <w:lang w:val="en-GB" w:eastAsia="pl-PL" w:bidi="pl-PL"/>
        </w:rPr>
        <w:t xml:space="preserve"> 3.</w:t>
      </w:r>
      <w:r w:rsidR="001F0342" w:rsidRPr="00C53F53">
        <w:rPr>
          <w:rFonts w:eastAsia="Myriad Pro" w:cs="Arial"/>
          <w:szCs w:val="19"/>
          <w:lang w:val="en-GB" w:eastAsia="pl-PL" w:bidi="pl-PL"/>
        </w:rPr>
        <w:t>7</w:t>
      </w:r>
      <w:r w:rsidRPr="00C53F53">
        <w:rPr>
          <w:rFonts w:eastAsia="Myriad Pro" w:cs="Arial"/>
          <w:szCs w:val="19"/>
          <w:lang w:val="en-GB" w:eastAsia="pl-PL" w:bidi="pl-PL"/>
        </w:rPr>
        <w:t xml:space="preserve">%, cooperatives </w:t>
      </w:r>
      <w:r w:rsidR="005A34DA" w:rsidRPr="00C53F53">
        <w:rPr>
          <w:rFonts w:eastAsia="Myriad Pro" w:cs="Arial"/>
          <w:szCs w:val="19"/>
          <w:lang w:val="en-GB" w:eastAsia="pl-PL" w:bidi="pl-PL"/>
        </w:rPr>
        <w:t>–</w:t>
      </w:r>
      <w:r w:rsidRPr="00C53F53">
        <w:rPr>
          <w:rFonts w:eastAsia="Myriad Pro" w:cs="Arial"/>
          <w:szCs w:val="19"/>
          <w:lang w:val="en-GB" w:eastAsia="pl-PL" w:bidi="pl-PL"/>
        </w:rPr>
        <w:t xml:space="preserve"> 0.</w:t>
      </w:r>
      <w:r w:rsidR="001F0342" w:rsidRPr="00C53F53">
        <w:rPr>
          <w:rFonts w:eastAsia="Myriad Pro" w:cs="Arial"/>
          <w:szCs w:val="19"/>
          <w:lang w:val="en-GB" w:eastAsia="pl-PL" w:bidi="pl-PL"/>
        </w:rPr>
        <w:t>2</w:t>
      </w:r>
      <w:r w:rsidRPr="00C53F53">
        <w:rPr>
          <w:rFonts w:eastAsia="Myriad Pro" w:cs="Arial"/>
          <w:szCs w:val="19"/>
          <w:lang w:val="en-GB" w:eastAsia="pl-PL" w:bidi="pl-PL"/>
        </w:rPr>
        <w:t>% (in 202</w:t>
      </w:r>
      <w:r w:rsidR="001F0342" w:rsidRPr="00C53F53">
        <w:rPr>
          <w:rFonts w:eastAsia="Myriad Pro" w:cs="Arial"/>
          <w:szCs w:val="19"/>
          <w:lang w:val="en-GB" w:eastAsia="pl-PL" w:bidi="pl-PL"/>
        </w:rPr>
        <w:t>4</w:t>
      </w:r>
      <w:r w:rsidRPr="00C53F53">
        <w:rPr>
          <w:rFonts w:eastAsia="Myriad Pro" w:cs="Arial"/>
          <w:szCs w:val="19"/>
          <w:lang w:val="en-GB" w:eastAsia="pl-PL" w:bidi="pl-PL"/>
        </w:rPr>
        <w:t xml:space="preserve">: </w:t>
      </w:r>
      <w:r w:rsidR="009A47A3" w:rsidRPr="00C53F53">
        <w:rPr>
          <w:rFonts w:eastAsia="Myriad Pro" w:cs="Arial"/>
          <w:szCs w:val="19"/>
          <w:lang w:val="en-GB" w:eastAsia="pl-PL" w:bidi="pl-PL"/>
        </w:rPr>
        <w:t>5</w:t>
      </w:r>
      <w:r w:rsidRPr="00C53F53">
        <w:rPr>
          <w:rFonts w:eastAsia="Myriad Pro" w:cs="Arial"/>
          <w:szCs w:val="19"/>
          <w:lang w:val="en-GB" w:eastAsia="pl-PL" w:bidi="pl-PL"/>
        </w:rPr>
        <w:t>.</w:t>
      </w:r>
      <w:r w:rsidR="001F0342" w:rsidRPr="00C53F53">
        <w:rPr>
          <w:rFonts w:eastAsia="Myriad Pro" w:cs="Arial"/>
          <w:szCs w:val="19"/>
          <w:lang w:val="en-GB" w:eastAsia="pl-PL" w:bidi="pl-PL"/>
        </w:rPr>
        <w:t>6</w:t>
      </w:r>
      <w:r w:rsidRPr="00C53F53">
        <w:rPr>
          <w:rFonts w:eastAsia="Myriad Pro" w:cs="Arial"/>
          <w:szCs w:val="19"/>
          <w:lang w:val="en-GB" w:eastAsia="pl-PL" w:bidi="pl-PL"/>
        </w:rPr>
        <w:t>%, 3.</w:t>
      </w:r>
      <w:r w:rsidR="001F0342" w:rsidRPr="00C53F53">
        <w:rPr>
          <w:rFonts w:eastAsia="Myriad Pro" w:cs="Arial"/>
          <w:szCs w:val="19"/>
          <w:lang w:val="en-GB" w:eastAsia="pl-PL" w:bidi="pl-PL"/>
        </w:rPr>
        <w:t>6</w:t>
      </w:r>
      <w:r w:rsidRPr="00C53F53">
        <w:rPr>
          <w:rFonts w:eastAsia="Myriad Pro" w:cs="Arial"/>
          <w:szCs w:val="19"/>
          <w:lang w:val="en-GB" w:eastAsia="pl-PL" w:bidi="pl-PL"/>
        </w:rPr>
        <w:t>% and 0.</w:t>
      </w:r>
      <w:r w:rsidR="009A47A3" w:rsidRPr="00C53F53">
        <w:rPr>
          <w:rFonts w:eastAsia="Myriad Pro" w:cs="Arial"/>
          <w:szCs w:val="19"/>
          <w:lang w:val="en-GB" w:eastAsia="pl-PL" w:bidi="pl-PL"/>
        </w:rPr>
        <w:t>2</w:t>
      </w:r>
      <w:r w:rsidRPr="00C53F53">
        <w:rPr>
          <w:rFonts w:eastAsia="Myriad Pro" w:cs="Arial"/>
          <w:szCs w:val="19"/>
          <w:lang w:val="en-GB" w:eastAsia="pl-PL" w:bidi="pl-PL"/>
        </w:rPr>
        <w:t>% respectively</w:t>
      </w:r>
      <w:r w:rsidRPr="0041606C">
        <w:rPr>
          <w:rFonts w:eastAsia="Myriad Pro" w:cs="Arial"/>
          <w:szCs w:val="19"/>
          <w:lang w:val="en-GB" w:eastAsia="pl-PL" w:bidi="pl-PL"/>
        </w:rPr>
        <w:t>).</w:t>
      </w:r>
    </w:p>
    <w:p w14:paraId="28B034D5" w14:textId="3F40AE73" w:rsidR="00C551E9" w:rsidRPr="0041606C" w:rsidRDefault="00D333E7" w:rsidP="00D333E7">
      <w:pPr>
        <w:spacing w:line="288" w:lineRule="auto"/>
        <w:rPr>
          <w:rFonts w:eastAsia="Times New Roman" w:cs="Arial"/>
          <w:szCs w:val="19"/>
          <w:lang w:val="en-GB" w:eastAsia="pl-PL"/>
        </w:rPr>
      </w:pPr>
      <w:r w:rsidRPr="0041606C">
        <w:rPr>
          <w:rFonts w:eastAsia="Myriad Pro" w:cs="Arial"/>
          <w:szCs w:val="19"/>
          <w:lang w:val="en-GB" w:eastAsia="pl-PL" w:bidi="pl-PL"/>
        </w:rPr>
        <w:lastRenderedPageBreak/>
        <w:t xml:space="preserve">Of the total number of entities of the national economy operating in the border areas of Poland, </w:t>
      </w:r>
      <w:r w:rsidR="00060E71" w:rsidRPr="0041606C">
        <w:rPr>
          <w:rFonts w:eastAsia="Myriad Pro" w:cs="Arial"/>
          <w:szCs w:val="19"/>
          <w:lang w:val="en-GB" w:eastAsia="pl-PL" w:bidi="pl-PL"/>
        </w:rPr>
        <w:t>almost</w:t>
      </w:r>
      <w:r w:rsidRPr="0041606C">
        <w:rPr>
          <w:rFonts w:eastAsia="Myriad Pro" w:cs="Arial"/>
          <w:szCs w:val="19"/>
          <w:lang w:val="en-GB" w:eastAsia="pl-PL" w:bidi="pl-PL"/>
        </w:rPr>
        <w:t xml:space="preserve"> half were located in the border zone of three voivodships: Śląskie (19.</w:t>
      </w:r>
      <w:r w:rsidR="00637BEB" w:rsidRPr="0041606C">
        <w:rPr>
          <w:rFonts w:eastAsia="Myriad Pro" w:cs="Arial"/>
          <w:szCs w:val="19"/>
          <w:lang w:val="en-GB" w:eastAsia="pl-PL" w:bidi="pl-PL"/>
        </w:rPr>
        <w:t>1</w:t>
      </w:r>
      <w:r w:rsidRPr="0041606C">
        <w:rPr>
          <w:rFonts w:eastAsia="Myriad Pro" w:cs="Arial"/>
          <w:szCs w:val="19"/>
          <w:lang w:val="en-GB" w:eastAsia="pl-PL" w:bidi="pl-PL"/>
        </w:rPr>
        <w:t>%), Dolnośląskie (17.</w:t>
      </w:r>
      <w:r w:rsidR="00637BEB" w:rsidRPr="0041606C">
        <w:rPr>
          <w:rFonts w:eastAsia="Myriad Pro" w:cs="Arial"/>
          <w:szCs w:val="19"/>
          <w:lang w:val="en-GB" w:eastAsia="pl-PL" w:bidi="pl-PL"/>
        </w:rPr>
        <w:t>1</w:t>
      </w:r>
      <w:r w:rsidRPr="0041606C">
        <w:rPr>
          <w:rFonts w:eastAsia="Myriad Pro" w:cs="Arial"/>
          <w:szCs w:val="19"/>
          <w:lang w:val="en-GB" w:eastAsia="pl-PL" w:bidi="pl-PL"/>
        </w:rPr>
        <w:t>%) and Zachodniopomorskie (13.5%).</w:t>
      </w:r>
    </w:p>
    <w:p w14:paraId="17D47301" w14:textId="750320F9" w:rsidR="0030567F" w:rsidRPr="00F44246" w:rsidRDefault="00243DD5" w:rsidP="009E0CF5">
      <w:pPr>
        <w:pStyle w:val="Nagwek1"/>
        <w:rPr>
          <w:sz w:val="16"/>
          <w:szCs w:val="16"/>
          <w:shd w:val="clear" w:color="auto" w:fill="FFFFFF"/>
          <w:lang w:val="en-GB"/>
        </w:rPr>
      </w:pPr>
      <w:r w:rsidRPr="0041606C">
        <w:rPr>
          <w:noProof/>
          <w:lang w:val="en-GB"/>
        </w:rPr>
        <mc:AlternateContent>
          <mc:Choice Requires="wps">
            <w:drawing>
              <wp:anchor distT="45720" distB="45720" distL="114300" distR="114300" simplePos="0" relativeHeight="251748352" behindDoc="1" locked="0" layoutInCell="1" allowOverlap="1" wp14:anchorId="52A91763" wp14:editId="4376B208">
                <wp:simplePos x="0" y="0"/>
                <wp:positionH relativeFrom="column">
                  <wp:posOffset>5203825</wp:posOffset>
                </wp:positionH>
                <wp:positionV relativeFrom="paragraph">
                  <wp:posOffset>192405</wp:posOffset>
                </wp:positionV>
                <wp:extent cx="1787525" cy="1240155"/>
                <wp:effectExtent l="0" t="0" r="3175" b="0"/>
                <wp:wrapTight wrapText="bothSides">
                  <wp:wrapPolygon edited="0">
                    <wp:start x="691" y="0"/>
                    <wp:lineTo x="691" y="21235"/>
                    <wp:lineTo x="21408" y="21235"/>
                    <wp:lineTo x="21408" y="0"/>
                    <wp:lineTo x="691" y="0"/>
                  </wp:wrapPolygon>
                </wp:wrapTight>
                <wp:docPr id="16" name="Pole tekstowe 16" descr="In the border zone, there were 126.6 entities per 1000 inhabitants (in Poland 145.5)&#10;− most of them at the border with Germany (158.6),&#10;− least at the border with Ukraine (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525" cy="1240155"/>
                        </a:xfrm>
                        <a:prstGeom prst="rect">
                          <a:avLst/>
                        </a:prstGeom>
                        <a:noFill/>
                        <a:ln w="9525">
                          <a:noFill/>
                          <a:miter lim="800000"/>
                          <a:headEnd/>
                          <a:tailEnd/>
                        </a:ln>
                      </wps:spPr>
                      <wps:txbx>
                        <w:txbxContent>
                          <w:p w14:paraId="13CE593D" w14:textId="26820BB1" w:rsidR="00D77976" w:rsidRPr="005F5DC2" w:rsidRDefault="00D77976" w:rsidP="00D77976">
                            <w:pPr>
                              <w:pStyle w:val="tekstzboku"/>
                              <w:spacing w:before="0"/>
                              <w:rPr>
                                <w:lang w:val="en-GB"/>
                              </w:rPr>
                            </w:pPr>
                            <w:r w:rsidRPr="005F5DC2">
                              <w:rPr>
                                <w:lang w:val="en-GB"/>
                              </w:rPr>
                              <w:t>In the border zone, there were 1</w:t>
                            </w:r>
                            <w:r w:rsidR="000C4C3E">
                              <w:rPr>
                                <w:lang w:val="en-GB"/>
                              </w:rPr>
                              <w:t>2</w:t>
                            </w:r>
                            <w:r w:rsidR="002B0E45">
                              <w:rPr>
                                <w:lang w:val="en-GB"/>
                              </w:rPr>
                              <w:t>6</w:t>
                            </w:r>
                            <w:r w:rsidR="000C4C3E">
                              <w:rPr>
                                <w:lang w:val="en-GB"/>
                              </w:rPr>
                              <w:t>.</w:t>
                            </w:r>
                            <w:r w:rsidR="002B0E45">
                              <w:rPr>
                                <w:lang w:val="en-GB"/>
                              </w:rPr>
                              <w:t>6</w:t>
                            </w:r>
                            <w:r w:rsidRPr="005F5DC2">
                              <w:rPr>
                                <w:lang w:val="en-GB"/>
                              </w:rPr>
                              <w:t xml:space="preserve"> entities per 1000 inhabitants (in Poland </w:t>
                            </w:r>
                            <w:r>
                              <w:rPr>
                                <w:lang w:val="en-GB"/>
                              </w:rPr>
                              <w:t>1</w:t>
                            </w:r>
                            <w:r w:rsidR="002B0E45">
                              <w:rPr>
                                <w:lang w:val="en-GB"/>
                              </w:rPr>
                              <w:t>45.5</w:t>
                            </w:r>
                            <w:r w:rsidRPr="005F5DC2">
                              <w:rPr>
                                <w:lang w:val="en-GB"/>
                              </w:rPr>
                              <w:t>)</w:t>
                            </w:r>
                          </w:p>
                          <w:p w14:paraId="6E423819" w14:textId="292EFAB1" w:rsidR="00D77976" w:rsidRPr="005F5DC2" w:rsidRDefault="00D77976" w:rsidP="00D77976">
                            <w:pPr>
                              <w:pStyle w:val="tekstzboku"/>
                              <w:numPr>
                                <w:ilvl w:val="0"/>
                                <w:numId w:val="4"/>
                              </w:numPr>
                              <w:spacing w:before="0"/>
                              <w:ind w:left="142" w:hanging="142"/>
                              <w:rPr>
                                <w:lang w:val="en-GB"/>
                              </w:rPr>
                            </w:pPr>
                            <w:r w:rsidRPr="005F5DC2">
                              <w:rPr>
                                <w:lang w:val="en-GB"/>
                              </w:rPr>
                              <w:t xml:space="preserve">most of them </w:t>
                            </w:r>
                            <w:r w:rsidR="0087435F">
                              <w:rPr>
                                <w:lang w:val="en-GB"/>
                              </w:rPr>
                              <w:t>at</w:t>
                            </w:r>
                            <w:r w:rsidRPr="005F5DC2">
                              <w:rPr>
                                <w:lang w:val="en-GB"/>
                              </w:rPr>
                              <w:t xml:space="preserve"> the </w:t>
                            </w:r>
                            <w:r>
                              <w:rPr>
                                <w:lang w:val="en-GB"/>
                              </w:rPr>
                              <w:t>border with Germany</w:t>
                            </w:r>
                            <w:r w:rsidRPr="005F5DC2">
                              <w:rPr>
                                <w:lang w:val="en-GB"/>
                              </w:rPr>
                              <w:t xml:space="preserve"> (</w:t>
                            </w:r>
                            <w:r>
                              <w:rPr>
                                <w:lang w:val="en-GB"/>
                              </w:rPr>
                              <w:t>1</w:t>
                            </w:r>
                            <w:r w:rsidR="000C4C3E">
                              <w:rPr>
                                <w:lang w:val="en-GB"/>
                              </w:rPr>
                              <w:t>5</w:t>
                            </w:r>
                            <w:r w:rsidR="002B0E45">
                              <w:rPr>
                                <w:lang w:val="en-GB"/>
                              </w:rPr>
                              <w:t>8.6</w:t>
                            </w:r>
                            <w:r w:rsidRPr="005F5DC2">
                              <w:rPr>
                                <w:lang w:val="en-GB"/>
                              </w:rPr>
                              <w:t>)</w:t>
                            </w:r>
                            <w:r>
                              <w:rPr>
                                <w:lang w:val="en-GB"/>
                              </w:rPr>
                              <w:t>,</w:t>
                            </w:r>
                          </w:p>
                          <w:p w14:paraId="7D6F0719" w14:textId="3BDF0227" w:rsidR="00D77976" w:rsidRPr="005F5DC2" w:rsidRDefault="00D77976" w:rsidP="00D77976">
                            <w:pPr>
                              <w:pStyle w:val="tekstzboku"/>
                              <w:numPr>
                                <w:ilvl w:val="0"/>
                                <w:numId w:val="4"/>
                              </w:numPr>
                              <w:spacing w:before="0"/>
                              <w:ind w:left="142" w:hanging="142"/>
                              <w:rPr>
                                <w:lang w:val="en-GB"/>
                              </w:rPr>
                            </w:pPr>
                            <w:r w:rsidRPr="005F5DC2">
                              <w:rPr>
                                <w:lang w:val="en-GB"/>
                              </w:rPr>
                              <w:t xml:space="preserve">least </w:t>
                            </w:r>
                            <w:r w:rsidR="00DB42B8">
                              <w:rPr>
                                <w:lang w:val="en-GB"/>
                              </w:rPr>
                              <w:t>at</w:t>
                            </w:r>
                            <w:r w:rsidRPr="005F5DC2">
                              <w:rPr>
                                <w:lang w:val="en-GB"/>
                              </w:rPr>
                              <w:t xml:space="preserve"> the border with Ukraine (</w:t>
                            </w:r>
                            <w:r w:rsidR="000C4C3E">
                              <w:rPr>
                                <w:lang w:val="en-GB"/>
                              </w:rPr>
                              <w:t>9</w:t>
                            </w:r>
                            <w:r w:rsidR="002B0E45">
                              <w:rPr>
                                <w:lang w:val="en-GB"/>
                              </w:rPr>
                              <w:t>7.4</w:t>
                            </w:r>
                            <w:r>
                              <w:rPr>
                                <w:lang w:val="en-GB"/>
                              </w:rPr>
                              <w:t>)</w:t>
                            </w:r>
                          </w:p>
                          <w:p w14:paraId="776656DF" w14:textId="4FDAB13D" w:rsidR="00243DD5" w:rsidRPr="00B2492B" w:rsidRDefault="00243DD5" w:rsidP="006A26A9">
                            <w:pPr>
                              <w:pStyle w:val="tekstzboku"/>
                              <w:numPr>
                                <w:ilvl w:val="0"/>
                                <w:numId w:val="4"/>
                              </w:numPr>
                              <w:spacing w:before="0"/>
                              <w:ind w:left="142" w:hanging="142"/>
                              <w:rPr>
                                <w:lang w:val="en-AU"/>
                              </w:rPr>
                            </w:pPr>
                          </w:p>
                        </w:txbxContent>
                      </wps:txbx>
                      <wps:bodyPr rot="0" vert="horz" wrap="square" lIns="9144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A91763" id="Pole tekstowe 16" o:spid="_x0000_s1028" type="#_x0000_t202" alt="In the border zone, there were 126.6 entities per 1000 inhabitants (in Poland 145.5)&#10;− most of them at the border with Germany (158.6),&#10;− least at the border with Ukraine (97.4)" style="position:absolute;margin-left:409.75pt;margin-top:15.15pt;width:140.75pt;height:97.65pt;z-index:-251568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" filled="f" stroked="f">
                <v:textbox inset=",,1mm">
                  <w:txbxContent>
                    <w:p w14:paraId="13CE593D" w14:textId="26820BB1" w:rsidR="00D77976" w:rsidRPr="005F5DC2" w:rsidRDefault="00D77976" w:rsidP="00D77976">
                      <w:pPr>
                        <w:pStyle w:val="tekstzboku"/>
                        <w:spacing w:before="0"/>
                        <w:rPr>
                          <w:lang w:val="en-GB"/>
                        </w:rPr>
                      </w:pPr>
                      <w:r w:rsidRPr="005F5DC2">
                        <w:rPr>
                          <w:lang w:val="en-GB"/>
                        </w:rPr>
                        <w:t>In the border zone, there were 1</w:t>
                      </w:r>
                      <w:r w:rsidR="000C4C3E">
                        <w:rPr>
                          <w:lang w:val="en-GB"/>
                        </w:rPr>
                        <w:t>2</w:t>
                      </w:r>
                      <w:r w:rsidR="002B0E45">
                        <w:rPr>
                          <w:lang w:val="en-GB"/>
                        </w:rPr>
                        <w:t>6</w:t>
                      </w:r>
                      <w:r w:rsidR="000C4C3E">
                        <w:rPr>
                          <w:lang w:val="en-GB"/>
                        </w:rPr>
                        <w:t>.</w:t>
                      </w:r>
                      <w:r w:rsidR="002B0E45">
                        <w:rPr>
                          <w:lang w:val="en-GB"/>
                        </w:rPr>
                        <w:t>6</w:t>
                      </w:r>
                      <w:r w:rsidRPr="005F5DC2">
                        <w:rPr>
                          <w:lang w:val="en-GB"/>
                        </w:rPr>
                        <w:t xml:space="preserve"> entities per 1000 inhabitants (in Poland </w:t>
                      </w:r>
                      <w:r>
                        <w:rPr>
                          <w:lang w:val="en-GB"/>
                        </w:rPr>
                        <w:t>1</w:t>
                      </w:r>
                      <w:r w:rsidR="002B0E45">
                        <w:rPr>
                          <w:lang w:val="en-GB"/>
                        </w:rPr>
                        <w:t>45.5</w:t>
                      </w:r>
                      <w:r w:rsidRPr="005F5DC2">
                        <w:rPr>
                          <w:lang w:val="en-GB"/>
                        </w:rPr>
                        <w:t>)</w:t>
                      </w:r>
                    </w:p>
                    <w:p w14:paraId="6E423819" w14:textId="292EFAB1" w:rsidR="00D77976" w:rsidRPr="005F5DC2" w:rsidRDefault="00D77976" w:rsidP="00D77976">
                      <w:pPr>
                        <w:pStyle w:val="tekstzboku"/>
                        <w:numPr>
                          <w:ilvl w:val="0"/>
                          <w:numId w:val="4"/>
                        </w:numPr>
                        <w:spacing w:before="0"/>
                        <w:ind w:left="142" w:hanging="142"/>
                        <w:rPr>
                          <w:lang w:val="en-GB"/>
                        </w:rPr>
                      </w:pPr>
                      <w:r w:rsidRPr="005F5DC2">
                        <w:rPr>
                          <w:lang w:val="en-GB"/>
                        </w:rPr>
                        <w:t xml:space="preserve">most of them </w:t>
                      </w:r>
                      <w:r w:rsidR="0087435F">
                        <w:rPr>
                          <w:lang w:val="en-GB"/>
                        </w:rPr>
                        <w:t>at</w:t>
                      </w:r>
                      <w:r w:rsidRPr="005F5DC2">
                        <w:rPr>
                          <w:lang w:val="en-GB"/>
                        </w:rPr>
                        <w:t xml:space="preserve"> the </w:t>
                      </w:r>
                      <w:r>
                        <w:rPr>
                          <w:lang w:val="en-GB"/>
                        </w:rPr>
                        <w:t>border with Germany</w:t>
                      </w:r>
                      <w:r w:rsidRPr="005F5DC2">
                        <w:rPr>
                          <w:lang w:val="en-GB"/>
                        </w:rPr>
                        <w:t xml:space="preserve"> (</w:t>
                      </w:r>
                      <w:r>
                        <w:rPr>
                          <w:lang w:val="en-GB"/>
                        </w:rPr>
                        <w:t>1</w:t>
                      </w:r>
                      <w:r w:rsidR="000C4C3E">
                        <w:rPr>
                          <w:lang w:val="en-GB"/>
                        </w:rPr>
                        <w:t>5</w:t>
                      </w:r>
                      <w:r w:rsidR="002B0E45">
                        <w:rPr>
                          <w:lang w:val="en-GB"/>
                        </w:rPr>
                        <w:t>8.6</w:t>
                      </w:r>
                      <w:r w:rsidRPr="005F5DC2">
                        <w:rPr>
                          <w:lang w:val="en-GB"/>
                        </w:rPr>
                        <w:t>)</w:t>
                      </w:r>
                      <w:r>
                        <w:rPr>
                          <w:lang w:val="en-GB"/>
                        </w:rPr>
                        <w:t>,</w:t>
                      </w:r>
                    </w:p>
                    <w:p w14:paraId="7D6F0719" w14:textId="3BDF0227" w:rsidR="00D77976" w:rsidRPr="005F5DC2" w:rsidRDefault="00D77976" w:rsidP="00D77976">
                      <w:pPr>
                        <w:pStyle w:val="tekstzboku"/>
                        <w:numPr>
                          <w:ilvl w:val="0"/>
                          <w:numId w:val="4"/>
                        </w:numPr>
                        <w:spacing w:before="0"/>
                        <w:ind w:left="142" w:hanging="142"/>
                        <w:rPr>
                          <w:lang w:val="en-GB"/>
                        </w:rPr>
                      </w:pPr>
                      <w:r w:rsidRPr="005F5DC2">
                        <w:rPr>
                          <w:lang w:val="en-GB"/>
                        </w:rPr>
                        <w:t xml:space="preserve">least </w:t>
                      </w:r>
                      <w:r w:rsidR="00DB42B8">
                        <w:rPr>
                          <w:lang w:val="en-GB"/>
                        </w:rPr>
                        <w:t>at</w:t>
                      </w:r>
                      <w:r w:rsidRPr="005F5DC2">
                        <w:rPr>
                          <w:lang w:val="en-GB"/>
                        </w:rPr>
                        <w:t xml:space="preserve"> the border with Ukraine (</w:t>
                      </w:r>
                      <w:r w:rsidR="000C4C3E">
                        <w:rPr>
                          <w:lang w:val="en-GB"/>
                        </w:rPr>
                        <w:t>9</w:t>
                      </w:r>
                      <w:r w:rsidR="002B0E45">
                        <w:rPr>
                          <w:lang w:val="en-GB"/>
                        </w:rPr>
                        <w:t>7.4</w:t>
                      </w:r>
                      <w:r>
                        <w:rPr>
                          <w:lang w:val="en-GB"/>
                        </w:rPr>
                        <w:t>)</w:t>
                      </w:r>
                    </w:p>
                    <w:p w14:paraId="776656DF" w14:textId="4FDAB13D" w:rsidR="00243DD5" w:rsidRPr="00B2492B" w:rsidRDefault="00243DD5" w:rsidP="006A26A9">
                      <w:pPr>
                        <w:pStyle w:val="tekstzboku"/>
                        <w:numPr>
                          <w:ilvl w:val="0"/>
                          <w:numId w:val="4"/>
                        </w:numPr>
                        <w:spacing w:before="0"/>
                        <w:ind w:left="142" w:hanging="142"/>
                        <w:rPr>
                          <w:lang w:val="en-AU"/>
                        </w:rPr>
                      </w:pPr>
                    </w:p>
                  </w:txbxContent>
                </v:textbox>
                <w10:wrap type="tight"/>
              </v:shape>
            </w:pict>
          </mc:Fallback>
        </mc:AlternateContent>
      </w:r>
      <w:r w:rsidR="00C13F89" w:rsidRPr="0041606C">
        <w:rPr>
          <w:noProof/>
          <w:lang w:val="en-GB"/>
        </w:rPr>
        <w:t>Entit</w:t>
      </w:r>
      <w:r w:rsidR="00C13F89" w:rsidRPr="00F44246">
        <w:rPr>
          <w:noProof/>
          <w:lang w:val="en-GB"/>
        </w:rPr>
        <w:t>ies of the national economy per 1000 population</w:t>
      </w:r>
    </w:p>
    <w:p w14:paraId="75809AEE" w14:textId="5CBC6E92" w:rsidR="00BD7280" w:rsidRPr="005109AC" w:rsidRDefault="00DE657C" w:rsidP="005109AC">
      <w:pPr>
        <w:spacing w:line="288" w:lineRule="auto"/>
        <w:rPr>
          <w:shd w:val="clear" w:color="auto" w:fill="FFFFFF"/>
          <w:lang w:val="en-GB"/>
        </w:rPr>
      </w:pPr>
      <w:r w:rsidRPr="005109AC">
        <w:rPr>
          <w:shd w:val="clear" w:color="auto" w:fill="FFFFFF"/>
          <w:lang w:val="en-GB"/>
        </w:rPr>
        <w:t>In the Polish border area, there were 1</w:t>
      </w:r>
      <w:r w:rsidR="00D958CD" w:rsidRPr="005109AC">
        <w:rPr>
          <w:shd w:val="clear" w:color="auto" w:fill="FFFFFF"/>
          <w:lang w:val="en-GB"/>
        </w:rPr>
        <w:t>2</w:t>
      </w:r>
      <w:r w:rsidR="002B0E45" w:rsidRPr="005109AC">
        <w:rPr>
          <w:shd w:val="clear" w:color="auto" w:fill="FFFFFF"/>
          <w:lang w:val="en-GB"/>
        </w:rPr>
        <w:t>6.6</w:t>
      </w:r>
      <w:r w:rsidRPr="005109AC">
        <w:rPr>
          <w:shd w:val="clear" w:color="auto" w:fill="FFFFFF"/>
          <w:lang w:val="en-GB"/>
        </w:rPr>
        <w:t xml:space="preserve"> entities per 1000 inhabitants in 202</w:t>
      </w:r>
      <w:r w:rsidR="002B0E45" w:rsidRPr="005109AC">
        <w:rPr>
          <w:shd w:val="clear" w:color="auto" w:fill="FFFFFF"/>
          <w:lang w:val="en-GB"/>
        </w:rPr>
        <w:t>5</w:t>
      </w:r>
      <w:r w:rsidRPr="005109AC">
        <w:rPr>
          <w:shd w:val="clear" w:color="auto" w:fill="FFFFFF"/>
          <w:lang w:val="en-GB"/>
        </w:rPr>
        <w:t>, which is below the national average of 1</w:t>
      </w:r>
      <w:r w:rsidR="002B0E45" w:rsidRPr="005109AC">
        <w:rPr>
          <w:shd w:val="clear" w:color="auto" w:fill="FFFFFF"/>
          <w:lang w:val="en-GB"/>
        </w:rPr>
        <w:t>45.5</w:t>
      </w:r>
      <w:r w:rsidRPr="005109AC">
        <w:rPr>
          <w:shd w:val="clear" w:color="auto" w:fill="FFFFFF"/>
          <w:lang w:val="en-GB"/>
        </w:rPr>
        <w:t>. In the previous year, these indicators were 1</w:t>
      </w:r>
      <w:r w:rsidR="002B0E45" w:rsidRPr="005109AC">
        <w:rPr>
          <w:shd w:val="clear" w:color="auto" w:fill="FFFFFF"/>
          <w:lang w:val="en-GB"/>
        </w:rPr>
        <w:t>23.8</w:t>
      </w:r>
      <w:r w:rsidRPr="005109AC">
        <w:rPr>
          <w:shd w:val="clear" w:color="auto" w:fill="FFFFFF"/>
          <w:lang w:val="en-GB"/>
        </w:rPr>
        <w:t xml:space="preserve"> and 1</w:t>
      </w:r>
      <w:r w:rsidR="002B0E45" w:rsidRPr="005109AC">
        <w:rPr>
          <w:shd w:val="clear" w:color="auto" w:fill="FFFFFF"/>
          <w:lang w:val="en-GB"/>
        </w:rPr>
        <w:t>41.5</w:t>
      </w:r>
      <w:r w:rsidRPr="005109AC">
        <w:rPr>
          <w:shd w:val="clear" w:color="auto" w:fill="FFFFFF"/>
          <w:lang w:val="en-GB"/>
        </w:rPr>
        <w:t xml:space="preserve"> respectively.</w:t>
      </w:r>
    </w:p>
    <w:p w14:paraId="68BCBF7C" w14:textId="43768636" w:rsidR="00570A04" w:rsidRPr="005109AC" w:rsidRDefault="00632E7A" w:rsidP="005109AC">
      <w:pPr>
        <w:spacing w:line="288" w:lineRule="auto"/>
        <w:rPr>
          <w:shd w:val="clear" w:color="auto" w:fill="FFFFFF"/>
          <w:lang w:val="en-GB"/>
        </w:rPr>
      </w:pPr>
      <w:r w:rsidRPr="005109AC">
        <w:rPr>
          <w:shd w:val="clear" w:color="auto" w:fill="FFFFFF"/>
          <w:lang w:val="en-GB"/>
        </w:rPr>
        <w:t>The highest number of entities per 1000 population in 202</w:t>
      </w:r>
      <w:r w:rsidR="002B0E45" w:rsidRPr="005109AC">
        <w:rPr>
          <w:shd w:val="clear" w:color="auto" w:fill="FFFFFF"/>
          <w:lang w:val="en-GB"/>
        </w:rPr>
        <w:t>5</w:t>
      </w:r>
      <w:r w:rsidRPr="005109AC">
        <w:rPr>
          <w:shd w:val="clear" w:color="auto" w:fill="FFFFFF"/>
          <w:lang w:val="en-GB"/>
        </w:rPr>
        <w:t xml:space="preserve"> was recorded in the zone on the border with Germany </w:t>
      </w:r>
      <w:r w:rsidR="005A34DA" w:rsidRPr="005109AC">
        <w:rPr>
          <w:shd w:val="clear" w:color="auto" w:fill="FFFFFF"/>
          <w:lang w:val="en-GB"/>
        </w:rPr>
        <w:t>–</w:t>
      </w:r>
      <w:r w:rsidRPr="005109AC">
        <w:rPr>
          <w:shd w:val="clear" w:color="auto" w:fill="FFFFFF"/>
          <w:lang w:val="en-GB"/>
        </w:rPr>
        <w:t xml:space="preserve"> 1</w:t>
      </w:r>
      <w:r w:rsidR="00811B50" w:rsidRPr="005109AC">
        <w:rPr>
          <w:shd w:val="clear" w:color="auto" w:fill="FFFFFF"/>
          <w:lang w:val="en-GB"/>
        </w:rPr>
        <w:t>5</w:t>
      </w:r>
      <w:r w:rsidR="002B0E45" w:rsidRPr="005109AC">
        <w:rPr>
          <w:shd w:val="clear" w:color="auto" w:fill="FFFFFF"/>
          <w:lang w:val="en-GB"/>
        </w:rPr>
        <w:t>8.6</w:t>
      </w:r>
      <w:r w:rsidRPr="005109AC">
        <w:rPr>
          <w:shd w:val="clear" w:color="auto" w:fill="FFFFFF"/>
          <w:lang w:val="en-GB"/>
        </w:rPr>
        <w:t xml:space="preserve"> (1</w:t>
      </w:r>
      <w:r w:rsidR="002B0E45" w:rsidRPr="005109AC">
        <w:rPr>
          <w:shd w:val="clear" w:color="auto" w:fill="FFFFFF"/>
          <w:lang w:val="en-GB"/>
        </w:rPr>
        <w:t>54.8</w:t>
      </w:r>
      <w:r w:rsidRPr="005109AC">
        <w:rPr>
          <w:shd w:val="clear" w:color="auto" w:fill="FFFFFF"/>
          <w:lang w:val="en-GB"/>
        </w:rPr>
        <w:t xml:space="preserve"> last year), then on the border with Czechia </w:t>
      </w:r>
      <w:r w:rsidR="005A34DA" w:rsidRPr="005109AC">
        <w:rPr>
          <w:shd w:val="clear" w:color="auto" w:fill="FFFFFF"/>
          <w:lang w:val="en-GB"/>
        </w:rPr>
        <w:t>–</w:t>
      </w:r>
      <w:r w:rsidRPr="005109AC">
        <w:rPr>
          <w:shd w:val="clear" w:color="auto" w:fill="FFFFFF"/>
          <w:lang w:val="en-GB"/>
        </w:rPr>
        <w:t xml:space="preserve"> 1</w:t>
      </w:r>
      <w:r w:rsidR="002B0E45" w:rsidRPr="005109AC">
        <w:rPr>
          <w:shd w:val="clear" w:color="auto" w:fill="FFFFFF"/>
          <w:lang w:val="en-GB"/>
        </w:rPr>
        <w:t>30.5</w:t>
      </w:r>
      <w:r w:rsidRPr="005109AC">
        <w:rPr>
          <w:shd w:val="clear" w:color="auto" w:fill="FFFFFF"/>
          <w:lang w:val="en-GB"/>
        </w:rPr>
        <w:t xml:space="preserve"> (in 202</w:t>
      </w:r>
      <w:r w:rsidR="002B0E45" w:rsidRPr="005109AC">
        <w:rPr>
          <w:shd w:val="clear" w:color="auto" w:fill="FFFFFF"/>
          <w:lang w:val="en-GB"/>
        </w:rPr>
        <w:t>4</w:t>
      </w:r>
      <w:r w:rsidRPr="005109AC">
        <w:rPr>
          <w:shd w:val="clear" w:color="auto" w:fill="FFFFFF"/>
          <w:lang w:val="en-GB"/>
        </w:rPr>
        <w:t xml:space="preserve"> </w:t>
      </w:r>
      <w:r w:rsidR="005A34DA" w:rsidRPr="005109AC">
        <w:rPr>
          <w:shd w:val="clear" w:color="auto" w:fill="FFFFFF"/>
          <w:lang w:val="en-GB"/>
        </w:rPr>
        <w:t>–</w:t>
      </w:r>
      <w:r w:rsidRPr="005109AC">
        <w:rPr>
          <w:shd w:val="clear" w:color="auto" w:fill="FFFFFF"/>
          <w:lang w:val="en-GB"/>
        </w:rPr>
        <w:t xml:space="preserve"> 1</w:t>
      </w:r>
      <w:r w:rsidR="0005732A" w:rsidRPr="005109AC">
        <w:rPr>
          <w:shd w:val="clear" w:color="auto" w:fill="FFFFFF"/>
          <w:lang w:val="en-GB"/>
        </w:rPr>
        <w:t>2</w:t>
      </w:r>
      <w:r w:rsidR="002B0E45" w:rsidRPr="005109AC">
        <w:rPr>
          <w:shd w:val="clear" w:color="auto" w:fill="FFFFFF"/>
          <w:lang w:val="en-GB"/>
        </w:rPr>
        <w:t>7.6</w:t>
      </w:r>
      <w:r w:rsidRPr="005109AC">
        <w:rPr>
          <w:shd w:val="clear" w:color="auto" w:fill="FFFFFF"/>
          <w:lang w:val="en-GB"/>
        </w:rPr>
        <w:t xml:space="preserve">). In the zone near the remaining sections of the border the number of entities per 1000 population was lower than the average for the Polish border area as a whole. The smallest number of entities per 1000 population occurred near the border with Ukraine </w:t>
      </w:r>
      <w:r w:rsidR="005A34DA" w:rsidRPr="005109AC">
        <w:rPr>
          <w:shd w:val="clear" w:color="auto" w:fill="FFFFFF"/>
          <w:lang w:val="en-GB"/>
        </w:rPr>
        <w:t>–</w:t>
      </w:r>
      <w:r w:rsidRPr="005109AC">
        <w:rPr>
          <w:shd w:val="clear" w:color="auto" w:fill="FFFFFF"/>
          <w:lang w:val="en-GB"/>
        </w:rPr>
        <w:t xml:space="preserve"> </w:t>
      </w:r>
      <w:r w:rsidR="00877D8E" w:rsidRPr="005109AC">
        <w:rPr>
          <w:shd w:val="clear" w:color="auto" w:fill="FFFFFF"/>
          <w:lang w:val="en-GB"/>
        </w:rPr>
        <w:t>9</w:t>
      </w:r>
      <w:r w:rsidR="002B0E45" w:rsidRPr="005109AC">
        <w:rPr>
          <w:shd w:val="clear" w:color="auto" w:fill="FFFFFF"/>
          <w:lang w:val="en-GB"/>
        </w:rPr>
        <w:t>7.4</w:t>
      </w:r>
      <w:r w:rsidRPr="005109AC">
        <w:rPr>
          <w:shd w:val="clear" w:color="auto" w:fill="FFFFFF"/>
          <w:lang w:val="en-GB"/>
        </w:rPr>
        <w:t xml:space="preserve">, followed by the zone near the border with Lithuania </w:t>
      </w:r>
      <w:r w:rsidR="005A34DA" w:rsidRPr="005109AC">
        <w:rPr>
          <w:shd w:val="clear" w:color="auto" w:fill="FFFFFF"/>
          <w:lang w:val="en-GB"/>
        </w:rPr>
        <w:t>–</w:t>
      </w:r>
      <w:r w:rsidRPr="005109AC">
        <w:rPr>
          <w:shd w:val="clear" w:color="auto" w:fill="FFFFFF"/>
          <w:lang w:val="en-GB"/>
        </w:rPr>
        <w:t xml:space="preserve"> </w:t>
      </w:r>
      <w:r w:rsidR="002B0E45" w:rsidRPr="005109AC">
        <w:rPr>
          <w:shd w:val="clear" w:color="auto" w:fill="FFFFFF"/>
          <w:lang w:val="en-GB"/>
        </w:rPr>
        <w:t>100.6</w:t>
      </w:r>
      <w:r w:rsidRPr="005109AC">
        <w:rPr>
          <w:shd w:val="clear" w:color="auto" w:fill="FFFFFF"/>
          <w:lang w:val="en-GB"/>
        </w:rPr>
        <w:t xml:space="preserve"> (</w:t>
      </w:r>
      <w:r w:rsidR="00877D8E" w:rsidRPr="005109AC">
        <w:rPr>
          <w:shd w:val="clear" w:color="auto" w:fill="FFFFFF"/>
          <w:lang w:val="en-GB"/>
        </w:rPr>
        <w:t>9</w:t>
      </w:r>
      <w:r w:rsidR="002B0E45" w:rsidRPr="005109AC">
        <w:rPr>
          <w:shd w:val="clear" w:color="auto" w:fill="FFFFFF"/>
          <w:lang w:val="en-GB"/>
        </w:rPr>
        <w:t>5.9</w:t>
      </w:r>
      <w:r w:rsidRPr="005109AC">
        <w:rPr>
          <w:shd w:val="clear" w:color="auto" w:fill="FFFFFF"/>
          <w:lang w:val="en-GB"/>
        </w:rPr>
        <w:t xml:space="preserve"> and </w:t>
      </w:r>
      <w:r w:rsidR="002B0E45" w:rsidRPr="005109AC">
        <w:rPr>
          <w:shd w:val="clear" w:color="auto" w:fill="FFFFFF"/>
          <w:lang w:val="en-GB"/>
        </w:rPr>
        <w:t>99.4</w:t>
      </w:r>
      <w:r w:rsidR="001F31C4" w:rsidRPr="005109AC">
        <w:rPr>
          <w:shd w:val="clear" w:color="auto" w:fill="FFFFFF"/>
          <w:lang w:val="en-GB"/>
        </w:rPr>
        <w:br/>
      </w:r>
      <w:r w:rsidRPr="005109AC">
        <w:rPr>
          <w:shd w:val="clear" w:color="auto" w:fill="FFFFFF"/>
          <w:lang w:val="en-GB"/>
        </w:rPr>
        <w:t>respectively</w:t>
      </w:r>
      <w:r w:rsidR="00A27961">
        <w:rPr>
          <w:shd w:val="clear" w:color="auto" w:fill="FFFFFF"/>
          <w:lang w:val="en-GB"/>
        </w:rPr>
        <w:t xml:space="preserve"> a year ago</w:t>
      </w:r>
      <w:r w:rsidRPr="005109AC">
        <w:rPr>
          <w:shd w:val="clear" w:color="auto" w:fill="FFFFFF"/>
          <w:lang w:val="en-GB"/>
        </w:rPr>
        <w:t>).</w:t>
      </w:r>
    </w:p>
    <w:p w14:paraId="53B8BE90" w14:textId="24C2837B" w:rsidR="009338CF" w:rsidRPr="005109AC" w:rsidRDefault="009338CF" w:rsidP="005109AC">
      <w:pPr>
        <w:spacing w:line="288" w:lineRule="auto"/>
        <w:rPr>
          <w:shd w:val="clear" w:color="auto" w:fill="FFFFFF"/>
          <w:lang w:val="en-GB"/>
        </w:rPr>
      </w:pPr>
      <w:r w:rsidRPr="005109AC">
        <w:rPr>
          <w:shd w:val="clear" w:color="auto" w:fill="FFFFFF"/>
          <w:lang w:val="en-GB"/>
        </w:rPr>
        <w:t>Of the individual parts of the border area in 12 voivodships, the largest number of entities per 1000 population was in the following zones</w:t>
      </w:r>
      <w:r w:rsidR="004A6F9C" w:rsidRPr="005109AC">
        <w:rPr>
          <w:shd w:val="clear" w:color="auto" w:fill="FFFFFF"/>
          <w:lang w:val="en-GB"/>
        </w:rPr>
        <w:t xml:space="preserve"> of</w:t>
      </w:r>
      <w:r w:rsidRPr="005109AC">
        <w:rPr>
          <w:shd w:val="clear" w:color="auto" w:fill="FFFFFF"/>
          <w:lang w:val="en-GB"/>
        </w:rPr>
        <w:t>: Zachodniopomorskie (1</w:t>
      </w:r>
      <w:r w:rsidR="00327925" w:rsidRPr="005109AC">
        <w:rPr>
          <w:shd w:val="clear" w:color="auto" w:fill="FFFFFF"/>
          <w:lang w:val="en-GB"/>
        </w:rPr>
        <w:t>82.7</w:t>
      </w:r>
      <w:r w:rsidRPr="005109AC">
        <w:rPr>
          <w:shd w:val="clear" w:color="auto" w:fill="FFFFFF"/>
          <w:lang w:val="en-GB"/>
        </w:rPr>
        <w:t>), followed by</w:t>
      </w:r>
      <w:r w:rsidR="00F44246" w:rsidRPr="005109AC">
        <w:rPr>
          <w:shd w:val="clear" w:color="auto" w:fill="FFFFFF"/>
          <w:lang w:val="en-GB"/>
        </w:rPr>
        <w:t xml:space="preserve"> </w:t>
      </w:r>
      <w:r w:rsidRPr="005109AC">
        <w:rPr>
          <w:shd w:val="clear" w:color="auto" w:fill="FFFFFF"/>
          <w:lang w:val="en-GB"/>
        </w:rPr>
        <w:t>Pomorskie (1</w:t>
      </w:r>
      <w:r w:rsidR="00327925" w:rsidRPr="005109AC">
        <w:rPr>
          <w:shd w:val="clear" w:color="auto" w:fill="FFFFFF"/>
          <w:lang w:val="en-GB"/>
        </w:rPr>
        <w:t>61.6</w:t>
      </w:r>
      <w:r w:rsidRPr="005109AC">
        <w:rPr>
          <w:shd w:val="clear" w:color="auto" w:fill="FFFFFF"/>
          <w:lang w:val="en-GB"/>
        </w:rPr>
        <w:t>) and Dolnośląskie (1</w:t>
      </w:r>
      <w:r w:rsidR="00327925" w:rsidRPr="005109AC">
        <w:rPr>
          <w:shd w:val="clear" w:color="auto" w:fill="FFFFFF"/>
          <w:lang w:val="en-GB"/>
        </w:rPr>
        <w:t>45.3</w:t>
      </w:r>
      <w:r w:rsidRPr="005109AC">
        <w:rPr>
          <w:shd w:val="clear" w:color="auto" w:fill="FFFFFF"/>
          <w:lang w:val="en-GB"/>
        </w:rPr>
        <w:t>). These values for individual voivodships "in total" amounted respectively to: 1</w:t>
      </w:r>
      <w:r w:rsidR="00327925" w:rsidRPr="005109AC">
        <w:rPr>
          <w:shd w:val="clear" w:color="auto" w:fill="FFFFFF"/>
          <w:lang w:val="en-GB"/>
        </w:rPr>
        <w:t>60.2</w:t>
      </w:r>
      <w:r w:rsidRPr="005109AC">
        <w:rPr>
          <w:shd w:val="clear" w:color="auto" w:fill="FFFFFF"/>
          <w:lang w:val="en-GB"/>
        </w:rPr>
        <w:t>; 1</w:t>
      </w:r>
      <w:r w:rsidR="00327925" w:rsidRPr="005109AC">
        <w:rPr>
          <w:shd w:val="clear" w:color="auto" w:fill="FFFFFF"/>
          <w:lang w:val="en-GB"/>
        </w:rPr>
        <w:t>61.3</w:t>
      </w:r>
      <w:r w:rsidRPr="005109AC">
        <w:rPr>
          <w:shd w:val="clear" w:color="auto" w:fill="FFFFFF"/>
          <w:lang w:val="en-GB"/>
        </w:rPr>
        <w:t>; 1</w:t>
      </w:r>
      <w:r w:rsidR="00327925" w:rsidRPr="005109AC">
        <w:rPr>
          <w:shd w:val="clear" w:color="auto" w:fill="FFFFFF"/>
          <w:lang w:val="en-GB"/>
        </w:rPr>
        <w:t>64.1</w:t>
      </w:r>
      <w:r w:rsidRPr="005109AC">
        <w:rPr>
          <w:shd w:val="clear" w:color="auto" w:fill="FFFFFF"/>
          <w:lang w:val="en-GB"/>
        </w:rPr>
        <w:t>.</w:t>
      </w:r>
    </w:p>
    <w:p w14:paraId="1E663F03" w14:textId="1A7A68B8" w:rsidR="002A181D" w:rsidRPr="005109AC" w:rsidRDefault="009338CF" w:rsidP="005109AC">
      <w:pPr>
        <w:spacing w:line="288" w:lineRule="auto"/>
        <w:rPr>
          <w:shd w:val="clear" w:color="auto" w:fill="FFFFFF"/>
          <w:lang w:val="en-GB"/>
        </w:rPr>
      </w:pPr>
      <w:r w:rsidRPr="005109AC">
        <w:rPr>
          <w:shd w:val="clear" w:color="auto" w:fill="FFFFFF"/>
          <w:lang w:val="en-GB"/>
        </w:rPr>
        <w:t xml:space="preserve">The smallest number of entities of the national economy per 1000 population was in the border zone located in Mazowieckie </w:t>
      </w:r>
      <w:r w:rsidR="008D4C59" w:rsidRPr="005109AC">
        <w:rPr>
          <w:shd w:val="clear" w:color="auto" w:fill="FFFFFF"/>
          <w:lang w:val="en-GB"/>
        </w:rPr>
        <w:t xml:space="preserve">Voivodship </w:t>
      </w:r>
      <w:r w:rsidRPr="005109AC">
        <w:rPr>
          <w:shd w:val="clear" w:color="auto" w:fill="FFFFFF"/>
          <w:lang w:val="en-GB"/>
        </w:rPr>
        <w:t>(</w:t>
      </w:r>
      <w:r w:rsidR="002B3837" w:rsidRPr="005109AC">
        <w:rPr>
          <w:shd w:val="clear" w:color="auto" w:fill="FFFFFF"/>
          <w:lang w:val="en-GB"/>
        </w:rPr>
        <w:t>9</w:t>
      </w:r>
      <w:r w:rsidR="00327925" w:rsidRPr="005109AC">
        <w:rPr>
          <w:shd w:val="clear" w:color="auto" w:fill="FFFFFF"/>
          <w:lang w:val="en-GB"/>
        </w:rPr>
        <w:t>5.8</w:t>
      </w:r>
      <w:r w:rsidRPr="005109AC">
        <w:rPr>
          <w:shd w:val="clear" w:color="auto" w:fill="FFFFFF"/>
          <w:lang w:val="en-GB"/>
        </w:rPr>
        <w:t>)</w:t>
      </w:r>
      <w:r w:rsidR="008D4C59" w:rsidRPr="005109AC">
        <w:rPr>
          <w:shd w:val="clear" w:color="auto" w:fill="FFFFFF"/>
          <w:lang w:val="en-GB"/>
        </w:rPr>
        <w:t xml:space="preserve"> followed by </w:t>
      </w:r>
      <w:r w:rsidRPr="005109AC">
        <w:rPr>
          <w:shd w:val="clear" w:color="auto" w:fill="FFFFFF"/>
          <w:lang w:val="en-GB"/>
        </w:rPr>
        <w:t xml:space="preserve">Lubelskie </w:t>
      </w:r>
      <w:r w:rsidR="008D4C59" w:rsidRPr="005109AC">
        <w:rPr>
          <w:shd w:val="clear" w:color="auto" w:fill="FFFFFF"/>
          <w:lang w:val="en-GB"/>
        </w:rPr>
        <w:t xml:space="preserve">Voivodship </w:t>
      </w:r>
      <w:r w:rsidRPr="005109AC">
        <w:rPr>
          <w:shd w:val="clear" w:color="auto" w:fill="FFFFFF"/>
          <w:lang w:val="en-GB"/>
        </w:rPr>
        <w:t>(</w:t>
      </w:r>
      <w:r w:rsidR="002B3837" w:rsidRPr="005109AC">
        <w:rPr>
          <w:shd w:val="clear" w:color="auto" w:fill="FFFFFF"/>
          <w:lang w:val="en-GB"/>
        </w:rPr>
        <w:t>9</w:t>
      </w:r>
      <w:r w:rsidR="00327925" w:rsidRPr="005109AC">
        <w:rPr>
          <w:shd w:val="clear" w:color="auto" w:fill="FFFFFF"/>
          <w:lang w:val="en-GB"/>
        </w:rPr>
        <w:t>6.6</w:t>
      </w:r>
      <w:r w:rsidRPr="005109AC">
        <w:rPr>
          <w:shd w:val="clear" w:color="auto" w:fill="FFFFFF"/>
          <w:lang w:val="en-GB"/>
        </w:rPr>
        <w:t xml:space="preserve">) and Podkarpackie </w:t>
      </w:r>
      <w:r w:rsidR="008D4C59" w:rsidRPr="005109AC">
        <w:rPr>
          <w:shd w:val="clear" w:color="auto" w:fill="FFFFFF"/>
          <w:lang w:val="en-GB"/>
        </w:rPr>
        <w:t xml:space="preserve">Voivodship </w:t>
      </w:r>
      <w:r w:rsidRPr="005109AC">
        <w:rPr>
          <w:shd w:val="clear" w:color="auto" w:fill="FFFFFF"/>
          <w:lang w:val="en-GB"/>
        </w:rPr>
        <w:t>(</w:t>
      </w:r>
      <w:r w:rsidR="00327925" w:rsidRPr="005109AC">
        <w:rPr>
          <w:shd w:val="clear" w:color="auto" w:fill="FFFFFF"/>
          <w:lang w:val="en-GB"/>
        </w:rPr>
        <w:t>101.2</w:t>
      </w:r>
      <w:r w:rsidRPr="005109AC">
        <w:rPr>
          <w:shd w:val="clear" w:color="auto" w:fill="FFFFFF"/>
          <w:lang w:val="en-GB"/>
        </w:rPr>
        <w:t xml:space="preserve">). These values were lower than the indicators for </w:t>
      </w:r>
      <w:r w:rsidR="001E33D9" w:rsidRPr="005109AC">
        <w:rPr>
          <w:shd w:val="clear" w:color="auto" w:fill="FFFFFF"/>
          <w:lang w:val="en-GB"/>
        </w:rPr>
        <w:t xml:space="preserve">the aforementioned </w:t>
      </w:r>
      <w:r w:rsidRPr="005109AC">
        <w:rPr>
          <w:shd w:val="clear" w:color="auto" w:fill="FFFFFF"/>
          <w:lang w:val="en-GB"/>
        </w:rPr>
        <w:t xml:space="preserve">voivodships in total, which amounted respectively to: </w:t>
      </w:r>
      <w:r w:rsidR="00327925" w:rsidRPr="005109AC">
        <w:rPr>
          <w:shd w:val="clear" w:color="auto" w:fill="FFFFFF"/>
          <w:lang w:val="en-GB"/>
        </w:rPr>
        <w:t>197.9; 111.2; 106.4</w:t>
      </w:r>
      <w:r w:rsidRPr="005109AC">
        <w:rPr>
          <w:shd w:val="clear" w:color="auto" w:fill="FFFFFF"/>
          <w:lang w:val="en-GB"/>
        </w:rPr>
        <w:t>. It should be noted that in the case of Mazowieckie Voivodship the area of the border zone is relatively small</w:t>
      </w:r>
      <w:r w:rsidR="00290A79" w:rsidRPr="006729E5">
        <w:rPr>
          <w:shd w:val="clear" w:color="auto" w:fill="FFFFFF"/>
          <w:vertAlign w:val="superscript"/>
        </w:rPr>
        <w:footnoteReference w:id="1"/>
      </w:r>
      <w:r w:rsidRPr="005109AC">
        <w:rPr>
          <w:shd w:val="clear" w:color="auto" w:fill="FFFFFF"/>
          <w:lang w:val="en-GB"/>
        </w:rPr>
        <w:t xml:space="preserve"> and the region's potential is located mainly in the capital of the country.</w:t>
      </w:r>
    </w:p>
    <w:p w14:paraId="65F30E2C" w14:textId="341EF02B" w:rsidR="003B4809" w:rsidRPr="0041606C" w:rsidRDefault="00BC2542" w:rsidP="00DE01C8">
      <w:pPr>
        <w:pStyle w:val="LID"/>
        <w:rPr>
          <w:lang w:val="en-GB"/>
        </w:rPr>
      </w:pPr>
      <w:r w:rsidRPr="0041606C">
        <w:rPr>
          <w:lang w:val="en-GB"/>
        </w:rPr>
        <w:t>Table 1. Entities of the national economy in border areas by border sections in 202</w:t>
      </w:r>
      <w:r w:rsidR="00327925" w:rsidRPr="0041606C">
        <w:rPr>
          <w:lang w:val="en-GB"/>
        </w:rPr>
        <w:t>5</w:t>
      </w:r>
    </w:p>
    <w:tbl>
      <w:tblPr>
        <w:tblStyle w:val="Siatkatabelijasna"/>
        <w:tblW w:w="7923" w:type="dxa"/>
        <w:tblBorders>
          <w:top w:val="none" w:sz="0" w:space="0" w:color="auto"/>
          <w:left w:val="none" w:sz="0" w:space="0" w:color="auto"/>
          <w:bottom w:val="none" w:sz="0" w:space="0" w:color="auto"/>
          <w:right w:val="none" w:sz="0" w:space="0" w:color="auto"/>
          <w:insideH w:val="single" w:sz="4" w:space="0" w:color="212492"/>
          <w:insideV w:val="single" w:sz="4" w:space="0" w:color="212492"/>
        </w:tblBorders>
        <w:tblLayout w:type="fixed"/>
        <w:tblCellMar>
          <w:top w:w="28" w:type="dxa"/>
          <w:bottom w:w="28" w:type="dxa"/>
        </w:tblCellMar>
        <w:tblLook w:val="0000" w:firstRow="0" w:lastRow="0" w:firstColumn="0" w:lastColumn="0" w:noHBand="0" w:noVBand="0"/>
        <w:tblDescription w:val="Table 1. Entities of the national economy in border areas by border sections in 2025"/>
      </w:tblPr>
      <w:tblGrid>
        <w:gridCol w:w="2195"/>
        <w:gridCol w:w="1430"/>
        <w:gridCol w:w="1430"/>
        <w:gridCol w:w="1441"/>
        <w:gridCol w:w="1427"/>
      </w:tblGrid>
      <w:tr w:rsidR="00D75071" w:rsidRPr="00DE01C8" w14:paraId="7B920C44" w14:textId="77777777" w:rsidTr="00D75071">
        <w:trPr>
          <w:trHeight w:val="968"/>
        </w:trPr>
        <w:tc>
          <w:tcPr>
            <w:tcW w:w="2195" w:type="dxa"/>
            <w:vMerge w:val="restart"/>
            <w:tcBorders>
              <w:top w:val="single" w:sz="4" w:space="0" w:color="212492"/>
            </w:tcBorders>
            <w:vAlign w:val="center"/>
          </w:tcPr>
          <w:p w14:paraId="7B920C41" w14:textId="08792F12" w:rsidR="00D75071" w:rsidRPr="0041606C" w:rsidRDefault="00D75071" w:rsidP="006D4A47">
            <w:pPr>
              <w:spacing w:before="60" w:after="60"/>
              <w:jc w:val="center"/>
              <w:rPr>
                <w:szCs w:val="19"/>
                <w:lang w:val="en-GB"/>
              </w:rPr>
            </w:pPr>
            <w:r w:rsidRPr="0041606C">
              <w:rPr>
                <w:szCs w:val="19"/>
                <w:lang w:val="en-GB"/>
              </w:rPr>
              <w:t>Specification</w:t>
            </w:r>
          </w:p>
        </w:tc>
        <w:tc>
          <w:tcPr>
            <w:tcW w:w="1430" w:type="dxa"/>
            <w:tcBorders>
              <w:top w:val="single" w:sz="4" w:space="0" w:color="212492"/>
              <w:bottom w:val="single" w:sz="4" w:space="0" w:color="212492"/>
            </w:tcBorders>
            <w:vAlign w:val="center"/>
          </w:tcPr>
          <w:p w14:paraId="57FB3177" w14:textId="50F9E7B3" w:rsidR="00D75071" w:rsidRPr="0041606C" w:rsidRDefault="00D75071" w:rsidP="006D4A47">
            <w:pPr>
              <w:spacing w:before="60" w:after="60"/>
              <w:jc w:val="center"/>
              <w:rPr>
                <w:szCs w:val="19"/>
                <w:lang w:val="en-GB"/>
              </w:rPr>
            </w:pPr>
            <w:r w:rsidRPr="0041606C">
              <w:rPr>
                <w:szCs w:val="19"/>
                <w:lang w:val="en-GB"/>
              </w:rPr>
              <w:t>Entities of the national economy</w:t>
            </w:r>
          </w:p>
        </w:tc>
        <w:tc>
          <w:tcPr>
            <w:tcW w:w="1430" w:type="dxa"/>
            <w:tcBorders>
              <w:top w:val="single" w:sz="4" w:space="0" w:color="212492"/>
              <w:bottom w:val="single" w:sz="4" w:space="0" w:color="212492"/>
            </w:tcBorders>
            <w:vAlign w:val="center"/>
          </w:tcPr>
          <w:p w14:paraId="5AA58D27" w14:textId="6231A6EF" w:rsidR="00D75071" w:rsidRPr="0041606C" w:rsidRDefault="00D75071" w:rsidP="006D4A47">
            <w:pPr>
              <w:spacing w:before="60" w:after="60"/>
              <w:jc w:val="center"/>
              <w:rPr>
                <w:szCs w:val="19"/>
                <w:lang w:val="en-GB"/>
              </w:rPr>
            </w:pPr>
            <w:r w:rsidRPr="0041606C">
              <w:rPr>
                <w:szCs w:val="19"/>
                <w:lang w:val="en-GB"/>
              </w:rPr>
              <w:t xml:space="preserve">Natural </w:t>
            </w:r>
            <w:r w:rsidRPr="0041606C">
              <w:rPr>
                <w:szCs w:val="19"/>
                <w:lang w:val="en-GB"/>
              </w:rPr>
              <w:br/>
              <w:t xml:space="preserve">persons </w:t>
            </w:r>
            <w:r w:rsidRPr="0041606C">
              <w:rPr>
                <w:szCs w:val="19"/>
                <w:lang w:val="en-GB"/>
              </w:rPr>
              <w:br/>
              <w:t xml:space="preserve">conducting economic </w:t>
            </w:r>
            <w:r w:rsidRPr="0041606C">
              <w:rPr>
                <w:szCs w:val="19"/>
                <w:lang w:val="en-GB"/>
              </w:rPr>
              <w:br/>
              <w:t>activity</w:t>
            </w:r>
          </w:p>
        </w:tc>
        <w:tc>
          <w:tcPr>
            <w:tcW w:w="1441" w:type="dxa"/>
            <w:vMerge w:val="restart"/>
            <w:tcBorders>
              <w:top w:val="single" w:sz="4" w:space="0" w:color="212492"/>
            </w:tcBorders>
            <w:vAlign w:val="center"/>
          </w:tcPr>
          <w:p w14:paraId="7B920C42" w14:textId="0A705765" w:rsidR="00D75071" w:rsidRPr="0041606C" w:rsidRDefault="00D75071" w:rsidP="00B2492B">
            <w:pPr>
              <w:spacing w:before="60" w:after="60"/>
              <w:jc w:val="center"/>
              <w:rPr>
                <w:szCs w:val="19"/>
                <w:lang w:val="en-GB"/>
              </w:rPr>
            </w:pPr>
            <w:r w:rsidRPr="0041606C">
              <w:rPr>
                <w:szCs w:val="19"/>
                <w:lang w:val="en-GB"/>
              </w:rPr>
              <w:t>Commercial companies in the total number of entities in %</w:t>
            </w:r>
          </w:p>
        </w:tc>
        <w:tc>
          <w:tcPr>
            <w:tcW w:w="1427" w:type="dxa"/>
            <w:vMerge w:val="restart"/>
            <w:tcBorders>
              <w:top w:val="single" w:sz="4" w:space="0" w:color="212492"/>
            </w:tcBorders>
            <w:vAlign w:val="center"/>
          </w:tcPr>
          <w:p w14:paraId="7B920C43" w14:textId="5939DAC9" w:rsidR="00D75071" w:rsidRPr="0041606C" w:rsidRDefault="00D75071" w:rsidP="00B2492B">
            <w:pPr>
              <w:spacing w:before="60" w:after="60"/>
              <w:jc w:val="center"/>
              <w:rPr>
                <w:szCs w:val="19"/>
                <w:lang w:val="en-GB"/>
              </w:rPr>
            </w:pPr>
            <w:r w:rsidRPr="0041606C">
              <w:rPr>
                <w:szCs w:val="19"/>
                <w:lang w:val="en-GB"/>
              </w:rPr>
              <w:t xml:space="preserve">Companies with foreign capital </w:t>
            </w:r>
            <w:r w:rsidRPr="0041606C">
              <w:rPr>
                <w:szCs w:val="19"/>
                <w:lang w:val="en-GB"/>
              </w:rPr>
              <w:br/>
              <w:t>participation</w:t>
            </w:r>
            <w:r w:rsidRPr="0041606C">
              <w:rPr>
                <w:szCs w:val="19"/>
                <w:lang w:val="en-GB"/>
              </w:rPr>
              <w:br/>
              <w:t>2024=100</w:t>
            </w:r>
          </w:p>
        </w:tc>
      </w:tr>
      <w:tr w:rsidR="00D75071" w:rsidRPr="0041606C" w14:paraId="7B920C4A" w14:textId="77777777" w:rsidTr="00D75071">
        <w:trPr>
          <w:trHeight w:val="96"/>
        </w:trPr>
        <w:tc>
          <w:tcPr>
            <w:tcW w:w="2195" w:type="dxa"/>
            <w:vMerge/>
            <w:tcBorders>
              <w:bottom w:val="single" w:sz="4" w:space="0" w:color="212492"/>
            </w:tcBorders>
            <w:vAlign w:val="center"/>
          </w:tcPr>
          <w:p w14:paraId="7B920C45" w14:textId="77777777" w:rsidR="00D75071" w:rsidRPr="0041606C" w:rsidRDefault="00D75071" w:rsidP="006D4A47">
            <w:pPr>
              <w:spacing w:before="60" w:after="60"/>
              <w:jc w:val="center"/>
              <w:rPr>
                <w:szCs w:val="19"/>
                <w:lang w:val="en-GB"/>
              </w:rPr>
            </w:pPr>
          </w:p>
        </w:tc>
        <w:tc>
          <w:tcPr>
            <w:tcW w:w="2860" w:type="dxa"/>
            <w:gridSpan w:val="2"/>
            <w:tcBorders>
              <w:top w:val="single" w:sz="4" w:space="0" w:color="212492"/>
              <w:bottom w:val="single" w:sz="4" w:space="0" w:color="212492"/>
            </w:tcBorders>
            <w:vAlign w:val="center"/>
          </w:tcPr>
          <w:p w14:paraId="7B920C47" w14:textId="58F1662B" w:rsidR="00D75071" w:rsidRPr="0041606C" w:rsidRDefault="00D75071" w:rsidP="006D4A47">
            <w:pPr>
              <w:spacing w:before="60" w:after="60"/>
              <w:jc w:val="center"/>
              <w:rPr>
                <w:szCs w:val="19"/>
                <w:lang w:val="en-GB"/>
              </w:rPr>
            </w:pPr>
            <w:r w:rsidRPr="0041606C">
              <w:rPr>
                <w:szCs w:val="19"/>
                <w:lang w:val="en-GB"/>
              </w:rPr>
              <w:t>per 1000 population</w:t>
            </w:r>
          </w:p>
        </w:tc>
        <w:tc>
          <w:tcPr>
            <w:tcW w:w="1441" w:type="dxa"/>
            <w:vMerge/>
            <w:tcBorders>
              <w:bottom w:val="single" w:sz="4" w:space="0" w:color="212492"/>
            </w:tcBorders>
            <w:vAlign w:val="center"/>
          </w:tcPr>
          <w:p w14:paraId="7B920C48" w14:textId="58D9A786" w:rsidR="00D75071" w:rsidRPr="0041606C" w:rsidRDefault="00D75071" w:rsidP="006D4A47">
            <w:pPr>
              <w:spacing w:before="60" w:after="60"/>
              <w:rPr>
                <w:szCs w:val="19"/>
                <w:lang w:val="en-GB"/>
              </w:rPr>
            </w:pPr>
          </w:p>
        </w:tc>
        <w:tc>
          <w:tcPr>
            <w:tcW w:w="1427" w:type="dxa"/>
            <w:vMerge/>
            <w:tcBorders>
              <w:bottom w:val="single" w:sz="4" w:space="0" w:color="212492"/>
            </w:tcBorders>
            <w:vAlign w:val="center"/>
          </w:tcPr>
          <w:p w14:paraId="7B920C49" w14:textId="6F24262E" w:rsidR="00D75071" w:rsidRPr="0041606C" w:rsidRDefault="00D75071" w:rsidP="006D4A47">
            <w:pPr>
              <w:spacing w:before="60" w:after="60"/>
              <w:rPr>
                <w:szCs w:val="19"/>
                <w:lang w:val="en-GB"/>
              </w:rPr>
            </w:pPr>
          </w:p>
        </w:tc>
      </w:tr>
      <w:tr w:rsidR="002B3837" w:rsidRPr="0041606C" w14:paraId="7B920C50" w14:textId="77777777" w:rsidTr="00D92660">
        <w:trPr>
          <w:trHeight w:val="369"/>
        </w:trPr>
        <w:tc>
          <w:tcPr>
            <w:tcW w:w="2195" w:type="dxa"/>
            <w:tcBorders>
              <w:top w:val="single" w:sz="4" w:space="0" w:color="212492"/>
              <w:bottom w:val="single" w:sz="4" w:space="0" w:color="212492"/>
            </w:tcBorders>
            <w:vAlign w:val="center"/>
          </w:tcPr>
          <w:p w14:paraId="7B920C4B" w14:textId="46A41E58" w:rsidR="002B3837" w:rsidRPr="0041606C" w:rsidRDefault="002B3837" w:rsidP="00D75071">
            <w:pPr>
              <w:spacing w:before="60" w:after="60"/>
              <w:rPr>
                <w:b/>
                <w:bCs/>
                <w:szCs w:val="19"/>
                <w:lang w:val="en-GB"/>
              </w:rPr>
            </w:pPr>
            <w:r w:rsidRPr="0041606C">
              <w:rPr>
                <w:b/>
                <w:bCs/>
                <w:lang w:val="en-GB"/>
              </w:rPr>
              <w:t>Poland</w:t>
            </w:r>
          </w:p>
        </w:tc>
        <w:tc>
          <w:tcPr>
            <w:tcW w:w="1430" w:type="dxa"/>
            <w:tcBorders>
              <w:top w:val="single" w:sz="4" w:space="0" w:color="212492"/>
              <w:bottom w:val="single" w:sz="4" w:space="0" w:color="212492"/>
            </w:tcBorders>
          </w:tcPr>
          <w:p w14:paraId="7B920C4C" w14:textId="7D4A465C" w:rsidR="002B3837" w:rsidRPr="0041606C" w:rsidRDefault="00FA2DFD" w:rsidP="002B3837">
            <w:pPr>
              <w:spacing w:before="60" w:after="60"/>
              <w:jc w:val="right"/>
              <w:rPr>
                <w:b/>
                <w:bCs/>
                <w:szCs w:val="19"/>
                <w:lang w:val="en-GB"/>
              </w:rPr>
            </w:pPr>
            <w:r w:rsidRPr="0041606C">
              <w:rPr>
                <w:b/>
                <w:bCs/>
                <w:szCs w:val="19"/>
                <w:lang w:val="en-GB"/>
              </w:rPr>
              <w:t>145.5</w:t>
            </w:r>
          </w:p>
        </w:tc>
        <w:tc>
          <w:tcPr>
            <w:tcW w:w="1430" w:type="dxa"/>
            <w:tcBorders>
              <w:top w:val="single" w:sz="4" w:space="0" w:color="212492"/>
              <w:bottom w:val="single" w:sz="4" w:space="0" w:color="212492"/>
            </w:tcBorders>
          </w:tcPr>
          <w:p w14:paraId="7B920C4D" w14:textId="1EA622FD" w:rsidR="002B3837" w:rsidRPr="0041606C" w:rsidRDefault="00FA2DFD" w:rsidP="002B3837">
            <w:pPr>
              <w:spacing w:before="60" w:after="60"/>
              <w:jc w:val="right"/>
              <w:rPr>
                <w:b/>
                <w:bCs/>
                <w:szCs w:val="19"/>
                <w:lang w:val="en-GB"/>
              </w:rPr>
            </w:pPr>
            <w:r w:rsidRPr="0041606C">
              <w:rPr>
                <w:b/>
                <w:bCs/>
                <w:szCs w:val="19"/>
                <w:lang w:val="en-GB"/>
              </w:rPr>
              <w:t>103.0</w:t>
            </w:r>
          </w:p>
        </w:tc>
        <w:tc>
          <w:tcPr>
            <w:tcW w:w="1441" w:type="dxa"/>
            <w:tcBorders>
              <w:top w:val="single" w:sz="4" w:space="0" w:color="212492"/>
              <w:bottom w:val="single" w:sz="4" w:space="0" w:color="212492"/>
            </w:tcBorders>
          </w:tcPr>
          <w:p w14:paraId="7B920C4E" w14:textId="65B480D4" w:rsidR="002B3837" w:rsidRPr="0041606C" w:rsidRDefault="00FA2DFD" w:rsidP="002B3837">
            <w:pPr>
              <w:spacing w:before="60" w:after="60"/>
              <w:jc w:val="right"/>
              <w:rPr>
                <w:b/>
                <w:bCs/>
                <w:szCs w:val="19"/>
                <w:lang w:val="en-GB"/>
              </w:rPr>
            </w:pPr>
            <w:r w:rsidRPr="0041606C">
              <w:rPr>
                <w:b/>
                <w:bCs/>
                <w:szCs w:val="19"/>
                <w:lang w:val="en-GB"/>
              </w:rPr>
              <w:t>13.5</w:t>
            </w:r>
          </w:p>
        </w:tc>
        <w:tc>
          <w:tcPr>
            <w:tcW w:w="1427" w:type="dxa"/>
            <w:tcBorders>
              <w:top w:val="single" w:sz="4" w:space="0" w:color="212492"/>
              <w:bottom w:val="single" w:sz="4" w:space="0" w:color="212492"/>
            </w:tcBorders>
          </w:tcPr>
          <w:p w14:paraId="7B920C4F" w14:textId="72DC741B" w:rsidR="002B3837" w:rsidRPr="0041606C" w:rsidRDefault="00FA2DFD" w:rsidP="002B3837">
            <w:pPr>
              <w:spacing w:before="60" w:after="60"/>
              <w:jc w:val="right"/>
              <w:rPr>
                <w:b/>
                <w:bCs/>
                <w:szCs w:val="19"/>
                <w:lang w:val="en-GB"/>
              </w:rPr>
            </w:pPr>
            <w:r w:rsidRPr="0041606C">
              <w:rPr>
                <w:b/>
                <w:bCs/>
                <w:szCs w:val="19"/>
                <w:lang w:val="en-GB"/>
              </w:rPr>
              <w:t>101.6</w:t>
            </w:r>
          </w:p>
        </w:tc>
      </w:tr>
      <w:tr w:rsidR="00D312F7" w:rsidRPr="0041606C" w14:paraId="7B920C56" w14:textId="77777777" w:rsidTr="00D92660">
        <w:trPr>
          <w:trHeight w:val="369"/>
        </w:trPr>
        <w:tc>
          <w:tcPr>
            <w:tcW w:w="2195" w:type="dxa"/>
            <w:tcBorders>
              <w:top w:val="single" w:sz="4" w:space="0" w:color="212492"/>
            </w:tcBorders>
            <w:vAlign w:val="center"/>
          </w:tcPr>
          <w:p w14:paraId="7B920C51" w14:textId="52765A0D" w:rsidR="00D312F7" w:rsidRPr="0041606C" w:rsidRDefault="00D312F7" w:rsidP="00D75071">
            <w:pPr>
              <w:spacing w:before="60" w:after="60"/>
              <w:ind w:left="113" w:hanging="113"/>
              <w:rPr>
                <w:spacing w:val="-2"/>
                <w:szCs w:val="19"/>
                <w:lang w:val="en-GB"/>
              </w:rPr>
            </w:pPr>
            <w:r w:rsidRPr="0041606C">
              <w:rPr>
                <w:spacing w:val="-2"/>
                <w:lang w:val="en-GB"/>
              </w:rPr>
              <w:t>Border areas in Poland</w:t>
            </w:r>
          </w:p>
        </w:tc>
        <w:tc>
          <w:tcPr>
            <w:tcW w:w="1430" w:type="dxa"/>
            <w:tcBorders>
              <w:top w:val="single" w:sz="4" w:space="0" w:color="212492"/>
            </w:tcBorders>
            <w:vAlign w:val="bottom"/>
          </w:tcPr>
          <w:p w14:paraId="7B920C52" w14:textId="1E5ABD3B" w:rsidR="00D312F7" w:rsidRPr="0041606C" w:rsidRDefault="00D312F7" w:rsidP="00D312F7">
            <w:pPr>
              <w:spacing w:before="60" w:after="60"/>
              <w:jc w:val="right"/>
              <w:rPr>
                <w:szCs w:val="19"/>
                <w:lang w:val="en-GB"/>
              </w:rPr>
            </w:pPr>
            <w:r w:rsidRPr="0041606C">
              <w:rPr>
                <w:rFonts w:eastAsia="Times New Roman" w:cs="Calibri"/>
                <w:szCs w:val="19"/>
                <w:lang w:val="en-GB" w:eastAsia="pl-PL"/>
              </w:rPr>
              <w:t>126.6</w:t>
            </w:r>
          </w:p>
        </w:tc>
        <w:tc>
          <w:tcPr>
            <w:tcW w:w="1430" w:type="dxa"/>
            <w:tcBorders>
              <w:top w:val="single" w:sz="4" w:space="0" w:color="212492"/>
            </w:tcBorders>
            <w:vAlign w:val="bottom"/>
          </w:tcPr>
          <w:p w14:paraId="7B920C53" w14:textId="7C264DB7" w:rsidR="00D312F7" w:rsidRPr="0041606C" w:rsidRDefault="00D312F7" w:rsidP="00D312F7">
            <w:pPr>
              <w:spacing w:before="60" w:after="60"/>
              <w:jc w:val="right"/>
              <w:rPr>
                <w:szCs w:val="19"/>
                <w:lang w:val="en-GB"/>
              </w:rPr>
            </w:pPr>
            <w:r w:rsidRPr="0041606C">
              <w:rPr>
                <w:rFonts w:eastAsia="Times New Roman" w:cs="Calibri"/>
                <w:szCs w:val="19"/>
                <w:lang w:val="en-GB" w:eastAsia="pl-PL"/>
              </w:rPr>
              <w:t>92.0</w:t>
            </w:r>
          </w:p>
        </w:tc>
        <w:tc>
          <w:tcPr>
            <w:tcW w:w="1441" w:type="dxa"/>
            <w:tcBorders>
              <w:top w:val="single" w:sz="4" w:space="0" w:color="212492"/>
            </w:tcBorders>
            <w:vAlign w:val="bottom"/>
          </w:tcPr>
          <w:p w14:paraId="7B920C54" w14:textId="2D119904" w:rsidR="00D312F7" w:rsidRPr="0041606C" w:rsidRDefault="00D312F7" w:rsidP="00D312F7">
            <w:pPr>
              <w:spacing w:before="60" w:after="60"/>
              <w:jc w:val="right"/>
              <w:rPr>
                <w:szCs w:val="19"/>
                <w:lang w:val="en-GB"/>
              </w:rPr>
            </w:pPr>
            <w:r w:rsidRPr="0041606C">
              <w:rPr>
                <w:rFonts w:eastAsia="Times New Roman" w:cs="Calibri"/>
                <w:szCs w:val="19"/>
                <w:lang w:val="en-GB" w:eastAsia="pl-PL"/>
              </w:rPr>
              <w:t>8.5</w:t>
            </w:r>
          </w:p>
        </w:tc>
        <w:tc>
          <w:tcPr>
            <w:tcW w:w="1427" w:type="dxa"/>
            <w:tcBorders>
              <w:top w:val="single" w:sz="4" w:space="0" w:color="212492"/>
            </w:tcBorders>
            <w:vAlign w:val="bottom"/>
          </w:tcPr>
          <w:p w14:paraId="7B920C55" w14:textId="71D0C516" w:rsidR="00D312F7" w:rsidRPr="0041606C" w:rsidRDefault="00D312F7" w:rsidP="00D312F7">
            <w:pPr>
              <w:spacing w:before="60" w:after="60"/>
              <w:jc w:val="right"/>
              <w:rPr>
                <w:szCs w:val="19"/>
                <w:lang w:val="en-GB"/>
              </w:rPr>
            </w:pPr>
            <w:r w:rsidRPr="0041606C">
              <w:rPr>
                <w:rFonts w:eastAsia="Times New Roman" w:cs="Calibri"/>
                <w:szCs w:val="19"/>
                <w:lang w:val="en-GB" w:eastAsia="pl-PL"/>
              </w:rPr>
              <w:t>98.4</w:t>
            </w:r>
          </w:p>
        </w:tc>
      </w:tr>
      <w:tr w:rsidR="00D312F7" w:rsidRPr="0041606C" w14:paraId="7B920C5C" w14:textId="77777777" w:rsidTr="00D92660">
        <w:trPr>
          <w:trHeight w:val="369"/>
        </w:trPr>
        <w:tc>
          <w:tcPr>
            <w:tcW w:w="2195" w:type="dxa"/>
            <w:vAlign w:val="center"/>
          </w:tcPr>
          <w:p w14:paraId="7B920C57" w14:textId="6984D0D3" w:rsidR="00D312F7" w:rsidRPr="0041606C" w:rsidRDefault="00D312F7" w:rsidP="00D75071">
            <w:pPr>
              <w:spacing w:before="60" w:after="60"/>
              <w:ind w:left="176"/>
              <w:rPr>
                <w:szCs w:val="19"/>
                <w:lang w:val="en-GB"/>
              </w:rPr>
            </w:pPr>
            <w:r w:rsidRPr="0041606C">
              <w:rPr>
                <w:lang w:val="en-GB"/>
              </w:rPr>
              <w:t>neighbouring with:</w:t>
            </w:r>
          </w:p>
        </w:tc>
        <w:tc>
          <w:tcPr>
            <w:tcW w:w="1430" w:type="dxa"/>
            <w:vAlign w:val="bottom"/>
          </w:tcPr>
          <w:p w14:paraId="7B920C58" w14:textId="41D18411" w:rsidR="00D312F7" w:rsidRPr="0041606C" w:rsidRDefault="00D312F7" w:rsidP="00D312F7">
            <w:pPr>
              <w:spacing w:before="60" w:after="60"/>
              <w:jc w:val="right"/>
              <w:rPr>
                <w:szCs w:val="19"/>
                <w:lang w:val="en-GB"/>
              </w:rPr>
            </w:pPr>
            <w:r w:rsidRPr="0041606C">
              <w:rPr>
                <w:rFonts w:eastAsia="Times New Roman" w:cs="Calibri"/>
                <w:color w:val="FF0000"/>
                <w:szCs w:val="19"/>
                <w:lang w:val="en-GB" w:eastAsia="pl-PL"/>
              </w:rPr>
              <w:t> </w:t>
            </w:r>
          </w:p>
        </w:tc>
        <w:tc>
          <w:tcPr>
            <w:tcW w:w="1430" w:type="dxa"/>
            <w:vAlign w:val="bottom"/>
          </w:tcPr>
          <w:p w14:paraId="7B920C59" w14:textId="1DC457FF" w:rsidR="00D312F7" w:rsidRPr="0041606C" w:rsidRDefault="00D312F7" w:rsidP="00D312F7">
            <w:pPr>
              <w:spacing w:before="60" w:after="60"/>
              <w:jc w:val="right"/>
              <w:rPr>
                <w:szCs w:val="19"/>
                <w:lang w:val="en-GB"/>
              </w:rPr>
            </w:pPr>
            <w:r w:rsidRPr="0041606C">
              <w:rPr>
                <w:rFonts w:eastAsia="Times New Roman" w:cs="Calibri"/>
                <w:color w:val="FF0000"/>
                <w:szCs w:val="19"/>
                <w:lang w:val="en-GB" w:eastAsia="pl-PL"/>
              </w:rPr>
              <w:t> </w:t>
            </w:r>
          </w:p>
        </w:tc>
        <w:tc>
          <w:tcPr>
            <w:tcW w:w="1441" w:type="dxa"/>
            <w:vAlign w:val="bottom"/>
          </w:tcPr>
          <w:p w14:paraId="7B920C5A" w14:textId="1070809F" w:rsidR="00D312F7" w:rsidRPr="0041606C" w:rsidRDefault="00D312F7" w:rsidP="00D312F7">
            <w:pPr>
              <w:spacing w:before="60" w:after="60"/>
              <w:jc w:val="right"/>
              <w:rPr>
                <w:szCs w:val="19"/>
                <w:lang w:val="en-GB"/>
              </w:rPr>
            </w:pPr>
            <w:r w:rsidRPr="0041606C">
              <w:rPr>
                <w:rFonts w:eastAsia="Times New Roman" w:cs="Calibri"/>
                <w:color w:val="FF0000"/>
                <w:szCs w:val="19"/>
                <w:lang w:val="en-GB" w:eastAsia="pl-PL"/>
              </w:rPr>
              <w:t> </w:t>
            </w:r>
          </w:p>
        </w:tc>
        <w:tc>
          <w:tcPr>
            <w:tcW w:w="1427" w:type="dxa"/>
            <w:vAlign w:val="bottom"/>
          </w:tcPr>
          <w:p w14:paraId="7B920C5B" w14:textId="470302F7" w:rsidR="00D312F7" w:rsidRPr="0041606C" w:rsidRDefault="00D312F7" w:rsidP="00D312F7">
            <w:pPr>
              <w:spacing w:before="60" w:after="60"/>
              <w:jc w:val="right"/>
              <w:rPr>
                <w:szCs w:val="19"/>
                <w:lang w:val="en-GB"/>
              </w:rPr>
            </w:pPr>
            <w:r w:rsidRPr="0041606C">
              <w:rPr>
                <w:rFonts w:eastAsia="Times New Roman" w:cs="Calibri"/>
                <w:color w:val="FF0000"/>
                <w:szCs w:val="19"/>
                <w:lang w:val="en-GB" w:eastAsia="pl-PL"/>
              </w:rPr>
              <w:t> </w:t>
            </w:r>
          </w:p>
        </w:tc>
      </w:tr>
      <w:tr w:rsidR="00D312F7" w:rsidRPr="0041606C" w14:paraId="7B920C62" w14:textId="77777777" w:rsidTr="00D92660">
        <w:trPr>
          <w:trHeight w:val="369"/>
        </w:trPr>
        <w:tc>
          <w:tcPr>
            <w:tcW w:w="2195" w:type="dxa"/>
            <w:vAlign w:val="center"/>
          </w:tcPr>
          <w:p w14:paraId="7B920C5D" w14:textId="2D66FEFF" w:rsidR="00D312F7" w:rsidRPr="0041606C" w:rsidRDefault="00D312F7" w:rsidP="00D75071">
            <w:pPr>
              <w:spacing w:before="60" w:after="60"/>
              <w:rPr>
                <w:szCs w:val="19"/>
                <w:lang w:val="en-GB"/>
              </w:rPr>
            </w:pPr>
            <w:r w:rsidRPr="0041606C">
              <w:rPr>
                <w:lang w:val="en-GB"/>
              </w:rPr>
              <w:t>Russia</w:t>
            </w:r>
          </w:p>
        </w:tc>
        <w:tc>
          <w:tcPr>
            <w:tcW w:w="1430" w:type="dxa"/>
            <w:vAlign w:val="bottom"/>
          </w:tcPr>
          <w:p w14:paraId="7B920C5E" w14:textId="50D524AD" w:rsidR="00D312F7" w:rsidRPr="0041606C" w:rsidRDefault="00D312F7" w:rsidP="00D312F7">
            <w:pPr>
              <w:spacing w:before="60" w:after="60"/>
              <w:jc w:val="right"/>
              <w:rPr>
                <w:szCs w:val="19"/>
                <w:lang w:val="en-GB"/>
              </w:rPr>
            </w:pPr>
            <w:r w:rsidRPr="0041606C">
              <w:rPr>
                <w:rFonts w:eastAsia="Times New Roman" w:cs="Calibri"/>
                <w:szCs w:val="19"/>
                <w:lang w:val="en-GB" w:eastAsia="pl-PL"/>
              </w:rPr>
              <w:t>111.6</w:t>
            </w:r>
          </w:p>
        </w:tc>
        <w:tc>
          <w:tcPr>
            <w:tcW w:w="1430" w:type="dxa"/>
            <w:vAlign w:val="bottom"/>
          </w:tcPr>
          <w:p w14:paraId="7B920C5F" w14:textId="6AE448B5" w:rsidR="00D312F7" w:rsidRPr="0041606C" w:rsidRDefault="00D312F7" w:rsidP="00D312F7">
            <w:pPr>
              <w:spacing w:before="60" w:after="60"/>
              <w:jc w:val="right"/>
              <w:rPr>
                <w:szCs w:val="19"/>
                <w:lang w:val="en-GB"/>
              </w:rPr>
            </w:pPr>
            <w:r w:rsidRPr="0041606C">
              <w:rPr>
                <w:rFonts w:eastAsia="Times New Roman" w:cs="Calibri"/>
                <w:szCs w:val="19"/>
                <w:lang w:val="en-GB" w:eastAsia="pl-PL"/>
              </w:rPr>
              <w:t>79.8</w:t>
            </w:r>
          </w:p>
        </w:tc>
        <w:tc>
          <w:tcPr>
            <w:tcW w:w="1441" w:type="dxa"/>
            <w:vAlign w:val="bottom"/>
          </w:tcPr>
          <w:p w14:paraId="7B920C60" w14:textId="19B82B4A" w:rsidR="00D312F7" w:rsidRPr="0041606C" w:rsidRDefault="00D312F7" w:rsidP="00D312F7">
            <w:pPr>
              <w:spacing w:before="60" w:after="60"/>
              <w:jc w:val="right"/>
              <w:rPr>
                <w:szCs w:val="19"/>
                <w:lang w:val="en-GB"/>
              </w:rPr>
            </w:pPr>
            <w:r w:rsidRPr="0041606C">
              <w:rPr>
                <w:rFonts w:eastAsia="Times New Roman" w:cs="Calibri"/>
                <w:szCs w:val="19"/>
                <w:lang w:val="en-GB" w:eastAsia="pl-PL"/>
              </w:rPr>
              <w:t>6.4</w:t>
            </w:r>
          </w:p>
        </w:tc>
        <w:tc>
          <w:tcPr>
            <w:tcW w:w="1427" w:type="dxa"/>
            <w:vAlign w:val="bottom"/>
          </w:tcPr>
          <w:p w14:paraId="7B920C61" w14:textId="3D38705F" w:rsidR="00D312F7" w:rsidRPr="0041606C" w:rsidRDefault="00D312F7" w:rsidP="00D312F7">
            <w:pPr>
              <w:spacing w:before="60" w:after="60"/>
              <w:jc w:val="right"/>
              <w:rPr>
                <w:szCs w:val="19"/>
                <w:lang w:val="en-GB"/>
              </w:rPr>
            </w:pPr>
            <w:r w:rsidRPr="0041606C">
              <w:rPr>
                <w:rFonts w:eastAsia="Times New Roman" w:cs="Calibri"/>
                <w:szCs w:val="19"/>
                <w:lang w:val="en-GB" w:eastAsia="pl-PL"/>
              </w:rPr>
              <w:t>98.1</w:t>
            </w:r>
          </w:p>
        </w:tc>
      </w:tr>
      <w:tr w:rsidR="00D312F7" w:rsidRPr="0041606C" w14:paraId="34766B69" w14:textId="77777777" w:rsidTr="00D92660">
        <w:trPr>
          <w:trHeight w:val="369"/>
        </w:trPr>
        <w:tc>
          <w:tcPr>
            <w:tcW w:w="2195" w:type="dxa"/>
            <w:vAlign w:val="center"/>
          </w:tcPr>
          <w:p w14:paraId="7123A7F5" w14:textId="3EBAC2AC" w:rsidR="00D312F7" w:rsidRPr="0041606C" w:rsidRDefault="00D312F7" w:rsidP="00D75071">
            <w:pPr>
              <w:spacing w:before="60" w:after="60"/>
              <w:rPr>
                <w:szCs w:val="19"/>
                <w:lang w:val="en-GB"/>
              </w:rPr>
            </w:pPr>
            <w:r w:rsidRPr="0041606C">
              <w:rPr>
                <w:lang w:val="en-GB"/>
              </w:rPr>
              <w:t>Lithuania</w:t>
            </w:r>
          </w:p>
        </w:tc>
        <w:tc>
          <w:tcPr>
            <w:tcW w:w="1430" w:type="dxa"/>
            <w:vAlign w:val="bottom"/>
          </w:tcPr>
          <w:p w14:paraId="7FEF4B20" w14:textId="4737C538" w:rsidR="00D312F7" w:rsidRPr="0041606C" w:rsidRDefault="00D312F7" w:rsidP="00D312F7">
            <w:pPr>
              <w:spacing w:before="60" w:after="60"/>
              <w:jc w:val="right"/>
              <w:rPr>
                <w:szCs w:val="19"/>
                <w:lang w:val="en-GB"/>
              </w:rPr>
            </w:pPr>
            <w:r w:rsidRPr="0041606C">
              <w:rPr>
                <w:rFonts w:eastAsia="Times New Roman" w:cs="Calibri"/>
                <w:szCs w:val="19"/>
                <w:lang w:val="en-GB" w:eastAsia="pl-PL"/>
              </w:rPr>
              <w:t>100.6</w:t>
            </w:r>
          </w:p>
        </w:tc>
        <w:tc>
          <w:tcPr>
            <w:tcW w:w="1430" w:type="dxa"/>
            <w:vAlign w:val="bottom"/>
          </w:tcPr>
          <w:p w14:paraId="1A2204D6" w14:textId="29D87FA8" w:rsidR="00D312F7" w:rsidRPr="0041606C" w:rsidRDefault="00D312F7" w:rsidP="00D312F7">
            <w:pPr>
              <w:spacing w:before="60" w:after="60"/>
              <w:jc w:val="right"/>
              <w:rPr>
                <w:szCs w:val="19"/>
                <w:lang w:val="en-GB"/>
              </w:rPr>
            </w:pPr>
            <w:r w:rsidRPr="0041606C">
              <w:rPr>
                <w:rFonts w:eastAsia="Times New Roman" w:cs="Calibri"/>
                <w:szCs w:val="19"/>
                <w:lang w:val="en-GB" w:eastAsia="pl-PL"/>
              </w:rPr>
              <w:t>75.3</w:t>
            </w:r>
          </w:p>
        </w:tc>
        <w:tc>
          <w:tcPr>
            <w:tcW w:w="1441" w:type="dxa"/>
            <w:vAlign w:val="bottom"/>
          </w:tcPr>
          <w:p w14:paraId="2620431C" w14:textId="0A097695" w:rsidR="00D312F7" w:rsidRPr="0041606C" w:rsidRDefault="00D312F7" w:rsidP="00D312F7">
            <w:pPr>
              <w:spacing w:before="60" w:after="60"/>
              <w:jc w:val="right"/>
              <w:rPr>
                <w:szCs w:val="19"/>
                <w:lang w:val="en-GB"/>
              </w:rPr>
            </w:pPr>
            <w:r w:rsidRPr="0041606C">
              <w:rPr>
                <w:rFonts w:eastAsia="Times New Roman" w:cs="Calibri"/>
                <w:szCs w:val="19"/>
                <w:lang w:val="en-GB" w:eastAsia="pl-PL"/>
              </w:rPr>
              <w:t>6.4</w:t>
            </w:r>
          </w:p>
        </w:tc>
        <w:tc>
          <w:tcPr>
            <w:tcW w:w="1427" w:type="dxa"/>
            <w:vAlign w:val="bottom"/>
          </w:tcPr>
          <w:p w14:paraId="3EBB59F2" w14:textId="110601E6" w:rsidR="00D312F7" w:rsidRPr="0041606C" w:rsidRDefault="00D312F7" w:rsidP="00D312F7">
            <w:pPr>
              <w:spacing w:before="60" w:after="60"/>
              <w:jc w:val="right"/>
              <w:rPr>
                <w:szCs w:val="19"/>
                <w:lang w:val="en-GB"/>
              </w:rPr>
            </w:pPr>
            <w:r w:rsidRPr="0041606C">
              <w:rPr>
                <w:rFonts w:eastAsia="Times New Roman" w:cs="Calibri"/>
                <w:szCs w:val="19"/>
                <w:lang w:val="en-GB" w:eastAsia="pl-PL"/>
              </w:rPr>
              <w:t>98.2</w:t>
            </w:r>
          </w:p>
        </w:tc>
      </w:tr>
      <w:tr w:rsidR="00D312F7" w:rsidRPr="0041606C" w14:paraId="2CAAE17D" w14:textId="77777777" w:rsidTr="00D92660">
        <w:trPr>
          <w:trHeight w:val="369"/>
        </w:trPr>
        <w:tc>
          <w:tcPr>
            <w:tcW w:w="2195" w:type="dxa"/>
            <w:vAlign w:val="center"/>
          </w:tcPr>
          <w:p w14:paraId="5A175A93" w14:textId="1081D913" w:rsidR="00D312F7" w:rsidRPr="0041606C" w:rsidRDefault="00D312F7" w:rsidP="00D75071">
            <w:pPr>
              <w:spacing w:before="60" w:after="60"/>
              <w:rPr>
                <w:szCs w:val="19"/>
                <w:lang w:val="en-GB"/>
              </w:rPr>
            </w:pPr>
            <w:r w:rsidRPr="0041606C">
              <w:rPr>
                <w:lang w:val="en-GB"/>
              </w:rPr>
              <w:t>Belarus</w:t>
            </w:r>
          </w:p>
        </w:tc>
        <w:tc>
          <w:tcPr>
            <w:tcW w:w="1430" w:type="dxa"/>
            <w:vAlign w:val="bottom"/>
          </w:tcPr>
          <w:p w14:paraId="4CFAB050" w14:textId="076DE7ED" w:rsidR="00D312F7" w:rsidRPr="0041606C" w:rsidRDefault="00D312F7" w:rsidP="00D312F7">
            <w:pPr>
              <w:spacing w:before="60" w:after="60"/>
              <w:jc w:val="right"/>
              <w:rPr>
                <w:szCs w:val="19"/>
                <w:lang w:val="en-GB"/>
              </w:rPr>
            </w:pPr>
            <w:r w:rsidRPr="0041606C">
              <w:rPr>
                <w:rFonts w:eastAsia="Times New Roman" w:cs="Calibri"/>
                <w:szCs w:val="19"/>
                <w:lang w:val="en-GB" w:eastAsia="pl-PL"/>
              </w:rPr>
              <w:t>112.1</w:t>
            </w:r>
          </w:p>
        </w:tc>
        <w:tc>
          <w:tcPr>
            <w:tcW w:w="1430" w:type="dxa"/>
            <w:vAlign w:val="bottom"/>
          </w:tcPr>
          <w:p w14:paraId="484AD104" w14:textId="76586B0E" w:rsidR="00D312F7" w:rsidRPr="0041606C" w:rsidRDefault="00D312F7" w:rsidP="00D312F7">
            <w:pPr>
              <w:spacing w:before="60" w:after="60"/>
              <w:jc w:val="right"/>
              <w:rPr>
                <w:szCs w:val="19"/>
                <w:lang w:val="en-GB"/>
              </w:rPr>
            </w:pPr>
            <w:r w:rsidRPr="0041606C">
              <w:rPr>
                <w:rFonts w:eastAsia="Times New Roman" w:cs="Calibri"/>
                <w:szCs w:val="19"/>
                <w:lang w:val="en-GB" w:eastAsia="pl-PL"/>
              </w:rPr>
              <w:t>83.3</w:t>
            </w:r>
          </w:p>
        </w:tc>
        <w:tc>
          <w:tcPr>
            <w:tcW w:w="1441" w:type="dxa"/>
            <w:vAlign w:val="bottom"/>
          </w:tcPr>
          <w:p w14:paraId="79416C21" w14:textId="30D82D1E" w:rsidR="00D312F7" w:rsidRPr="0041606C" w:rsidRDefault="00D312F7" w:rsidP="00D312F7">
            <w:pPr>
              <w:spacing w:before="60" w:after="60"/>
              <w:jc w:val="right"/>
              <w:rPr>
                <w:szCs w:val="19"/>
                <w:lang w:val="en-GB"/>
              </w:rPr>
            </w:pPr>
            <w:r w:rsidRPr="0041606C">
              <w:rPr>
                <w:rFonts w:eastAsia="Times New Roman" w:cs="Calibri"/>
                <w:szCs w:val="19"/>
                <w:lang w:val="en-GB" w:eastAsia="pl-PL"/>
              </w:rPr>
              <w:t>10.6</w:t>
            </w:r>
          </w:p>
        </w:tc>
        <w:tc>
          <w:tcPr>
            <w:tcW w:w="1427" w:type="dxa"/>
            <w:vAlign w:val="bottom"/>
          </w:tcPr>
          <w:p w14:paraId="5DDE1A7C" w14:textId="0A2F8930" w:rsidR="00D312F7" w:rsidRPr="0041606C" w:rsidRDefault="00D312F7" w:rsidP="00D312F7">
            <w:pPr>
              <w:spacing w:before="60" w:after="60"/>
              <w:jc w:val="right"/>
              <w:rPr>
                <w:szCs w:val="19"/>
                <w:lang w:val="en-GB"/>
              </w:rPr>
            </w:pPr>
            <w:r w:rsidRPr="0041606C">
              <w:rPr>
                <w:rFonts w:eastAsia="Times New Roman" w:cs="Calibri"/>
                <w:szCs w:val="19"/>
                <w:lang w:val="en-GB" w:eastAsia="pl-PL"/>
              </w:rPr>
              <w:t>100.4</w:t>
            </w:r>
          </w:p>
        </w:tc>
      </w:tr>
      <w:tr w:rsidR="00D312F7" w:rsidRPr="0041606C" w14:paraId="438BC31B" w14:textId="77777777" w:rsidTr="00D92660">
        <w:trPr>
          <w:trHeight w:val="369"/>
        </w:trPr>
        <w:tc>
          <w:tcPr>
            <w:tcW w:w="2195" w:type="dxa"/>
            <w:vAlign w:val="center"/>
          </w:tcPr>
          <w:p w14:paraId="3FA9ACE0" w14:textId="78445CD2" w:rsidR="00D312F7" w:rsidRPr="0041606C" w:rsidRDefault="00D312F7" w:rsidP="00D75071">
            <w:pPr>
              <w:spacing w:before="60" w:after="60"/>
              <w:rPr>
                <w:szCs w:val="19"/>
                <w:lang w:val="en-GB"/>
              </w:rPr>
            </w:pPr>
            <w:r w:rsidRPr="0041606C">
              <w:rPr>
                <w:lang w:val="en-GB"/>
              </w:rPr>
              <w:t>Ukraine</w:t>
            </w:r>
          </w:p>
        </w:tc>
        <w:tc>
          <w:tcPr>
            <w:tcW w:w="1430" w:type="dxa"/>
            <w:vAlign w:val="bottom"/>
          </w:tcPr>
          <w:p w14:paraId="6B59EF4E" w14:textId="3500F8F0" w:rsidR="00D312F7" w:rsidRPr="0041606C" w:rsidRDefault="00D312F7" w:rsidP="00D312F7">
            <w:pPr>
              <w:spacing w:before="60" w:after="60"/>
              <w:jc w:val="right"/>
              <w:rPr>
                <w:szCs w:val="19"/>
                <w:lang w:val="en-GB"/>
              </w:rPr>
            </w:pPr>
            <w:r w:rsidRPr="0041606C">
              <w:rPr>
                <w:rFonts w:eastAsia="Times New Roman" w:cs="Calibri"/>
                <w:szCs w:val="19"/>
                <w:lang w:val="en-GB" w:eastAsia="pl-PL"/>
              </w:rPr>
              <w:t>97.4</w:t>
            </w:r>
          </w:p>
        </w:tc>
        <w:tc>
          <w:tcPr>
            <w:tcW w:w="1430" w:type="dxa"/>
            <w:vAlign w:val="bottom"/>
          </w:tcPr>
          <w:p w14:paraId="743E6CAF" w14:textId="162F144A" w:rsidR="00D312F7" w:rsidRPr="0041606C" w:rsidRDefault="00D312F7" w:rsidP="00D312F7">
            <w:pPr>
              <w:spacing w:before="60" w:after="60"/>
              <w:jc w:val="right"/>
              <w:rPr>
                <w:szCs w:val="19"/>
                <w:lang w:val="en-GB"/>
              </w:rPr>
            </w:pPr>
            <w:r w:rsidRPr="0041606C">
              <w:rPr>
                <w:rFonts w:eastAsia="Times New Roman" w:cs="Calibri"/>
                <w:szCs w:val="19"/>
                <w:lang w:val="en-GB" w:eastAsia="pl-PL"/>
              </w:rPr>
              <w:t>72.6</w:t>
            </w:r>
          </w:p>
        </w:tc>
        <w:tc>
          <w:tcPr>
            <w:tcW w:w="1441" w:type="dxa"/>
            <w:vAlign w:val="bottom"/>
          </w:tcPr>
          <w:p w14:paraId="19DC5E67" w14:textId="146CF17A" w:rsidR="00D312F7" w:rsidRPr="0041606C" w:rsidRDefault="00D312F7" w:rsidP="00D312F7">
            <w:pPr>
              <w:spacing w:before="60" w:after="60"/>
              <w:jc w:val="right"/>
              <w:rPr>
                <w:szCs w:val="19"/>
                <w:lang w:val="en-GB"/>
              </w:rPr>
            </w:pPr>
            <w:r w:rsidRPr="0041606C">
              <w:rPr>
                <w:rFonts w:eastAsia="Times New Roman" w:cs="Calibri"/>
                <w:szCs w:val="19"/>
                <w:lang w:val="en-GB" w:eastAsia="pl-PL"/>
              </w:rPr>
              <w:t>7.0</w:t>
            </w:r>
          </w:p>
        </w:tc>
        <w:tc>
          <w:tcPr>
            <w:tcW w:w="1427" w:type="dxa"/>
            <w:vAlign w:val="bottom"/>
          </w:tcPr>
          <w:p w14:paraId="361E4D64" w14:textId="55E6D30D" w:rsidR="00D312F7" w:rsidRPr="0041606C" w:rsidRDefault="00D312F7" w:rsidP="00D312F7">
            <w:pPr>
              <w:spacing w:before="60" w:after="60"/>
              <w:jc w:val="right"/>
              <w:rPr>
                <w:szCs w:val="19"/>
                <w:lang w:val="en-GB"/>
              </w:rPr>
            </w:pPr>
            <w:r w:rsidRPr="0041606C">
              <w:rPr>
                <w:rFonts w:eastAsia="Times New Roman" w:cs="Calibri"/>
                <w:szCs w:val="19"/>
                <w:lang w:val="en-GB" w:eastAsia="pl-PL"/>
              </w:rPr>
              <w:t>92.0</w:t>
            </w:r>
          </w:p>
        </w:tc>
      </w:tr>
      <w:tr w:rsidR="00D312F7" w:rsidRPr="0041606C" w14:paraId="64E20982" w14:textId="77777777" w:rsidTr="00D92660">
        <w:trPr>
          <w:trHeight w:val="369"/>
        </w:trPr>
        <w:tc>
          <w:tcPr>
            <w:tcW w:w="2195" w:type="dxa"/>
            <w:vAlign w:val="center"/>
          </w:tcPr>
          <w:p w14:paraId="4B842FDC" w14:textId="1E1702DE" w:rsidR="00D312F7" w:rsidRPr="0041606C" w:rsidRDefault="00D312F7" w:rsidP="00D75071">
            <w:pPr>
              <w:spacing w:before="60" w:after="60"/>
              <w:rPr>
                <w:szCs w:val="19"/>
                <w:lang w:val="en-GB"/>
              </w:rPr>
            </w:pPr>
            <w:r w:rsidRPr="0041606C">
              <w:rPr>
                <w:lang w:val="en-GB"/>
              </w:rPr>
              <w:t>Slovakia</w:t>
            </w:r>
          </w:p>
        </w:tc>
        <w:tc>
          <w:tcPr>
            <w:tcW w:w="1430" w:type="dxa"/>
            <w:vAlign w:val="bottom"/>
          </w:tcPr>
          <w:p w14:paraId="292CEFDA" w14:textId="6C2A6D4E" w:rsidR="00D312F7" w:rsidRPr="0041606C" w:rsidRDefault="00D312F7" w:rsidP="00D312F7">
            <w:pPr>
              <w:spacing w:before="60" w:after="60"/>
              <w:jc w:val="right"/>
              <w:rPr>
                <w:szCs w:val="19"/>
                <w:lang w:val="en-GB"/>
              </w:rPr>
            </w:pPr>
            <w:r w:rsidRPr="0041606C">
              <w:rPr>
                <w:rFonts w:eastAsia="Times New Roman" w:cs="Calibri"/>
                <w:szCs w:val="19"/>
                <w:lang w:val="en-GB" w:eastAsia="pl-PL"/>
              </w:rPr>
              <w:t>124.3</w:t>
            </w:r>
          </w:p>
        </w:tc>
        <w:tc>
          <w:tcPr>
            <w:tcW w:w="1430" w:type="dxa"/>
            <w:vAlign w:val="bottom"/>
          </w:tcPr>
          <w:p w14:paraId="3BFA4B5F" w14:textId="302A4312" w:rsidR="00D312F7" w:rsidRPr="0041606C" w:rsidRDefault="00D312F7" w:rsidP="00D312F7">
            <w:pPr>
              <w:spacing w:before="60" w:after="60"/>
              <w:jc w:val="right"/>
              <w:rPr>
                <w:szCs w:val="19"/>
                <w:lang w:val="en-GB"/>
              </w:rPr>
            </w:pPr>
            <w:r w:rsidRPr="0041606C">
              <w:rPr>
                <w:rFonts w:eastAsia="Times New Roman" w:cs="Calibri"/>
                <w:szCs w:val="19"/>
                <w:lang w:val="en-GB" w:eastAsia="pl-PL"/>
              </w:rPr>
              <w:t>96.5</w:t>
            </w:r>
          </w:p>
        </w:tc>
        <w:tc>
          <w:tcPr>
            <w:tcW w:w="1441" w:type="dxa"/>
            <w:vAlign w:val="bottom"/>
          </w:tcPr>
          <w:p w14:paraId="0C2A58CD" w14:textId="3E434806" w:rsidR="00D312F7" w:rsidRPr="0041606C" w:rsidRDefault="00D312F7" w:rsidP="00D312F7">
            <w:pPr>
              <w:spacing w:before="60" w:after="60"/>
              <w:jc w:val="right"/>
              <w:rPr>
                <w:szCs w:val="19"/>
                <w:lang w:val="en-GB"/>
              </w:rPr>
            </w:pPr>
            <w:r w:rsidRPr="0041606C">
              <w:rPr>
                <w:rFonts w:eastAsia="Times New Roman" w:cs="Calibri"/>
                <w:szCs w:val="19"/>
                <w:lang w:val="en-GB" w:eastAsia="pl-PL"/>
              </w:rPr>
              <w:t>7.9</w:t>
            </w:r>
          </w:p>
        </w:tc>
        <w:tc>
          <w:tcPr>
            <w:tcW w:w="1427" w:type="dxa"/>
            <w:vAlign w:val="bottom"/>
          </w:tcPr>
          <w:p w14:paraId="4F9D696B" w14:textId="4295E1D2" w:rsidR="00D312F7" w:rsidRPr="0041606C" w:rsidRDefault="00D312F7" w:rsidP="00D312F7">
            <w:pPr>
              <w:spacing w:before="60" w:after="60"/>
              <w:jc w:val="right"/>
              <w:rPr>
                <w:szCs w:val="19"/>
                <w:lang w:val="en-GB"/>
              </w:rPr>
            </w:pPr>
            <w:r w:rsidRPr="0041606C">
              <w:rPr>
                <w:rFonts w:eastAsia="Times New Roman" w:cs="Calibri"/>
                <w:szCs w:val="19"/>
                <w:lang w:val="en-GB" w:eastAsia="pl-PL"/>
              </w:rPr>
              <w:t>98.8</w:t>
            </w:r>
          </w:p>
        </w:tc>
      </w:tr>
      <w:tr w:rsidR="00D312F7" w:rsidRPr="0041606C" w14:paraId="096AB619" w14:textId="77777777" w:rsidTr="00D92660">
        <w:trPr>
          <w:trHeight w:val="369"/>
        </w:trPr>
        <w:tc>
          <w:tcPr>
            <w:tcW w:w="2195" w:type="dxa"/>
            <w:vAlign w:val="center"/>
          </w:tcPr>
          <w:p w14:paraId="3AC38CD1" w14:textId="69DFB31F" w:rsidR="00D312F7" w:rsidRPr="0041606C" w:rsidRDefault="00D312F7" w:rsidP="00D75071">
            <w:pPr>
              <w:spacing w:before="60" w:after="60"/>
              <w:rPr>
                <w:szCs w:val="19"/>
                <w:lang w:val="en-GB"/>
              </w:rPr>
            </w:pPr>
            <w:r w:rsidRPr="0041606C">
              <w:rPr>
                <w:lang w:val="en-GB"/>
              </w:rPr>
              <w:t>Czechia</w:t>
            </w:r>
          </w:p>
        </w:tc>
        <w:tc>
          <w:tcPr>
            <w:tcW w:w="1430" w:type="dxa"/>
            <w:vAlign w:val="bottom"/>
          </w:tcPr>
          <w:p w14:paraId="7AFDF807" w14:textId="5E0800CD" w:rsidR="00D312F7" w:rsidRPr="0041606C" w:rsidRDefault="00D312F7" w:rsidP="00D312F7">
            <w:pPr>
              <w:spacing w:before="60" w:after="60"/>
              <w:jc w:val="right"/>
              <w:rPr>
                <w:szCs w:val="19"/>
                <w:lang w:val="en-GB"/>
              </w:rPr>
            </w:pPr>
            <w:r w:rsidRPr="0041606C">
              <w:rPr>
                <w:rFonts w:eastAsia="Times New Roman" w:cs="Calibri"/>
                <w:szCs w:val="19"/>
                <w:lang w:val="en-GB" w:eastAsia="pl-PL"/>
              </w:rPr>
              <w:t>130.5</w:t>
            </w:r>
          </w:p>
        </w:tc>
        <w:tc>
          <w:tcPr>
            <w:tcW w:w="1430" w:type="dxa"/>
            <w:vAlign w:val="bottom"/>
          </w:tcPr>
          <w:p w14:paraId="7C211708" w14:textId="32AC4183" w:rsidR="00D312F7" w:rsidRPr="0041606C" w:rsidRDefault="00D312F7" w:rsidP="00D312F7">
            <w:pPr>
              <w:spacing w:before="60" w:after="60"/>
              <w:jc w:val="right"/>
              <w:rPr>
                <w:szCs w:val="19"/>
                <w:lang w:val="en-GB"/>
              </w:rPr>
            </w:pPr>
            <w:r w:rsidRPr="0041606C">
              <w:rPr>
                <w:rFonts w:eastAsia="Times New Roman" w:cs="Calibri"/>
                <w:szCs w:val="19"/>
                <w:lang w:val="en-GB" w:eastAsia="pl-PL"/>
              </w:rPr>
              <w:t>91.7</w:t>
            </w:r>
          </w:p>
        </w:tc>
        <w:tc>
          <w:tcPr>
            <w:tcW w:w="1441" w:type="dxa"/>
            <w:vAlign w:val="bottom"/>
          </w:tcPr>
          <w:p w14:paraId="1C7D7CBA" w14:textId="3D1A3D9D" w:rsidR="00D312F7" w:rsidRPr="0041606C" w:rsidRDefault="00D312F7" w:rsidP="00D312F7">
            <w:pPr>
              <w:spacing w:before="60" w:after="60"/>
              <w:jc w:val="right"/>
              <w:rPr>
                <w:szCs w:val="19"/>
                <w:lang w:val="en-GB"/>
              </w:rPr>
            </w:pPr>
            <w:r w:rsidRPr="0041606C">
              <w:rPr>
                <w:rFonts w:eastAsia="Times New Roman" w:cs="Calibri"/>
                <w:szCs w:val="19"/>
                <w:lang w:val="en-GB" w:eastAsia="pl-PL"/>
              </w:rPr>
              <w:t>8.1</w:t>
            </w:r>
          </w:p>
        </w:tc>
        <w:tc>
          <w:tcPr>
            <w:tcW w:w="1427" w:type="dxa"/>
            <w:vAlign w:val="bottom"/>
          </w:tcPr>
          <w:p w14:paraId="1526B7ED" w14:textId="3B2B1252" w:rsidR="00D312F7" w:rsidRPr="0041606C" w:rsidRDefault="00D312F7" w:rsidP="00D312F7">
            <w:pPr>
              <w:spacing w:before="60" w:after="60"/>
              <w:jc w:val="right"/>
              <w:rPr>
                <w:szCs w:val="19"/>
                <w:lang w:val="en-GB"/>
              </w:rPr>
            </w:pPr>
            <w:r w:rsidRPr="0041606C">
              <w:rPr>
                <w:rFonts w:eastAsia="Times New Roman" w:cs="Calibri"/>
                <w:szCs w:val="19"/>
                <w:lang w:val="en-GB" w:eastAsia="pl-PL"/>
              </w:rPr>
              <w:t>98.7</w:t>
            </w:r>
          </w:p>
        </w:tc>
      </w:tr>
      <w:tr w:rsidR="00D312F7" w:rsidRPr="0041606C" w14:paraId="3582B68D" w14:textId="77777777" w:rsidTr="00D92660">
        <w:trPr>
          <w:trHeight w:val="369"/>
        </w:trPr>
        <w:tc>
          <w:tcPr>
            <w:tcW w:w="2195" w:type="dxa"/>
            <w:vAlign w:val="center"/>
          </w:tcPr>
          <w:p w14:paraId="4290F3C6" w14:textId="5F695599" w:rsidR="00D312F7" w:rsidRPr="0041606C" w:rsidRDefault="00D312F7" w:rsidP="00D75071">
            <w:pPr>
              <w:spacing w:before="60" w:after="60"/>
              <w:rPr>
                <w:szCs w:val="19"/>
                <w:lang w:val="en-GB"/>
              </w:rPr>
            </w:pPr>
            <w:r w:rsidRPr="0041606C">
              <w:rPr>
                <w:lang w:val="en-GB"/>
              </w:rPr>
              <w:t>Germany</w:t>
            </w:r>
          </w:p>
        </w:tc>
        <w:tc>
          <w:tcPr>
            <w:tcW w:w="1430" w:type="dxa"/>
            <w:vAlign w:val="bottom"/>
          </w:tcPr>
          <w:p w14:paraId="4DE4CF9E" w14:textId="5D3D8F0A" w:rsidR="00D312F7" w:rsidRPr="0041606C" w:rsidRDefault="00D312F7" w:rsidP="00D312F7">
            <w:pPr>
              <w:spacing w:before="60" w:after="60"/>
              <w:jc w:val="right"/>
              <w:rPr>
                <w:szCs w:val="19"/>
                <w:lang w:val="en-GB"/>
              </w:rPr>
            </w:pPr>
            <w:r w:rsidRPr="0041606C">
              <w:rPr>
                <w:rFonts w:eastAsia="Times New Roman" w:cs="Calibri"/>
                <w:szCs w:val="19"/>
                <w:lang w:val="en-GB" w:eastAsia="pl-PL"/>
              </w:rPr>
              <w:t>158.6</w:t>
            </w:r>
          </w:p>
        </w:tc>
        <w:tc>
          <w:tcPr>
            <w:tcW w:w="1430" w:type="dxa"/>
            <w:vAlign w:val="bottom"/>
          </w:tcPr>
          <w:p w14:paraId="5DFDAE53" w14:textId="6AAA01A9" w:rsidR="00D312F7" w:rsidRPr="0041606C" w:rsidRDefault="00D312F7" w:rsidP="00D312F7">
            <w:pPr>
              <w:spacing w:before="60" w:after="60"/>
              <w:jc w:val="right"/>
              <w:rPr>
                <w:szCs w:val="19"/>
                <w:lang w:val="en-GB"/>
              </w:rPr>
            </w:pPr>
            <w:r w:rsidRPr="0041606C">
              <w:rPr>
                <w:rFonts w:eastAsia="Times New Roman" w:cs="Calibri"/>
                <w:szCs w:val="19"/>
                <w:lang w:val="en-GB" w:eastAsia="pl-PL"/>
              </w:rPr>
              <w:t>113.7</w:t>
            </w:r>
          </w:p>
        </w:tc>
        <w:tc>
          <w:tcPr>
            <w:tcW w:w="1441" w:type="dxa"/>
            <w:vAlign w:val="bottom"/>
          </w:tcPr>
          <w:p w14:paraId="68157C65" w14:textId="261317DD" w:rsidR="00D312F7" w:rsidRPr="0041606C" w:rsidRDefault="00D312F7" w:rsidP="00D312F7">
            <w:pPr>
              <w:spacing w:before="60" w:after="60"/>
              <w:jc w:val="right"/>
              <w:rPr>
                <w:szCs w:val="19"/>
                <w:lang w:val="en-GB"/>
              </w:rPr>
            </w:pPr>
            <w:r w:rsidRPr="0041606C">
              <w:rPr>
                <w:rFonts w:eastAsia="Times New Roman" w:cs="Calibri"/>
                <w:szCs w:val="19"/>
                <w:lang w:val="en-GB" w:eastAsia="pl-PL"/>
              </w:rPr>
              <w:t>10.2</w:t>
            </w:r>
          </w:p>
        </w:tc>
        <w:tc>
          <w:tcPr>
            <w:tcW w:w="1427" w:type="dxa"/>
            <w:vAlign w:val="bottom"/>
          </w:tcPr>
          <w:p w14:paraId="1B520B28" w14:textId="71EED6EB" w:rsidR="00D312F7" w:rsidRPr="0041606C" w:rsidRDefault="00D312F7" w:rsidP="00D312F7">
            <w:pPr>
              <w:spacing w:before="60" w:after="60"/>
              <w:jc w:val="right"/>
              <w:rPr>
                <w:szCs w:val="19"/>
                <w:lang w:val="en-GB"/>
              </w:rPr>
            </w:pPr>
            <w:r w:rsidRPr="0041606C">
              <w:rPr>
                <w:rFonts w:eastAsia="Times New Roman" w:cs="Calibri"/>
                <w:szCs w:val="19"/>
                <w:lang w:val="en-GB" w:eastAsia="pl-PL"/>
              </w:rPr>
              <w:t>99.6</w:t>
            </w:r>
          </w:p>
        </w:tc>
      </w:tr>
    </w:tbl>
    <w:p w14:paraId="053AFCE2" w14:textId="26E3AF9D" w:rsidR="00A25F0B" w:rsidRPr="0041606C" w:rsidRDefault="00CC6BC9" w:rsidP="00DE01C8">
      <w:pPr>
        <w:pStyle w:val="LID"/>
        <w:rPr>
          <w:shd w:val="clear" w:color="auto" w:fill="FFFFFF"/>
          <w:lang w:val="en-GB"/>
        </w:rPr>
      </w:pPr>
      <w:r w:rsidRPr="0041606C">
        <w:rPr>
          <w:lang w:val="en-GB"/>
        </w:rPr>
        <w:lastRenderedPageBreak/>
        <w:t>Map 1. Entities of the national economy in 202</w:t>
      </w:r>
      <w:r w:rsidR="00C759B0" w:rsidRPr="0041606C">
        <w:rPr>
          <w:lang w:val="en-GB"/>
        </w:rPr>
        <w:t>5</w:t>
      </w:r>
    </w:p>
    <w:p w14:paraId="43042C1D" w14:textId="5F2534DC" w:rsidR="00A25F0B" w:rsidRPr="0041606C" w:rsidRDefault="007B04E8" w:rsidP="00A25F0B">
      <w:pPr>
        <w:spacing w:line="240" w:lineRule="auto"/>
        <w:jc w:val="center"/>
        <w:rPr>
          <w:lang w:val="en-GB" w:eastAsia="pl-PL"/>
        </w:rPr>
      </w:pPr>
      <w:r w:rsidRPr="0041606C">
        <w:rPr>
          <w:noProof/>
          <w:lang w:val="en-GB" w:eastAsia="pl-PL"/>
        </w:rPr>
        <w:drawing>
          <wp:inline distT="0" distB="0" distL="0" distR="0" wp14:anchorId="3169C4D3" wp14:editId="7E29299F">
            <wp:extent cx="5147324" cy="3600000"/>
            <wp:effectExtent l="0" t="0" r="0" b="635"/>
            <wp:docPr id="5" name="Obraz 5" descr="Map 1. National economy entities per 1 thousand population in 2025 for the voivodships at the Polish border in total, for the border area in these voivodships and for the powiats in the border area.&#10;Data for the map are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Map 1. National economy entities per 1 thousand population in 2025 for the voivodships at the Polish border in total, for the border area in these voivodships and for the powiats in the border area.&#10;Data for the map are available in the attached Excel fil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47324" cy="3600000"/>
                    </a:xfrm>
                    <a:prstGeom prst="rect">
                      <a:avLst/>
                    </a:prstGeom>
                  </pic:spPr>
                </pic:pic>
              </a:graphicData>
            </a:graphic>
          </wp:inline>
        </w:drawing>
      </w:r>
    </w:p>
    <w:p w14:paraId="325D5D67" w14:textId="02C098F5" w:rsidR="00CA10E6" w:rsidRPr="0041606C" w:rsidRDefault="00A634DA" w:rsidP="007409D7">
      <w:pPr>
        <w:pStyle w:val="Nagwek1"/>
        <w:rPr>
          <w:rFonts w:ascii="Fira Sans" w:hAnsi="Fira Sans"/>
          <w:color w:val="auto"/>
          <w:u w:val="single"/>
          <w:lang w:val="en-GB"/>
        </w:rPr>
      </w:pPr>
      <w:r w:rsidRPr="0041606C">
        <w:rPr>
          <w:noProof/>
          <w:spacing w:val="-2"/>
          <w:szCs w:val="19"/>
          <w:lang w:val="en-GB"/>
        </w:rPr>
        <mc:AlternateContent>
          <mc:Choice Requires="wps">
            <w:drawing>
              <wp:anchor distT="45720" distB="45720" distL="114300" distR="114300" simplePos="0" relativeHeight="251742208" behindDoc="1" locked="0" layoutInCell="1" allowOverlap="1" wp14:anchorId="5D642083" wp14:editId="5993F184">
                <wp:simplePos x="0" y="0"/>
                <wp:positionH relativeFrom="page">
                  <wp:posOffset>5669915</wp:posOffset>
                </wp:positionH>
                <wp:positionV relativeFrom="paragraph">
                  <wp:posOffset>285276</wp:posOffset>
                </wp:positionV>
                <wp:extent cx="1802765" cy="995680"/>
                <wp:effectExtent l="0" t="0" r="0" b="0"/>
                <wp:wrapTight wrapText="bothSides">
                  <wp:wrapPolygon edited="0">
                    <wp:start x="685" y="0"/>
                    <wp:lineTo x="685" y="21077"/>
                    <wp:lineTo x="20771" y="21077"/>
                    <wp:lineTo x="20771" y="0"/>
                    <wp:lineTo x="685" y="0"/>
                  </wp:wrapPolygon>
                </wp:wrapTight>
                <wp:docPr id="12" name="Pole tekstowe 12" descr="Compared to 2024, the number of commercial companies operating in the border zone and in the country in 2025 increased by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995680"/>
                        </a:xfrm>
                        <a:prstGeom prst="rect">
                          <a:avLst/>
                        </a:prstGeom>
                        <a:noFill/>
                        <a:ln w="9525">
                          <a:noFill/>
                          <a:miter lim="800000"/>
                          <a:headEnd/>
                          <a:tailEnd/>
                        </a:ln>
                      </wps:spPr>
                      <wps:txbx>
                        <w:txbxContent>
                          <w:p w14:paraId="029A221E" w14:textId="3FCF9469" w:rsidR="000D17BB" w:rsidRPr="009E6EA7" w:rsidRDefault="009E70E1" w:rsidP="00C66DB4">
                            <w:pPr>
                              <w:pStyle w:val="tekstzboku"/>
                              <w:spacing w:before="0"/>
                              <w:rPr>
                                <w:u w:val="single"/>
                                <w:shd w:val="clear" w:color="auto" w:fill="FFFFFF"/>
                                <w:lang w:val="en-GB"/>
                              </w:rPr>
                            </w:pPr>
                            <w:r w:rsidRPr="00B2492B">
                              <w:rPr>
                                <w:rFonts w:eastAsia="Calibri"/>
                                <w:szCs w:val="19"/>
                                <w:lang w:val="en-AU"/>
                              </w:rPr>
                              <w:t>Compared to 202</w:t>
                            </w:r>
                            <w:r w:rsidR="00C67665">
                              <w:rPr>
                                <w:rFonts w:eastAsia="Calibri"/>
                                <w:szCs w:val="19"/>
                                <w:lang w:val="en-AU"/>
                              </w:rPr>
                              <w:t>4</w:t>
                            </w:r>
                            <w:r w:rsidRPr="00B2492B">
                              <w:rPr>
                                <w:rFonts w:eastAsia="Calibri"/>
                                <w:szCs w:val="19"/>
                                <w:lang w:val="en-AU"/>
                              </w:rPr>
                              <w:t>, the number of commercial companies operating in the border zone</w:t>
                            </w:r>
                            <w:r w:rsidR="003A1B7F">
                              <w:rPr>
                                <w:rFonts w:eastAsia="Calibri"/>
                                <w:szCs w:val="19"/>
                                <w:lang w:val="en-AU"/>
                              </w:rPr>
                              <w:t xml:space="preserve"> and in the country in</w:t>
                            </w:r>
                            <w:r w:rsidRPr="00B2492B">
                              <w:rPr>
                                <w:rFonts w:eastAsia="Calibri"/>
                                <w:szCs w:val="19"/>
                                <w:lang w:val="en-AU"/>
                              </w:rPr>
                              <w:t xml:space="preserve"> 202</w:t>
                            </w:r>
                            <w:r w:rsidR="00C67665">
                              <w:rPr>
                                <w:rFonts w:eastAsia="Calibri"/>
                                <w:szCs w:val="19"/>
                                <w:lang w:val="en-AU"/>
                              </w:rPr>
                              <w:t>5</w:t>
                            </w:r>
                            <w:r w:rsidRPr="00B2492B">
                              <w:rPr>
                                <w:rFonts w:eastAsia="Calibri"/>
                                <w:szCs w:val="19"/>
                                <w:lang w:val="en-AU"/>
                              </w:rPr>
                              <w:t xml:space="preserve"> increase</w:t>
                            </w:r>
                            <w:r w:rsidRPr="003A1B7F">
                              <w:rPr>
                                <w:rFonts w:eastAsia="Calibri"/>
                                <w:szCs w:val="19"/>
                                <w:lang w:val="en-AU"/>
                              </w:rPr>
                              <w:t xml:space="preserve">d by </w:t>
                            </w:r>
                            <w:r w:rsidR="00C67665" w:rsidRPr="003A1B7F">
                              <w:rPr>
                                <w:rFonts w:eastAsia="Calibri"/>
                                <w:szCs w:val="19"/>
                                <w:lang w:val="en-AU"/>
                              </w:rPr>
                              <w:t>4.6</w:t>
                            </w:r>
                            <w:r w:rsidRPr="003A1B7F">
                              <w:rPr>
                                <w:rFonts w:eastAsia="Calibri"/>
                                <w:szCs w:val="19"/>
                                <w:lang w:val="en-AU"/>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42083" id="Pole tekstowe 12" o:spid="_x0000_s1029" type="#_x0000_t202" alt="Compared to 2024, the number of commercial companies operating in the border zone and in the country in 2025 increased by 4.6%." style="position:absolute;margin-left:446.45pt;margin-top:22.45pt;width:141.95pt;height:78.4pt;z-index:-2515742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" filled="f" stroked="f">
                <v:textbox>
                  <w:txbxContent>
                    <w:p w14:paraId="029A221E" w14:textId="3FCF9469" w:rsidR="000D17BB" w:rsidRPr="009E6EA7" w:rsidRDefault="009E70E1" w:rsidP="00C66DB4">
                      <w:pPr>
                        <w:pStyle w:val="tekstzboku"/>
                        <w:spacing w:before="0"/>
                        <w:rPr>
                          <w:u w:val="single"/>
                          <w:shd w:val="clear" w:color="auto" w:fill="FFFFFF"/>
                          <w:lang w:val="en-GB"/>
                        </w:rPr>
                      </w:pPr>
                      <w:r w:rsidRPr="00B2492B">
                        <w:rPr>
                          <w:rFonts w:eastAsia="Calibri"/>
                          <w:szCs w:val="19"/>
                          <w:lang w:val="en-AU"/>
                        </w:rPr>
                        <w:t>Compared to 202</w:t>
                      </w:r>
                      <w:r w:rsidR="00C67665">
                        <w:rPr>
                          <w:rFonts w:eastAsia="Calibri"/>
                          <w:szCs w:val="19"/>
                          <w:lang w:val="en-AU"/>
                        </w:rPr>
                        <w:t>4</w:t>
                      </w:r>
                      <w:r w:rsidRPr="00B2492B">
                        <w:rPr>
                          <w:rFonts w:eastAsia="Calibri"/>
                          <w:szCs w:val="19"/>
                          <w:lang w:val="en-AU"/>
                        </w:rPr>
                        <w:t>, the number of commercial companies operating in the border zone</w:t>
                      </w:r>
                      <w:r w:rsidR="003A1B7F">
                        <w:rPr>
                          <w:rFonts w:eastAsia="Calibri"/>
                          <w:szCs w:val="19"/>
                          <w:lang w:val="en-AU"/>
                        </w:rPr>
                        <w:t xml:space="preserve"> and in the country in</w:t>
                      </w:r>
                      <w:r w:rsidRPr="00B2492B">
                        <w:rPr>
                          <w:rFonts w:eastAsia="Calibri"/>
                          <w:szCs w:val="19"/>
                          <w:lang w:val="en-AU"/>
                        </w:rPr>
                        <w:t xml:space="preserve"> 202</w:t>
                      </w:r>
                      <w:r w:rsidR="00C67665">
                        <w:rPr>
                          <w:rFonts w:eastAsia="Calibri"/>
                          <w:szCs w:val="19"/>
                          <w:lang w:val="en-AU"/>
                        </w:rPr>
                        <w:t>5</w:t>
                      </w:r>
                      <w:r w:rsidRPr="00B2492B">
                        <w:rPr>
                          <w:rFonts w:eastAsia="Calibri"/>
                          <w:szCs w:val="19"/>
                          <w:lang w:val="en-AU"/>
                        </w:rPr>
                        <w:t xml:space="preserve"> increase</w:t>
                      </w:r>
                      <w:r w:rsidRPr="003A1B7F">
                        <w:rPr>
                          <w:rFonts w:eastAsia="Calibri"/>
                          <w:szCs w:val="19"/>
                          <w:lang w:val="en-AU"/>
                        </w:rPr>
                        <w:t xml:space="preserve">d by </w:t>
                      </w:r>
                      <w:r w:rsidR="00C67665" w:rsidRPr="003A1B7F">
                        <w:rPr>
                          <w:rFonts w:eastAsia="Calibri"/>
                          <w:szCs w:val="19"/>
                          <w:lang w:val="en-AU"/>
                        </w:rPr>
                        <w:t>4.6</w:t>
                      </w:r>
                      <w:r w:rsidRPr="003A1B7F">
                        <w:rPr>
                          <w:rFonts w:eastAsia="Calibri"/>
                          <w:szCs w:val="19"/>
                          <w:lang w:val="en-AU"/>
                        </w:rPr>
                        <w:t>%.</w:t>
                      </w:r>
                    </w:p>
                  </w:txbxContent>
                </v:textbox>
                <w10:wrap type="tight" anchorx="page"/>
              </v:shape>
            </w:pict>
          </mc:Fallback>
        </mc:AlternateContent>
      </w:r>
      <w:r w:rsidR="00572C77" w:rsidRPr="0041606C">
        <w:rPr>
          <w:noProof/>
          <w:spacing w:val="-2"/>
          <w:szCs w:val="19"/>
          <w:lang w:val="en-GB"/>
        </w:rPr>
        <w:t>Commercial companies</w:t>
      </w:r>
      <w:r w:rsidR="00006CFB" w:rsidRPr="0041606C">
        <w:rPr>
          <w:lang w:val="en-GB"/>
        </w:rPr>
        <w:t xml:space="preserve"> </w:t>
      </w:r>
    </w:p>
    <w:p w14:paraId="347750DC" w14:textId="632AC343" w:rsidR="00BD7280" w:rsidRPr="0041606C" w:rsidRDefault="00706D9A" w:rsidP="00714F88">
      <w:pPr>
        <w:spacing w:before="0" w:line="288" w:lineRule="auto"/>
        <w:rPr>
          <w:rFonts w:eastAsia="Calibri" w:cs="Times New Roman"/>
          <w:spacing w:val="-2"/>
          <w:szCs w:val="19"/>
          <w:lang w:val="en-GB"/>
        </w:rPr>
      </w:pPr>
      <w:r w:rsidRPr="0041606C">
        <w:rPr>
          <w:rFonts w:eastAsia="Calibri" w:cs="Times New Roman"/>
          <w:spacing w:val="-2"/>
          <w:szCs w:val="19"/>
          <w:lang w:val="en-GB"/>
        </w:rPr>
        <w:t>At the end of 202</w:t>
      </w:r>
      <w:r w:rsidR="00111160" w:rsidRPr="0041606C">
        <w:rPr>
          <w:rFonts w:eastAsia="Calibri" w:cs="Times New Roman"/>
          <w:spacing w:val="-2"/>
          <w:szCs w:val="19"/>
          <w:lang w:val="en-GB"/>
        </w:rPr>
        <w:t>5</w:t>
      </w:r>
      <w:r w:rsidRPr="0041606C">
        <w:rPr>
          <w:rFonts w:eastAsia="Calibri" w:cs="Times New Roman"/>
          <w:spacing w:val="-2"/>
          <w:szCs w:val="19"/>
          <w:lang w:val="en-GB"/>
        </w:rPr>
        <w:t xml:space="preserve">, </w:t>
      </w:r>
      <w:r w:rsidR="00111160" w:rsidRPr="0041606C">
        <w:rPr>
          <w:rFonts w:eastAsia="Calibri" w:cs="Times New Roman"/>
          <w:spacing w:val="-2"/>
          <w:szCs w:val="19"/>
          <w:lang w:val="en-GB"/>
        </w:rPr>
        <w:t>75.2</w:t>
      </w:r>
      <w:r w:rsidRPr="0041606C">
        <w:rPr>
          <w:rFonts w:eastAsia="Calibri" w:cs="Times New Roman"/>
          <w:spacing w:val="-2"/>
          <w:szCs w:val="19"/>
          <w:lang w:val="en-GB"/>
        </w:rPr>
        <w:t xml:space="preserve"> thousand commercial companies operating in the border zone were entered in the REGON register, i.e. 10.</w:t>
      </w:r>
      <w:r w:rsidR="00111160" w:rsidRPr="0041606C">
        <w:rPr>
          <w:rFonts w:eastAsia="Calibri" w:cs="Times New Roman"/>
          <w:spacing w:val="-2"/>
          <w:szCs w:val="19"/>
          <w:lang w:val="en-GB"/>
        </w:rPr>
        <w:t>2</w:t>
      </w:r>
      <w:r w:rsidRPr="0041606C">
        <w:rPr>
          <w:rFonts w:eastAsia="Calibri" w:cs="Times New Roman"/>
          <w:spacing w:val="-2"/>
          <w:szCs w:val="19"/>
          <w:lang w:val="en-GB"/>
        </w:rPr>
        <w:t>% of the total number of companies registered in the country. In this group of entities, similarly as in Poland, capital companies predominated (8</w:t>
      </w:r>
      <w:r w:rsidR="00111160" w:rsidRPr="0041606C">
        <w:rPr>
          <w:rFonts w:eastAsia="Calibri" w:cs="Times New Roman"/>
          <w:spacing w:val="-2"/>
          <w:szCs w:val="19"/>
          <w:lang w:val="en-GB"/>
        </w:rPr>
        <w:t>7.5</w:t>
      </w:r>
      <w:r w:rsidRPr="0041606C">
        <w:rPr>
          <w:rFonts w:eastAsia="Calibri" w:cs="Times New Roman"/>
          <w:spacing w:val="-2"/>
          <w:szCs w:val="19"/>
          <w:lang w:val="en-GB"/>
        </w:rPr>
        <w:t>%), with limited liability companies constituting 8</w:t>
      </w:r>
      <w:r w:rsidR="00111160" w:rsidRPr="0041606C">
        <w:rPr>
          <w:rFonts w:eastAsia="Calibri" w:cs="Times New Roman"/>
          <w:spacing w:val="-2"/>
          <w:szCs w:val="19"/>
          <w:lang w:val="en-GB"/>
        </w:rPr>
        <w:t>6.1</w:t>
      </w:r>
      <w:r w:rsidRPr="0041606C">
        <w:rPr>
          <w:rFonts w:eastAsia="Calibri" w:cs="Times New Roman"/>
          <w:spacing w:val="-2"/>
          <w:szCs w:val="19"/>
          <w:lang w:val="en-GB"/>
        </w:rPr>
        <w:t>% and joint stock companies 1.</w:t>
      </w:r>
      <w:r w:rsidR="00D746A8" w:rsidRPr="0041606C">
        <w:rPr>
          <w:rFonts w:eastAsia="Calibri" w:cs="Times New Roman"/>
          <w:spacing w:val="-2"/>
          <w:szCs w:val="19"/>
          <w:lang w:val="en-GB"/>
        </w:rPr>
        <w:t>4</w:t>
      </w:r>
      <w:r w:rsidRPr="0041606C">
        <w:rPr>
          <w:rFonts w:eastAsia="Calibri" w:cs="Times New Roman"/>
          <w:spacing w:val="-2"/>
          <w:szCs w:val="19"/>
          <w:lang w:val="en-GB"/>
        </w:rPr>
        <w:t xml:space="preserve">%. Partnerships had a </w:t>
      </w:r>
      <w:r w:rsidR="00D746A8" w:rsidRPr="0041606C">
        <w:rPr>
          <w:rFonts w:eastAsia="Calibri" w:cs="Times New Roman"/>
          <w:spacing w:val="-2"/>
          <w:szCs w:val="19"/>
          <w:lang w:val="en-GB"/>
        </w:rPr>
        <w:t>1</w:t>
      </w:r>
      <w:r w:rsidR="00111160" w:rsidRPr="0041606C">
        <w:rPr>
          <w:rFonts w:eastAsia="Calibri" w:cs="Times New Roman"/>
          <w:spacing w:val="-2"/>
          <w:szCs w:val="19"/>
          <w:lang w:val="en-GB"/>
        </w:rPr>
        <w:t>2.5</w:t>
      </w:r>
      <w:r w:rsidRPr="0041606C">
        <w:rPr>
          <w:rFonts w:eastAsia="Calibri" w:cs="Times New Roman"/>
          <w:spacing w:val="-2"/>
          <w:szCs w:val="19"/>
          <w:lang w:val="en-GB"/>
        </w:rPr>
        <w:t>% share in the total number of commercial partnerships within the zone (</w:t>
      </w:r>
      <w:r w:rsidR="00D95C25" w:rsidRPr="0041606C">
        <w:rPr>
          <w:rFonts w:eastAsia="Calibri" w:cs="Times New Roman"/>
          <w:spacing w:val="-2"/>
          <w:szCs w:val="19"/>
          <w:lang w:val="en-GB"/>
        </w:rPr>
        <w:t>unlimited</w:t>
      </w:r>
      <w:r w:rsidRPr="0041606C">
        <w:rPr>
          <w:rFonts w:eastAsia="Calibri" w:cs="Times New Roman"/>
          <w:spacing w:val="-2"/>
          <w:szCs w:val="19"/>
          <w:lang w:val="en-GB"/>
        </w:rPr>
        <w:t xml:space="preserve"> partnerships – </w:t>
      </w:r>
      <w:r w:rsidR="00111160" w:rsidRPr="0041606C">
        <w:rPr>
          <w:rFonts w:eastAsia="Calibri" w:cs="Times New Roman"/>
          <w:spacing w:val="-2"/>
          <w:szCs w:val="19"/>
          <w:lang w:val="en-GB"/>
        </w:rPr>
        <w:t>7.0</w:t>
      </w:r>
      <w:r w:rsidRPr="0041606C">
        <w:rPr>
          <w:rFonts w:eastAsia="Calibri" w:cs="Times New Roman"/>
          <w:spacing w:val="-2"/>
          <w:szCs w:val="19"/>
          <w:lang w:val="en-GB"/>
        </w:rPr>
        <w:t xml:space="preserve">%, limited partnerships – </w:t>
      </w:r>
      <w:r w:rsidR="00111160" w:rsidRPr="0041606C">
        <w:rPr>
          <w:rFonts w:eastAsia="Calibri" w:cs="Times New Roman"/>
          <w:spacing w:val="-2"/>
          <w:szCs w:val="19"/>
          <w:lang w:val="en-GB"/>
        </w:rPr>
        <w:t>4.7</w:t>
      </w:r>
      <w:r w:rsidRPr="0041606C">
        <w:rPr>
          <w:rFonts w:eastAsia="Calibri" w:cs="Times New Roman"/>
          <w:spacing w:val="-2"/>
          <w:szCs w:val="19"/>
          <w:lang w:val="en-GB"/>
        </w:rPr>
        <w:t>%, professional partnerships – 0.</w:t>
      </w:r>
      <w:r w:rsidR="00111160" w:rsidRPr="0041606C">
        <w:rPr>
          <w:rFonts w:eastAsia="Calibri" w:cs="Times New Roman"/>
          <w:spacing w:val="-2"/>
          <w:szCs w:val="19"/>
          <w:lang w:val="en-GB"/>
        </w:rPr>
        <w:t>5</w:t>
      </w:r>
      <w:r w:rsidRPr="0041606C">
        <w:rPr>
          <w:rFonts w:eastAsia="Calibri" w:cs="Times New Roman"/>
          <w:spacing w:val="-2"/>
          <w:szCs w:val="19"/>
          <w:lang w:val="en-GB"/>
        </w:rPr>
        <w:t>%, limited joint-stock partnerships – 0.3%).</w:t>
      </w:r>
    </w:p>
    <w:p w14:paraId="68B3894E" w14:textId="3517D6E4" w:rsidR="00006CFB" w:rsidRPr="0041606C" w:rsidRDefault="002D5FC9" w:rsidP="00714F88">
      <w:pPr>
        <w:spacing w:before="0" w:line="288" w:lineRule="auto"/>
        <w:rPr>
          <w:rFonts w:eastAsia="Calibri" w:cs="Times New Roman"/>
          <w:szCs w:val="19"/>
          <w:lang w:val="en-GB"/>
        </w:rPr>
      </w:pPr>
      <w:r w:rsidRPr="0041606C">
        <w:rPr>
          <w:rFonts w:eastAsia="Calibri" w:cs="Times New Roman"/>
          <w:szCs w:val="19"/>
          <w:lang w:val="en-GB"/>
        </w:rPr>
        <w:t>The number of commercial companies operating in the border zone in 202</w:t>
      </w:r>
      <w:r w:rsidR="00111160" w:rsidRPr="0041606C">
        <w:rPr>
          <w:rFonts w:eastAsia="Calibri" w:cs="Times New Roman"/>
          <w:szCs w:val="19"/>
          <w:lang w:val="en-GB"/>
        </w:rPr>
        <w:t>5</w:t>
      </w:r>
      <w:r w:rsidRPr="0041606C">
        <w:rPr>
          <w:rFonts w:eastAsia="Calibri" w:cs="Times New Roman"/>
          <w:szCs w:val="19"/>
          <w:lang w:val="en-GB"/>
        </w:rPr>
        <w:t xml:space="preserve"> increased by 3</w:t>
      </w:r>
      <w:r w:rsidR="00111160" w:rsidRPr="0041606C">
        <w:rPr>
          <w:rFonts w:eastAsia="Calibri" w:cs="Times New Roman"/>
          <w:szCs w:val="19"/>
          <w:lang w:val="en-GB"/>
        </w:rPr>
        <w:t>315</w:t>
      </w:r>
      <w:r w:rsidRPr="0041606C">
        <w:rPr>
          <w:rFonts w:eastAsia="Calibri" w:cs="Times New Roman"/>
          <w:szCs w:val="19"/>
          <w:lang w:val="en-GB"/>
        </w:rPr>
        <w:t xml:space="preserve"> units, i.e. by </w:t>
      </w:r>
      <w:r w:rsidR="009A540A" w:rsidRPr="0041606C">
        <w:rPr>
          <w:rFonts w:eastAsia="Calibri" w:cs="Times New Roman"/>
          <w:szCs w:val="19"/>
          <w:lang w:val="en-GB"/>
        </w:rPr>
        <w:t>4</w:t>
      </w:r>
      <w:r w:rsidRPr="0041606C">
        <w:rPr>
          <w:rFonts w:eastAsia="Calibri" w:cs="Times New Roman"/>
          <w:szCs w:val="19"/>
          <w:lang w:val="en-GB"/>
        </w:rPr>
        <w:t>.</w:t>
      </w:r>
      <w:r w:rsidR="00111160" w:rsidRPr="0041606C">
        <w:rPr>
          <w:rFonts w:eastAsia="Calibri" w:cs="Times New Roman"/>
          <w:szCs w:val="19"/>
          <w:lang w:val="en-GB"/>
        </w:rPr>
        <w:t>6</w:t>
      </w:r>
      <w:r w:rsidRPr="0041606C">
        <w:rPr>
          <w:rFonts w:eastAsia="Calibri" w:cs="Times New Roman"/>
          <w:szCs w:val="19"/>
          <w:lang w:val="en-GB"/>
        </w:rPr>
        <w:t xml:space="preserve">% (in Poland it increased </w:t>
      </w:r>
      <w:r w:rsidR="001A1142" w:rsidRPr="0041606C">
        <w:rPr>
          <w:rFonts w:eastAsia="Calibri" w:cs="Times New Roman"/>
          <w:szCs w:val="19"/>
          <w:lang w:val="en-GB"/>
        </w:rPr>
        <w:t xml:space="preserve">also </w:t>
      </w:r>
      <w:r w:rsidRPr="0041606C">
        <w:rPr>
          <w:rFonts w:eastAsia="Calibri" w:cs="Times New Roman"/>
          <w:szCs w:val="19"/>
          <w:lang w:val="en-GB"/>
        </w:rPr>
        <w:t xml:space="preserve">by </w:t>
      </w:r>
      <w:r w:rsidR="00111160" w:rsidRPr="0041606C">
        <w:rPr>
          <w:rFonts w:eastAsia="Calibri" w:cs="Times New Roman"/>
          <w:szCs w:val="19"/>
          <w:lang w:val="en-GB"/>
        </w:rPr>
        <w:t>4.6</w:t>
      </w:r>
      <w:r w:rsidRPr="0041606C">
        <w:rPr>
          <w:rFonts w:eastAsia="Calibri" w:cs="Times New Roman"/>
          <w:szCs w:val="19"/>
          <w:lang w:val="en-GB"/>
        </w:rPr>
        <w:t>%), compared to 202</w:t>
      </w:r>
      <w:r w:rsidR="00111160" w:rsidRPr="0041606C">
        <w:rPr>
          <w:rFonts w:eastAsia="Calibri" w:cs="Times New Roman"/>
          <w:szCs w:val="19"/>
          <w:lang w:val="en-GB"/>
        </w:rPr>
        <w:t>4</w:t>
      </w:r>
      <w:r w:rsidRPr="0041606C">
        <w:rPr>
          <w:rFonts w:eastAsia="Calibri" w:cs="Times New Roman"/>
          <w:szCs w:val="19"/>
          <w:lang w:val="en-GB"/>
        </w:rPr>
        <w:t>. In relation to the previous year, the total number of capital companies increased - by 3</w:t>
      </w:r>
      <w:r w:rsidR="00111160" w:rsidRPr="0041606C">
        <w:rPr>
          <w:rFonts w:eastAsia="Calibri" w:cs="Times New Roman"/>
          <w:szCs w:val="19"/>
          <w:lang w:val="en-GB"/>
        </w:rPr>
        <w:t>574</w:t>
      </w:r>
      <w:r w:rsidRPr="0041606C">
        <w:rPr>
          <w:rFonts w:eastAsia="Calibri" w:cs="Times New Roman"/>
          <w:szCs w:val="19"/>
          <w:lang w:val="en-GB"/>
        </w:rPr>
        <w:t xml:space="preserve"> units, i.e. by </w:t>
      </w:r>
      <w:r w:rsidR="00111160" w:rsidRPr="0041606C">
        <w:rPr>
          <w:rFonts w:eastAsia="Calibri" w:cs="Times New Roman"/>
          <w:szCs w:val="19"/>
          <w:lang w:val="en-GB"/>
        </w:rPr>
        <w:t>5.7</w:t>
      </w:r>
      <w:r w:rsidRPr="0041606C">
        <w:rPr>
          <w:rFonts w:eastAsia="Calibri" w:cs="Times New Roman"/>
          <w:szCs w:val="19"/>
          <w:lang w:val="en-GB"/>
        </w:rPr>
        <w:t xml:space="preserve">%, against a </w:t>
      </w:r>
      <w:r w:rsidR="00111160" w:rsidRPr="0041606C">
        <w:rPr>
          <w:rFonts w:eastAsia="Calibri" w:cs="Times New Roman"/>
          <w:szCs w:val="19"/>
          <w:lang w:val="en-GB"/>
        </w:rPr>
        <w:t>5,6</w:t>
      </w:r>
      <w:r w:rsidRPr="0041606C">
        <w:rPr>
          <w:rFonts w:eastAsia="Calibri" w:cs="Times New Roman"/>
          <w:szCs w:val="19"/>
          <w:lang w:val="en-GB"/>
        </w:rPr>
        <w:t xml:space="preserve">% increase in the country. On the other hand, in the group of entities of the national economy classified as partnerships, a decrease by </w:t>
      </w:r>
      <w:r w:rsidR="00111160" w:rsidRPr="0041606C">
        <w:rPr>
          <w:rFonts w:eastAsia="Calibri" w:cs="Times New Roman"/>
          <w:szCs w:val="19"/>
          <w:lang w:val="en-GB"/>
        </w:rPr>
        <w:t>259</w:t>
      </w:r>
      <w:r w:rsidRPr="0041606C">
        <w:rPr>
          <w:rFonts w:eastAsia="Calibri" w:cs="Times New Roman"/>
          <w:szCs w:val="19"/>
          <w:lang w:val="en-GB"/>
        </w:rPr>
        <w:t xml:space="preserve"> units was recorded </w:t>
      </w:r>
      <w:r w:rsidR="00202C2B">
        <w:rPr>
          <w:rFonts w:eastAsia="Calibri" w:cs="Times New Roman"/>
          <w:szCs w:val="19"/>
          <w:lang w:val="en-GB"/>
        </w:rPr>
        <w:t xml:space="preserve">by </w:t>
      </w:r>
      <w:r w:rsidR="00111160" w:rsidRPr="0041606C">
        <w:rPr>
          <w:rFonts w:eastAsia="Calibri" w:cs="Times New Roman"/>
          <w:szCs w:val="19"/>
          <w:lang w:val="en-GB"/>
        </w:rPr>
        <w:t>2.7</w:t>
      </w:r>
      <w:r w:rsidRPr="0041606C">
        <w:rPr>
          <w:rFonts w:eastAsia="Calibri" w:cs="Times New Roman"/>
          <w:szCs w:val="19"/>
          <w:lang w:val="en-GB"/>
        </w:rPr>
        <w:t>% (</w:t>
      </w:r>
      <w:r w:rsidR="00A27961">
        <w:rPr>
          <w:rFonts w:eastAsia="Calibri" w:cs="Times New Roman"/>
          <w:szCs w:val="19"/>
          <w:lang w:val="en-GB"/>
        </w:rPr>
        <w:t xml:space="preserve">a </w:t>
      </w:r>
      <w:r w:rsidRPr="0041606C">
        <w:rPr>
          <w:rFonts w:eastAsia="Calibri" w:cs="Times New Roman"/>
          <w:szCs w:val="19"/>
          <w:lang w:val="en-GB"/>
        </w:rPr>
        <w:t xml:space="preserve">decrease by </w:t>
      </w:r>
      <w:r w:rsidR="00111160" w:rsidRPr="0041606C">
        <w:rPr>
          <w:rFonts w:eastAsia="Calibri" w:cs="Times New Roman"/>
          <w:szCs w:val="19"/>
          <w:lang w:val="en-GB"/>
        </w:rPr>
        <w:t>3.8</w:t>
      </w:r>
      <w:r w:rsidRPr="0041606C">
        <w:rPr>
          <w:rFonts w:eastAsia="Calibri" w:cs="Times New Roman"/>
          <w:szCs w:val="19"/>
          <w:lang w:val="en-GB"/>
        </w:rPr>
        <w:t>% in the country).</w:t>
      </w:r>
    </w:p>
    <w:p w14:paraId="4B040EB7" w14:textId="31F2AA7F" w:rsidR="0031369A" w:rsidRPr="0041606C" w:rsidRDefault="008E3398" w:rsidP="00714F88">
      <w:pPr>
        <w:spacing w:before="0" w:line="288" w:lineRule="auto"/>
        <w:rPr>
          <w:rFonts w:eastAsia="Calibri" w:cs="Times New Roman"/>
          <w:spacing w:val="-2"/>
          <w:szCs w:val="19"/>
          <w:lang w:val="en-GB"/>
        </w:rPr>
      </w:pPr>
      <w:r w:rsidRPr="0041606C">
        <w:rPr>
          <w:rFonts w:eastAsia="Calibri" w:cs="Times New Roman"/>
          <w:noProof/>
          <w:szCs w:val="19"/>
          <w:lang w:val="en-GB"/>
        </w:rPr>
        <mc:AlternateContent>
          <mc:Choice Requires="wps">
            <w:drawing>
              <wp:anchor distT="45720" distB="45720" distL="114300" distR="114300" simplePos="0" relativeHeight="251744256" behindDoc="1" locked="0" layoutInCell="1" allowOverlap="1" wp14:anchorId="269658A3" wp14:editId="65348111">
                <wp:simplePos x="0" y="0"/>
                <wp:positionH relativeFrom="page">
                  <wp:posOffset>5678805</wp:posOffset>
                </wp:positionH>
                <wp:positionV relativeFrom="paragraph">
                  <wp:posOffset>1269788</wp:posOffset>
                </wp:positionV>
                <wp:extent cx="1739900" cy="1050290"/>
                <wp:effectExtent l="0" t="0" r="0" b="0"/>
                <wp:wrapTight wrapText="bothSides">
                  <wp:wrapPolygon edited="0">
                    <wp:start x="709" y="0"/>
                    <wp:lineTo x="709" y="21156"/>
                    <wp:lineTo x="21048" y="21156"/>
                    <wp:lineTo x="21048" y="0"/>
                    <wp:lineTo x="709" y="0"/>
                  </wp:wrapPolygon>
                </wp:wrapTight>
                <wp:docPr id="13" name="Pole tekstowe 13" descr="The number of companies with foreign capital operating in 2025 in border areas constituted 11.8% of the zone's total commercial companie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1050290"/>
                        </a:xfrm>
                        <a:prstGeom prst="rect">
                          <a:avLst/>
                        </a:prstGeom>
                        <a:noFill/>
                        <a:ln w="9525">
                          <a:noFill/>
                          <a:miter lim="800000"/>
                          <a:headEnd/>
                          <a:tailEnd/>
                        </a:ln>
                      </wps:spPr>
                      <wps:txbx>
                        <w:txbxContent>
                          <w:p w14:paraId="3F4E0BB2" w14:textId="3C663DAC" w:rsidR="005D7A2D" w:rsidRPr="00B2492B" w:rsidRDefault="00982C84" w:rsidP="00A634DA">
                            <w:pPr>
                              <w:pStyle w:val="tekstzboku"/>
                              <w:spacing w:before="0"/>
                              <w:rPr>
                                <w:rFonts w:eastAsia="Calibri"/>
                                <w:szCs w:val="19"/>
                                <w:lang w:val="en-AU"/>
                              </w:rPr>
                            </w:pPr>
                            <w:bookmarkStart w:id="0" w:name="_Hlk221776388"/>
                            <w:bookmarkStart w:id="1" w:name="_Hlk221776389"/>
                            <w:r w:rsidRPr="00B2492B">
                              <w:rPr>
                                <w:rFonts w:eastAsia="Calibri"/>
                                <w:szCs w:val="19"/>
                                <w:lang w:val="en-AU"/>
                              </w:rPr>
                              <w:t>The number of companies with foreign capital operating in 202</w:t>
                            </w:r>
                            <w:r w:rsidR="001A1142">
                              <w:rPr>
                                <w:rFonts w:eastAsia="Calibri"/>
                                <w:szCs w:val="19"/>
                                <w:lang w:val="en-AU"/>
                              </w:rPr>
                              <w:t>5</w:t>
                            </w:r>
                            <w:r w:rsidRPr="00B2492B">
                              <w:rPr>
                                <w:rFonts w:eastAsia="Calibri"/>
                                <w:szCs w:val="19"/>
                                <w:lang w:val="en-AU"/>
                              </w:rPr>
                              <w:t xml:space="preserve"> in border areas constituted 1</w:t>
                            </w:r>
                            <w:r w:rsidR="001A1142">
                              <w:rPr>
                                <w:rFonts w:eastAsia="Calibri"/>
                                <w:szCs w:val="19"/>
                                <w:lang w:val="en-AU"/>
                              </w:rPr>
                              <w:t>1.8</w:t>
                            </w:r>
                            <w:r w:rsidRPr="00B2492B">
                              <w:rPr>
                                <w:rFonts w:eastAsia="Calibri"/>
                                <w:szCs w:val="19"/>
                                <w:lang w:val="en-AU"/>
                              </w:rPr>
                              <w:t xml:space="preserve">% of the zone's total commercial companies </w:t>
                            </w:r>
                            <w:bookmarkEnd w:id="0"/>
                            <w:bookmarkEnd w:id="1"/>
                          </w:p>
                        </w:txbxContent>
                      </wps:txbx>
                      <wps:bodyPr rot="0" vert="horz" wrap="square" lIns="90000" tIns="45720" rIns="72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658A3" id="Pole tekstowe 13" o:spid="_x0000_s1030" type="#_x0000_t202" alt="The number of companies with foreign capital operating in 2025 in border areas constituted 11.8% of the zone's total commercial companies " style="position:absolute;margin-left:447.15pt;margin-top:100pt;width:137pt;height:82.7pt;z-index:-2515722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" filled="f" stroked="f">
                <v:textbox inset="2.5mm,,2mm">
                  <w:txbxContent>
                    <w:p w14:paraId="3F4E0BB2" w14:textId="3C663DAC" w:rsidR="005D7A2D" w:rsidRPr="00B2492B" w:rsidRDefault="00982C84" w:rsidP="00A634DA">
                      <w:pPr>
                        <w:pStyle w:val="tekstzboku"/>
                        <w:spacing w:before="0"/>
                        <w:rPr>
                          <w:rFonts w:eastAsia="Calibri"/>
                          <w:szCs w:val="19"/>
                          <w:lang w:val="en-AU"/>
                        </w:rPr>
                      </w:pPr>
                      <w:bookmarkStart w:id="2" w:name="_Hlk221776388"/>
                      <w:bookmarkStart w:id="3" w:name="_Hlk221776389"/>
                      <w:r w:rsidRPr="00B2492B">
                        <w:rPr>
                          <w:rFonts w:eastAsia="Calibri"/>
                          <w:szCs w:val="19"/>
                          <w:lang w:val="en-AU"/>
                        </w:rPr>
                        <w:t>The number of companies with foreign capital operating in 202</w:t>
                      </w:r>
                      <w:r w:rsidR="001A1142">
                        <w:rPr>
                          <w:rFonts w:eastAsia="Calibri"/>
                          <w:szCs w:val="19"/>
                          <w:lang w:val="en-AU"/>
                        </w:rPr>
                        <w:t>5</w:t>
                      </w:r>
                      <w:r w:rsidRPr="00B2492B">
                        <w:rPr>
                          <w:rFonts w:eastAsia="Calibri"/>
                          <w:szCs w:val="19"/>
                          <w:lang w:val="en-AU"/>
                        </w:rPr>
                        <w:t xml:space="preserve"> in border areas constituted 1</w:t>
                      </w:r>
                      <w:r w:rsidR="001A1142">
                        <w:rPr>
                          <w:rFonts w:eastAsia="Calibri"/>
                          <w:szCs w:val="19"/>
                          <w:lang w:val="en-AU"/>
                        </w:rPr>
                        <w:t>1.8</w:t>
                      </w:r>
                      <w:r w:rsidRPr="00B2492B">
                        <w:rPr>
                          <w:rFonts w:eastAsia="Calibri"/>
                          <w:szCs w:val="19"/>
                          <w:lang w:val="en-AU"/>
                        </w:rPr>
                        <w:t xml:space="preserve">% of the zone's total commercial companies </w:t>
                      </w:r>
                      <w:bookmarkEnd w:id="2"/>
                      <w:bookmarkEnd w:id="3"/>
                    </w:p>
                  </w:txbxContent>
                </v:textbox>
                <w10:wrap type="tight" anchorx="page"/>
              </v:shape>
            </w:pict>
          </mc:Fallback>
        </mc:AlternateContent>
      </w:r>
      <w:r w:rsidR="005B3788" w:rsidRPr="0041606C">
        <w:rPr>
          <w:rFonts w:eastAsia="Calibri" w:cs="Times New Roman"/>
          <w:szCs w:val="19"/>
          <w:lang w:val="en-GB"/>
        </w:rPr>
        <w:t>In comparison with 202</w:t>
      </w:r>
      <w:r w:rsidR="008E20D1" w:rsidRPr="0041606C">
        <w:rPr>
          <w:rFonts w:eastAsia="Calibri" w:cs="Times New Roman"/>
          <w:szCs w:val="19"/>
          <w:lang w:val="en-GB"/>
        </w:rPr>
        <w:t>4</w:t>
      </w:r>
      <w:r w:rsidR="005B3788" w:rsidRPr="0041606C">
        <w:rPr>
          <w:rFonts w:eastAsia="Calibri" w:cs="Times New Roman"/>
          <w:szCs w:val="19"/>
          <w:lang w:val="en-GB"/>
        </w:rPr>
        <w:t xml:space="preserve">, the number of commercial companies increased, both in individual parts of the zone analysed by neighbouring countries and by voivodships. The highest increase was observed at the Czech border </w:t>
      </w:r>
      <w:r w:rsidR="00730506" w:rsidRPr="0041606C">
        <w:rPr>
          <w:rFonts w:eastAsia="Calibri" w:cs="Times New Roman"/>
          <w:szCs w:val="19"/>
          <w:lang w:val="en-GB"/>
        </w:rPr>
        <w:t>–</w:t>
      </w:r>
      <w:r w:rsidR="005B3788" w:rsidRPr="0041606C">
        <w:rPr>
          <w:rFonts w:eastAsia="Calibri" w:cs="Times New Roman"/>
          <w:szCs w:val="19"/>
          <w:lang w:val="en-GB"/>
        </w:rPr>
        <w:t xml:space="preserve"> by </w:t>
      </w:r>
      <w:r w:rsidR="008720DC" w:rsidRPr="0041606C">
        <w:rPr>
          <w:rFonts w:eastAsia="Calibri" w:cs="Times New Roman"/>
          <w:spacing w:val="-2"/>
          <w:szCs w:val="19"/>
          <w:lang w:val="en-GB"/>
        </w:rPr>
        <w:t xml:space="preserve">1317 </w:t>
      </w:r>
      <w:r w:rsidR="005B3788" w:rsidRPr="0041606C">
        <w:rPr>
          <w:rFonts w:eastAsia="Calibri" w:cs="Times New Roman"/>
          <w:szCs w:val="19"/>
          <w:lang w:val="en-GB"/>
        </w:rPr>
        <w:t>units (</w:t>
      </w:r>
      <w:r w:rsidR="001E33D9" w:rsidRPr="0041606C">
        <w:rPr>
          <w:rFonts w:eastAsia="Calibri" w:cs="Times New Roman"/>
          <w:szCs w:val="19"/>
          <w:lang w:val="en-GB"/>
        </w:rPr>
        <w:t xml:space="preserve">by </w:t>
      </w:r>
      <w:r w:rsidR="001A7C3D" w:rsidRPr="0041606C">
        <w:rPr>
          <w:rFonts w:eastAsia="Calibri" w:cs="Times New Roman"/>
          <w:szCs w:val="19"/>
          <w:lang w:val="en-GB"/>
        </w:rPr>
        <w:t>4</w:t>
      </w:r>
      <w:r w:rsidR="005B3788" w:rsidRPr="0041606C">
        <w:rPr>
          <w:rFonts w:eastAsia="Calibri" w:cs="Times New Roman"/>
          <w:szCs w:val="19"/>
          <w:lang w:val="en-GB"/>
        </w:rPr>
        <w:t>.</w:t>
      </w:r>
      <w:r w:rsidR="001A7C3D" w:rsidRPr="0041606C">
        <w:rPr>
          <w:rFonts w:eastAsia="Calibri" w:cs="Times New Roman"/>
          <w:szCs w:val="19"/>
          <w:lang w:val="en-GB"/>
        </w:rPr>
        <w:t>7</w:t>
      </w:r>
      <w:r w:rsidR="005B3788" w:rsidRPr="0041606C">
        <w:rPr>
          <w:rFonts w:eastAsia="Calibri" w:cs="Times New Roman"/>
          <w:szCs w:val="19"/>
          <w:lang w:val="en-GB"/>
        </w:rPr>
        <w:t xml:space="preserve">%), and the lowest at the Lithuanian border </w:t>
      </w:r>
      <w:r w:rsidR="00730506" w:rsidRPr="0041606C">
        <w:rPr>
          <w:rFonts w:eastAsia="Calibri" w:cs="Times New Roman"/>
          <w:szCs w:val="19"/>
          <w:lang w:val="en-GB"/>
        </w:rPr>
        <w:t>–</w:t>
      </w:r>
      <w:r w:rsidR="005B3788" w:rsidRPr="0041606C">
        <w:rPr>
          <w:rFonts w:eastAsia="Calibri" w:cs="Times New Roman"/>
          <w:szCs w:val="19"/>
          <w:lang w:val="en-GB"/>
        </w:rPr>
        <w:t xml:space="preserve"> by </w:t>
      </w:r>
      <w:r w:rsidR="008720DC" w:rsidRPr="0041606C">
        <w:rPr>
          <w:rFonts w:eastAsia="Calibri" w:cs="Times New Roman"/>
          <w:szCs w:val="19"/>
          <w:lang w:val="en-GB"/>
        </w:rPr>
        <w:t>59</w:t>
      </w:r>
      <w:r w:rsidR="005B3788" w:rsidRPr="0041606C">
        <w:rPr>
          <w:rFonts w:eastAsia="Calibri" w:cs="Times New Roman"/>
          <w:szCs w:val="19"/>
          <w:lang w:val="en-GB"/>
        </w:rPr>
        <w:t xml:space="preserve"> units (</w:t>
      </w:r>
      <w:r w:rsidR="001E33D9" w:rsidRPr="0041606C">
        <w:rPr>
          <w:rFonts w:eastAsia="Calibri" w:cs="Times New Roman"/>
          <w:szCs w:val="19"/>
          <w:lang w:val="en-GB"/>
        </w:rPr>
        <w:t xml:space="preserve">by </w:t>
      </w:r>
      <w:r w:rsidR="008720DC" w:rsidRPr="0041606C">
        <w:rPr>
          <w:rFonts w:eastAsia="Calibri" w:cs="Times New Roman"/>
          <w:szCs w:val="19"/>
          <w:lang w:val="en-GB"/>
        </w:rPr>
        <w:t>4.1</w:t>
      </w:r>
      <w:r w:rsidR="005B3788" w:rsidRPr="0041606C">
        <w:rPr>
          <w:rFonts w:eastAsia="Calibri" w:cs="Times New Roman"/>
          <w:szCs w:val="19"/>
          <w:lang w:val="en-GB"/>
        </w:rPr>
        <w:t>%). In the case of voivodships, the highest increase was recorded in the border zone</w:t>
      </w:r>
      <w:r w:rsidR="00852277" w:rsidRPr="0041606C">
        <w:rPr>
          <w:rFonts w:eastAsia="Calibri" w:cs="Times New Roman"/>
          <w:szCs w:val="19"/>
          <w:lang w:val="en-GB"/>
        </w:rPr>
        <w:t>s</w:t>
      </w:r>
      <w:r w:rsidR="005B3788" w:rsidRPr="0041606C">
        <w:rPr>
          <w:rFonts w:eastAsia="Calibri" w:cs="Times New Roman"/>
          <w:szCs w:val="19"/>
          <w:lang w:val="en-GB"/>
        </w:rPr>
        <w:t xml:space="preserve"> of Śląskie Voivodship </w:t>
      </w:r>
      <w:r w:rsidR="00730506" w:rsidRPr="0041606C">
        <w:rPr>
          <w:rFonts w:eastAsia="Calibri" w:cs="Times New Roman"/>
          <w:szCs w:val="19"/>
          <w:lang w:val="en-GB"/>
        </w:rPr>
        <w:t>–</w:t>
      </w:r>
      <w:r w:rsidR="005B3788" w:rsidRPr="0041606C">
        <w:rPr>
          <w:rFonts w:eastAsia="Calibri" w:cs="Times New Roman"/>
          <w:szCs w:val="19"/>
          <w:lang w:val="en-GB"/>
        </w:rPr>
        <w:t xml:space="preserve"> by </w:t>
      </w:r>
      <w:r w:rsidR="008720DC" w:rsidRPr="0041606C">
        <w:rPr>
          <w:rFonts w:eastAsia="Calibri" w:cs="Times New Roman"/>
          <w:szCs w:val="19"/>
          <w:lang w:val="en-GB"/>
        </w:rPr>
        <w:t>648</w:t>
      </w:r>
      <w:r w:rsidR="005B3788" w:rsidRPr="0041606C">
        <w:rPr>
          <w:rFonts w:eastAsia="Calibri" w:cs="Times New Roman"/>
          <w:szCs w:val="19"/>
          <w:lang w:val="en-GB"/>
        </w:rPr>
        <w:t xml:space="preserve"> units (</w:t>
      </w:r>
      <w:r w:rsidR="001E33D9" w:rsidRPr="0041606C">
        <w:rPr>
          <w:rFonts w:eastAsia="Calibri" w:cs="Times New Roman"/>
          <w:szCs w:val="19"/>
          <w:lang w:val="en-GB"/>
        </w:rPr>
        <w:t xml:space="preserve">by </w:t>
      </w:r>
      <w:r w:rsidR="003D4B11" w:rsidRPr="0041606C">
        <w:rPr>
          <w:rFonts w:eastAsia="Calibri" w:cs="Times New Roman"/>
          <w:szCs w:val="19"/>
          <w:lang w:val="en-GB"/>
        </w:rPr>
        <w:t>4</w:t>
      </w:r>
      <w:r w:rsidR="005B3788" w:rsidRPr="0041606C">
        <w:rPr>
          <w:rFonts w:eastAsia="Calibri" w:cs="Times New Roman"/>
          <w:szCs w:val="19"/>
          <w:lang w:val="en-GB"/>
        </w:rPr>
        <w:t>.</w:t>
      </w:r>
      <w:r w:rsidR="008720DC" w:rsidRPr="0041606C">
        <w:rPr>
          <w:rFonts w:eastAsia="Calibri" w:cs="Times New Roman"/>
          <w:szCs w:val="19"/>
          <w:lang w:val="en-GB"/>
        </w:rPr>
        <w:t>0</w:t>
      </w:r>
      <w:r w:rsidR="005B3788" w:rsidRPr="0041606C">
        <w:rPr>
          <w:rFonts w:eastAsia="Calibri" w:cs="Times New Roman"/>
          <w:szCs w:val="19"/>
          <w:lang w:val="en-GB"/>
        </w:rPr>
        <w:t xml:space="preserve">%) </w:t>
      </w:r>
      <w:r w:rsidR="00852277" w:rsidRPr="0041606C">
        <w:rPr>
          <w:rFonts w:eastAsia="Calibri" w:cs="Times New Roman"/>
          <w:szCs w:val="19"/>
          <w:lang w:val="en-GB"/>
        </w:rPr>
        <w:t xml:space="preserve">and Podlaskie Voivodship – by </w:t>
      </w:r>
      <w:r w:rsidR="008720DC" w:rsidRPr="0041606C">
        <w:rPr>
          <w:rFonts w:eastAsia="Calibri" w:cs="Times New Roman"/>
          <w:szCs w:val="19"/>
          <w:lang w:val="en-GB"/>
        </w:rPr>
        <w:t>558</w:t>
      </w:r>
      <w:r w:rsidR="00852277" w:rsidRPr="0041606C">
        <w:rPr>
          <w:rFonts w:eastAsia="Calibri" w:cs="Times New Roman"/>
          <w:szCs w:val="19"/>
          <w:lang w:val="en-GB"/>
        </w:rPr>
        <w:t xml:space="preserve"> units (</w:t>
      </w:r>
      <w:r w:rsidR="00485941">
        <w:rPr>
          <w:rFonts w:eastAsia="Calibri" w:cs="Times New Roman"/>
          <w:szCs w:val="19"/>
          <w:lang w:val="en-GB"/>
        </w:rPr>
        <w:t xml:space="preserve">by </w:t>
      </w:r>
      <w:r w:rsidR="008720DC" w:rsidRPr="0041606C">
        <w:rPr>
          <w:rFonts w:eastAsia="Calibri" w:cs="Times New Roman"/>
          <w:szCs w:val="19"/>
          <w:lang w:val="en-GB"/>
        </w:rPr>
        <w:t>5.4</w:t>
      </w:r>
      <w:r w:rsidR="00852277" w:rsidRPr="0041606C">
        <w:rPr>
          <w:rFonts w:eastAsia="Calibri" w:cs="Times New Roman"/>
          <w:szCs w:val="19"/>
          <w:lang w:val="en-GB"/>
        </w:rPr>
        <w:t>%)</w:t>
      </w:r>
      <w:r w:rsidR="00BE61C6">
        <w:rPr>
          <w:rFonts w:eastAsia="Calibri" w:cs="Times New Roman"/>
          <w:szCs w:val="19"/>
          <w:lang w:val="en-GB"/>
        </w:rPr>
        <w:t>,</w:t>
      </w:r>
      <w:r w:rsidR="00852277" w:rsidRPr="0041606C">
        <w:rPr>
          <w:rFonts w:eastAsia="Calibri" w:cs="Times New Roman"/>
          <w:szCs w:val="19"/>
          <w:lang w:val="en-GB"/>
        </w:rPr>
        <w:t xml:space="preserve"> while</w:t>
      </w:r>
      <w:r w:rsidR="005B3788" w:rsidRPr="0041606C">
        <w:rPr>
          <w:rFonts w:eastAsia="Calibri" w:cs="Times New Roman"/>
          <w:szCs w:val="19"/>
          <w:lang w:val="en-GB"/>
        </w:rPr>
        <w:t xml:space="preserve"> the lowest in the zone of Mazowieckie Voivodship </w:t>
      </w:r>
      <w:r w:rsidR="00730506" w:rsidRPr="0041606C">
        <w:rPr>
          <w:rFonts w:eastAsia="Calibri" w:cs="Times New Roman"/>
          <w:szCs w:val="19"/>
          <w:lang w:val="en-GB"/>
        </w:rPr>
        <w:t>–</w:t>
      </w:r>
      <w:r w:rsidR="005B3788" w:rsidRPr="0041606C">
        <w:rPr>
          <w:rFonts w:eastAsia="Calibri" w:cs="Times New Roman"/>
          <w:szCs w:val="19"/>
          <w:lang w:val="en-GB"/>
        </w:rPr>
        <w:t xml:space="preserve"> by </w:t>
      </w:r>
      <w:r w:rsidR="008720DC" w:rsidRPr="0041606C">
        <w:rPr>
          <w:rFonts w:eastAsia="Calibri" w:cs="Times New Roman"/>
          <w:szCs w:val="19"/>
          <w:lang w:val="en-GB"/>
        </w:rPr>
        <w:t>6</w:t>
      </w:r>
      <w:r w:rsidR="005B3788" w:rsidRPr="0041606C">
        <w:rPr>
          <w:rFonts w:eastAsia="Calibri" w:cs="Times New Roman"/>
          <w:szCs w:val="19"/>
          <w:lang w:val="en-GB"/>
        </w:rPr>
        <w:t xml:space="preserve"> companies (</w:t>
      </w:r>
      <w:r w:rsidR="001E33D9" w:rsidRPr="0041606C">
        <w:rPr>
          <w:rFonts w:eastAsia="Calibri" w:cs="Times New Roman"/>
          <w:szCs w:val="19"/>
          <w:lang w:val="en-GB"/>
        </w:rPr>
        <w:t xml:space="preserve">by </w:t>
      </w:r>
      <w:r w:rsidR="008720DC" w:rsidRPr="0041606C">
        <w:rPr>
          <w:rFonts w:eastAsia="Calibri" w:cs="Times New Roman"/>
          <w:szCs w:val="19"/>
          <w:lang w:val="en-GB"/>
        </w:rPr>
        <w:t>3.9</w:t>
      </w:r>
      <w:r w:rsidR="005B3788" w:rsidRPr="0041606C">
        <w:rPr>
          <w:rFonts w:eastAsia="Calibri" w:cs="Times New Roman"/>
          <w:szCs w:val="19"/>
          <w:lang w:val="en-GB"/>
        </w:rPr>
        <w:t>%).</w:t>
      </w:r>
    </w:p>
    <w:p w14:paraId="667B50C8" w14:textId="15530E81" w:rsidR="00FA37BE" w:rsidRPr="0041606C" w:rsidRDefault="00072B1D" w:rsidP="00FA37BE">
      <w:pPr>
        <w:spacing w:before="0" w:line="288" w:lineRule="auto"/>
        <w:rPr>
          <w:rFonts w:eastAsia="Calibri" w:cs="Times New Roman"/>
          <w:spacing w:val="-2"/>
          <w:szCs w:val="19"/>
          <w:lang w:val="en-GB"/>
        </w:rPr>
      </w:pPr>
      <w:r w:rsidRPr="0041606C">
        <w:rPr>
          <w:rFonts w:eastAsia="Calibri" w:cs="Times New Roman"/>
          <w:spacing w:val="-2"/>
          <w:szCs w:val="19"/>
          <w:lang w:val="en-GB"/>
        </w:rPr>
        <w:t>In the group of commercial companies an important role is played by companies with foreign capital participation, whose presence may prove the investment attractiveness of a given region. The number of entities of the national economy operating in 202</w:t>
      </w:r>
      <w:r w:rsidR="001A1142" w:rsidRPr="0041606C">
        <w:rPr>
          <w:rFonts w:eastAsia="Calibri" w:cs="Times New Roman"/>
          <w:spacing w:val="-2"/>
          <w:szCs w:val="19"/>
          <w:lang w:val="en-GB"/>
        </w:rPr>
        <w:t>5</w:t>
      </w:r>
      <w:r w:rsidRPr="0041606C">
        <w:rPr>
          <w:rFonts w:eastAsia="Calibri" w:cs="Times New Roman"/>
          <w:spacing w:val="-2"/>
          <w:szCs w:val="19"/>
          <w:lang w:val="en-GB"/>
        </w:rPr>
        <w:t xml:space="preserve"> in border areas in the form of companies with foreign capital participation (</w:t>
      </w:r>
      <w:r w:rsidR="001A1142" w:rsidRPr="0041606C">
        <w:rPr>
          <w:rFonts w:eastAsia="Calibri" w:cs="Times New Roman"/>
          <w:spacing w:val="-2"/>
          <w:szCs w:val="19"/>
          <w:lang w:val="en-GB"/>
        </w:rPr>
        <w:t>8875</w:t>
      </w:r>
      <w:r w:rsidR="006246F8" w:rsidRPr="0041606C">
        <w:rPr>
          <w:rFonts w:eastAsia="Calibri" w:cs="Times New Roman"/>
          <w:spacing w:val="-2"/>
          <w:szCs w:val="19"/>
          <w:lang w:val="en-GB"/>
        </w:rPr>
        <w:t xml:space="preserve"> units</w:t>
      </w:r>
      <w:r w:rsidRPr="0041606C">
        <w:rPr>
          <w:rFonts w:eastAsia="Calibri" w:cs="Times New Roman"/>
          <w:spacing w:val="-2"/>
          <w:szCs w:val="19"/>
          <w:lang w:val="en-GB"/>
        </w:rPr>
        <w:t>) constituted 1</w:t>
      </w:r>
      <w:r w:rsidR="001A1142" w:rsidRPr="0041606C">
        <w:rPr>
          <w:rFonts w:eastAsia="Calibri" w:cs="Times New Roman"/>
          <w:spacing w:val="-2"/>
          <w:szCs w:val="19"/>
          <w:lang w:val="en-GB"/>
        </w:rPr>
        <w:t>1.8</w:t>
      </w:r>
      <w:r w:rsidRPr="0041606C">
        <w:rPr>
          <w:rFonts w:eastAsia="Calibri" w:cs="Times New Roman"/>
          <w:spacing w:val="-2"/>
          <w:szCs w:val="19"/>
          <w:lang w:val="en-GB"/>
        </w:rPr>
        <w:t>% of the total number of companies operating in the zone (in Poland this percentage was</w:t>
      </w:r>
      <w:r w:rsidR="006246F8" w:rsidRPr="0041606C">
        <w:rPr>
          <w:rFonts w:eastAsia="Calibri" w:cs="Times New Roman"/>
          <w:spacing w:val="-2"/>
          <w:szCs w:val="19"/>
          <w:lang w:val="en-GB"/>
        </w:rPr>
        <w:t xml:space="preserve"> </w:t>
      </w:r>
      <w:r w:rsidRPr="0041606C">
        <w:rPr>
          <w:rFonts w:eastAsia="Calibri" w:cs="Times New Roman"/>
          <w:spacing w:val="-2"/>
          <w:szCs w:val="19"/>
          <w:lang w:val="en-GB"/>
        </w:rPr>
        <w:t>1</w:t>
      </w:r>
      <w:r w:rsidR="001A1142" w:rsidRPr="0041606C">
        <w:rPr>
          <w:rFonts w:eastAsia="Calibri" w:cs="Times New Roman"/>
          <w:spacing w:val="-2"/>
          <w:szCs w:val="19"/>
          <w:lang w:val="en-GB"/>
        </w:rPr>
        <w:t>2.6</w:t>
      </w:r>
      <w:r w:rsidRPr="0041606C">
        <w:rPr>
          <w:rFonts w:eastAsia="Calibri" w:cs="Times New Roman"/>
          <w:spacing w:val="-2"/>
          <w:szCs w:val="19"/>
          <w:lang w:val="en-GB"/>
        </w:rPr>
        <w:t xml:space="preserve">%). Their number </w:t>
      </w:r>
      <w:r w:rsidR="001A1142" w:rsidRPr="0041606C">
        <w:rPr>
          <w:rFonts w:eastAsia="Calibri" w:cs="Times New Roman"/>
          <w:spacing w:val="-2"/>
          <w:szCs w:val="19"/>
          <w:lang w:val="en-GB"/>
        </w:rPr>
        <w:t>decreased</w:t>
      </w:r>
      <w:r w:rsidRPr="0041606C">
        <w:rPr>
          <w:rFonts w:eastAsia="Calibri" w:cs="Times New Roman"/>
          <w:spacing w:val="-2"/>
          <w:szCs w:val="19"/>
          <w:lang w:val="en-GB"/>
        </w:rPr>
        <w:t xml:space="preserve"> in comparison with the previous year by </w:t>
      </w:r>
      <w:r w:rsidR="001A1142" w:rsidRPr="0041606C">
        <w:rPr>
          <w:rFonts w:eastAsia="Calibri" w:cs="Times New Roman"/>
          <w:spacing w:val="-2"/>
          <w:szCs w:val="19"/>
          <w:lang w:val="en-GB"/>
        </w:rPr>
        <w:t>140</w:t>
      </w:r>
      <w:r w:rsidRPr="0041606C">
        <w:rPr>
          <w:rFonts w:eastAsia="Calibri" w:cs="Times New Roman"/>
          <w:spacing w:val="-2"/>
          <w:szCs w:val="19"/>
          <w:lang w:val="en-GB"/>
        </w:rPr>
        <w:t xml:space="preserve"> units, i.e. by </w:t>
      </w:r>
      <w:r w:rsidR="001A1142" w:rsidRPr="0041606C">
        <w:rPr>
          <w:rFonts w:eastAsia="Calibri" w:cs="Times New Roman"/>
          <w:spacing w:val="-2"/>
          <w:szCs w:val="19"/>
          <w:lang w:val="en-GB"/>
        </w:rPr>
        <w:t>1.6</w:t>
      </w:r>
      <w:r w:rsidRPr="0041606C">
        <w:rPr>
          <w:rFonts w:eastAsia="Calibri" w:cs="Times New Roman"/>
          <w:spacing w:val="-2"/>
          <w:szCs w:val="19"/>
          <w:lang w:val="en-GB"/>
        </w:rPr>
        <w:t>% (in Poland</w:t>
      </w:r>
      <w:r w:rsidR="001A1142" w:rsidRPr="0041606C">
        <w:rPr>
          <w:rFonts w:eastAsia="Calibri" w:cs="Times New Roman"/>
          <w:spacing w:val="-2"/>
          <w:szCs w:val="19"/>
          <w:lang w:val="en-GB"/>
        </w:rPr>
        <w:t xml:space="preserve"> it increased</w:t>
      </w:r>
      <w:r w:rsidRPr="0041606C">
        <w:rPr>
          <w:rFonts w:eastAsia="Calibri" w:cs="Times New Roman"/>
          <w:spacing w:val="-2"/>
          <w:szCs w:val="19"/>
          <w:lang w:val="en-GB"/>
        </w:rPr>
        <w:t xml:space="preserve"> by </w:t>
      </w:r>
      <w:r w:rsidR="001A1142" w:rsidRPr="0041606C">
        <w:rPr>
          <w:rFonts w:eastAsia="Calibri" w:cs="Times New Roman"/>
          <w:spacing w:val="-2"/>
          <w:szCs w:val="19"/>
          <w:lang w:val="en-GB"/>
        </w:rPr>
        <w:t>1.6</w:t>
      </w:r>
      <w:r w:rsidRPr="0041606C">
        <w:rPr>
          <w:rFonts w:eastAsia="Calibri" w:cs="Times New Roman"/>
          <w:spacing w:val="-2"/>
          <w:szCs w:val="19"/>
          <w:lang w:val="en-GB"/>
        </w:rPr>
        <w:t xml:space="preserve">%). In </w:t>
      </w:r>
      <w:r w:rsidR="00752B8D" w:rsidRPr="0041606C">
        <w:rPr>
          <w:rFonts w:eastAsia="Calibri" w:cs="Times New Roman"/>
          <w:spacing w:val="-2"/>
          <w:szCs w:val="19"/>
          <w:lang w:val="en-GB"/>
        </w:rPr>
        <w:t>six</w:t>
      </w:r>
      <w:r w:rsidRPr="0041606C">
        <w:rPr>
          <w:rFonts w:eastAsia="Calibri" w:cs="Times New Roman"/>
          <w:spacing w:val="-2"/>
          <w:szCs w:val="19"/>
          <w:lang w:val="en-GB"/>
        </w:rPr>
        <w:t xml:space="preserve"> parts of the border zone (analysed according to neighbouring coun</w:t>
      </w:r>
      <w:r w:rsidRPr="0041606C">
        <w:rPr>
          <w:rFonts w:eastAsia="Calibri" w:cs="Times New Roman"/>
          <w:spacing w:val="-2"/>
          <w:szCs w:val="19"/>
          <w:lang w:val="en-GB"/>
        </w:rPr>
        <w:lastRenderedPageBreak/>
        <w:t xml:space="preserve">tries), </w:t>
      </w:r>
      <w:r w:rsidR="00752B8D" w:rsidRPr="0041606C">
        <w:rPr>
          <w:rFonts w:eastAsia="Calibri" w:cs="Times New Roman"/>
          <w:spacing w:val="-2"/>
          <w:szCs w:val="19"/>
          <w:lang w:val="en-GB"/>
        </w:rPr>
        <w:t>de</w:t>
      </w:r>
      <w:r w:rsidRPr="0041606C">
        <w:rPr>
          <w:rFonts w:eastAsia="Calibri" w:cs="Times New Roman"/>
          <w:spacing w:val="-2"/>
          <w:szCs w:val="19"/>
          <w:lang w:val="en-GB"/>
        </w:rPr>
        <w:t xml:space="preserve">creases were recorded </w:t>
      </w:r>
      <w:r w:rsidR="001A7579" w:rsidRPr="0041606C">
        <w:rPr>
          <w:rFonts w:eastAsia="Calibri" w:cs="Times New Roman"/>
          <w:spacing w:val="-2"/>
          <w:szCs w:val="19"/>
          <w:lang w:val="en-GB"/>
        </w:rPr>
        <w:t>–</w:t>
      </w:r>
      <w:r w:rsidRPr="0041606C">
        <w:rPr>
          <w:rFonts w:eastAsia="Calibri" w:cs="Times New Roman"/>
          <w:spacing w:val="-2"/>
          <w:szCs w:val="19"/>
          <w:lang w:val="en-GB"/>
        </w:rPr>
        <w:t xml:space="preserve"> the largest one was at the border with </w:t>
      </w:r>
      <w:r w:rsidR="001A1142" w:rsidRPr="0041606C">
        <w:rPr>
          <w:rFonts w:eastAsia="Calibri" w:cs="Times New Roman"/>
          <w:spacing w:val="-2"/>
          <w:szCs w:val="19"/>
          <w:lang w:val="en-GB"/>
        </w:rPr>
        <w:t>Ukraine</w:t>
      </w:r>
      <w:r w:rsidRPr="0041606C">
        <w:rPr>
          <w:rFonts w:eastAsia="Calibri" w:cs="Times New Roman"/>
          <w:spacing w:val="-2"/>
          <w:szCs w:val="19"/>
          <w:lang w:val="en-GB"/>
        </w:rPr>
        <w:t xml:space="preserve"> (by </w:t>
      </w:r>
      <w:r w:rsidR="001A1142" w:rsidRPr="0041606C">
        <w:rPr>
          <w:rFonts w:eastAsia="Calibri" w:cs="Times New Roman"/>
          <w:spacing w:val="-2"/>
          <w:szCs w:val="19"/>
          <w:lang w:val="en-GB"/>
        </w:rPr>
        <w:t>81</w:t>
      </w:r>
      <w:r w:rsidRPr="0041606C">
        <w:rPr>
          <w:rFonts w:eastAsia="Calibri" w:cs="Times New Roman"/>
          <w:spacing w:val="-2"/>
          <w:szCs w:val="19"/>
          <w:lang w:val="en-GB"/>
        </w:rPr>
        <w:t xml:space="preserve"> companies)</w:t>
      </w:r>
      <w:r w:rsidR="00FA37BE" w:rsidRPr="0041606C">
        <w:rPr>
          <w:rFonts w:eastAsia="Calibri" w:cs="Times New Roman"/>
          <w:spacing w:val="-2"/>
          <w:szCs w:val="19"/>
          <w:lang w:val="en-GB"/>
        </w:rPr>
        <w:t xml:space="preserve">. Only at the border with Belarus the number of companies with foreign capital participation increased by </w:t>
      </w:r>
      <w:r w:rsidR="001A1142" w:rsidRPr="0041606C">
        <w:rPr>
          <w:rFonts w:eastAsia="Calibri" w:cs="Times New Roman"/>
          <w:spacing w:val="-2"/>
          <w:szCs w:val="19"/>
          <w:lang w:val="en-GB"/>
        </w:rPr>
        <w:t>10</w:t>
      </w:r>
      <w:r w:rsidR="00FA37BE" w:rsidRPr="0041606C">
        <w:rPr>
          <w:rFonts w:eastAsia="Calibri" w:cs="Times New Roman"/>
          <w:spacing w:val="-2"/>
          <w:szCs w:val="19"/>
          <w:lang w:val="en-GB"/>
        </w:rPr>
        <w:t xml:space="preserve"> units compared to 202</w:t>
      </w:r>
      <w:r w:rsidR="001A1142" w:rsidRPr="0041606C">
        <w:rPr>
          <w:rFonts w:eastAsia="Calibri" w:cs="Times New Roman"/>
          <w:spacing w:val="-2"/>
          <w:szCs w:val="19"/>
          <w:lang w:val="en-GB"/>
        </w:rPr>
        <w:t>4</w:t>
      </w:r>
      <w:r w:rsidR="00FA37BE" w:rsidRPr="0041606C">
        <w:rPr>
          <w:rFonts w:eastAsia="Calibri" w:cs="Times New Roman"/>
          <w:spacing w:val="-2"/>
          <w:szCs w:val="19"/>
          <w:lang w:val="en-GB"/>
        </w:rPr>
        <w:t>.</w:t>
      </w:r>
    </w:p>
    <w:p w14:paraId="79D210EE" w14:textId="01848D46" w:rsidR="00FD2286" w:rsidRPr="0041606C" w:rsidRDefault="00B05326" w:rsidP="00FA37BE">
      <w:pPr>
        <w:spacing w:before="0" w:line="288" w:lineRule="auto"/>
        <w:rPr>
          <w:rFonts w:eastAsia="Calibri" w:cs="Times New Roman"/>
          <w:spacing w:val="-2"/>
          <w:szCs w:val="19"/>
          <w:lang w:val="en-GB"/>
        </w:rPr>
      </w:pPr>
      <w:r w:rsidRPr="0041606C">
        <w:rPr>
          <w:spacing w:val="-4"/>
          <w:lang w:val="en-GB"/>
        </w:rPr>
        <w:t xml:space="preserve">When analysing the number of companies with foreign capital participation entered in the REGON register according to 12 voivodships in which the border area is located, it may be observed that in </w:t>
      </w:r>
      <w:r w:rsidR="00972A1E" w:rsidRPr="0041606C">
        <w:rPr>
          <w:spacing w:val="-4"/>
          <w:lang w:val="en-GB"/>
        </w:rPr>
        <w:t>2</w:t>
      </w:r>
      <w:r w:rsidRPr="0041606C">
        <w:rPr>
          <w:spacing w:val="-4"/>
          <w:lang w:val="en-GB"/>
        </w:rPr>
        <w:t xml:space="preserve"> of them the number of entities located in the border area was higher than in 202</w:t>
      </w:r>
      <w:r w:rsidR="00972A1E" w:rsidRPr="0041606C">
        <w:rPr>
          <w:spacing w:val="-4"/>
          <w:lang w:val="en-GB"/>
        </w:rPr>
        <w:t>4</w:t>
      </w:r>
      <w:r w:rsidRPr="0041606C">
        <w:rPr>
          <w:spacing w:val="-4"/>
          <w:lang w:val="en-GB"/>
        </w:rPr>
        <w:t xml:space="preserve"> (the highest increase was recorded in Podlaskie Voivodship by </w:t>
      </w:r>
      <w:r w:rsidR="00972A1E" w:rsidRPr="0041606C">
        <w:rPr>
          <w:spacing w:val="-4"/>
          <w:lang w:val="en-GB"/>
        </w:rPr>
        <w:t>22</w:t>
      </w:r>
      <w:r w:rsidRPr="0041606C">
        <w:rPr>
          <w:spacing w:val="-4"/>
          <w:lang w:val="en-GB"/>
        </w:rPr>
        <w:t xml:space="preserve"> units). In the border area of Pomorskie Voivodship the number of operating companies with foreign capital did not change </w:t>
      </w:r>
      <w:r w:rsidR="00722DF8" w:rsidRPr="0041606C">
        <w:rPr>
          <w:spacing w:val="-4"/>
          <w:lang w:val="en-GB"/>
        </w:rPr>
        <w:t>and amounted to 10 units</w:t>
      </w:r>
      <w:r w:rsidRPr="0041606C">
        <w:rPr>
          <w:spacing w:val="-4"/>
          <w:lang w:val="en-GB"/>
        </w:rPr>
        <w:t xml:space="preserve">, and in </w:t>
      </w:r>
      <w:r w:rsidR="00722DF8" w:rsidRPr="0041606C">
        <w:rPr>
          <w:spacing w:val="-4"/>
          <w:lang w:val="en-GB"/>
        </w:rPr>
        <w:t>9</w:t>
      </w:r>
      <w:r w:rsidRPr="0041606C">
        <w:rPr>
          <w:spacing w:val="-4"/>
          <w:lang w:val="en-GB"/>
        </w:rPr>
        <w:t xml:space="preserve"> voivodships their number decreased (the biggest decrease occurred in the border area of </w:t>
      </w:r>
      <w:r w:rsidR="00722DF8" w:rsidRPr="0041606C">
        <w:rPr>
          <w:spacing w:val="-4"/>
          <w:lang w:val="en-GB"/>
        </w:rPr>
        <w:t>Podkarpackie</w:t>
      </w:r>
      <w:r w:rsidRPr="0041606C">
        <w:rPr>
          <w:spacing w:val="-4"/>
          <w:lang w:val="en-GB"/>
        </w:rPr>
        <w:t xml:space="preserve"> Voivodship </w:t>
      </w:r>
      <w:r w:rsidR="00A364A6" w:rsidRPr="0041606C">
        <w:rPr>
          <w:spacing w:val="-4"/>
          <w:lang w:val="en-GB"/>
        </w:rPr>
        <w:t>–</w:t>
      </w:r>
      <w:r w:rsidRPr="0041606C">
        <w:rPr>
          <w:spacing w:val="-4"/>
          <w:lang w:val="en-GB"/>
        </w:rPr>
        <w:t xml:space="preserve"> by </w:t>
      </w:r>
      <w:r w:rsidR="00722DF8" w:rsidRPr="0041606C">
        <w:rPr>
          <w:spacing w:val="-4"/>
          <w:lang w:val="en-GB"/>
        </w:rPr>
        <w:t>81</w:t>
      </w:r>
      <w:r w:rsidRPr="0041606C">
        <w:rPr>
          <w:spacing w:val="-4"/>
          <w:lang w:val="en-GB"/>
        </w:rPr>
        <w:t xml:space="preserve"> units).</w:t>
      </w:r>
    </w:p>
    <w:p w14:paraId="0310280E" w14:textId="5BB3BCAD" w:rsidR="00370628" w:rsidRPr="0041606C" w:rsidRDefault="00831A15" w:rsidP="00DE01C8">
      <w:pPr>
        <w:pStyle w:val="LID"/>
        <w:rPr>
          <w:shd w:val="clear" w:color="auto" w:fill="FFFFFF"/>
          <w:lang w:val="en-GB"/>
        </w:rPr>
      </w:pPr>
      <w:r w:rsidRPr="0041606C">
        <w:rPr>
          <w:lang w:val="en-GB"/>
        </w:rPr>
        <w:t>Map 2. Companies with foreign capital participation in 202</w:t>
      </w:r>
      <w:r w:rsidR="00C759B0" w:rsidRPr="0041606C">
        <w:rPr>
          <w:lang w:val="en-GB"/>
        </w:rPr>
        <w:t>5</w:t>
      </w:r>
    </w:p>
    <w:p w14:paraId="07CDCF2E" w14:textId="702836E5" w:rsidR="004E08D0" w:rsidRPr="0041606C" w:rsidRDefault="007B04E8" w:rsidP="00DC2DC6">
      <w:pPr>
        <w:spacing w:after="0" w:line="240" w:lineRule="auto"/>
        <w:jc w:val="center"/>
        <w:rPr>
          <w:sz w:val="18"/>
          <w:lang w:val="en-GB"/>
        </w:rPr>
      </w:pPr>
      <w:r w:rsidRPr="0041606C">
        <w:rPr>
          <w:noProof/>
          <w:sz w:val="18"/>
          <w:lang w:val="en-GB"/>
        </w:rPr>
        <w:drawing>
          <wp:inline distT="0" distB="0" distL="0" distR="0" wp14:anchorId="51CEDF35" wp14:editId="11622B70">
            <wp:extent cx="5147324" cy="3600000"/>
            <wp:effectExtent l="0" t="0" r="0" b="635"/>
            <wp:docPr id="17" name="Obraz 17" descr="Map 2. Companies with foreign capital per 10 thousand population in 2025 for voivodships near the Polish border in total, for the border area in these voivodships and for powiats in the border area.&#10;Data for the map are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 17" descr="Map 2. Companies with foreign capital per 10 thousand population in 2025 for voivodships near the Polish border in total, for the border area in these voivodships and for powiats in the border area.&#10;Data for the map are available in the attached Excel fil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47324" cy="3600000"/>
                    </a:xfrm>
                    <a:prstGeom prst="rect">
                      <a:avLst/>
                    </a:prstGeom>
                  </pic:spPr>
                </pic:pic>
              </a:graphicData>
            </a:graphic>
          </wp:inline>
        </w:drawing>
      </w:r>
    </w:p>
    <w:p w14:paraId="52242A98" w14:textId="1008A22D" w:rsidR="00212DDE" w:rsidRPr="0041606C" w:rsidRDefault="00BD6074" w:rsidP="00F4530B">
      <w:pPr>
        <w:pStyle w:val="Nagwek1"/>
        <w:rPr>
          <w:rFonts w:eastAsia="Myriad Pro" w:cs="Myriad Pro"/>
          <w:szCs w:val="19"/>
          <w:lang w:val="en-GB" w:bidi="pl-PL"/>
        </w:rPr>
      </w:pPr>
      <w:r w:rsidRPr="0041606C">
        <w:rPr>
          <w:b/>
          <w:noProof/>
          <w:spacing w:val="-2"/>
          <w:szCs w:val="19"/>
          <w:lang w:val="en-GB"/>
        </w:rPr>
        <mc:AlternateContent>
          <mc:Choice Requires="wps">
            <w:drawing>
              <wp:anchor distT="45720" distB="45720" distL="114300" distR="114300" simplePos="0" relativeHeight="251746304" behindDoc="1" locked="0" layoutInCell="1" allowOverlap="1" wp14:anchorId="6FC712A6" wp14:editId="34D54FD2">
                <wp:simplePos x="0" y="0"/>
                <wp:positionH relativeFrom="page">
                  <wp:posOffset>5673725</wp:posOffset>
                </wp:positionH>
                <wp:positionV relativeFrom="paragraph">
                  <wp:posOffset>235447</wp:posOffset>
                </wp:positionV>
                <wp:extent cx="1736090" cy="1145540"/>
                <wp:effectExtent l="0" t="0" r="0" b="0"/>
                <wp:wrapTight wrapText="bothSides">
                  <wp:wrapPolygon edited="0">
                    <wp:start x="711" y="0"/>
                    <wp:lineTo x="711" y="21193"/>
                    <wp:lineTo x="20857" y="21193"/>
                    <wp:lineTo x="20857" y="0"/>
                    <wp:lineTo x="711" y="0"/>
                  </wp:wrapPolygon>
                </wp:wrapTight>
                <wp:docPr id="14" name="Pole tekstowe 14" descr="Trade; repair of motor vehicles – this is the dominant activity in border areas in Poland (18.4% of all entities in the zone as well as in the count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1145540"/>
                        </a:xfrm>
                        <a:prstGeom prst="rect">
                          <a:avLst/>
                        </a:prstGeom>
                        <a:noFill/>
                        <a:ln w="9525">
                          <a:noFill/>
                          <a:miter lim="800000"/>
                          <a:headEnd/>
                          <a:tailEnd/>
                        </a:ln>
                      </wps:spPr>
                      <wps:txbx>
                        <w:txbxContent>
                          <w:p w14:paraId="263CC8DA" w14:textId="10368140" w:rsidR="008312AF" w:rsidRPr="00B2492B" w:rsidRDefault="005F5DF4" w:rsidP="00BD6074">
                            <w:pPr>
                              <w:pStyle w:val="tekstzboku"/>
                              <w:spacing w:before="0"/>
                              <w:rPr>
                                <w:shd w:val="clear" w:color="auto" w:fill="FFFFFF"/>
                                <w:lang w:val="en-AU"/>
                              </w:rPr>
                            </w:pPr>
                            <w:r w:rsidRPr="00B2492B">
                              <w:rPr>
                                <w:rFonts w:cs="Arial"/>
                                <w:szCs w:val="19"/>
                                <w:lang w:val="en-AU"/>
                              </w:rPr>
                              <w:t>Trade; repair of motor veh</w:t>
                            </w:r>
                            <w:r w:rsidR="00765470">
                              <w:rPr>
                                <w:rFonts w:cs="Arial"/>
                                <w:szCs w:val="19"/>
                                <w:lang w:val="en-AU"/>
                              </w:rPr>
                              <w:t>i</w:t>
                            </w:r>
                            <w:r w:rsidRPr="00B2492B">
                              <w:rPr>
                                <w:rFonts w:cs="Arial"/>
                                <w:szCs w:val="19"/>
                                <w:lang w:val="en-AU"/>
                              </w:rPr>
                              <w:t xml:space="preserve">cles </w:t>
                            </w:r>
                            <w:r w:rsidR="000824EB">
                              <w:rPr>
                                <w:rFonts w:cs="Arial"/>
                                <w:szCs w:val="19"/>
                                <w:lang w:val="en-AU"/>
                              </w:rPr>
                              <w:t>–</w:t>
                            </w:r>
                            <w:r w:rsidRPr="00B2492B">
                              <w:rPr>
                                <w:rFonts w:cs="Arial"/>
                                <w:szCs w:val="19"/>
                                <w:lang w:val="en-AU"/>
                              </w:rPr>
                              <w:t xml:space="preserve"> this is the dominant activity in border areas</w:t>
                            </w:r>
                            <w:r w:rsidR="004A7B6E">
                              <w:rPr>
                                <w:rFonts w:cs="Arial"/>
                                <w:szCs w:val="19"/>
                                <w:lang w:val="en-AU"/>
                              </w:rPr>
                              <w:t xml:space="preserve"> in Poland</w:t>
                            </w:r>
                            <w:r w:rsidRPr="00B2492B">
                              <w:rPr>
                                <w:rFonts w:cs="Arial"/>
                                <w:szCs w:val="19"/>
                                <w:lang w:val="en-AU"/>
                              </w:rPr>
                              <w:t xml:space="preserve"> (</w:t>
                            </w:r>
                            <w:r w:rsidR="004A7B6E">
                              <w:rPr>
                                <w:rFonts w:cs="Arial"/>
                                <w:szCs w:val="19"/>
                                <w:lang w:val="en-AU"/>
                              </w:rPr>
                              <w:t>1</w:t>
                            </w:r>
                            <w:r w:rsidR="00CC7030">
                              <w:rPr>
                                <w:rFonts w:cs="Arial"/>
                                <w:szCs w:val="19"/>
                                <w:lang w:val="en-AU"/>
                              </w:rPr>
                              <w:t>8.4</w:t>
                            </w:r>
                            <w:r w:rsidRPr="00B2492B">
                              <w:rPr>
                                <w:rFonts w:cs="Arial"/>
                                <w:szCs w:val="19"/>
                                <w:lang w:val="en-AU"/>
                              </w:rPr>
                              <w:t>% of all entities in the zone</w:t>
                            </w:r>
                            <w:r w:rsidR="004A7B6E">
                              <w:rPr>
                                <w:rFonts w:cs="Arial"/>
                                <w:szCs w:val="19"/>
                                <w:lang w:val="en-AU"/>
                              </w:rPr>
                              <w:t xml:space="preserve"> </w:t>
                            </w:r>
                            <w:r w:rsidR="004A7B6E" w:rsidRPr="004A7B6E">
                              <w:rPr>
                                <w:rFonts w:cs="Arial"/>
                                <w:szCs w:val="19"/>
                                <w:lang w:val="en-AU"/>
                              </w:rPr>
                              <w:t>as well as in the country</w:t>
                            </w:r>
                            <w:r w:rsidRPr="00B2492B">
                              <w:rPr>
                                <w:rFonts w:cs="Arial"/>
                                <w:szCs w:val="19"/>
                                <w:lang w:val="en-AU"/>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712A6" id="Pole tekstowe 14" o:spid="_x0000_s1031" type="#_x0000_t202" alt="Trade; repair of motor vehicles – this is the dominant activity in border areas in Poland (18.4% of all entities in the zone as well as in the country)" style="position:absolute;margin-left:446.75pt;margin-top:18.55pt;width:136.7pt;height:90.2pt;z-index:-2515701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" filled="f" stroked="f">
                <v:textbox>
                  <w:txbxContent>
                    <w:p w14:paraId="263CC8DA" w14:textId="10368140" w:rsidR="008312AF" w:rsidRPr="00B2492B" w:rsidRDefault="005F5DF4" w:rsidP="00BD6074">
                      <w:pPr>
                        <w:pStyle w:val="tekstzboku"/>
                        <w:spacing w:before="0"/>
                        <w:rPr>
                          <w:shd w:val="clear" w:color="auto" w:fill="FFFFFF"/>
                          <w:lang w:val="en-AU"/>
                        </w:rPr>
                      </w:pPr>
                      <w:r w:rsidRPr="00B2492B">
                        <w:rPr>
                          <w:rFonts w:cs="Arial"/>
                          <w:szCs w:val="19"/>
                          <w:lang w:val="en-AU"/>
                        </w:rPr>
                        <w:t>Trade; repair of motor veh</w:t>
                      </w:r>
                      <w:r w:rsidR="00765470">
                        <w:rPr>
                          <w:rFonts w:cs="Arial"/>
                          <w:szCs w:val="19"/>
                          <w:lang w:val="en-AU"/>
                        </w:rPr>
                        <w:t>i</w:t>
                      </w:r>
                      <w:r w:rsidRPr="00B2492B">
                        <w:rPr>
                          <w:rFonts w:cs="Arial"/>
                          <w:szCs w:val="19"/>
                          <w:lang w:val="en-AU"/>
                        </w:rPr>
                        <w:t xml:space="preserve">cles </w:t>
                      </w:r>
                      <w:r w:rsidR="000824EB">
                        <w:rPr>
                          <w:rFonts w:cs="Arial"/>
                          <w:szCs w:val="19"/>
                          <w:lang w:val="en-AU"/>
                        </w:rPr>
                        <w:t>–</w:t>
                      </w:r>
                      <w:r w:rsidRPr="00B2492B">
                        <w:rPr>
                          <w:rFonts w:cs="Arial"/>
                          <w:szCs w:val="19"/>
                          <w:lang w:val="en-AU"/>
                        </w:rPr>
                        <w:t xml:space="preserve"> this is the dominant activity in border areas</w:t>
                      </w:r>
                      <w:r w:rsidR="004A7B6E">
                        <w:rPr>
                          <w:rFonts w:cs="Arial"/>
                          <w:szCs w:val="19"/>
                          <w:lang w:val="en-AU"/>
                        </w:rPr>
                        <w:t xml:space="preserve"> in Poland</w:t>
                      </w:r>
                      <w:r w:rsidRPr="00B2492B">
                        <w:rPr>
                          <w:rFonts w:cs="Arial"/>
                          <w:szCs w:val="19"/>
                          <w:lang w:val="en-AU"/>
                        </w:rPr>
                        <w:t xml:space="preserve"> (</w:t>
                      </w:r>
                      <w:r w:rsidR="004A7B6E">
                        <w:rPr>
                          <w:rFonts w:cs="Arial"/>
                          <w:szCs w:val="19"/>
                          <w:lang w:val="en-AU"/>
                        </w:rPr>
                        <w:t>1</w:t>
                      </w:r>
                      <w:r w:rsidR="00CC7030">
                        <w:rPr>
                          <w:rFonts w:cs="Arial"/>
                          <w:szCs w:val="19"/>
                          <w:lang w:val="en-AU"/>
                        </w:rPr>
                        <w:t>8.4</w:t>
                      </w:r>
                      <w:r w:rsidRPr="00B2492B">
                        <w:rPr>
                          <w:rFonts w:cs="Arial"/>
                          <w:szCs w:val="19"/>
                          <w:lang w:val="en-AU"/>
                        </w:rPr>
                        <w:t>% of all entities in the zone</w:t>
                      </w:r>
                      <w:r w:rsidR="004A7B6E">
                        <w:rPr>
                          <w:rFonts w:cs="Arial"/>
                          <w:szCs w:val="19"/>
                          <w:lang w:val="en-AU"/>
                        </w:rPr>
                        <w:t xml:space="preserve"> </w:t>
                      </w:r>
                      <w:r w:rsidR="004A7B6E" w:rsidRPr="004A7B6E">
                        <w:rPr>
                          <w:rFonts w:cs="Arial"/>
                          <w:szCs w:val="19"/>
                          <w:lang w:val="en-AU"/>
                        </w:rPr>
                        <w:t>as well as in the country</w:t>
                      </w:r>
                      <w:r w:rsidRPr="00B2492B">
                        <w:rPr>
                          <w:rFonts w:cs="Arial"/>
                          <w:szCs w:val="19"/>
                          <w:lang w:val="en-AU"/>
                        </w:rPr>
                        <w:t>)</w:t>
                      </w:r>
                    </w:p>
                  </w:txbxContent>
                </v:textbox>
                <w10:wrap type="tight" anchorx="page"/>
              </v:shape>
            </w:pict>
          </mc:Fallback>
        </mc:AlternateContent>
      </w:r>
      <w:r w:rsidR="00F4530B" w:rsidRPr="0041606C">
        <w:rPr>
          <w:noProof/>
          <w:spacing w:val="-2"/>
          <w:szCs w:val="19"/>
          <w:lang w:val="en-GB"/>
        </w:rPr>
        <w:t>Entities of the national economy by type of economic activity</w:t>
      </w:r>
      <w:r w:rsidR="00F4530B" w:rsidRPr="0041606C">
        <w:rPr>
          <w:rFonts w:eastAsia="Myriad Pro"/>
          <w:b/>
          <w:noProof/>
          <w:spacing w:val="-2"/>
          <w:szCs w:val="19"/>
          <w:lang w:val="en-GB"/>
        </w:rPr>
        <w:t xml:space="preserve"> </w:t>
      </w:r>
    </w:p>
    <w:p w14:paraId="48B7C2B5" w14:textId="3C06B49F" w:rsidR="00401CD7" w:rsidRPr="0041606C" w:rsidRDefault="00473EFB" w:rsidP="00714F88">
      <w:pPr>
        <w:spacing w:line="288" w:lineRule="auto"/>
        <w:rPr>
          <w:rFonts w:cs="Arial"/>
          <w:spacing w:val="-2"/>
          <w:szCs w:val="19"/>
          <w:lang w:val="en-GB"/>
        </w:rPr>
      </w:pPr>
      <w:r w:rsidRPr="0041606C">
        <w:rPr>
          <w:rFonts w:cs="Arial"/>
          <w:spacing w:val="-2"/>
          <w:szCs w:val="19"/>
          <w:lang w:val="en-GB"/>
        </w:rPr>
        <w:t>Among the entities of the national economy entered in the REGON register and operating in border area in Poland, a significant percentage were entities of the national economy belonging to the following sections</w:t>
      </w:r>
      <w:r w:rsidR="00D529A0" w:rsidRPr="0041606C">
        <w:rPr>
          <w:rStyle w:val="Odwoanieprzypisudolnego"/>
          <w:rFonts w:cs="Arial"/>
          <w:spacing w:val="-2"/>
          <w:szCs w:val="19"/>
          <w:lang w:val="en-GB"/>
        </w:rPr>
        <w:footnoteReference w:id="2"/>
      </w:r>
      <w:r w:rsidRPr="0041606C">
        <w:rPr>
          <w:rFonts w:cs="Arial"/>
          <w:spacing w:val="-2"/>
          <w:szCs w:val="19"/>
          <w:lang w:val="en-GB"/>
        </w:rPr>
        <w:t xml:space="preserve">: trade; repair of motor vehicles </w:t>
      </w:r>
      <w:r w:rsidR="0038166C" w:rsidRPr="0041606C">
        <w:rPr>
          <w:rFonts w:cs="Arial"/>
          <w:spacing w:val="-2"/>
          <w:szCs w:val="19"/>
          <w:lang w:val="en-GB"/>
        </w:rPr>
        <w:t>–</w:t>
      </w:r>
      <w:r w:rsidRPr="0041606C">
        <w:rPr>
          <w:rFonts w:cs="Arial"/>
          <w:spacing w:val="-2"/>
          <w:szCs w:val="19"/>
          <w:lang w:val="en-GB"/>
        </w:rPr>
        <w:t xml:space="preserve"> </w:t>
      </w:r>
      <w:r w:rsidR="001404D8" w:rsidRPr="0041606C">
        <w:rPr>
          <w:rFonts w:cs="Arial"/>
          <w:spacing w:val="-2"/>
          <w:szCs w:val="19"/>
          <w:lang w:val="en-GB"/>
        </w:rPr>
        <w:t>1</w:t>
      </w:r>
      <w:r w:rsidR="00CC7030" w:rsidRPr="0041606C">
        <w:rPr>
          <w:rFonts w:cs="Arial"/>
          <w:spacing w:val="-2"/>
          <w:szCs w:val="19"/>
          <w:lang w:val="en-GB"/>
        </w:rPr>
        <w:t>8.4</w:t>
      </w:r>
      <w:r w:rsidRPr="0041606C">
        <w:rPr>
          <w:rFonts w:cs="Arial"/>
          <w:spacing w:val="-2"/>
          <w:szCs w:val="19"/>
          <w:lang w:val="en-GB"/>
        </w:rPr>
        <w:t>% (in the country</w:t>
      </w:r>
      <w:r w:rsidR="004A7B6E" w:rsidRPr="0041606C">
        <w:rPr>
          <w:rFonts w:cs="Arial"/>
          <w:spacing w:val="-2"/>
          <w:szCs w:val="19"/>
          <w:lang w:val="en-GB"/>
        </w:rPr>
        <w:t xml:space="preserve"> 1</w:t>
      </w:r>
      <w:r w:rsidR="00CC7030" w:rsidRPr="0041606C">
        <w:rPr>
          <w:rFonts w:cs="Arial"/>
          <w:spacing w:val="-2"/>
          <w:szCs w:val="19"/>
          <w:lang w:val="en-GB"/>
        </w:rPr>
        <w:t>8.2</w:t>
      </w:r>
      <w:r w:rsidRPr="0041606C">
        <w:rPr>
          <w:rFonts w:cs="Arial"/>
          <w:spacing w:val="-2"/>
          <w:szCs w:val="19"/>
          <w:lang w:val="en-GB"/>
        </w:rPr>
        <w:t xml:space="preserve">%), construction </w:t>
      </w:r>
      <w:r w:rsidR="0038166C" w:rsidRPr="0041606C">
        <w:rPr>
          <w:rFonts w:cs="Arial"/>
          <w:spacing w:val="-2"/>
          <w:szCs w:val="19"/>
          <w:lang w:val="en-GB"/>
        </w:rPr>
        <w:t>–</w:t>
      </w:r>
      <w:r w:rsidRPr="0041606C">
        <w:rPr>
          <w:rFonts w:cs="Arial"/>
          <w:spacing w:val="-2"/>
          <w:szCs w:val="19"/>
          <w:lang w:val="en-GB"/>
        </w:rPr>
        <w:t xml:space="preserve"> </w:t>
      </w:r>
      <w:r w:rsidR="004A7B6E" w:rsidRPr="0041606C">
        <w:rPr>
          <w:rFonts w:cs="Arial"/>
          <w:spacing w:val="-2"/>
          <w:szCs w:val="19"/>
          <w:lang w:val="en-GB"/>
        </w:rPr>
        <w:t>16</w:t>
      </w:r>
      <w:r w:rsidRPr="0041606C">
        <w:rPr>
          <w:rFonts w:cs="Arial"/>
          <w:spacing w:val="-2"/>
          <w:szCs w:val="19"/>
          <w:lang w:val="en-GB"/>
        </w:rPr>
        <w:t>.</w:t>
      </w:r>
      <w:r w:rsidR="00CC7030" w:rsidRPr="0041606C">
        <w:rPr>
          <w:rFonts w:cs="Arial"/>
          <w:spacing w:val="-2"/>
          <w:szCs w:val="19"/>
          <w:lang w:val="en-GB"/>
        </w:rPr>
        <w:t>6</w:t>
      </w:r>
      <w:r w:rsidRPr="0041606C">
        <w:rPr>
          <w:rFonts w:cs="Arial"/>
          <w:spacing w:val="-2"/>
          <w:szCs w:val="19"/>
          <w:lang w:val="en-GB"/>
        </w:rPr>
        <w:t xml:space="preserve">% (in the country </w:t>
      </w:r>
      <w:r w:rsidR="0038166C" w:rsidRPr="0041606C">
        <w:rPr>
          <w:rFonts w:cs="Arial"/>
          <w:spacing w:val="-2"/>
          <w:szCs w:val="19"/>
          <w:lang w:val="en-GB"/>
        </w:rPr>
        <w:t>–</w:t>
      </w:r>
      <w:r w:rsidRPr="0041606C">
        <w:rPr>
          <w:rFonts w:cs="Arial"/>
          <w:spacing w:val="-2"/>
          <w:szCs w:val="19"/>
          <w:lang w:val="en-GB"/>
        </w:rPr>
        <w:t xml:space="preserve"> 1</w:t>
      </w:r>
      <w:r w:rsidR="004A7B6E" w:rsidRPr="0041606C">
        <w:rPr>
          <w:rFonts w:cs="Arial"/>
          <w:spacing w:val="-2"/>
          <w:szCs w:val="19"/>
          <w:lang w:val="en-GB"/>
        </w:rPr>
        <w:t>4</w:t>
      </w:r>
      <w:r w:rsidRPr="0041606C">
        <w:rPr>
          <w:rFonts w:cs="Arial"/>
          <w:spacing w:val="-2"/>
          <w:szCs w:val="19"/>
          <w:lang w:val="en-GB"/>
        </w:rPr>
        <w:t>.</w:t>
      </w:r>
      <w:r w:rsidR="00CC7030" w:rsidRPr="0041606C">
        <w:rPr>
          <w:rFonts w:cs="Arial"/>
          <w:spacing w:val="-2"/>
          <w:szCs w:val="19"/>
          <w:lang w:val="en-GB"/>
        </w:rPr>
        <w:t>3</w:t>
      </w:r>
      <w:r w:rsidRPr="0041606C">
        <w:rPr>
          <w:rFonts w:cs="Arial"/>
          <w:spacing w:val="-2"/>
          <w:szCs w:val="19"/>
          <w:lang w:val="en-GB"/>
        </w:rPr>
        <w:t xml:space="preserve">%), </w:t>
      </w:r>
      <w:r w:rsidR="00CC7030" w:rsidRPr="0041606C">
        <w:rPr>
          <w:rFonts w:cs="Arial"/>
          <w:spacing w:val="-2"/>
          <w:szCs w:val="19"/>
          <w:lang w:val="en-GB"/>
        </w:rPr>
        <w:t xml:space="preserve">professional, scientific and technical activity – 8.2% (in the country – 11.1%) and </w:t>
      </w:r>
      <w:r w:rsidRPr="0041606C">
        <w:rPr>
          <w:rFonts w:cs="Arial"/>
          <w:spacing w:val="-2"/>
          <w:szCs w:val="19"/>
          <w:lang w:val="en-GB"/>
        </w:rPr>
        <w:t xml:space="preserve">manufacturing </w:t>
      </w:r>
      <w:r w:rsidR="0038166C" w:rsidRPr="0041606C">
        <w:rPr>
          <w:rFonts w:cs="Arial"/>
          <w:spacing w:val="-2"/>
          <w:szCs w:val="19"/>
          <w:lang w:val="en-GB"/>
        </w:rPr>
        <w:t>–</w:t>
      </w:r>
      <w:r w:rsidRPr="0041606C">
        <w:rPr>
          <w:rFonts w:cs="Arial"/>
          <w:spacing w:val="-2"/>
          <w:szCs w:val="19"/>
          <w:lang w:val="en-GB"/>
        </w:rPr>
        <w:t xml:space="preserve"> </w:t>
      </w:r>
      <w:r w:rsidR="00CC7030" w:rsidRPr="0041606C">
        <w:rPr>
          <w:rFonts w:cs="Arial"/>
          <w:spacing w:val="-2"/>
          <w:szCs w:val="19"/>
          <w:lang w:val="en-GB"/>
        </w:rPr>
        <w:t>7.9</w:t>
      </w:r>
      <w:r w:rsidRPr="0041606C">
        <w:rPr>
          <w:rFonts w:cs="Arial"/>
          <w:spacing w:val="-2"/>
          <w:szCs w:val="19"/>
          <w:lang w:val="en-GB"/>
        </w:rPr>
        <w:t xml:space="preserve">% (in the country </w:t>
      </w:r>
      <w:r w:rsidR="0038166C" w:rsidRPr="0041606C">
        <w:rPr>
          <w:rFonts w:cs="Arial"/>
          <w:spacing w:val="-2"/>
          <w:szCs w:val="19"/>
          <w:lang w:val="en-GB"/>
        </w:rPr>
        <w:t>–</w:t>
      </w:r>
      <w:r w:rsidRPr="0041606C">
        <w:rPr>
          <w:rFonts w:cs="Arial"/>
          <w:spacing w:val="-2"/>
          <w:szCs w:val="19"/>
          <w:lang w:val="en-GB"/>
        </w:rPr>
        <w:t xml:space="preserve"> </w:t>
      </w:r>
      <w:r w:rsidR="004A7B6E" w:rsidRPr="0041606C">
        <w:rPr>
          <w:rFonts w:cs="Arial"/>
          <w:spacing w:val="-2"/>
          <w:szCs w:val="19"/>
          <w:lang w:val="en-GB"/>
        </w:rPr>
        <w:t>7</w:t>
      </w:r>
      <w:r w:rsidRPr="0041606C">
        <w:rPr>
          <w:rFonts w:cs="Arial"/>
          <w:spacing w:val="-2"/>
          <w:szCs w:val="19"/>
          <w:lang w:val="en-GB"/>
        </w:rPr>
        <w:t>.</w:t>
      </w:r>
      <w:r w:rsidR="00CC7030" w:rsidRPr="0041606C">
        <w:rPr>
          <w:rFonts w:cs="Arial"/>
          <w:spacing w:val="-2"/>
          <w:szCs w:val="19"/>
          <w:lang w:val="en-GB"/>
        </w:rPr>
        <w:t>6%).</w:t>
      </w:r>
    </w:p>
    <w:p w14:paraId="1FEE2506" w14:textId="3F21AE65" w:rsidR="00212DDE" w:rsidRPr="0041606C" w:rsidRDefault="009C4D79" w:rsidP="00DE01C8">
      <w:pPr>
        <w:pStyle w:val="LID"/>
        <w:rPr>
          <w:lang w:val="en-GB"/>
        </w:rPr>
      </w:pPr>
      <w:r w:rsidRPr="0041606C">
        <w:rPr>
          <w:highlight w:val="yellow"/>
          <w:lang w:val="en-GB"/>
        </w:rPr>
        <w:br w:type="column"/>
      </w:r>
      <w:r w:rsidR="00400221" w:rsidRPr="0041606C">
        <w:rPr>
          <w:lang w:val="en-GB"/>
        </w:rPr>
        <w:lastRenderedPageBreak/>
        <w:t xml:space="preserve">Chart 2. </w:t>
      </w:r>
      <w:r w:rsidR="001F31C4" w:rsidRPr="0041606C">
        <w:rPr>
          <w:lang w:val="en-GB"/>
        </w:rPr>
        <w:t>E</w:t>
      </w:r>
      <w:r w:rsidR="00400221" w:rsidRPr="0041606C">
        <w:rPr>
          <w:lang w:val="en-GB"/>
        </w:rPr>
        <w:t>ntities of the national economy in the border zone according to the sections</w:t>
      </w:r>
      <w:r w:rsidR="001F31C4" w:rsidRPr="0041606C">
        <w:rPr>
          <w:lang w:val="en-GB"/>
        </w:rPr>
        <w:br/>
      </w:r>
      <w:r w:rsidR="00400221" w:rsidRPr="0041606C">
        <w:rPr>
          <w:lang w:val="en-GB"/>
        </w:rPr>
        <w:t>of the Polish Classification of Activities in 202</w:t>
      </w:r>
      <w:r w:rsidR="00C759B0" w:rsidRPr="0041606C">
        <w:rPr>
          <w:lang w:val="en-GB"/>
        </w:rPr>
        <w:t>5</w:t>
      </w:r>
    </w:p>
    <w:p w14:paraId="2A1F8781" w14:textId="34640B9B" w:rsidR="00A25F0B" w:rsidRPr="0041606C" w:rsidRDefault="00C759B0" w:rsidP="00DC2DC6">
      <w:pPr>
        <w:spacing w:before="0" w:after="0" w:line="240" w:lineRule="auto"/>
        <w:jc w:val="center"/>
        <w:rPr>
          <w:sz w:val="18"/>
          <w:lang w:val="en-GB"/>
        </w:rPr>
      </w:pPr>
      <w:r w:rsidRPr="0041606C">
        <w:rPr>
          <w:noProof/>
          <w:sz w:val="18"/>
          <w:lang w:val="en-GB"/>
        </w:rPr>
        <w:drawing>
          <wp:inline distT="0" distB="0" distL="0" distR="0" wp14:anchorId="7D1E1A90" wp14:editId="3ACAC080">
            <wp:extent cx="5122545" cy="2266315"/>
            <wp:effectExtent l="0" t="0" r="1905" b="635"/>
            <wp:docPr id="18" name="Obraz 18" descr="Chart 2. Entities of the national economy in the border area by section of the Polish Classification of Activities in 2025.&#10;Data for the chart are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18" descr="Chart 2. Entities of the national economy in the border area by section of the Polish Classification of Activities in 2025.&#10;Data for the chart are available in the attached Excel fil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22545" cy="2266315"/>
                    </a:xfrm>
                    <a:prstGeom prst="rect">
                      <a:avLst/>
                    </a:prstGeom>
                  </pic:spPr>
                </pic:pic>
              </a:graphicData>
            </a:graphic>
          </wp:inline>
        </w:drawing>
      </w:r>
    </w:p>
    <w:p w14:paraId="44EB5368" w14:textId="3625E0A1" w:rsidR="005C4006" w:rsidRPr="0041606C" w:rsidRDefault="002361C2" w:rsidP="00107E6E">
      <w:pPr>
        <w:spacing w:before="240" w:after="0" w:line="288" w:lineRule="auto"/>
        <w:rPr>
          <w:rFonts w:cs="Arial"/>
          <w:szCs w:val="19"/>
          <w:lang w:val="en-GB"/>
        </w:rPr>
      </w:pPr>
      <w:r w:rsidRPr="0041606C">
        <w:rPr>
          <w:rFonts w:cs="Arial"/>
          <w:szCs w:val="19"/>
          <w:lang w:val="en-GB"/>
        </w:rPr>
        <w:t>Entities from the trade; repair of motor vehicles and construction sections had the largest share in each of the individual parts of the analysed zone in the neighbouring countries</w:t>
      </w:r>
      <w:r w:rsidR="005C4006" w:rsidRPr="0041606C">
        <w:rPr>
          <w:rFonts w:cs="Arial"/>
          <w:szCs w:val="19"/>
          <w:lang w:val="en-GB"/>
        </w:rPr>
        <w:t>.</w:t>
      </w:r>
      <w:r w:rsidR="00DB56D1" w:rsidRPr="0041606C">
        <w:rPr>
          <w:rFonts w:cs="Arial"/>
          <w:szCs w:val="19"/>
          <w:lang w:val="en-GB"/>
        </w:rPr>
        <w:t xml:space="preserve"> </w:t>
      </w:r>
      <w:r w:rsidR="007710CD" w:rsidRPr="0041606C">
        <w:rPr>
          <w:rFonts w:cs="Arial"/>
          <w:szCs w:val="19"/>
          <w:lang w:val="en-GB"/>
        </w:rPr>
        <w:t>The share of entities included in the trade; repair of motor vehicles section in the total number of entities in 202</w:t>
      </w:r>
      <w:r w:rsidR="00B329B3" w:rsidRPr="0041606C">
        <w:rPr>
          <w:rFonts w:cs="Arial"/>
          <w:szCs w:val="19"/>
          <w:lang w:val="en-GB"/>
        </w:rPr>
        <w:t>5</w:t>
      </w:r>
      <w:r w:rsidR="007710CD" w:rsidRPr="0041606C">
        <w:rPr>
          <w:rFonts w:cs="Arial"/>
          <w:szCs w:val="19"/>
          <w:lang w:val="en-GB"/>
        </w:rPr>
        <w:t xml:space="preserve"> amounted from 1</w:t>
      </w:r>
      <w:r w:rsidR="00B329B3" w:rsidRPr="0041606C">
        <w:rPr>
          <w:rFonts w:cs="Arial"/>
          <w:szCs w:val="19"/>
          <w:lang w:val="en-GB"/>
        </w:rPr>
        <w:t>6</w:t>
      </w:r>
      <w:r w:rsidR="007710CD" w:rsidRPr="0041606C">
        <w:rPr>
          <w:rFonts w:cs="Arial"/>
          <w:szCs w:val="19"/>
          <w:lang w:val="en-GB"/>
        </w:rPr>
        <w:t>.0% in the border zone with Russia to 2</w:t>
      </w:r>
      <w:r w:rsidR="00B329B3" w:rsidRPr="0041606C">
        <w:rPr>
          <w:rFonts w:cs="Arial"/>
          <w:szCs w:val="19"/>
          <w:lang w:val="en-GB"/>
        </w:rPr>
        <w:t>0.2</w:t>
      </w:r>
      <w:r w:rsidR="007710CD" w:rsidRPr="0041606C">
        <w:rPr>
          <w:rFonts w:cs="Arial"/>
          <w:szCs w:val="19"/>
          <w:lang w:val="en-GB"/>
        </w:rPr>
        <w:t>% in the border zone with Ukraine. Entities belonging to the construction section represented from 15.</w:t>
      </w:r>
      <w:r w:rsidR="00B329B3" w:rsidRPr="0041606C">
        <w:rPr>
          <w:rFonts w:cs="Arial"/>
          <w:szCs w:val="19"/>
          <w:lang w:val="en-GB"/>
        </w:rPr>
        <w:t>3</w:t>
      </w:r>
      <w:r w:rsidR="007710CD" w:rsidRPr="0041606C">
        <w:rPr>
          <w:rFonts w:cs="Arial"/>
          <w:szCs w:val="19"/>
          <w:lang w:val="en-GB"/>
        </w:rPr>
        <w:t>% in the zone at the border with Belarus to 18.</w:t>
      </w:r>
      <w:r w:rsidR="00B329B3" w:rsidRPr="0041606C">
        <w:rPr>
          <w:rFonts w:cs="Arial"/>
          <w:szCs w:val="19"/>
          <w:lang w:val="en-GB"/>
        </w:rPr>
        <w:t>4</w:t>
      </w:r>
      <w:r w:rsidR="007710CD" w:rsidRPr="0041606C">
        <w:rPr>
          <w:rFonts w:cs="Arial"/>
          <w:szCs w:val="19"/>
          <w:lang w:val="en-GB"/>
        </w:rPr>
        <w:t>% at the zone at the border with Slovakia.</w:t>
      </w:r>
    </w:p>
    <w:p w14:paraId="703DE31E" w14:textId="77777777" w:rsidR="005C4006" w:rsidRPr="0041606C" w:rsidRDefault="005C4006" w:rsidP="009B3175">
      <w:pPr>
        <w:spacing w:after="0" w:line="288" w:lineRule="auto"/>
        <w:rPr>
          <w:rFonts w:cs="Arial"/>
          <w:szCs w:val="19"/>
          <w:lang w:val="en-GB"/>
        </w:rPr>
      </w:pPr>
    </w:p>
    <w:p w14:paraId="03E56498" w14:textId="6C776C0D" w:rsidR="009B3175" w:rsidRPr="0041606C" w:rsidRDefault="009B3175" w:rsidP="009B3175">
      <w:pPr>
        <w:spacing w:after="0" w:line="288" w:lineRule="auto"/>
        <w:rPr>
          <w:rFonts w:cs="Arial"/>
          <w:szCs w:val="19"/>
          <w:lang w:val="en-GB"/>
        </w:rPr>
      </w:pPr>
    </w:p>
    <w:p w14:paraId="3C791BBE" w14:textId="0D2A2CF5" w:rsidR="009B3175" w:rsidRPr="0041606C" w:rsidRDefault="009B3175" w:rsidP="009B3175">
      <w:pPr>
        <w:spacing w:after="0" w:line="288" w:lineRule="auto"/>
        <w:rPr>
          <w:rFonts w:cs="Arial"/>
          <w:szCs w:val="19"/>
          <w:lang w:val="en-GB"/>
        </w:rPr>
      </w:pPr>
    </w:p>
    <w:p w14:paraId="260B59D2" w14:textId="1C818437" w:rsidR="009B3175" w:rsidRPr="0041606C" w:rsidRDefault="009B3175" w:rsidP="009B3175">
      <w:pPr>
        <w:spacing w:after="0" w:line="288" w:lineRule="auto"/>
        <w:rPr>
          <w:rFonts w:cs="Arial"/>
          <w:szCs w:val="19"/>
          <w:lang w:val="en-GB"/>
        </w:rPr>
      </w:pPr>
    </w:p>
    <w:p w14:paraId="306121AB" w14:textId="1B937B14" w:rsidR="009B3175" w:rsidRPr="0041606C" w:rsidRDefault="009B3175" w:rsidP="009B3175">
      <w:pPr>
        <w:spacing w:after="0" w:line="288" w:lineRule="auto"/>
        <w:rPr>
          <w:rFonts w:cs="Arial"/>
          <w:szCs w:val="19"/>
          <w:lang w:val="en-GB"/>
        </w:rPr>
        <w:sectPr w:rsidR="009B3175" w:rsidRPr="0041606C" w:rsidSect="00A9377F">
          <w:headerReference w:type="default" r:id="rId15"/>
          <w:footerReference w:type="default" r:id="rId16"/>
          <w:headerReference w:type="first" r:id="rId17"/>
          <w:footerReference w:type="first" r:id="rId18"/>
          <w:pgSz w:w="11906" w:h="16838"/>
          <w:pgMar w:top="720" w:right="3119" w:bottom="720" w:left="720" w:header="284" w:footer="283" w:gutter="0"/>
          <w:cols w:space="708"/>
          <w:titlePg/>
          <w:docGrid w:linePitch="360"/>
        </w:sectPr>
      </w:pPr>
    </w:p>
    <w:p w14:paraId="0F0E2BF0" w14:textId="581A86D4" w:rsidR="00DD0DB1" w:rsidRPr="0041606C" w:rsidRDefault="00DD3996" w:rsidP="009E0CF5">
      <w:pPr>
        <w:pStyle w:val="Nagwek1"/>
        <w:rPr>
          <w:lang w:val="en-GB"/>
        </w:rPr>
      </w:pPr>
      <w:r w:rsidRPr="0041606C">
        <w:rPr>
          <w:lang w:val="en-GB"/>
        </w:rPr>
        <w:lastRenderedPageBreak/>
        <w:t>Methodological notes</w:t>
      </w:r>
    </w:p>
    <w:p w14:paraId="1F50DC84" w14:textId="55C0BBA8" w:rsidR="00B7438D" w:rsidRPr="0041606C" w:rsidRDefault="00F61EEB" w:rsidP="00F61EEB">
      <w:pPr>
        <w:spacing w:before="0" w:line="288" w:lineRule="auto"/>
        <w:rPr>
          <w:rFonts w:cs="Arial"/>
          <w:szCs w:val="19"/>
          <w:lang w:val="en-GB"/>
        </w:rPr>
      </w:pPr>
      <w:r w:rsidRPr="0041606C">
        <w:rPr>
          <w:rFonts w:cs="Arial"/>
          <w:szCs w:val="19"/>
          <w:lang w:val="en-GB"/>
        </w:rPr>
        <w:t xml:space="preserve">1. </w:t>
      </w:r>
      <w:r w:rsidR="00DD3996" w:rsidRPr="0041606C">
        <w:rPr>
          <w:rFonts w:cs="Arial"/>
          <w:szCs w:val="19"/>
          <w:lang w:val="en-GB"/>
        </w:rPr>
        <w:t>The border area (border zone) was defined using the following criteria</w:t>
      </w:r>
      <w:r w:rsidR="00B7438D" w:rsidRPr="0041606C">
        <w:rPr>
          <w:rFonts w:cs="Arial"/>
          <w:szCs w:val="19"/>
          <w:lang w:val="en-GB"/>
        </w:rPr>
        <w:t>:</w:t>
      </w:r>
    </w:p>
    <w:p w14:paraId="7C287849" w14:textId="578ED0FD" w:rsidR="00B7438D" w:rsidRPr="0041606C" w:rsidRDefault="006374B8" w:rsidP="00F61EEB">
      <w:pPr>
        <w:pStyle w:val="Akapitzlist"/>
        <w:numPr>
          <w:ilvl w:val="1"/>
          <w:numId w:val="5"/>
        </w:numPr>
        <w:spacing w:before="0" w:line="288" w:lineRule="auto"/>
        <w:ind w:left="462" w:hanging="252"/>
        <w:rPr>
          <w:rFonts w:cs="Arial"/>
          <w:szCs w:val="19"/>
          <w:lang w:val="en-GB"/>
        </w:rPr>
      </w:pPr>
      <w:r w:rsidRPr="0041606C">
        <w:rPr>
          <w:rFonts w:cs="Arial"/>
          <w:szCs w:val="19"/>
          <w:lang w:val="en-GB"/>
        </w:rPr>
        <w:t xml:space="preserve">The initial delimitation was based on the criterion of the distance of the place of purchase from the border crossing point by foreigners and the distance from the border crossing point of the place of residence of Poles returning from abroad </w:t>
      </w:r>
      <w:r w:rsidR="00C9334A" w:rsidRPr="0041606C">
        <w:rPr>
          <w:rFonts w:cs="Arial"/>
          <w:szCs w:val="19"/>
          <w:lang w:val="en-GB"/>
        </w:rPr>
        <w:t>complemented</w:t>
      </w:r>
      <w:r w:rsidRPr="0041606C">
        <w:rPr>
          <w:rFonts w:cs="Arial"/>
          <w:szCs w:val="19"/>
          <w:lang w:val="en-GB"/>
        </w:rPr>
        <w:t xml:space="preserve"> by data from accommodation </w:t>
      </w:r>
      <w:r w:rsidR="00E5774A" w:rsidRPr="0041606C">
        <w:rPr>
          <w:rFonts w:cs="Arial"/>
          <w:szCs w:val="19"/>
          <w:lang w:val="en-GB"/>
        </w:rPr>
        <w:t>establishments</w:t>
      </w:r>
      <w:r w:rsidRPr="0041606C">
        <w:rPr>
          <w:rFonts w:cs="Arial"/>
          <w:szCs w:val="19"/>
          <w:lang w:val="en-GB"/>
        </w:rPr>
        <w:t>. The results of studies were used for this purpose: "Trips made by non-residents to Poland. The movement of vehicles and persons at the Polish border with the countries of the European Union" and "Participation of residents of Poland in trips", as well as</w:t>
      </w:r>
      <w:r w:rsidR="001F138D" w:rsidRPr="0041606C">
        <w:rPr>
          <w:rFonts w:cs="Arial"/>
          <w:szCs w:val="19"/>
          <w:lang w:val="en-GB"/>
        </w:rPr>
        <w:t xml:space="preserve"> </w:t>
      </w:r>
      <w:r w:rsidRPr="0041606C">
        <w:rPr>
          <w:rFonts w:cs="Arial"/>
          <w:szCs w:val="19"/>
          <w:lang w:val="en-GB"/>
        </w:rPr>
        <w:t>"</w:t>
      </w:r>
      <w:r w:rsidR="001F138D" w:rsidRPr="0041606C">
        <w:rPr>
          <w:rFonts w:cs="Arial"/>
          <w:szCs w:val="19"/>
          <w:lang w:val="en-GB"/>
        </w:rPr>
        <w:t>Tourist accommodation establishments and their occupancy</w:t>
      </w:r>
      <w:r w:rsidR="00C4728B" w:rsidRPr="0041606C">
        <w:rPr>
          <w:bCs/>
          <w:szCs w:val="19"/>
          <w:lang w:val="en-GB"/>
        </w:rPr>
        <w:t>”</w:t>
      </w:r>
      <w:r w:rsidR="00B7438D" w:rsidRPr="0041606C">
        <w:rPr>
          <w:rFonts w:cs="Arial"/>
          <w:szCs w:val="19"/>
          <w:lang w:val="en-GB"/>
        </w:rPr>
        <w:t>;</w:t>
      </w:r>
    </w:p>
    <w:p w14:paraId="336CCD9E" w14:textId="5C622360" w:rsidR="00624799" w:rsidRPr="0041606C" w:rsidRDefault="006374B8" w:rsidP="00624799">
      <w:pPr>
        <w:pStyle w:val="Akapitzlist"/>
        <w:numPr>
          <w:ilvl w:val="0"/>
          <w:numId w:val="6"/>
        </w:numPr>
        <w:spacing w:before="0" w:line="288" w:lineRule="auto"/>
        <w:ind w:left="462" w:hanging="252"/>
        <w:rPr>
          <w:rFonts w:cs="Arial"/>
          <w:szCs w:val="19"/>
          <w:lang w:val="en-GB"/>
        </w:rPr>
      </w:pPr>
      <w:r w:rsidRPr="0041606C">
        <w:rPr>
          <w:rFonts w:cs="Arial"/>
          <w:szCs w:val="19"/>
          <w:lang w:val="en-GB"/>
        </w:rPr>
        <w:t xml:space="preserve">all </w:t>
      </w:r>
      <w:r w:rsidR="004D2C85" w:rsidRPr="0041606C">
        <w:rPr>
          <w:rFonts w:cs="Arial"/>
          <w:szCs w:val="19"/>
          <w:lang w:val="en-GB"/>
        </w:rPr>
        <w:t>cities</w:t>
      </w:r>
      <w:r w:rsidRPr="0041606C">
        <w:rPr>
          <w:rFonts w:cs="Arial"/>
          <w:szCs w:val="19"/>
          <w:lang w:val="en-GB"/>
        </w:rPr>
        <w:t xml:space="preserve"> located in the area delimited by a 30 or 50 km radius from border crossings have been classified as border area</w:t>
      </w:r>
      <w:r w:rsidR="00B7438D" w:rsidRPr="0041606C">
        <w:rPr>
          <w:rFonts w:cs="Arial"/>
          <w:szCs w:val="19"/>
          <w:lang w:val="en-GB"/>
        </w:rPr>
        <w:t>;</w:t>
      </w:r>
    </w:p>
    <w:p w14:paraId="62DF09B7" w14:textId="5D2914BB" w:rsidR="00B7438D" w:rsidRPr="0041606C" w:rsidRDefault="00624799" w:rsidP="002D6BF6">
      <w:pPr>
        <w:pStyle w:val="Akapitzlist"/>
        <w:numPr>
          <w:ilvl w:val="0"/>
          <w:numId w:val="6"/>
        </w:numPr>
        <w:spacing w:before="0" w:line="288" w:lineRule="auto"/>
        <w:ind w:left="462" w:hanging="252"/>
        <w:rPr>
          <w:rFonts w:cs="Arial"/>
          <w:szCs w:val="19"/>
          <w:lang w:val="en-GB"/>
        </w:rPr>
      </w:pPr>
      <w:r w:rsidRPr="0041606C">
        <w:rPr>
          <w:rFonts w:cs="Arial"/>
          <w:szCs w:val="19"/>
          <w:lang w:val="en-GB"/>
        </w:rPr>
        <w:t>border powiats were delimited based on the criterion of area or population living in the delimited area. If more than 50% of the area of the powiat (the sum of the areas of the delimited municipalities) is located in the delimited border zone, the powiat belongs to the border zone. If more than 50% of the population of the powiat (sum of population in delimited municipalities) is located in the delimited border zone, the powiat belongs to the border zone. If one of the above conditions is fulfilled, the powiat is considered as belonging to the border zone</w:t>
      </w:r>
      <w:r w:rsidR="00B7438D" w:rsidRPr="0041606C">
        <w:rPr>
          <w:rFonts w:cs="Arial"/>
          <w:szCs w:val="19"/>
          <w:lang w:val="en-GB"/>
        </w:rPr>
        <w:t>.</w:t>
      </w:r>
    </w:p>
    <w:p w14:paraId="21848E3E" w14:textId="6FEDE827" w:rsidR="00B7438D" w:rsidRPr="0041606C" w:rsidRDefault="00F61EEB" w:rsidP="00F61EEB">
      <w:pPr>
        <w:spacing w:line="288" w:lineRule="auto"/>
        <w:ind w:left="182" w:hanging="182"/>
        <w:rPr>
          <w:rFonts w:cs="Arial"/>
          <w:szCs w:val="19"/>
          <w:lang w:val="en-GB"/>
        </w:rPr>
      </w:pPr>
      <w:r w:rsidRPr="0041606C">
        <w:rPr>
          <w:rFonts w:cs="Arial"/>
          <w:szCs w:val="19"/>
          <w:lang w:val="en-GB"/>
        </w:rPr>
        <w:t xml:space="preserve">2. </w:t>
      </w:r>
      <w:r w:rsidR="00EC38A3" w:rsidRPr="0041606C">
        <w:rPr>
          <w:rFonts w:cs="Arial"/>
          <w:szCs w:val="19"/>
          <w:lang w:val="en-GB"/>
        </w:rPr>
        <w:t>85 powiats are located in the border zone in Poland. They cover an area of 75 thousand km</w:t>
      </w:r>
      <w:r w:rsidR="00EC38A3" w:rsidRPr="000B658A">
        <w:rPr>
          <w:rFonts w:cs="Arial"/>
          <w:szCs w:val="19"/>
          <w:vertAlign w:val="superscript"/>
          <w:lang w:val="en-GB"/>
        </w:rPr>
        <w:t>2</w:t>
      </w:r>
      <w:r w:rsidR="00EC38A3" w:rsidRPr="0041606C">
        <w:rPr>
          <w:rFonts w:cs="Arial"/>
          <w:szCs w:val="19"/>
          <w:lang w:val="en-GB"/>
        </w:rPr>
        <w:t xml:space="preserve"> (23.9% of Poland's area)</w:t>
      </w:r>
      <w:r w:rsidR="000B658A">
        <w:rPr>
          <w:rFonts w:cs="Arial"/>
          <w:szCs w:val="19"/>
          <w:lang w:val="en-GB"/>
        </w:rPr>
        <w:t>. As of 30 June 2025</w:t>
      </w:r>
      <w:r w:rsidR="008456C5">
        <w:rPr>
          <w:rFonts w:cs="Arial"/>
          <w:szCs w:val="19"/>
          <w:lang w:val="en-GB"/>
        </w:rPr>
        <w:t>,</w:t>
      </w:r>
      <w:r w:rsidR="000B658A">
        <w:rPr>
          <w:rFonts w:cs="Arial"/>
          <w:szCs w:val="19"/>
          <w:lang w:val="en-GB"/>
        </w:rPr>
        <w:t xml:space="preserve"> the area</w:t>
      </w:r>
      <w:r w:rsidR="00EC38A3" w:rsidRPr="0041606C">
        <w:rPr>
          <w:rFonts w:cs="Arial"/>
          <w:szCs w:val="19"/>
          <w:lang w:val="en-GB"/>
        </w:rPr>
        <w:t xml:space="preserve"> is inhabited by over 7.</w:t>
      </w:r>
      <w:r w:rsidR="00C9334A" w:rsidRPr="0041606C">
        <w:rPr>
          <w:rFonts w:cs="Arial"/>
          <w:szCs w:val="19"/>
          <w:lang w:val="en-GB"/>
        </w:rPr>
        <w:t>0</w:t>
      </w:r>
      <w:r w:rsidR="00EC38A3" w:rsidRPr="0041606C">
        <w:rPr>
          <w:rFonts w:cs="Arial"/>
          <w:szCs w:val="19"/>
          <w:lang w:val="en-GB"/>
        </w:rPr>
        <w:t xml:space="preserve"> million people (1</w:t>
      </w:r>
      <w:r w:rsidR="00C9334A" w:rsidRPr="0041606C">
        <w:rPr>
          <w:rFonts w:cs="Arial"/>
          <w:szCs w:val="19"/>
          <w:lang w:val="en-GB"/>
        </w:rPr>
        <w:t>8</w:t>
      </w:r>
      <w:r w:rsidR="00EC38A3" w:rsidRPr="0041606C">
        <w:rPr>
          <w:rFonts w:cs="Arial"/>
          <w:szCs w:val="19"/>
          <w:lang w:val="en-GB"/>
        </w:rPr>
        <w:t>.</w:t>
      </w:r>
      <w:r w:rsidR="000B658A">
        <w:rPr>
          <w:rFonts w:cs="Arial"/>
          <w:szCs w:val="19"/>
          <w:lang w:val="en-GB"/>
        </w:rPr>
        <w:t>6</w:t>
      </w:r>
      <w:r w:rsidR="00EC38A3" w:rsidRPr="0041606C">
        <w:rPr>
          <w:rFonts w:cs="Arial"/>
          <w:szCs w:val="19"/>
          <w:lang w:val="en-GB"/>
        </w:rPr>
        <w:t>% of Poland's population)</w:t>
      </w:r>
      <w:r w:rsidR="00B7438D" w:rsidRPr="0041606C">
        <w:rPr>
          <w:rFonts w:cs="Arial"/>
          <w:szCs w:val="19"/>
          <w:lang w:val="en-GB"/>
        </w:rPr>
        <w:t>.</w:t>
      </w:r>
    </w:p>
    <w:p w14:paraId="5E39AAD8" w14:textId="7DCA27DC" w:rsidR="00394ECD" w:rsidRPr="0041606C" w:rsidRDefault="00F61EEB" w:rsidP="00611568">
      <w:pPr>
        <w:spacing w:before="0" w:line="288" w:lineRule="auto"/>
        <w:ind w:left="182" w:hanging="182"/>
        <w:rPr>
          <w:rFonts w:cs="Arial"/>
          <w:szCs w:val="19"/>
          <w:lang w:val="en-GB"/>
        </w:rPr>
      </w:pPr>
      <w:r w:rsidRPr="0041606C">
        <w:rPr>
          <w:rFonts w:cs="Arial"/>
          <w:szCs w:val="19"/>
          <w:lang w:val="en-GB"/>
        </w:rPr>
        <w:t xml:space="preserve">3. </w:t>
      </w:r>
      <w:r w:rsidR="008B6FF1" w:rsidRPr="0041606C">
        <w:rPr>
          <w:rFonts w:cs="Arial"/>
          <w:szCs w:val="19"/>
          <w:lang w:val="en-GB"/>
        </w:rPr>
        <w:t>There are powiats which are border areas with two or three countries at the same time. In the characteristics the entire Polish border area, these powiats have been included once. When analysing the border zone in Poland according to the sections of the border with the neighbouring countries these powiats are included separately for each border area.</w:t>
      </w:r>
    </w:p>
    <w:p w14:paraId="676EE783" w14:textId="77777777" w:rsidR="00611568" w:rsidRPr="0041606C" w:rsidRDefault="00611568" w:rsidP="00611568">
      <w:pPr>
        <w:spacing w:before="0" w:line="288" w:lineRule="auto"/>
        <w:ind w:left="182" w:hanging="182"/>
        <w:rPr>
          <w:rFonts w:cs="Arial"/>
          <w:szCs w:val="19"/>
          <w:lang w:val="en-GB"/>
        </w:rPr>
      </w:pPr>
    </w:p>
    <w:p w14:paraId="0E7A416E" w14:textId="77777777" w:rsidR="00394ECD" w:rsidRPr="0041606C" w:rsidRDefault="00394ECD" w:rsidP="00394ECD">
      <w:pPr>
        <w:spacing w:after="0" w:line="288" w:lineRule="auto"/>
        <w:rPr>
          <w:rFonts w:cs="Arial"/>
          <w:szCs w:val="19"/>
          <w:lang w:val="en-GB"/>
        </w:rPr>
      </w:pPr>
      <w:r w:rsidRPr="0041606C">
        <w:rPr>
          <w:szCs w:val="19"/>
          <w:lang w:val="en-GB"/>
        </w:rPr>
        <w:t>When quoting Statistics Poland data, please provide information: "Source of data: Statistics Poland", and when publishing calculations made on data published by Statistics Poland, please provide information: "Own study based on Statistics Poland data".</w:t>
      </w:r>
    </w:p>
    <w:p w14:paraId="17F433F7" w14:textId="77777777" w:rsidR="00394ECD" w:rsidRPr="0041606C" w:rsidRDefault="00394ECD" w:rsidP="00F61EEB">
      <w:pPr>
        <w:spacing w:before="0" w:line="288" w:lineRule="auto"/>
        <w:ind w:left="182" w:hanging="182"/>
        <w:rPr>
          <w:rFonts w:cs="Arial"/>
          <w:szCs w:val="19"/>
          <w:lang w:val="en-GB"/>
        </w:rPr>
      </w:pPr>
    </w:p>
    <w:p w14:paraId="7B920CB9" w14:textId="77777777" w:rsidR="00694AF0" w:rsidRPr="0041606C" w:rsidRDefault="00694AF0" w:rsidP="00E76D26">
      <w:pPr>
        <w:rPr>
          <w:sz w:val="2"/>
          <w:szCs w:val="2"/>
          <w:lang w:val="en-GB"/>
        </w:rPr>
        <w:sectPr w:rsidR="00694AF0" w:rsidRPr="0041606C" w:rsidSect="007B1AB4">
          <w:headerReference w:type="first" r:id="rId19"/>
          <w:pgSz w:w="11906" w:h="16838"/>
          <w:pgMar w:top="720" w:right="720" w:bottom="720" w:left="720" w:header="283" w:footer="284"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4C6C14" w:rsidRPr="00DE01C8" w14:paraId="345320EF" w14:textId="77777777" w:rsidTr="0016680B">
        <w:trPr>
          <w:trHeight w:val="1626"/>
        </w:trPr>
        <w:tc>
          <w:tcPr>
            <w:tcW w:w="4926" w:type="dxa"/>
          </w:tcPr>
          <w:p w14:paraId="622A0E1D" w14:textId="77777777" w:rsidR="004C6C14" w:rsidRPr="0041606C" w:rsidRDefault="004C6C14" w:rsidP="00175F7E">
            <w:pPr>
              <w:spacing w:after="0" w:line="276" w:lineRule="auto"/>
              <w:rPr>
                <w:rFonts w:cs="Arial"/>
                <w:sz w:val="20"/>
                <w:lang w:val="en-GB"/>
              </w:rPr>
            </w:pPr>
            <w:r w:rsidRPr="0041606C">
              <w:rPr>
                <w:rFonts w:cs="Arial"/>
                <w:sz w:val="20"/>
                <w:lang w:val="en-GB"/>
              </w:rPr>
              <w:lastRenderedPageBreak/>
              <w:t>Prepared by:</w:t>
            </w:r>
          </w:p>
          <w:p w14:paraId="026C6381" w14:textId="77777777" w:rsidR="004C6C14" w:rsidRPr="0041606C" w:rsidRDefault="004C6C14" w:rsidP="004C6C14">
            <w:pPr>
              <w:spacing w:before="0" w:line="276" w:lineRule="auto"/>
              <w:rPr>
                <w:rFonts w:cs="Arial"/>
                <w:b/>
                <w:color w:val="000000" w:themeColor="text1"/>
                <w:sz w:val="20"/>
                <w:lang w:val="en-GB"/>
              </w:rPr>
            </w:pPr>
            <w:r w:rsidRPr="0041606C">
              <w:rPr>
                <w:rFonts w:cs="Arial"/>
                <w:b/>
                <w:color w:val="000000" w:themeColor="text1"/>
                <w:sz w:val="20"/>
                <w:lang w:val="en-GB"/>
              </w:rPr>
              <w:t>Statistical Office in Rzeszów</w:t>
            </w:r>
          </w:p>
          <w:p w14:paraId="1331EDBC" w14:textId="21FA3D64" w:rsidR="004C6C14" w:rsidRPr="0041606C" w:rsidRDefault="00175F7E" w:rsidP="004C6C14">
            <w:pPr>
              <w:spacing w:before="0" w:after="0" w:line="276" w:lineRule="auto"/>
              <w:rPr>
                <w:b/>
                <w:sz w:val="20"/>
                <w:szCs w:val="20"/>
                <w:lang w:val="en-GB"/>
              </w:rPr>
            </w:pPr>
            <w:r w:rsidRPr="0041606C">
              <w:rPr>
                <w:b/>
                <w:sz w:val="20"/>
                <w:szCs w:val="20"/>
                <w:lang w:val="en-GB"/>
              </w:rPr>
              <w:t xml:space="preserve">Acting </w:t>
            </w:r>
            <w:r w:rsidR="004C6C14" w:rsidRPr="0041606C">
              <w:rPr>
                <w:b/>
                <w:sz w:val="20"/>
                <w:szCs w:val="20"/>
                <w:lang w:val="en-GB"/>
              </w:rPr>
              <w:t xml:space="preserve">Director </w:t>
            </w:r>
            <w:r w:rsidRPr="0041606C">
              <w:rPr>
                <w:b/>
                <w:sz w:val="20"/>
                <w:szCs w:val="20"/>
                <w:lang w:val="en-GB"/>
              </w:rPr>
              <w:t>Andżelika Malinowska</w:t>
            </w:r>
          </w:p>
          <w:p w14:paraId="27E8DC46" w14:textId="1737F355" w:rsidR="004C6C14" w:rsidRPr="0041606C" w:rsidRDefault="004C6C14" w:rsidP="004C6C14">
            <w:pPr>
              <w:pStyle w:val="Nagwek3"/>
              <w:spacing w:before="0" w:after="120" w:line="240" w:lineRule="auto"/>
              <w:rPr>
                <w:rFonts w:ascii="Fira Sans" w:hAnsi="Fira Sans" w:cs="Arial"/>
                <w:color w:val="000000" w:themeColor="text1"/>
                <w:sz w:val="20"/>
                <w:lang w:val="en-GB"/>
              </w:rPr>
            </w:pPr>
            <w:r w:rsidRPr="0041606C">
              <w:rPr>
                <w:rFonts w:ascii="Fira Sans" w:hAnsi="Fira Sans" w:cs="Arial"/>
                <w:color w:val="000000" w:themeColor="text1"/>
                <w:sz w:val="20"/>
                <w:lang w:val="en-GB"/>
              </w:rPr>
              <w:t>Phone: (+48 17) 853 52 10</w:t>
            </w:r>
            <w:r w:rsidR="002F2967" w:rsidRPr="0041606C">
              <w:rPr>
                <w:rFonts w:ascii="Fira Sans" w:hAnsi="Fira Sans" w:cs="Arial"/>
                <w:color w:val="000000" w:themeColor="text1"/>
                <w:sz w:val="20"/>
                <w:lang w:val="en-GB"/>
              </w:rPr>
              <w:t>, (+48 17) 853 52 19</w:t>
            </w:r>
          </w:p>
        </w:tc>
        <w:tc>
          <w:tcPr>
            <w:tcW w:w="4927" w:type="dxa"/>
          </w:tcPr>
          <w:p w14:paraId="63FBC050" w14:textId="77777777" w:rsidR="00175F7E" w:rsidRPr="0041606C" w:rsidRDefault="00175F7E" w:rsidP="00175F7E">
            <w:pPr>
              <w:rPr>
                <w:b/>
                <w:lang w:val="en-GB"/>
              </w:rPr>
            </w:pPr>
            <w:r w:rsidRPr="0041606C">
              <w:rPr>
                <w:rFonts w:cs="Arial"/>
                <w:sz w:val="20"/>
                <w:lang w:val="en-GB"/>
              </w:rPr>
              <w:t>Issued by:</w:t>
            </w:r>
            <w:r w:rsidRPr="0041606C">
              <w:rPr>
                <w:rFonts w:cs="Arial"/>
                <w:sz w:val="20"/>
                <w:lang w:val="en-GB"/>
              </w:rPr>
              <w:br/>
            </w:r>
            <w:r w:rsidRPr="0041606C">
              <w:rPr>
                <w:b/>
                <w:lang w:val="en-GB"/>
              </w:rPr>
              <w:t>Press Office</w:t>
            </w:r>
          </w:p>
          <w:p w14:paraId="4C0DAE81" w14:textId="77777777" w:rsidR="00175F7E" w:rsidRPr="0041606C" w:rsidRDefault="00175F7E" w:rsidP="00175F7E">
            <w:pPr>
              <w:rPr>
                <w:sz w:val="20"/>
                <w:lang w:val="en-GB"/>
              </w:rPr>
            </w:pPr>
            <w:r w:rsidRPr="0041606C">
              <w:rPr>
                <w:sz w:val="20"/>
                <w:lang w:val="en-GB"/>
              </w:rPr>
              <w:t>Mobile: (+48) 695 255 032</w:t>
            </w:r>
          </w:p>
          <w:p w14:paraId="43EC64DA" w14:textId="77777777" w:rsidR="00175F7E" w:rsidRPr="0041606C" w:rsidRDefault="00175F7E" w:rsidP="00175F7E">
            <w:pPr>
              <w:spacing w:after="0"/>
              <w:rPr>
                <w:sz w:val="20"/>
                <w:lang w:val="en-GB"/>
              </w:rPr>
            </w:pPr>
            <w:r w:rsidRPr="0041606C">
              <w:rPr>
                <w:sz w:val="20"/>
                <w:lang w:val="en-GB"/>
              </w:rPr>
              <w:t xml:space="preserve">Phone: (+48 22) 608 38 04, (+48 22) 449 41 45, </w:t>
            </w:r>
          </w:p>
          <w:p w14:paraId="5EE5DECD" w14:textId="77777777" w:rsidR="00175F7E" w:rsidRPr="0041606C" w:rsidRDefault="00175F7E" w:rsidP="00175F7E">
            <w:pPr>
              <w:spacing w:before="0"/>
              <w:rPr>
                <w:sz w:val="20"/>
                <w:lang w:val="en-GB"/>
              </w:rPr>
            </w:pPr>
            <w:r w:rsidRPr="0041606C">
              <w:rPr>
                <w:sz w:val="20"/>
                <w:lang w:val="en-GB"/>
              </w:rPr>
              <w:t xml:space="preserve">             (+48 22) 608 30 09</w:t>
            </w:r>
          </w:p>
          <w:p w14:paraId="33A155FC" w14:textId="77777777" w:rsidR="00175F7E" w:rsidRPr="0041606C" w:rsidRDefault="00175F7E" w:rsidP="00175F7E">
            <w:pPr>
              <w:pStyle w:val="Nagwek3"/>
              <w:spacing w:before="0" w:after="120" w:line="276" w:lineRule="auto"/>
              <w:rPr>
                <w:rFonts w:ascii="Fira Sans" w:hAnsi="Fira Sans" w:cs="Arial"/>
                <w:color w:val="000000" w:themeColor="text1"/>
                <w:sz w:val="20"/>
                <w:lang w:val="en-GB"/>
              </w:rPr>
            </w:pPr>
            <w:r w:rsidRPr="0041606C">
              <w:rPr>
                <w:b/>
                <w:color w:val="auto"/>
                <w:sz w:val="20"/>
                <w:lang w:val="en-GB"/>
              </w:rPr>
              <w:t xml:space="preserve">e-mail: </w:t>
            </w:r>
            <w:hyperlink r:id="rId20" w:history="1">
              <w:r w:rsidRPr="0041606C">
                <w:rPr>
                  <w:rStyle w:val="Hipercze"/>
                  <w:rFonts w:cs="Arial"/>
                  <w:b/>
                  <w:color w:val="auto"/>
                  <w:sz w:val="20"/>
                  <w:szCs w:val="20"/>
                  <w:lang w:val="en-GB"/>
                </w:rPr>
                <w:t>obslugaprasowa@stat.gov.pl</w:t>
              </w:r>
            </w:hyperlink>
          </w:p>
          <w:p w14:paraId="5554E146" w14:textId="77777777" w:rsidR="004C6C14" w:rsidRPr="0041606C" w:rsidRDefault="004C6C14" w:rsidP="004C6C14">
            <w:pPr>
              <w:rPr>
                <w:sz w:val="18"/>
                <w:lang w:val="en-GB"/>
              </w:rPr>
            </w:pPr>
          </w:p>
        </w:tc>
      </w:tr>
      <w:tr w:rsidR="00844D95" w:rsidRPr="0041606C" w14:paraId="451D63DA" w14:textId="77777777" w:rsidTr="0016680B">
        <w:trPr>
          <w:trHeight w:val="418"/>
        </w:trPr>
        <w:tc>
          <w:tcPr>
            <w:tcW w:w="4926" w:type="dxa"/>
            <w:vMerge w:val="restart"/>
          </w:tcPr>
          <w:p w14:paraId="61E27B5D" w14:textId="4558E2CD" w:rsidR="00844D95" w:rsidRPr="0041606C" w:rsidRDefault="00844D95" w:rsidP="00D24B1E">
            <w:pPr>
              <w:rPr>
                <w:sz w:val="18"/>
                <w:lang w:val="en-GB"/>
              </w:rPr>
            </w:pPr>
          </w:p>
        </w:tc>
        <w:tc>
          <w:tcPr>
            <w:tcW w:w="4927" w:type="dxa"/>
            <w:vAlign w:val="center"/>
          </w:tcPr>
          <w:p w14:paraId="48A38B22" w14:textId="4248B4E7" w:rsidR="00844D95" w:rsidRPr="0041606C" w:rsidRDefault="00844D95" w:rsidP="00844D95">
            <w:pPr>
              <w:ind w:firstLine="680"/>
              <w:rPr>
                <w:sz w:val="18"/>
                <w:lang w:val="en-GB"/>
              </w:rPr>
            </w:pPr>
            <w:r w:rsidRPr="0041606C">
              <w:rPr>
                <w:noProof/>
                <w:sz w:val="20"/>
                <w:lang w:val="en-GB" w:eastAsia="pl-PL"/>
              </w:rPr>
              <w:drawing>
                <wp:anchor distT="0" distB="0" distL="114300" distR="114300" simplePos="0" relativeHeight="251786240" behindDoc="0" locked="0" layoutInCell="1" allowOverlap="1" wp14:anchorId="77013BD8" wp14:editId="1AA6AA98">
                  <wp:simplePos x="0" y="0"/>
                  <wp:positionH relativeFrom="column">
                    <wp:posOffset>78740</wp:posOffset>
                  </wp:positionH>
                  <wp:positionV relativeFrom="paragraph">
                    <wp:posOffset>21590</wp:posOffset>
                  </wp:positionV>
                  <wp:extent cx="251460" cy="251460"/>
                  <wp:effectExtent l="0" t="0" r="0" b="0"/>
                  <wp:wrapNone/>
                  <wp:docPr id="36" name="Obraz 36"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2" w:history="1">
              <w:r w:rsidRPr="008E7ECC">
                <w:rPr>
                  <w:rStyle w:val="Hipercze"/>
                  <w:rFonts w:cstheme="minorBidi"/>
                  <w:sz w:val="20"/>
                  <w:lang w:val="en-GB"/>
                </w:rPr>
                <w:t>stat.gov.pl/en/</w:t>
              </w:r>
            </w:hyperlink>
          </w:p>
        </w:tc>
      </w:tr>
      <w:tr w:rsidR="009650F3" w:rsidRPr="0041606C" w14:paraId="7C81F576" w14:textId="77777777" w:rsidTr="0016680B">
        <w:trPr>
          <w:trHeight w:val="418"/>
        </w:trPr>
        <w:tc>
          <w:tcPr>
            <w:tcW w:w="4926" w:type="dxa"/>
            <w:vMerge/>
          </w:tcPr>
          <w:p w14:paraId="138C8D7F" w14:textId="77777777" w:rsidR="009650F3" w:rsidRPr="0041606C" w:rsidRDefault="009650F3" w:rsidP="009650F3">
            <w:pPr>
              <w:rPr>
                <w:b/>
                <w:sz w:val="20"/>
                <w:lang w:val="en-GB"/>
              </w:rPr>
            </w:pPr>
          </w:p>
        </w:tc>
        <w:tc>
          <w:tcPr>
            <w:tcW w:w="4927" w:type="dxa"/>
            <w:vAlign w:val="center"/>
          </w:tcPr>
          <w:p w14:paraId="121CF8D0" w14:textId="1E4E0F8D" w:rsidR="009650F3" w:rsidRPr="0041606C" w:rsidRDefault="009650F3" w:rsidP="009650F3">
            <w:pPr>
              <w:ind w:firstLine="680"/>
              <w:rPr>
                <w:sz w:val="18"/>
                <w:lang w:val="en-GB"/>
              </w:rPr>
            </w:pPr>
            <w:r w:rsidRPr="0041606C">
              <w:rPr>
                <w:noProof/>
                <w:sz w:val="20"/>
                <w:lang w:val="en-GB" w:eastAsia="pl-PL"/>
              </w:rPr>
              <w:drawing>
                <wp:anchor distT="0" distB="0" distL="114300" distR="114300" simplePos="0" relativeHeight="251788288" behindDoc="0" locked="0" layoutInCell="1" allowOverlap="1" wp14:anchorId="079712F5" wp14:editId="1251F284">
                  <wp:simplePos x="0" y="0"/>
                  <wp:positionH relativeFrom="column">
                    <wp:posOffset>76200</wp:posOffset>
                  </wp:positionH>
                  <wp:positionV relativeFrom="paragraph">
                    <wp:posOffset>29210</wp:posOffset>
                  </wp:positionV>
                  <wp:extent cx="251460" cy="251460"/>
                  <wp:effectExtent l="0" t="0" r="0" b="0"/>
                  <wp:wrapNone/>
                  <wp:docPr id="22" name="Obraz 22" descr="Platform 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4" w:history="1">
              <w:r w:rsidRPr="008E7ECC">
                <w:rPr>
                  <w:rStyle w:val="Hipercze"/>
                  <w:rFonts w:cstheme="minorBidi"/>
                  <w:sz w:val="20"/>
                  <w:lang w:val="en-GB"/>
                </w:rPr>
                <w:t>@</w:t>
              </w:r>
              <w:r w:rsidR="008E77F6" w:rsidRPr="008E7ECC">
                <w:rPr>
                  <w:rStyle w:val="Hipercze"/>
                  <w:rFonts w:cstheme="minorBidi"/>
                  <w:sz w:val="20"/>
                  <w:lang w:val="en-GB"/>
                </w:rPr>
                <w:t>StatPoland</w:t>
              </w:r>
            </w:hyperlink>
          </w:p>
        </w:tc>
      </w:tr>
      <w:tr w:rsidR="008A45C9" w:rsidRPr="00175A6D" w14:paraId="1DB52A69" w14:textId="77777777" w:rsidTr="0016680B">
        <w:trPr>
          <w:trHeight w:val="476"/>
        </w:trPr>
        <w:tc>
          <w:tcPr>
            <w:tcW w:w="4926" w:type="dxa"/>
            <w:vMerge/>
          </w:tcPr>
          <w:p w14:paraId="20B2AF06" w14:textId="77777777" w:rsidR="008A45C9" w:rsidRPr="0041606C" w:rsidRDefault="008A45C9" w:rsidP="003336E9">
            <w:pPr>
              <w:rPr>
                <w:b/>
                <w:sz w:val="20"/>
                <w:lang w:val="en-GB"/>
              </w:rPr>
            </w:pPr>
          </w:p>
        </w:tc>
        <w:tc>
          <w:tcPr>
            <w:tcW w:w="4927" w:type="dxa"/>
          </w:tcPr>
          <w:p w14:paraId="01F1361A" w14:textId="0CD0A937" w:rsidR="008A45C9" w:rsidRPr="0041606C" w:rsidRDefault="008A45C9" w:rsidP="003336E9">
            <w:pPr>
              <w:ind w:firstLine="680"/>
              <w:rPr>
                <w:sz w:val="18"/>
                <w:lang w:val="en-GB"/>
              </w:rPr>
            </w:pPr>
            <w:r w:rsidRPr="0041606C">
              <w:rPr>
                <w:noProof/>
                <w:sz w:val="20"/>
                <w:lang w:val="en-GB" w:eastAsia="pl-PL"/>
              </w:rPr>
              <w:drawing>
                <wp:anchor distT="0" distB="0" distL="114300" distR="114300" simplePos="0" relativeHeight="251782144" behindDoc="0" locked="0" layoutInCell="1" allowOverlap="1" wp14:anchorId="6DE6D339" wp14:editId="05514A93">
                  <wp:simplePos x="0" y="0"/>
                  <wp:positionH relativeFrom="column">
                    <wp:posOffset>80645</wp:posOffset>
                  </wp:positionH>
                  <wp:positionV relativeFrom="paragraph">
                    <wp:posOffset>13970</wp:posOffset>
                  </wp:positionV>
                  <wp:extent cx="251460" cy="251460"/>
                  <wp:effectExtent l="0" t="0" r="0" b="0"/>
                  <wp:wrapNone/>
                  <wp:docPr id="38" name="Obraz 38"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6" w:history="1">
              <w:r w:rsidRPr="008E7ECC">
                <w:rPr>
                  <w:rStyle w:val="Hipercze"/>
                  <w:rFonts w:cstheme="minorBidi"/>
                  <w:sz w:val="20"/>
                  <w:lang w:val="en-GB"/>
                </w:rPr>
                <w:t>@GlownyUrzadStatystyczny</w:t>
              </w:r>
            </w:hyperlink>
            <w:r w:rsidRPr="0041606C">
              <w:rPr>
                <w:noProof/>
                <w:sz w:val="20"/>
                <w:lang w:val="en-GB" w:eastAsia="pl-PL"/>
              </w:rPr>
              <w:t xml:space="preserve"> </w:t>
            </w:r>
          </w:p>
        </w:tc>
      </w:tr>
      <w:tr w:rsidR="008A45C9" w:rsidRPr="0041606C" w14:paraId="2ECDD4A5" w14:textId="77777777" w:rsidTr="0016680B">
        <w:trPr>
          <w:trHeight w:val="426"/>
        </w:trPr>
        <w:tc>
          <w:tcPr>
            <w:tcW w:w="4926" w:type="dxa"/>
            <w:vMerge/>
          </w:tcPr>
          <w:p w14:paraId="4A28C301" w14:textId="77777777" w:rsidR="008A45C9" w:rsidRPr="0041606C" w:rsidRDefault="008A45C9" w:rsidP="003336E9">
            <w:pPr>
              <w:rPr>
                <w:b/>
                <w:sz w:val="20"/>
                <w:lang w:val="en-GB"/>
              </w:rPr>
            </w:pPr>
          </w:p>
        </w:tc>
        <w:tc>
          <w:tcPr>
            <w:tcW w:w="4927" w:type="dxa"/>
          </w:tcPr>
          <w:p w14:paraId="18CDEB70" w14:textId="3774C614" w:rsidR="008A45C9" w:rsidRPr="0041606C" w:rsidRDefault="008A45C9" w:rsidP="003336E9">
            <w:pPr>
              <w:ind w:firstLine="680"/>
              <w:rPr>
                <w:noProof/>
                <w:sz w:val="20"/>
                <w:lang w:val="en-GB" w:eastAsia="pl-PL"/>
              </w:rPr>
            </w:pPr>
            <w:r w:rsidRPr="0041606C">
              <w:rPr>
                <w:noProof/>
                <w:sz w:val="20"/>
                <w:lang w:val="en-GB" w:eastAsia="pl-PL"/>
              </w:rPr>
              <w:drawing>
                <wp:anchor distT="0" distB="0" distL="114300" distR="114300" simplePos="0" relativeHeight="251783168" behindDoc="0" locked="0" layoutInCell="1" allowOverlap="1" wp14:anchorId="4A11B0F7" wp14:editId="1A03228D">
                  <wp:simplePos x="0" y="0"/>
                  <wp:positionH relativeFrom="column">
                    <wp:posOffset>82550</wp:posOffset>
                  </wp:positionH>
                  <wp:positionV relativeFrom="paragraph">
                    <wp:posOffset>12700</wp:posOffset>
                  </wp:positionV>
                  <wp:extent cx="251460" cy="251460"/>
                  <wp:effectExtent l="0" t="0" r="0" b="0"/>
                  <wp:wrapNone/>
                  <wp:docPr id="39" name="Obraz 39"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8" w:history="1">
              <w:r w:rsidR="008E7ECC" w:rsidRPr="008E7ECC">
                <w:rPr>
                  <w:rStyle w:val="Hipercze"/>
                  <w:rFonts w:cstheme="minorBidi"/>
                  <w:sz w:val="20"/>
                  <w:lang w:val="en-GB"/>
                </w:rPr>
                <w:t>@</w:t>
              </w:r>
              <w:r w:rsidRPr="008E7ECC">
                <w:rPr>
                  <w:rStyle w:val="Hipercze"/>
                  <w:rFonts w:cstheme="minorBidi"/>
                  <w:sz w:val="20"/>
                  <w:lang w:val="en-GB"/>
                </w:rPr>
                <w:t>gus_stat</w:t>
              </w:r>
            </w:hyperlink>
          </w:p>
        </w:tc>
      </w:tr>
      <w:tr w:rsidR="008A45C9" w:rsidRPr="0041606C" w14:paraId="101A11C8" w14:textId="77777777" w:rsidTr="0016680B">
        <w:trPr>
          <w:trHeight w:val="504"/>
        </w:trPr>
        <w:tc>
          <w:tcPr>
            <w:tcW w:w="4926" w:type="dxa"/>
            <w:vMerge/>
          </w:tcPr>
          <w:p w14:paraId="2963972F" w14:textId="77777777" w:rsidR="008A45C9" w:rsidRPr="0041606C" w:rsidRDefault="008A45C9" w:rsidP="003336E9">
            <w:pPr>
              <w:rPr>
                <w:b/>
                <w:sz w:val="20"/>
                <w:lang w:val="en-GB"/>
              </w:rPr>
            </w:pPr>
          </w:p>
        </w:tc>
        <w:tc>
          <w:tcPr>
            <w:tcW w:w="4927" w:type="dxa"/>
          </w:tcPr>
          <w:p w14:paraId="6CABA65C" w14:textId="42F10903" w:rsidR="008A45C9" w:rsidRPr="00D82003" w:rsidRDefault="008A45C9" w:rsidP="003336E9">
            <w:pPr>
              <w:ind w:firstLine="680"/>
              <w:rPr>
                <w:noProof/>
                <w:sz w:val="20"/>
                <w:szCs w:val="20"/>
                <w:lang w:val="en-GB" w:eastAsia="pl-PL"/>
              </w:rPr>
            </w:pPr>
            <w:r w:rsidRPr="0041606C">
              <w:rPr>
                <w:noProof/>
                <w:sz w:val="20"/>
                <w:lang w:val="en-GB" w:eastAsia="pl-PL"/>
              </w:rPr>
              <w:drawing>
                <wp:anchor distT="0" distB="0" distL="114300" distR="114300" simplePos="0" relativeHeight="251780096" behindDoc="0" locked="0" layoutInCell="1" allowOverlap="1" wp14:anchorId="77C2485B" wp14:editId="465A873E">
                  <wp:simplePos x="0" y="0"/>
                  <wp:positionH relativeFrom="column">
                    <wp:posOffset>82550</wp:posOffset>
                  </wp:positionH>
                  <wp:positionV relativeFrom="paragraph">
                    <wp:posOffset>13970</wp:posOffset>
                  </wp:positionV>
                  <wp:extent cx="251460" cy="251460"/>
                  <wp:effectExtent l="0" t="0" r="0" b="0"/>
                  <wp:wrapNone/>
                  <wp:docPr id="40" name="Obraz 40"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30" w:history="1">
              <w:r w:rsidR="008E7ECC" w:rsidRPr="00D82003">
                <w:rPr>
                  <w:rStyle w:val="Hipercze"/>
                  <w:rFonts w:cstheme="minorBidi"/>
                  <w:sz w:val="20"/>
                  <w:szCs w:val="20"/>
                  <w:lang w:val="en-GB"/>
                </w:rPr>
                <w:t>@</w:t>
              </w:r>
              <w:r w:rsidR="00D82003" w:rsidRPr="00D82003">
                <w:rPr>
                  <w:rStyle w:val="Hipercze"/>
                  <w:rFonts w:cstheme="minorBidi"/>
                  <w:sz w:val="20"/>
                  <w:szCs w:val="20"/>
                  <w:lang w:val="en-GB"/>
                </w:rPr>
                <w:t>G</w:t>
              </w:r>
              <w:r w:rsidR="00D82003" w:rsidRPr="00D82003">
                <w:rPr>
                  <w:rStyle w:val="Hipercze"/>
                  <w:rFonts w:cstheme="minorBidi"/>
                  <w:sz w:val="20"/>
                  <w:szCs w:val="20"/>
                </w:rPr>
                <w:t>łównyUrząd</w:t>
              </w:r>
            </w:hyperlink>
            <w:r w:rsidR="00D82003" w:rsidRPr="00D82003">
              <w:rPr>
                <w:rStyle w:val="Hipercze"/>
                <w:rFonts w:cstheme="minorBidi"/>
                <w:sz w:val="20"/>
                <w:szCs w:val="20"/>
                <w:lang w:val="en-GB"/>
              </w:rPr>
              <w:t>StatystycznyGUS</w:t>
            </w:r>
          </w:p>
        </w:tc>
      </w:tr>
      <w:tr w:rsidR="003336E9" w:rsidRPr="0041606C" w14:paraId="6F0AABCC" w14:textId="77777777" w:rsidTr="0016680B">
        <w:trPr>
          <w:trHeight w:val="1546"/>
        </w:trPr>
        <w:tc>
          <w:tcPr>
            <w:tcW w:w="4926" w:type="dxa"/>
          </w:tcPr>
          <w:p w14:paraId="5328F0F5" w14:textId="77777777" w:rsidR="003336E9" w:rsidRPr="0041606C" w:rsidRDefault="003336E9" w:rsidP="003336E9">
            <w:pPr>
              <w:rPr>
                <w:b/>
                <w:sz w:val="20"/>
                <w:lang w:val="en-GB"/>
              </w:rPr>
            </w:pPr>
          </w:p>
        </w:tc>
        <w:tc>
          <w:tcPr>
            <w:tcW w:w="4927" w:type="dxa"/>
          </w:tcPr>
          <w:p w14:paraId="64B0D5E5" w14:textId="1CAB57D8" w:rsidR="003336E9" w:rsidRPr="00D82003" w:rsidRDefault="00DE01C8" w:rsidP="003336E9">
            <w:pPr>
              <w:ind w:firstLine="680"/>
              <w:rPr>
                <w:noProof/>
                <w:sz w:val="20"/>
                <w:szCs w:val="20"/>
                <w:lang w:val="en-GB" w:eastAsia="pl-PL"/>
              </w:rPr>
            </w:pPr>
            <w:hyperlink r:id="rId31" w:history="1">
              <w:r w:rsidR="008E7ECC" w:rsidRPr="00D82003">
                <w:rPr>
                  <w:rStyle w:val="Hipercze"/>
                  <w:rFonts w:cstheme="minorBidi"/>
                  <w:noProof/>
                  <w:sz w:val="20"/>
                  <w:szCs w:val="20"/>
                  <w:lang w:val="en-GB" w:eastAsia="pl-PL"/>
                </w:rPr>
                <w:t>@</w:t>
              </w:r>
              <w:r w:rsidR="00D82003" w:rsidRPr="00D82003">
                <w:rPr>
                  <w:rStyle w:val="Hipercze"/>
                  <w:rFonts w:cstheme="minorBidi"/>
                  <w:noProof/>
                  <w:sz w:val="20"/>
                  <w:szCs w:val="20"/>
                  <w:lang w:val="en-GB" w:eastAsia="pl-PL"/>
                </w:rPr>
                <w:t>G</w:t>
              </w:r>
              <w:r w:rsidR="00D82003" w:rsidRPr="00D82003">
                <w:rPr>
                  <w:rStyle w:val="Hipercze"/>
                  <w:rFonts w:cstheme="minorBidi"/>
                  <w:sz w:val="20"/>
                  <w:szCs w:val="20"/>
                </w:rPr>
                <w:t>łówny</w:t>
              </w:r>
            </w:hyperlink>
            <w:r w:rsidR="003336E9" w:rsidRPr="00D82003">
              <w:rPr>
                <w:noProof/>
                <w:sz w:val="20"/>
                <w:szCs w:val="20"/>
                <w:lang w:val="en-GB" w:eastAsia="pl-PL"/>
              </w:rPr>
              <w:drawing>
                <wp:anchor distT="0" distB="0" distL="114300" distR="114300" simplePos="0" relativeHeight="251770880" behindDoc="0" locked="0" layoutInCell="1" allowOverlap="1" wp14:anchorId="2E274051" wp14:editId="486784B2">
                  <wp:simplePos x="0" y="0"/>
                  <wp:positionH relativeFrom="column">
                    <wp:posOffset>82550</wp:posOffset>
                  </wp:positionH>
                  <wp:positionV relativeFrom="paragraph">
                    <wp:posOffset>15240</wp:posOffset>
                  </wp:positionV>
                  <wp:extent cx="251460" cy="251460"/>
                  <wp:effectExtent l="0" t="0" r="0" b="0"/>
                  <wp:wrapNone/>
                  <wp:docPr id="3" name="Obraz 3"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D82003" w:rsidRPr="00D82003">
              <w:rPr>
                <w:rStyle w:val="Hipercze"/>
                <w:rFonts w:cstheme="minorBidi"/>
                <w:noProof/>
                <w:sz w:val="20"/>
                <w:szCs w:val="20"/>
                <w:lang w:val="en-GB" w:eastAsia="pl-PL"/>
              </w:rPr>
              <w:t xml:space="preserve"> </w:t>
            </w:r>
            <w:r w:rsidR="00D82003" w:rsidRPr="00D82003">
              <w:rPr>
                <w:rStyle w:val="Hipercze"/>
                <w:rFonts w:cstheme="minorBidi"/>
                <w:sz w:val="20"/>
                <w:szCs w:val="20"/>
              </w:rPr>
              <w:t>Urząd Statystyczny</w:t>
            </w:r>
          </w:p>
        </w:tc>
      </w:tr>
      <w:tr w:rsidR="00194119" w:rsidRPr="00DE01C8" w14:paraId="0DF0923E" w14:textId="77777777" w:rsidTr="0016680B">
        <w:trPr>
          <w:trHeight w:val="4114"/>
        </w:trPr>
        <w:tc>
          <w:tcPr>
            <w:tcW w:w="9853" w:type="dxa"/>
            <w:gridSpan w:val="2"/>
            <w:shd w:val="clear" w:color="auto" w:fill="D9D9D9" w:themeFill="background1" w:themeFillShade="D9"/>
          </w:tcPr>
          <w:p w14:paraId="2CA9F0F3" w14:textId="77777777" w:rsidR="0080196A" w:rsidRPr="0041606C" w:rsidRDefault="0080196A" w:rsidP="0080196A">
            <w:pPr>
              <w:rPr>
                <w:b/>
                <w:lang w:val="en-GB"/>
              </w:rPr>
            </w:pPr>
            <w:r w:rsidRPr="0041606C">
              <w:rPr>
                <w:b/>
                <w:lang w:val="en-GB"/>
              </w:rPr>
              <w:t>Related information</w:t>
            </w:r>
          </w:p>
          <w:p w14:paraId="34A20800" w14:textId="77777777" w:rsidR="00BB005F" w:rsidRPr="0041606C" w:rsidRDefault="00DE01C8" w:rsidP="00BB005F">
            <w:pPr>
              <w:rPr>
                <w:rStyle w:val="Hipercze"/>
                <w:lang w:val="en-GB"/>
              </w:rPr>
            </w:pPr>
            <w:hyperlink r:id="rId33" w:tooltip="Link to publication Structural changes of groups of entities of the national economy located in the border area in Poland in the years 2023-2024" w:history="1">
              <w:r w:rsidR="00BB005F" w:rsidRPr="0041606C">
                <w:rPr>
                  <w:rStyle w:val="Hipercze"/>
                  <w:lang w:val="en-GB"/>
                </w:rPr>
                <w:t>Structural changes of groups of entities of the national economy located in the border area in Poland</w:t>
              </w:r>
            </w:hyperlink>
          </w:p>
          <w:p w14:paraId="72763A6E" w14:textId="34938589" w:rsidR="0080196A" w:rsidRPr="00BB005F" w:rsidRDefault="00BB005F" w:rsidP="0080196A">
            <w:pPr>
              <w:rPr>
                <w:rStyle w:val="Hipercze"/>
                <w:lang w:val="en-GB"/>
              </w:rPr>
            </w:pPr>
            <w:r>
              <w:rPr>
                <w:rFonts w:cs="Times New Roman"/>
                <w:lang w:val="en-GB"/>
              </w:rPr>
              <w:fldChar w:fldCharType="begin"/>
            </w:r>
            <w:r>
              <w:rPr>
                <w:rFonts w:cs="Times New Roman"/>
                <w:lang w:val="en-GB"/>
              </w:rPr>
              <w:instrText>HYPERLINK "https://publikacje.new.stat.gov.pl/en/publications-portal/structural-changes-groups-national-economy-entities-regon-register-2025" \o "Link to Structural changes of groups of the national economy entities in the REGON register, 2025"</w:instrText>
            </w:r>
            <w:r>
              <w:rPr>
                <w:rFonts w:cs="Times New Roman"/>
                <w:lang w:val="en-GB"/>
              </w:rPr>
            </w:r>
            <w:r>
              <w:rPr>
                <w:rFonts w:cs="Times New Roman"/>
                <w:lang w:val="en-GB"/>
              </w:rPr>
              <w:fldChar w:fldCharType="separate"/>
            </w:r>
            <w:r w:rsidRPr="00BB005F">
              <w:rPr>
                <w:rStyle w:val="Hipercze"/>
                <w:lang w:val="en-GB"/>
              </w:rPr>
              <w:t>Structural changes of groups of the national economy entities in the REGON register, 2025</w:t>
            </w:r>
          </w:p>
          <w:p w14:paraId="0E5CE93A" w14:textId="278DF9E2" w:rsidR="00194119" w:rsidRPr="0041606C" w:rsidRDefault="00BB005F" w:rsidP="0016680B">
            <w:pPr>
              <w:shd w:val="clear" w:color="auto" w:fill="D9D9D9" w:themeFill="background1" w:themeFillShade="D9"/>
              <w:spacing w:before="360"/>
              <w:rPr>
                <w:b/>
                <w:color w:val="000000" w:themeColor="text1"/>
                <w:szCs w:val="24"/>
                <w:lang w:val="en-GB"/>
              </w:rPr>
            </w:pPr>
            <w:r>
              <w:rPr>
                <w:rFonts w:cs="Times New Roman"/>
                <w:lang w:val="en-GB"/>
              </w:rPr>
              <w:fldChar w:fldCharType="end"/>
            </w:r>
            <w:r w:rsidR="0080196A" w:rsidRPr="0041606C">
              <w:rPr>
                <w:b/>
                <w:color w:val="000000" w:themeColor="text1"/>
                <w:szCs w:val="24"/>
                <w:lang w:val="en-GB"/>
              </w:rPr>
              <w:t>Data available in databases</w:t>
            </w:r>
          </w:p>
          <w:p w14:paraId="0E40E3F3" w14:textId="5CC86C77" w:rsidR="0056794D" w:rsidRPr="0056794D" w:rsidRDefault="00DE01C8" w:rsidP="0080196A">
            <w:pPr>
              <w:rPr>
                <w:lang w:val="en-GB"/>
              </w:rPr>
            </w:pPr>
            <w:hyperlink r:id="rId34" w:tooltip="Link to REGON Dashboard database" w:history="1">
              <w:r w:rsidR="0056794D" w:rsidRPr="0056794D">
                <w:rPr>
                  <w:rStyle w:val="Hipercze"/>
                  <w:rFonts w:cstheme="minorBidi"/>
                  <w:lang w:val="en-GB"/>
                </w:rPr>
                <w:t xml:space="preserve">REGON </w:t>
              </w:r>
              <w:r w:rsidR="00972CFB">
                <w:rPr>
                  <w:rStyle w:val="Hipercze"/>
                  <w:rFonts w:cstheme="minorBidi"/>
                  <w:lang w:val="en-GB"/>
                </w:rPr>
                <w:t>D</w:t>
              </w:r>
              <w:r w:rsidR="0056794D" w:rsidRPr="0056794D">
                <w:rPr>
                  <w:rStyle w:val="Hipercze"/>
                  <w:rFonts w:cstheme="minorBidi"/>
                  <w:lang w:val="en-GB"/>
                </w:rPr>
                <w:t>ashboard</w:t>
              </w:r>
            </w:hyperlink>
          </w:p>
          <w:p w14:paraId="140EC6B3" w14:textId="0D90B294" w:rsidR="0056794D" w:rsidRPr="0041606C" w:rsidRDefault="00DE01C8" w:rsidP="0056794D">
            <w:pPr>
              <w:rPr>
                <w:rFonts w:cs="Times New Roman"/>
                <w:lang w:val="en-GB"/>
              </w:rPr>
            </w:pPr>
            <w:hyperlink r:id="rId35" w:tooltip="Link to Economic Dashboard database" w:history="1">
              <w:r w:rsidR="0056794D" w:rsidRPr="0041606C">
                <w:rPr>
                  <w:rStyle w:val="Hipercze"/>
                  <w:lang w:val="en-GB"/>
                </w:rPr>
                <w:t xml:space="preserve">Economic </w:t>
              </w:r>
              <w:r w:rsidR="00972CFB">
                <w:rPr>
                  <w:rStyle w:val="Hipercze"/>
                  <w:lang w:val="en-GB"/>
                </w:rPr>
                <w:t>D</w:t>
              </w:r>
              <w:r w:rsidR="0056794D" w:rsidRPr="0041606C">
                <w:rPr>
                  <w:rStyle w:val="Hipercze"/>
                  <w:lang w:val="en-GB"/>
                </w:rPr>
                <w:t>ashboard</w:t>
              </w:r>
            </w:hyperlink>
          </w:p>
          <w:p w14:paraId="7E43FBE4" w14:textId="0C17B936" w:rsidR="0080196A" w:rsidRPr="0041606C" w:rsidRDefault="00DE01C8" w:rsidP="0080196A">
            <w:pPr>
              <w:rPr>
                <w:rStyle w:val="Hipercze"/>
                <w:lang w:val="en-GB"/>
              </w:rPr>
            </w:pPr>
            <w:hyperlink r:id="rId36" w:tooltip="Link to Local Data Bank" w:history="1">
              <w:r w:rsidR="0080196A" w:rsidRPr="0041606C">
                <w:rPr>
                  <w:rStyle w:val="Hipercze"/>
                  <w:lang w:val="en-GB"/>
                </w:rPr>
                <w:t>Local Data Bank</w:t>
              </w:r>
            </w:hyperlink>
          </w:p>
          <w:p w14:paraId="7C8C4F5E" w14:textId="45B078AD" w:rsidR="00194119" w:rsidRPr="0041606C" w:rsidRDefault="00EA4901" w:rsidP="00EA4901">
            <w:pPr>
              <w:shd w:val="clear" w:color="auto" w:fill="D9D9D9" w:themeFill="background1" w:themeFillShade="D9"/>
              <w:spacing w:before="360"/>
              <w:rPr>
                <w:b/>
                <w:color w:val="000000" w:themeColor="text1"/>
                <w:szCs w:val="24"/>
                <w:lang w:val="en-GB"/>
              </w:rPr>
            </w:pPr>
            <w:r w:rsidRPr="0041606C">
              <w:rPr>
                <w:b/>
                <w:color w:val="000000" w:themeColor="text1"/>
                <w:szCs w:val="24"/>
                <w:lang w:val="en-GB"/>
              </w:rPr>
              <w:t xml:space="preserve">Terms used in official statistics </w:t>
            </w:r>
          </w:p>
          <w:p w14:paraId="6F714941" w14:textId="4772F244" w:rsidR="0080196A" w:rsidRPr="0041606C" w:rsidRDefault="00DE01C8" w:rsidP="0080196A">
            <w:pPr>
              <w:rPr>
                <w:rStyle w:val="Hipercze"/>
                <w:lang w:val="en-GB"/>
              </w:rPr>
            </w:pPr>
            <w:hyperlink r:id="rId37" w:tooltip="Link to the term Entity of the national economy" w:history="1">
              <w:r w:rsidR="0080196A" w:rsidRPr="0041606C">
                <w:rPr>
                  <w:rStyle w:val="Hipercze"/>
                  <w:lang w:val="en-GB"/>
                </w:rPr>
                <w:t>Entity of the national economy</w:t>
              </w:r>
            </w:hyperlink>
          </w:p>
          <w:p w14:paraId="681442D0" w14:textId="18D3D4F4" w:rsidR="0080196A" w:rsidRPr="0041606C" w:rsidRDefault="00DE01C8" w:rsidP="0080196A">
            <w:pPr>
              <w:rPr>
                <w:rStyle w:val="Hipercze"/>
                <w:lang w:val="en-GB"/>
              </w:rPr>
            </w:pPr>
            <w:hyperlink r:id="rId38" w:tooltip="Link to the term Natural person conducting economic activity" w:history="1">
              <w:r w:rsidR="0080196A" w:rsidRPr="0041606C">
                <w:rPr>
                  <w:rStyle w:val="Hipercze"/>
                  <w:lang w:val="en-GB"/>
                </w:rPr>
                <w:t>Natural person conducting economic activity</w:t>
              </w:r>
            </w:hyperlink>
          </w:p>
          <w:p w14:paraId="69090E57" w14:textId="44379EBD" w:rsidR="0080196A" w:rsidRPr="0041606C" w:rsidRDefault="00DE01C8" w:rsidP="0080196A">
            <w:pPr>
              <w:rPr>
                <w:rStyle w:val="Hipercze"/>
                <w:lang w:val="en-GB"/>
              </w:rPr>
            </w:pPr>
            <w:hyperlink r:id="rId39" w:tooltip="Link to the term Private sector" w:history="1">
              <w:r w:rsidR="0080196A" w:rsidRPr="0041606C">
                <w:rPr>
                  <w:rStyle w:val="Hipercze"/>
                  <w:lang w:val="en-GB"/>
                </w:rPr>
                <w:t>Private sector</w:t>
              </w:r>
            </w:hyperlink>
          </w:p>
          <w:p w14:paraId="287BB5CC" w14:textId="63D879DA" w:rsidR="0080196A" w:rsidRPr="0041606C" w:rsidRDefault="00DE01C8" w:rsidP="0080196A">
            <w:pPr>
              <w:rPr>
                <w:rStyle w:val="Hipercze"/>
                <w:lang w:val="en-GB"/>
              </w:rPr>
            </w:pPr>
            <w:hyperlink r:id="rId40" w:tooltip="Link to the term Public sector" w:history="1">
              <w:r w:rsidR="0080196A" w:rsidRPr="0041606C">
                <w:rPr>
                  <w:rStyle w:val="Hipercze"/>
                  <w:lang w:val="en-GB"/>
                </w:rPr>
                <w:t>Public sector</w:t>
              </w:r>
            </w:hyperlink>
          </w:p>
          <w:p w14:paraId="2FB50E69" w14:textId="4D959A4E" w:rsidR="009E7122" w:rsidRPr="0041606C" w:rsidRDefault="009E7122" w:rsidP="0016680B">
            <w:pPr>
              <w:rPr>
                <w:b/>
                <w:color w:val="000000" w:themeColor="text1"/>
                <w:szCs w:val="24"/>
                <w:lang w:val="en-GB"/>
              </w:rPr>
            </w:pPr>
          </w:p>
          <w:p w14:paraId="7F4D8025" w14:textId="143A1FCD" w:rsidR="009E7122" w:rsidRPr="0041606C" w:rsidRDefault="000654A8" w:rsidP="0016680B">
            <w:pPr>
              <w:rPr>
                <w:rStyle w:val="Hipercze"/>
                <w:rFonts w:cstheme="minorBidi"/>
                <w:b/>
                <w:szCs w:val="24"/>
                <w:lang w:val="en-GB"/>
              </w:rPr>
            </w:pPr>
            <w:r w:rsidRPr="0041606C">
              <w:rPr>
                <w:b/>
                <w:lang w:val="en-GB"/>
              </w:rPr>
              <w:fldChar w:fldCharType="begin"/>
            </w:r>
            <w:r w:rsidRPr="0041606C">
              <w:rPr>
                <w:b/>
                <w:lang w:val="en-GB"/>
              </w:rPr>
              <w:instrText xml:space="preserve"> HYPERLINK "https://bip.stat.gov.pl/en/regon/" \o "Link to information on the REGON register" </w:instrText>
            </w:r>
            <w:r w:rsidRPr="0041606C">
              <w:rPr>
                <w:b/>
                <w:lang w:val="en-GB"/>
              </w:rPr>
            </w:r>
            <w:r w:rsidRPr="0041606C">
              <w:rPr>
                <w:b/>
                <w:lang w:val="en-GB"/>
              </w:rPr>
              <w:fldChar w:fldCharType="separate"/>
            </w:r>
            <w:r w:rsidR="0080196A" w:rsidRPr="0041606C">
              <w:rPr>
                <w:rStyle w:val="Hipercze"/>
                <w:rFonts w:cstheme="minorBidi"/>
                <w:b/>
                <w:lang w:val="en-GB"/>
              </w:rPr>
              <w:t xml:space="preserve">More information on the REGON register </w:t>
            </w:r>
          </w:p>
          <w:p w14:paraId="1F940E2D" w14:textId="05BA6146" w:rsidR="009E7122" w:rsidRPr="0041606C" w:rsidRDefault="000654A8" w:rsidP="0016680B">
            <w:pPr>
              <w:rPr>
                <w:b/>
                <w:color w:val="000000" w:themeColor="text1"/>
                <w:szCs w:val="24"/>
                <w:lang w:val="en-GB"/>
              </w:rPr>
            </w:pPr>
            <w:r w:rsidRPr="0041606C">
              <w:rPr>
                <w:b/>
                <w:lang w:val="en-GB"/>
              </w:rPr>
              <w:fldChar w:fldCharType="end"/>
            </w:r>
          </w:p>
        </w:tc>
      </w:tr>
    </w:tbl>
    <w:p w14:paraId="0DA4F2FA" w14:textId="77777777" w:rsidR="00194119" w:rsidRPr="0041606C" w:rsidRDefault="00194119" w:rsidP="009E7122">
      <w:pPr>
        <w:rPr>
          <w:sz w:val="20"/>
          <w:lang w:val="en-GB"/>
        </w:rPr>
      </w:pPr>
    </w:p>
    <w:sectPr w:rsidR="00194119" w:rsidRPr="0041606C" w:rsidSect="003B18B6">
      <w:headerReference w:type="default" r:id="rId41"/>
      <w:footerReference w:type="default" r:id="rId42"/>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D1B98" w14:textId="77777777" w:rsidR="00275C30" w:rsidRDefault="00275C30" w:rsidP="000662E2">
      <w:pPr>
        <w:spacing w:after="0" w:line="240" w:lineRule="auto"/>
      </w:pPr>
      <w:r>
        <w:separator/>
      </w:r>
    </w:p>
  </w:endnote>
  <w:endnote w:type="continuationSeparator" w:id="0">
    <w:p w14:paraId="24D81604" w14:textId="77777777" w:rsidR="00275C30" w:rsidRDefault="00275C30"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378187"/>
      <w:docPartObj>
        <w:docPartGallery w:val="Page Numbers (Bottom of Page)"/>
        <w:docPartUnique/>
      </w:docPartObj>
    </w:sdtPr>
    <w:sdtEndPr/>
    <w:sdtContent>
      <w:p w14:paraId="7B920CEF" w14:textId="4D97853B" w:rsidR="00EB556D" w:rsidRDefault="00541E6E" w:rsidP="003B18B6">
        <w:pPr>
          <w:pStyle w:val="Stopka"/>
          <w:jc w:val="center"/>
        </w:pPr>
        <w:r>
          <w:fldChar w:fldCharType="begin"/>
        </w:r>
        <w:r>
          <w:instrText>PAGE   \* MERGEFORMAT</w:instrText>
        </w:r>
        <w:r>
          <w:fldChar w:fldCharType="separate"/>
        </w:r>
        <w:r w:rsidR="00DE4D4E">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306744"/>
      <w:docPartObj>
        <w:docPartGallery w:val="Page Numbers (Bottom of Page)"/>
        <w:docPartUnique/>
      </w:docPartObj>
    </w:sdtPr>
    <w:sdtEndPr/>
    <w:sdtContent>
      <w:p w14:paraId="7B920CF2" w14:textId="640705C3" w:rsidR="00EB556D" w:rsidRDefault="00541E6E" w:rsidP="003B18B6">
        <w:pPr>
          <w:pStyle w:val="Stopka"/>
          <w:jc w:val="center"/>
        </w:pPr>
        <w:r>
          <w:fldChar w:fldCharType="begin"/>
        </w:r>
        <w:r>
          <w:instrText>PAGE   \* MERGEFORMAT</w:instrText>
        </w:r>
        <w:r>
          <w:fldChar w:fldCharType="separate"/>
        </w:r>
        <w:r w:rsidR="00DE4D4E">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636839"/>
      <w:docPartObj>
        <w:docPartGallery w:val="Page Numbers (Bottom of Page)"/>
        <w:docPartUnique/>
      </w:docPartObj>
    </w:sdtPr>
    <w:sdtEndPr/>
    <w:sdtContent>
      <w:p w14:paraId="7B920CF5" w14:textId="421C6FB8" w:rsidR="003B18B6" w:rsidRDefault="003B18B6" w:rsidP="003B18B6">
        <w:pPr>
          <w:pStyle w:val="Stopka"/>
          <w:jc w:val="center"/>
        </w:pPr>
        <w:r>
          <w:fldChar w:fldCharType="begin"/>
        </w:r>
        <w:r>
          <w:instrText>PAGE   \* MERGEFORMAT</w:instrText>
        </w:r>
        <w:r>
          <w:fldChar w:fldCharType="separate"/>
        </w:r>
        <w:r w:rsidR="00DE4D4E">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1394F" w14:textId="77777777" w:rsidR="00275C30" w:rsidRDefault="00275C30" w:rsidP="000662E2">
      <w:pPr>
        <w:spacing w:after="0" w:line="240" w:lineRule="auto"/>
      </w:pPr>
      <w:r>
        <w:separator/>
      </w:r>
    </w:p>
  </w:footnote>
  <w:footnote w:type="continuationSeparator" w:id="0">
    <w:p w14:paraId="1786B9A8" w14:textId="77777777" w:rsidR="00275C30" w:rsidRDefault="00275C30" w:rsidP="000662E2">
      <w:pPr>
        <w:spacing w:after="0" w:line="240" w:lineRule="auto"/>
      </w:pPr>
      <w:r>
        <w:continuationSeparator/>
      </w:r>
    </w:p>
  </w:footnote>
  <w:footnote w:id="1">
    <w:p w14:paraId="6BF24743" w14:textId="5506B57F" w:rsidR="00290A79" w:rsidRPr="002137D6" w:rsidRDefault="00290A79">
      <w:pPr>
        <w:pStyle w:val="Tekstprzypisudolnego"/>
        <w:rPr>
          <w:sz w:val="19"/>
          <w:szCs w:val="19"/>
          <w:lang w:val="en-AU"/>
        </w:rPr>
      </w:pPr>
      <w:r w:rsidRPr="002137D6">
        <w:rPr>
          <w:rStyle w:val="Odwoanieprzypisudolnego"/>
          <w:sz w:val="19"/>
          <w:szCs w:val="19"/>
        </w:rPr>
        <w:footnoteRef/>
      </w:r>
      <w:r w:rsidRPr="002137D6">
        <w:rPr>
          <w:sz w:val="19"/>
          <w:szCs w:val="19"/>
          <w:lang w:val="en-AU"/>
        </w:rPr>
        <w:t xml:space="preserve"> </w:t>
      </w:r>
      <w:r w:rsidR="004A6F9C">
        <w:rPr>
          <w:sz w:val="19"/>
          <w:szCs w:val="19"/>
          <w:lang w:val="en-GB"/>
        </w:rPr>
        <w:t>One</w:t>
      </w:r>
      <w:r w:rsidR="004A6F9C" w:rsidRPr="002137D6">
        <w:rPr>
          <w:sz w:val="19"/>
          <w:szCs w:val="19"/>
          <w:lang w:val="en-GB"/>
        </w:rPr>
        <w:t xml:space="preserve"> powiat </w:t>
      </w:r>
      <w:r w:rsidR="004A6F9C">
        <w:rPr>
          <w:sz w:val="19"/>
          <w:szCs w:val="19"/>
          <w:lang w:val="en-GB"/>
        </w:rPr>
        <w:t>f</w:t>
      </w:r>
      <w:r w:rsidRPr="002137D6">
        <w:rPr>
          <w:sz w:val="19"/>
          <w:szCs w:val="19"/>
          <w:lang w:val="en-GB"/>
        </w:rPr>
        <w:t>rom Mazowieckie Voivodship is included in the border area.</w:t>
      </w:r>
    </w:p>
  </w:footnote>
  <w:footnote w:id="2">
    <w:p w14:paraId="2E0E17DE" w14:textId="3BCA5315" w:rsidR="00D529A0" w:rsidRPr="002137D6" w:rsidRDefault="00D529A0">
      <w:pPr>
        <w:pStyle w:val="Tekstprzypisudolnego"/>
        <w:rPr>
          <w:sz w:val="19"/>
          <w:szCs w:val="19"/>
          <w:lang w:val="en-AU"/>
        </w:rPr>
      </w:pPr>
      <w:r w:rsidRPr="002137D6">
        <w:rPr>
          <w:rStyle w:val="Odwoanieprzypisudolnego"/>
          <w:sz w:val="19"/>
          <w:szCs w:val="19"/>
        </w:rPr>
        <w:footnoteRef/>
      </w:r>
      <w:r w:rsidRPr="002137D6">
        <w:rPr>
          <w:sz w:val="19"/>
          <w:szCs w:val="19"/>
          <w:lang w:val="en-AU"/>
        </w:rPr>
        <w:t xml:space="preserve"> </w:t>
      </w:r>
      <w:r w:rsidRPr="002137D6">
        <w:rPr>
          <w:sz w:val="19"/>
          <w:szCs w:val="19"/>
          <w:lang w:val="en-GB"/>
        </w:rPr>
        <w:t xml:space="preserve">Of the Polish Classification of Activities </w:t>
      </w:r>
      <w:r w:rsidR="001F31C4">
        <w:rPr>
          <w:sz w:val="19"/>
          <w:szCs w:val="19"/>
          <w:lang w:val="en-GB"/>
        </w:rPr>
        <w:t>–</w:t>
      </w:r>
      <w:r w:rsidRPr="002137D6">
        <w:rPr>
          <w:sz w:val="19"/>
          <w:szCs w:val="19"/>
          <w:lang w:val="en-GB"/>
        </w:rPr>
        <w:t xml:space="preserve"> PKD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0CED" w14:textId="77777777" w:rsidR="000662E2" w:rsidRDefault="003C6C8D">
    <w:pPr>
      <w:pStyle w:val="Nagwek"/>
    </w:pPr>
    <w:r>
      <w:rPr>
        <w:noProof/>
        <w:lang w:eastAsia="pl-PL"/>
      </w:rPr>
      <mc:AlternateContent>
        <mc:Choice Requires="wps">
          <w:drawing>
            <wp:anchor distT="0" distB="0" distL="114300" distR="114300" simplePos="0" relativeHeight="251662336" behindDoc="1" locked="0" layoutInCell="1" allowOverlap="1" wp14:anchorId="7B920CF6" wp14:editId="18308913">
              <wp:simplePos x="0" y="0"/>
              <wp:positionH relativeFrom="column">
                <wp:posOffset>5214620</wp:posOffset>
              </wp:positionH>
              <wp:positionV relativeFrom="paragraph">
                <wp:posOffset>-178435</wp:posOffset>
              </wp:positionV>
              <wp:extent cx="1874520" cy="22680295"/>
              <wp:effectExtent l="0" t="0" r="0" b="8255"/>
              <wp:wrapNone/>
              <wp:docPr id="24" name="Prostokąt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4331C" id="Prostokąt 24" o:spid="_x0000_s1026" alt="&quot;&quot;"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" fillcolor="#f2f2f2 [3052]" stroked="f" strokeweight="1pt"/>
          </w:pict>
        </mc:Fallback>
      </mc:AlternateContent>
    </w:r>
  </w:p>
  <w:p w14:paraId="7B920CEE" w14:textId="77777777" w:rsidR="000662E2" w:rsidRDefault="000662E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0CF0" w14:textId="3C9304C7" w:rsidR="00003437" w:rsidRDefault="00AE2D4B">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B920CF8" wp14:editId="129B25B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Caption 'News rel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20D17" w14:textId="7DA7DC1D" w:rsidR="00F37172" w:rsidRPr="003C6C8D" w:rsidRDefault="00DD42E7" w:rsidP="00DD42E7">
                          <w:pPr>
                            <w:spacing w:before="0" w:after="0" w:line="240" w:lineRule="auto"/>
                            <w:ind w:left="227"/>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0CF8" id="Schemat blokowy: opóźnienie 6" o:spid="_x0000_s1032" alt="Caption 'News rel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B920D17" w14:textId="7DA7DC1D" w:rsidR="00F37172" w:rsidRPr="003C6C8D" w:rsidRDefault="00DD42E7" w:rsidP="00DD42E7">
                    <w:pPr>
                      <w:spacing w:before="0" w:after="0" w:line="240" w:lineRule="auto"/>
                      <w:ind w:left="227"/>
                      <w:rPr>
                        <w:rFonts w:ascii="Fira Sans SemiBold" w:hAnsi="Fira Sans SemiBold"/>
                      </w:rPr>
                    </w:pPr>
                    <w:r>
                      <w:rPr>
                        <w:rFonts w:ascii="Fira Sans SemiBold" w:hAnsi="Fira Sans SemiBold"/>
                      </w:rPr>
                      <w:t>NEWS RELEASES</w:t>
                    </w:r>
                  </w:p>
                </w:txbxContent>
              </v:textbox>
            </v:shape>
          </w:pict>
        </mc:Fallback>
      </mc:AlternateContent>
    </w:r>
    <w:r w:rsidR="00C22105">
      <w:rPr>
        <w:noProof/>
        <w:lang w:eastAsia="pl-PL"/>
      </w:rPr>
      <mc:AlternateContent>
        <mc:Choice Requires="wps">
          <w:drawing>
            <wp:anchor distT="0" distB="0" distL="114300" distR="114300" simplePos="0" relativeHeight="251666432" behindDoc="1" locked="0" layoutInCell="1" allowOverlap="1" wp14:anchorId="7B920CFA" wp14:editId="1907519B">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52429" id="Prostokąt 10" o:spid="_x0000_s1026" alt="&quot;&quot;"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" fillcolor="#f2f2f2" stroked="f" strokeweight="1pt">
              <w10:wrap type="tight"/>
            </v:rect>
          </w:pict>
        </mc:Fallback>
      </mc:AlternateContent>
    </w:r>
    <w:r w:rsidR="008168E8">
      <w:rPr>
        <w:noProof/>
        <w:lang w:eastAsia="pl-PL"/>
      </w:rPr>
      <w:drawing>
        <wp:inline distT="0" distB="0" distL="0" distR="0" wp14:anchorId="6F2B0C20" wp14:editId="617D0C8D">
          <wp:extent cx="2080867" cy="720000"/>
          <wp:effectExtent l="0" t="0" r="0" b="4445"/>
          <wp:docPr id="26" name="Obraz 26" descr="Statistics Po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US wersja ang wariant kolorow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67" cy="720000"/>
                  </a:xfrm>
                  <a:prstGeom prst="rect">
                    <a:avLst/>
                  </a:prstGeom>
                </pic:spPr>
              </pic:pic>
            </a:graphicData>
          </a:graphic>
        </wp:inline>
      </w:drawing>
    </w:r>
  </w:p>
  <w:p w14:paraId="7B920CF1" w14:textId="77777777" w:rsidR="00F32749" w:rsidRDefault="00C7346B">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7B920CFE" wp14:editId="2BC66103">
              <wp:simplePos x="0" y="0"/>
              <wp:positionH relativeFrom="column">
                <wp:posOffset>5219700</wp:posOffset>
              </wp:positionH>
              <wp:positionV relativeFrom="paragraph">
                <wp:posOffset>266065</wp:posOffset>
              </wp:positionV>
              <wp:extent cx="1432293" cy="336589"/>
              <wp:effectExtent l="0" t="0" r="0" b="6350"/>
              <wp:wrapNone/>
              <wp:docPr id="8" name="Pole tekstowe 2" descr="Release date: 27.04.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B920D18" w14:textId="4FE2991A" w:rsidR="00F37172" w:rsidRPr="00B2492B" w:rsidRDefault="000D1845" w:rsidP="00F37172">
                          <w:pPr>
                            <w:jc w:val="both"/>
                            <w:rPr>
                              <w:rFonts w:ascii="Fira Sans SemiBold" w:hAnsi="Fira Sans SemiBold"/>
                              <w:color w:val="001D77"/>
                              <w:sz w:val="20"/>
                              <w:szCs w:val="20"/>
                            </w:rPr>
                          </w:pPr>
                          <w:r>
                            <w:rPr>
                              <w:rFonts w:ascii="Fira Sans SemiBold" w:hAnsi="Fira Sans SemiBold"/>
                              <w:color w:val="001D77"/>
                              <w:sz w:val="20"/>
                              <w:szCs w:val="20"/>
                            </w:rPr>
                            <w:t>2</w:t>
                          </w:r>
                          <w:r w:rsidR="00A6787E">
                            <w:rPr>
                              <w:rFonts w:ascii="Fira Sans SemiBold" w:hAnsi="Fira Sans SemiBold"/>
                              <w:color w:val="001D77"/>
                              <w:sz w:val="20"/>
                              <w:szCs w:val="20"/>
                            </w:rPr>
                            <w:t>7</w:t>
                          </w:r>
                          <w:r w:rsidR="00A810F9" w:rsidRPr="00B2492B">
                            <w:rPr>
                              <w:rFonts w:ascii="Fira Sans SemiBold" w:hAnsi="Fira Sans SemiBold"/>
                              <w:color w:val="001D77"/>
                              <w:sz w:val="20"/>
                              <w:szCs w:val="20"/>
                            </w:rPr>
                            <w:t>.</w:t>
                          </w:r>
                          <w:r w:rsidR="000712AA" w:rsidRPr="00B2492B">
                            <w:rPr>
                              <w:rFonts w:ascii="Fira Sans SemiBold" w:hAnsi="Fira Sans SemiBold"/>
                              <w:color w:val="001D77"/>
                              <w:sz w:val="20"/>
                              <w:szCs w:val="20"/>
                            </w:rPr>
                            <w:t>04</w:t>
                          </w:r>
                          <w:r w:rsidR="00A810F9" w:rsidRPr="00B2492B">
                            <w:rPr>
                              <w:rFonts w:ascii="Fira Sans SemiBold" w:hAnsi="Fira Sans SemiBold"/>
                              <w:color w:val="001D77"/>
                              <w:sz w:val="20"/>
                              <w:szCs w:val="20"/>
                            </w:rPr>
                            <w:t>.</w:t>
                          </w:r>
                          <w:r w:rsidR="000712AA" w:rsidRPr="00B2492B">
                            <w:rPr>
                              <w:rFonts w:ascii="Fira Sans SemiBold" w:hAnsi="Fira Sans SemiBold"/>
                              <w:color w:val="001D77"/>
                              <w:sz w:val="20"/>
                              <w:szCs w:val="20"/>
                            </w:rPr>
                            <w:t>20</w:t>
                          </w:r>
                          <w:r w:rsidR="00307A5C" w:rsidRPr="00B2492B">
                            <w:rPr>
                              <w:rFonts w:ascii="Fira Sans SemiBold" w:hAnsi="Fira Sans SemiBold"/>
                              <w:color w:val="001D77"/>
                              <w:sz w:val="20"/>
                              <w:szCs w:val="20"/>
                            </w:rPr>
                            <w:t>2</w:t>
                          </w:r>
                          <w:r w:rsidR="00A6787E">
                            <w:rPr>
                              <w:rFonts w:ascii="Fira Sans SemiBold" w:hAnsi="Fira Sans SemiBold"/>
                              <w:color w:val="001D77"/>
                              <w:sz w:val="20"/>
                              <w:szCs w:val="2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920CFE" id="_x0000_t202" coordsize="21600,21600" o:spt="202" path="m,l,21600r21600,l21600,xe">
              <v:stroke joinstyle="miter"/>
              <v:path gradientshapeok="t" o:connecttype="rect"/>
            </v:shapetype>
            <v:shape id="_x0000_s1033" type="#_x0000_t202" alt="Release date: 27.04.2026" style="position:absolute;margin-left:411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" filled="f" stroked="f">
              <v:textbox>
                <w:txbxContent>
                  <w:p w14:paraId="7B920D18" w14:textId="4FE2991A" w:rsidR="00F37172" w:rsidRPr="00B2492B" w:rsidRDefault="000D1845" w:rsidP="00F37172">
                    <w:pPr>
                      <w:jc w:val="both"/>
                      <w:rPr>
                        <w:rFonts w:ascii="Fira Sans SemiBold" w:hAnsi="Fira Sans SemiBold"/>
                        <w:color w:val="001D77"/>
                        <w:sz w:val="20"/>
                        <w:szCs w:val="20"/>
                      </w:rPr>
                    </w:pPr>
                    <w:r>
                      <w:rPr>
                        <w:rFonts w:ascii="Fira Sans SemiBold" w:hAnsi="Fira Sans SemiBold"/>
                        <w:color w:val="001D77"/>
                        <w:sz w:val="20"/>
                        <w:szCs w:val="20"/>
                      </w:rPr>
                      <w:t>2</w:t>
                    </w:r>
                    <w:r w:rsidR="00A6787E">
                      <w:rPr>
                        <w:rFonts w:ascii="Fira Sans SemiBold" w:hAnsi="Fira Sans SemiBold"/>
                        <w:color w:val="001D77"/>
                        <w:sz w:val="20"/>
                        <w:szCs w:val="20"/>
                      </w:rPr>
                      <w:t>7</w:t>
                    </w:r>
                    <w:r w:rsidR="00A810F9" w:rsidRPr="00B2492B">
                      <w:rPr>
                        <w:rFonts w:ascii="Fira Sans SemiBold" w:hAnsi="Fira Sans SemiBold"/>
                        <w:color w:val="001D77"/>
                        <w:sz w:val="20"/>
                        <w:szCs w:val="20"/>
                      </w:rPr>
                      <w:t>.</w:t>
                    </w:r>
                    <w:r w:rsidR="000712AA" w:rsidRPr="00B2492B">
                      <w:rPr>
                        <w:rFonts w:ascii="Fira Sans SemiBold" w:hAnsi="Fira Sans SemiBold"/>
                        <w:color w:val="001D77"/>
                        <w:sz w:val="20"/>
                        <w:szCs w:val="20"/>
                      </w:rPr>
                      <w:t>04</w:t>
                    </w:r>
                    <w:r w:rsidR="00A810F9" w:rsidRPr="00B2492B">
                      <w:rPr>
                        <w:rFonts w:ascii="Fira Sans SemiBold" w:hAnsi="Fira Sans SemiBold"/>
                        <w:color w:val="001D77"/>
                        <w:sz w:val="20"/>
                        <w:szCs w:val="20"/>
                      </w:rPr>
                      <w:t>.</w:t>
                    </w:r>
                    <w:r w:rsidR="000712AA" w:rsidRPr="00B2492B">
                      <w:rPr>
                        <w:rFonts w:ascii="Fira Sans SemiBold" w:hAnsi="Fira Sans SemiBold"/>
                        <w:color w:val="001D77"/>
                        <w:sz w:val="20"/>
                        <w:szCs w:val="20"/>
                      </w:rPr>
                      <w:t>20</w:t>
                    </w:r>
                    <w:r w:rsidR="00307A5C" w:rsidRPr="00B2492B">
                      <w:rPr>
                        <w:rFonts w:ascii="Fira Sans SemiBold" w:hAnsi="Fira Sans SemiBold"/>
                        <w:color w:val="001D77"/>
                        <w:sz w:val="20"/>
                        <w:szCs w:val="20"/>
                      </w:rPr>
                      <w:t>2</w:t>
                    </w:r>
                    <w:r w:rsidR="00A6787E">
                      <w:rPr>
                        <w:rFonts w:ascii="Fira Sans SemiBold" w:hAnsi="Fira Sans SemiBold"/>
                        <w:color w:val="001D77"/>
                        <w:sz w:val="20"/>
                        <w:szCs w:val="20"/>
                      </w:rPr>
                      <w:t>6</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E4DEB" w14:textId="268116DB" w:rsidR="00DD0DB1" w:rsidRDefault="00DD0DB1">
    <w:pPr>
      <w:pStyle w:val="Nagwek"/>
      <w:rPr>
        <w:noProof/>
        <w:lang w:eastAsia="pl-PL"/>
      </w:rPr>
    </w:pPr>
  </w:p>
  <w:p w14:paraId="0B9FF84E" w14:textId="47DC9121" w:rsidR="00DD0DB1" w:rsidRDefault="00DD0DB1">
    <w:pPr>
      <w:pStyle w:val="Nagwek"/>
      <w:rPr>
        <w:noProof/>
        <w:lang w:eastAsia="pl-PL"/>
      </w:rPr>
    </w:pPr>
  </w:p>
  <w:p w14:paraId="21FC446F" w14:textId="77777777" w:rsidR="00F945A9" w:rsidRDefault="00F945A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0CF3" w14:textId="77777777" w:rsidR="00607CC5" w:rsidRDefault="00607CC5">
    <w:pPr>
      <w:pStyle w:val="Nagwek"/>
    </w:pPr>
  </w:p>
  <w:p w14:paraId="7B920CF4" w14:textId="77777777" w:rsidR="00607CC5" w:rsidRDefault="00607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22.7pt;height:122.7pt;visibility:visible;mso-wrap-style:square" o:bullet="t">
        <v:imagedata r:id="rId1" o:title=""/>
      </v:shape>
    </w:pict>
  </w:numPicBullet>
  <w:numPicBullet w:numPicBulletId="1">
    <w:pict>
      <v:shape id="_x0000_i1049" type="#_x0000_t75" style="width:122.1pt;height:122.7pt;visibility:visible;mso-wrap-style:square" o:bullet="t">
        <v:imagedata r:id="rId2" o:title=""/>
      </v:shape>
    </w:pict>
  </w:numPicBullet>
  <w:abstractNum w:abstractNumId="0" w15:restartNumberingAfterBreak="0">
    <w:nsid w:val="038815DB"/>
    <w:multiLevelType w:val="hybridMultilevel"/>
    <w:tmpl w:val="3B7C84B8"/>
    <w:lvl w:ilvl="0" w:tplc="04150001">
      <w:start w:val="1"/>
      <w:numFmt w:val="bullet"/>
      <w:lvlText w:val=""/>
      <w:lvlJc w:val="left"/>
      <w:pPr>
        <w:ind w:left="1080" w:hanging="360"/>
      </w:pPr>
      <w:rPr>
        <w:rFonts w:ascii="Symbol" w:hAnsi="Symbol" w:hint="default"/>
      </w:rPr>
    </w:lvl>
    <w:lvl w:ilvl="1" w:tplc="EE0842CA">
      <w:start w:val="1"/>
      <w:numFmt w:val="bullet"/>
      <w:lvlText w:val="−"/>
      <w:lvlJc w:val="left"/>
      <w:pPr>
        <w:ind w:left="1800" w:hanging="360"/>
      </w:pPr>
      <w:rPr>
        <w:rFonts w:ascii="Fira Sans" w:hAnsi="Fira San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CE03D08"/>
    <w:multiLevelType w:val="hybridMultilevel"/>
    <w:tmpl w:val="D6BEC4BA"/>
    <w:lvl w:ilvl="0" w:tplc="EE0842CA">
      <w:start w:val="1"/>
      <w:numFmt w:val="bullet"/>
      <w:lvlText w:val="−"/>
      <w:lvlJc w:val="left"/>
      <w:pPr>
        <w:ind w:left="720" w:hanging="360"/>
      </w:pPr>
      <w:rPr>
        <w:rFonts w:ascii="Fira Sans" w:hAnsi="Fira San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C014B51"/>
    <w:multiLevelType w:val="hybridMultilevel"/>
    <w:tmpl w:val="13F05054"/>
    <w:lvl w:ilvl="0" w:tplc="A1801234">
      <w:start w:val="1"/>
      <w:numFmt w:val="decimal"/>
      <w:lvlText w:val="%1."/>
      <w:lvlJc w:val="left"/>
      <w:pPr>
        <w:ind w:left="360" w:hanging="360"/>
      </w:pPr>
      <w:rPr>
        <w:color w:val="auto"/>
      </w:rPr>
    </w:lvl>
    <w:lvl w:ilvl="1" w:tplc="FAD6692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081531A"/>
    <w:multiLevelType w:val="hybridMultilevel"/>
    <w:tmpl w:val="9A1828D4"/>
    <w:lvl w:ilvl="0" w:tplc="EE0842CA">
      <w:start w:val="1"/>
      <w:numFmt w:val="bullet"/>
      <w:lvlText w:val="−"/>
      <w:lvlJc w:val="left"/>
      <w:pPr>
        <w:ind w:left="1080" w:hanging="360"/>
      </w:pPr>
      <w:rPr>
        <w:rFonts w:ascii="Fira Sans" w:hAnsi="Fira San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059862950">
    <w:abstractNumId w:val="3"/>
  </w:num>
  <w:num w:numId="2" w16cid:durableId="1217932660">
    <w:abstractNumId w:val="1"/>
  </w:num>
  <w:num w:numId="3" w16cid:durableId="1930579470">
    <w:abstractNumId w:val="4"/>
  </w:num>
  <w:num w:numId="4" w16cid:durableId="759253680">
    <w:abstractNumId w:val="2"/>
  </w:num>
  <w:num w:numId="5" w16cid:durableId="903101063">
    <w:abstractNumId w:val="0"/>
  </w:num>
  <w:num w:numId="6" w16cid:durableId="278101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3437"/>
    <w:rsid w:val="00006CFB"/>
    <w:rsid w:val="0000709F"/>
    <w:rsid w:val="000100E4"/>
    <w:rsid w:val="00010470"/>
    <w:rsid w:val="000108B8"/>
    <w:rsid w:val="00010C20"/>
    <w:rsid w:val="000152F5"/>
    <w:rsid w:val="000168FF"/>
    <w:rsid w:val="00016DCF"/>
    <w:rsid w:val="000174CD"/>
    <w:rsid w:val="00020755"/>
    <w:rsid w:val="00020849"/>
    <w:rsid w:val="000209F1"/>
    <w:rsid w:val="0002742B"/>
    <w:rsid w:val="00027E27"/>
    <w:rsid w:val="00030C94"/>
    <w:rsid w:val="00031A13"/>
    <w:rsid w:val="00031B16"/>
    <w:rsid w:val="000338CB"/>
    <w:rsid w:val="000456FC"/>
    <w:rsid w:val="0004582E"/>
    <w:rsid w:val="00045C49"/>
    <w:rsid w:val="00046FF3"/>
    <w:rsid w:val="000470AA"/>
    <w:rsid w:val="0004790F"/>
    <w:rsid w:val="000506E3"/>
    <w:rsid w:val="00055CCD"/>
    <w:rsid w:val="0005732A"/>
    <w:rsid w:val="00057CA1"/>
    <w:rsid w:val="00060E71"/>
    <w:rsid w:val="0006134D"/>
    <w:rsid w:val="000654A8"/>
    <w:rsid w:val="00065D79"/>
    <w:rsid w:val="000662E2"/>
    <w:rsid w:val="00066883"/>
    <w:rsid w:val="00067599"/>
    <w:rsid w:val="0006796A"/>
    <w:rsid w:val="000712AA"/>
    <w:rsid w:val="00072009"/>
    <w:rsid w:val="00072952"/>
    <w:rsid w:val="00072B1D"/>
    <w:rsid w:val="00073F19"/>
    <w:rsid w:val="00074DD8"/>
    <w:rsid w:val="0007701D"/>
    <w:rsid w:val="000806F7"/>
    <w:rsid w:val="00081C4D"/>
    <w:rsid w:val="000824EB"/>
    <w:rsid w:val="00083932"/>
    <w:rsid w:val="000A3EFB"/>
    <w:rsid w:val="000A5A86"/>
    <w:rsid w:val="000B0727"/>
    <w:rsid w:val="000B0FE1"/>
    <w:rsid w:val="000B19B8"/>
    <w:rsid w:val="000B2563"/>
    <w:rsid w:val="000B3101"/>
    <w:rsid w:val="000B4649"/>
    <w:rsid w:val="000B658A"/>
    <w:rsid w:val="000C135D"/>
    <w:rsid w:val="000C3159"/>
    <w:rsid w:val="000C4C3E"/>
    <w:rsid w:val="000D17BB"/>
    <w:rsid w:val="000D1845"/>
    <w:rsid w:val="000D1D43"/>
    <w:rsid w:val="000D225C"/>
    <w:rsid w:val="000D2A5C"/>
    <w:rsid w:val="000D3AFC"/>
    <w:rsid w:val="000D6234"/>
    <w:rsid w:val="000E0918"/>
    <w:rsid w:val="000E618B"/>
    <w:rsid w:val="000F17F6"/>
    <w:rsid w:val="000F2962"/>
    <w:rsid w:val="000F3468"/>
    <w:rsid w:val="000F34D9"/>
    <w:rsid w:val="000F4AAE"/>
    <w:rsid w:val="000F7106"/>
    <w:rsid w:val="001002F2"/>
    <w:rsid w:val="001011C3"/>
    <w:rsid w:val="00103011"/>
    <w:rsid w:val="0010769E"/>
    <w:rsid w:val="00107742"/>
    <w:rsid w:val="00107E6E"/>
    <w:rsid w:val="00110D87"/>
    <w:rsid w:val="00111160"/>
    <w:rsid w:val="00113224"/>
    <w:rsid w:val="00114DB9"/>
    <w:rsid w:val="00116087"/>
    <w:rsid w:val="001236A9"/>
    <w:rsid w:val="00130296"/>
    <w:rsid w:val="0013038A"/>
    <w:rsid w:val="00131263"/>
    <w:rsid w:val="001355FC"/>
    <w:rsid w:val="00136A72"/>
    <w:rsid w:val="00136F86"/>
    <w:rsid w:val="001404D8"/>
    <w:rsid w:val="001423B6"/>
    <w:rsid w:val="001448A7"/>
    <w:rsid w:val="00146621"/>
    <w:rsid w:val="00150AFA"/>
    <w:rsid w:val="00150BCE"/>
    <w:rsid w:val="00154911"/>
    <w:rsid w:val="001553AA"/>
    <w:rsid w:val="00155A1E"/>
    <w:rsid w:val="00156E10"/>
    <w:rsid w:val="0016034D"/>
    <w:rsid w:val="00160DBD"/>
    <w:rsid w:val="00162325"/>
    <w:rsid w:val="00163C58"/>
    <w:rsid w:val="00165671"/>
    <w:rsid w:val="00170FA2"/>
    <w:rsid w:val="001758C9"/>
    <w:rsid w:val="00175A6D"/>
    <w:rsid w:val="00175F7E"/>
    <w:rsid w:val="0017790E"/>
    <w:rsid w:val="00180FC4"/>
    <w:rsid w:val="0018769E"/>
    <w:rsid w:val="00187D97"/>
    <w:rsid w:val="00190171"/>
    <w:rsid w:val="001901AE"/>
    <w:rsid w:val="00191F69"/>
    <w:rsid w:val="00194119"/>
    <w:rsid w:val="001951DA"/>
    <w:rsid w:val="0019580E"/>
    <w:rsid w:val="001961C9"/>
    <w:rsid w:val="001A1142"/>
    <w:rsid w:val="001A360E"/>
    <w:rsid w:val="001A3FED"/>
    <w:rsid w:val="001A6370"/>
    <w:rsid w:val="001A7579"/>
    <w:rsid w:val="001A7C3D"/>
    <w:rsid w:val="001B0159"/>
    <w:rsid w:val="001B3763"/>
    <w:rsid w:val="001B54FF"/>
    <w:rsid w:val="001C2A5B"/>
    <w:rsid w:val="001C3269"/>
    <w:rsid w:val="001C7DFF"/>
    <w:rsid w:val="001D1DB4"/>
    <w:rsid w:val="001D2DED"/>
    <w:rsid w:val="001D6340"/>
    <w:rsid w:val="001E05EF"/>
    <w:rsid w:val="001E33D9"/>
    <w:rsid w:val="001E6E21"/>
    <w:rsid w:val="001F0342"/>
    <w:rsid w:val="001F138D"/>
    <w:rsid w:val="001F31C4"/>
    <w:rsid w:val="001F33A7"/>
    <w:rsid w:val="001F58C1"/>
    <w:rsid w:val="00202C2B"/>
    <w:rsid w:val="0020401A"/>
    <w:rsid w:val="0020424E"/>
    <w:rsid w:val="00212DDE"/>
    <w:rsid w:val="002137D6"/>
    <w:rsid w:val="00216DF7"/>
    <w:rsid w:val="002207D9"/>
    <w:rsid w:val="00226D17"/>
    <w:rsid w:val="00227FCA"/>
    <w:rsid w:val="002333CC"/>
    <w:rsid w:val="00233FC3"/>
    <w:rsid w:val="0023590C"/>
    <w:rsid w:val="00235B66"/>
    <w:rsid w:val="002361C2"/>
    <w:rsid w:val="002373C1"/>
    <w:rsid w:val="00241D7D"/>
    <w:rsid w:val="0024217F"/>
    <w:rsid w:val="00243DD5"/>
    <w:rsid w:val="0024507F"/>
    <w:rsid w:val="0025205A"/>
    <w:rsid w:val="00252FD7"/>
    <w:rsid w:val="002574F9"/>
    <w:rsid w:val="00262A45"/>
    <w:rsid w:val="00262B61"/>
    <w:rsid w:val="00263201"/>
    <w:rsid w:val="002656C9"/>
    <w:rsid w:val="00267434"/>
    <w:rsid w:val="00275C30"/>
    <w:rsid w:val="002760CA"/>
    <w:rsid w:val="002764EC"/>
    <w:rsid w:val="00276811"/>
    <w:rsid w:val="00282699"/>
    <w:rsid w:val="00282F6E"/>
    <w:rsid w:val="0028517F"/>
    <w:rsid w:val="0028638B"/>
    <w:rsid w:val="002873E7"/>
    <w:rsid w:val="002904E1"/>
    <w:rsid w:val="00290A79"/>
    <w:rsid w:val="002926DF"/>
    <w:rsid w:val="00296697"/>
    <w:rsid w:val="002A0635"/>
    <w:rsid w:val="002A181D"/>
    <w:rsid w:val="002B0472"/>
    <w:rsid w:val="002B0E45"/>
    <w:rsid w:val="002B187D"/>
    <w:rsid w:val="002B2519"/>
    <w:rsid w:val="002B3597"/>
    <w:rsid w:val="002B3837"/>
    <w:rsid w:val="002B6B12"/>
    <w:rsid w:val="002B6E9F"/>
    <w:rsid w:val="002B7BEF"/>
    <w:rsid w:val="002C2DE1"/>
    <w:rsid w:val="002C3265"/>
    <w:rsid w:val="002C5B86"/>
    <w:rsid w:val="002C65A0"/>
    <w:rsid w:val="002D1FF2"/>
    <w:rsid w:val="002D372E"/>
    <w:rsid w:val="002D4CC4"/>
    <w:rsid w:val="002D5FC9"/>
    <w:rsid w:val="002D6BF6"/>
    <w:rsid w:val="002E0649"/>
    <w:rsid w:val="002E14D4"/>
    <w:rsid w:val="002E29E8"/>
    <w:rsid w:val="002E3D45"/>
    <w:rsid w:val="002E6045"/>
    <w:rsid w:val="002E6140"/>
    <w:rsid w:val="002E6985"/>
    <w:rsid w:val="002E71B6"/>
    <w:rsid w:val="002F2967"/>
    <w:rsid w:val="002F5A01"/>
    <w:rsid w:val="002F77C8"/>
    <w:rsid w:val="00300D51"/>
    <w:rsid w:val="00304F22"/>
    <w:rsid w:val="0030567F"/>
    <w:rsid w:val="0030598F"/>
    <w:rsid w:val="00306C7C"/>
    <w:rsid w:val="00307A5C"/>
    <w:rsid w:val="003112D9"/>
    <w:rsid w:val="0031369A"/>
    <w:rsid w:val="00314933"/>
    <w:rsid w:val="00320F2C"/>
    <w:rsid w:val="00321002"/>
    <w:rsid w:val="00322EDD"/>
    <w:rsid w:val="00322F1A"/>
    <w:rsid w:val="00327925"/>
    <w:rsid w:val="00327CF3"/>
    <w:rsid w:val="00330A43"/>
    <w:rsid w:val="00332320"/>
    <w:rsid w:val="00332A7C"/>
    <w:rsid w:val="003336E9"/>
    <w:rsid w:val="00334830"/>
    <w:rsid w:val="00347D72"/>
    <w:rsid w:val="00354CBB"/>
    <w:rsid w:val="00357333"/>
    <w:rsid w:val="00357611"/>
    <w:rsid w:val="0036153C"/>
    <w:rsid w:val="003659F1"/>
    <w:rsid w:val="00367237"/>
    <w:rsid w:val="003677E2"/>
    <w:rsid w:val="00370628"/>
    <w:rsid w:val="0037077F"/>
    <w:rsid w:val="00372411"/>
    <w:rsid w:val="00373882"/>
    <w:rsid w:val="00380080"/>
    <w:rsid w:val="003806C8"/>
    <w:rsid w:val="0038166C"/>
    <w:rsid w:val="003843DB"/>
    <w:rsid w:val="00392A0B"/>
    <w:rsid w:val="00393761"/>
    <w:rsid w:val="00394ECD"/>
    <w:rsid w:val="00397D18"/>
    <w:rsid w:val="003A133C"/>
    <w:rsid w:val="003A1B36"/>
    <w:rsid w:val="003A1B7F"/>
    <w:rsid w:val="003A4AB4"/>
    <w:rsid w:val="003A674B"/>
    <w:rsid w:val="003A6EA7"/>
    <w:rsid w:val="003A72E1"/>
    <w:rsid w:val="003B1454"/>
    <w:rsid w:val="003B18B6"/>
    <w:rsid w:val="003B4809"/>
    <w:rsid w:val="003C1095"/>
    <w:rsid w:val="003C43DA"/>
    <w:rsid w:val="003C59E0"/>
    <w:rsid w:val="003C6C8D"/>
    <w:rsid w:val="003D478E"/>
    <w:rsid w:val="003D4B11"/>
    <w:rsid w:val="003D4F95"/>
    <w:rsid w:val="003D53CF"/>
    <w:rsid w:val="003D5E18"/>
    <w:rsid w:val="003D5F42"/>
    <w:rsid w:val="003D60A9"/>
    <w:rsid w:val="003D63A8"/>
    <w:rsid w:val="003E2993"/>
    <w:rsid w:val="003E49CF"/>
    <w:rsid w:val="003E56DD"/>
    <w:rsid w:val="003F2F30"/>
    <w:rsid w:val="003F4C97"/>
    <w:rsid w:val="003F4FD5"/>
    <w:rsid w:val="003F7FE6"/>
    <w:rsid w:val="00400193"/>
    <w:rsid w:val="00400221"/>
    <w:rsid w:val="00401CD7"/>
    <w:rsid w:val="00405BBB"/>
    <w:rsid w:val="00406EC3"/>
    <w:rsid w:val="00410F45"/>
    <w:rsid w:val="00415192"/>
    <w:rsid w:val="00415756"/>
    <w:rsid w:val="0041606C"/>
    <w:rsid w:val="004170D8"/>
    <w:rsid w:val="004212E7"/>
    <w:rsid w:val="004229BC"/>
    <w:rsid w:val="0042312E"/>
    <w:rsid w:val="0042446D"/>
    <w:rsid w:val="00426996"/>
    <w:rsid w:val="00427BF8"/>
    <w:rsid w:val="0043025C"/>
    <w:rsid w:val="00431C02"/>
    <w:rsid w:val="00437395"/>
    <w:rsid w:val="0044267C"/>
    <w:rsid w:val="00445047"/>
    <w:rsid w:val="004515A5"/>
    <w:rsid w:val="00457EE0"/>
    <w:rsid w:val="00462A55"/>
    <w:rsid w:val="00463E39"/>
    <w:rsid w:val="004657FC"/>
    <w:rsid w:val="00472288"/>
    <w:rsid w:val="004733F6"/>
    <w:rsid w:val="00473EFB"/>
    <w:rsid w:val="00474E69"/>
    <w:rsid w:val="00477D88"/>
    <w:rsid w:val="00482168"/>
    <w:rsid w:val="00485941"/>
    <w:rsid w:val="0049447E"/>
    <w:rsid w:val="0049621B"/>
    <w:rsid w:val="004A3956"/>
    <w:rsid w:val="004A6F9C"/>
    <w:rsid w:val="004A7B6E"/>
    <w:rsid w:val="004B5A21"/>
    <w:rsid w:val="004C1895"/>
    <w:rsid w:val="004C6C14"/>
    <w:rsid w:val="004C6D40"/>
    <w:rsid w:val="004D160F"/>
    <w:rsid w:val="004D2C85"/>
    <w:rsid w:val="004D7068"/>
    <w:rsid w:val="004D7D4F"/>
    <w:rsid w:val="004E0306"/>
    <w:rsid w:val="004E08D0"/>
    <w:rsid w:val="004F0C3C"/>
    <w:rsid w:val="004F63FC"/>
    <w:rsid w:val="004F75BF"/>
    <w:rsid w:val="00501187"/>
    <w:rsid w:val="00502713"/>
    <w:rsid w:val="00503716"/>
    <w:rsid w:val="00504392"/>
    <w:rsid w:val="00505162"/>
    <w:rsid w:val="00505A92"/>
    <w:rsid w:val="005075E3"/>
    <w:rsid w:val="005109AC"/>
    <w:rsid w:val="00514870"/>
    <w:rsid w:val="00517EF7"/>
    <w:rsid w:val="005203F1"/>
    <w:rsid w:val="00520CF4"/>
    <w:rsid w:val="00521BC3"/>
    <w:rsid w:val="00533632"/>
    <w:rsid w:val="00534942"/>
    <w:rsid w:val="00540409"/>
    <w:rsid w:val="00541E6E"/>
    <w:rsid w:val="0054251F"/>
    <w:rsid w:val="00545FF9"/>
    <w:rsid w:val="00547234"/>
    <w:rsid w:val="005520D8"/>
    <w:rsid w:val="00552E44"/>
    <w:rsid w:val="005569C4"/>
    <w:rsid w:val="00556CF1"/>
    <w:rsid w:val="005625E8"/>
    <w:rsid w:val="00567426"/>
    <w:rsid w:val="0056794D"/>
    <w:rsid w:val="00567FC9"/>
    <w:rsid w:val="00570A04"/>
    <w:rsid w:val="00572C77"/>
    <w:rsid w:val="005762A7"/>
    <w:rsid w:val="005767EE"/>
    <w:rsid w:val="00577991"/>
    <w:rsid w:val="00581FA1"/>
    <w:rsid w:val="00582A04"/>
    <w:rsid w:val="00585FDC"/>
    <w:rsid w:val="00587296"/>
    <w:rsid w:val="00587C84"/>
    <w:rsid w:val="00591507"/>
    <w:rsid w:val="005916D7"/>
    <w:rsid w:val="00591A90"/>
    <w:rsid w:val="00593F3F"/>
    <w:rsid w:val="005A3180"/>
    <w:rsid w:val="005A34DA"/>
    <w:rsid w:val="005A698C"/>
    <w:rsid w:val="005A7723"/>
    <w:rsid w:val="005B3788"/>
    <w:rsid w:val="005B5849"/>
    <w:rsid w:val="005C2FF6"/>
    <w:rsid w:val="005C4006"/>
    <w:rsid w:val="005C4A41"/>
    <w:rsid w:val="005C783C"/>
    <w:rsid w:val="005C7E77"/>
    <w:rsid w:val="005D1DEE"/>
    <w:rsid w:val="005D448B"/>
    <w:rsid w:val="005D7A2D"/>
    <w:rsid w:val="005D7D06"/>
    <w:rsid w:val="005E0799"/>
    <w:rsid w:val="005E099E"/>
    <w:rsid w:val="005E0FB9"/>
    <w:rsid w:val="005E2588"/>
    <w:rsid w:val="005E31C0"/>
    <w:rsid w:val="005E5C3D"/>
    <w:rsid w:val="005E67AB"/>
    <w:rsid w:val="005E6EBC"/>
    <w:rsid w:val="005F2ECF"/>
    <w:rsid w:val="005F35F3"/>
    <w:rsid w:val="005F4943"/>
    <w:rsid w:val="005F5A80"/>
    <w:rsid w:val="005F5DF4"/>
    <w:rsid w:val="00600BC5"/>
    <w:rsid w:val="006044FF"/>
    <w:rsid w:val="00606CA6"/>
    <w:rsid w:val="00607CC5"/>
    <w:rsid w:val="00611568"/>
    <w:rsid w:val="00612D50"/>
    <w:rsid w:val="006133D3"/>
    <w:rsid w:val="006135D2"/>
    <w:rsid w:val="00614545"/>
    <w:rsid w:val="00616106"/>
    <w:rsid w:val="00620024"/>
    <w:rsid w:val="006243A3"/>
    <w:rsid w:val="006245CD"/>
    <w:rsid w:val="006246F8"/>
    <w:rsid w:val="00624799"/>
    <w:rsid w:val="00627A05"/>
    <w:rsid w:val="00632E7A"/>
    <w:rsid w:val="00633014"/>
    <w:rsid w:val="0063437B"/>
    <w:rsid w:val="006374B8"/>
    <w:rsid w:val="006376D8"/>
    <w:rsid w:val="00637BEB"/>
    <w:rsid w:val="00642BFC"/>
    <w:rsid w:val="00645061"/>
    <w:rsid w:val="00645228"/>
    <w:rsid w:val="00651E11"/>
    <w:rsid w:val="0065640D"/>
    <w:rsid w:val="00662D92"/>
    <w:rsid w:val="006673CA"/>
    <w:rsid w:val="006729E5"/>
    <w:rsid w:val="0067319D"/>
    <w:rsid w:val="00673C26"/>
    <w:rsid w:val="00673EDA"/>
    <w:rsid w:val="0067757B"/>
    <w:rsid w:val="006812AF"/>
    <w:rsid w:val="0068327D"/>
    <w:rsid w:val="00683381"/>
    <w:rsid w:val="00693A96"/>
    <w:rsid w:val="00694AF0"/>
    <w:rsid w:val="006A1DE7"/>
    <w:rsid w:val="006A26A9"/>
    <w:rsid w:val="006A28FE"/>
    <w:rsid w:val="006A431C"/>
    <w:rsid w:val="006A4686"/>
    <w:rsid w:val="006A65C3"/>
    <w:rsid w:val="006B0E9E"/>
    <w:rsid w:val="006B196A"/>
    <w:rsid w:val="006B50A4"/>
    <w:rsid w:val="006B5AE4"/>
    <w:rsid w:val="006B6F72"/>
    <w:rsid w:val="006C29F0"/>
    <w:rsid w:val="006C2B13"/>
    <w:rsid w:val="006C7181"/>
    <w:rsid w:val="006D11A1"/>
    <w:rsid w:val="006D1507"/>
    <w:rsid w:val="006D4054"/>
    <w:rsid w:val="006D4A47"/>
    <w:rsid w:val="006D65A8"/>
    <w:rsid w:val="006E02EC"/>
    <w:rsid w:val="006F1C92"/>
    <w:rsid w:val="006F3BD7"/>
    <w:rsid w:val="0070078A"/>
    <w:rsid w:val="00706D9A"/>
    <w:rsid w:val="007103BC"/>
    <w:rsid w:val="00712AA7"/>
    <w:rsid w:val="00713ED8"/>
    <w:rsid w:val="00714F88"/>
    <w:rsid w:val="007209F3"/>
    <w:rsid w:val="007211B1"/>
    <w:rsid w:val="00722DF8"/>
    <w:rsid w:val="0072573B"/>
    <w:rsid w:val="007267CD"/>
    <w:rsid w:val="00730506"/>
    <w:rsid w:val="0073401C"/>
    <w:rsid w:val="00734205"/>
    <w:rsid w:val="00737225"/>
    <w:rsid w:val="007409D7"/>
    <w:rsid w:val="00746187"/>
    <w:rsid w:val="00752B8D"/>
    <w:rsid w:val="007532BE"/>
    <w:rsid w:val="007539C3"/>
    <w:rsid w:val="00754132"/>
    <w:rsid w:val="0075502C"/>
    <w:rsid w:val="00756F24"/>
    <w:rsid w:val="007615CD"/>
    <w:rsid w:val="0076254F"/>
    <w:rsid w:val="00765470"/>
    <w:rsid w:val="00767439"/>
    <w:rsid w:val="0077001B"/>
    <w:rsid w:val="007710CD"/>
    <w:rsid w:val="00773106"/>
    <w:rsid w:val="007801F5"/>
    <w:rsid w:val="00783CA4"/>
    <w:rsid w:val="007842FB"/>
    <w:rsid w:val="00786124"/>
    <w:rsid w:val="0078685E"/>
    <w:rsid w:val="00791FBD"/>
    <w:rsid w:val="007924EF"/>
    <w:rsid w:val="0079514B"/>
    <w:rsid w:val="007A0C25"/>
    <w:rsid w:val="007A2DC1"/>
    <w:rsid w:val="007A6A82"/>
    <w:rsid w:val="007A7C26"/>
    <w:rsid w:val="007B04E8"/>
    <w:rsid w:val="007B1AB4"/>
    <w:rsid w:val="007B3806"/>
    <w:rsid w:val="007B43C9"/>
    <w:rsid w:val="007C35CC"/>
    <w:rsid w:val="007D1726"/>
    <w:rsid w:val="007D17A0"/>
    <w:rsid w:val="007D1C2B"/>
    <w:rsid w:val="007D1EC7"/>
    <w:rsid w:val="007D3319"/>
    <w:rsid w:val="007D335D"/>
    <w:rsid w:val="007D58A7"/>
    <w:rsid w:val="007E1B0A"/>
    <w:rsid w:val="007E2990"/>
    <w:rsid w:val="007E3314"/>
    <w:rsid w:val="007E4B03"/>
    <w:rsid w:val="007E4D94"/>
    <w:rsid w:val="007E705B"/>
    <w:rsid w:val="007F288C"/>
    <w:rsid w:val="007F324B"/>
    <w:rsid w:val="007F6807"/>
    <w:rsid w:val="0080108D"/>
    <w:rsid w:val="0080196A"/>
    <w:rsid w:val="0080553C"/>
    <w:rsid w:val="00805B46"/>
    <w:rsid w:val="008079DC"/>
    <w:rsid w:val="00811B50"/>
    <w:rsid w:val="0081659C"/>
    <w:rsid w:val="008168E8"/>
    <w:rsid w:val="0081772A"/>
    <w:rsid w:val="00825DC2"/>
    <w:rsid w:val="008272D8"/>
    <w:rsid w:val="008312AF"/>
    <w:rsid w:val="00831A15"/>
    <w:rsid w:val="00834AD3"/>
    <w:rsid w:val="00841CB3"/>
    <w:rsid w:val="00843795"/>
    <w:rsid w:val="00844033"/>
    <w:rsid w:val="00844D95"/>
    <w:rsid w:val="008456C5"/>
    <w:rsid w:val="00847F0F"/>
    <w:rsid w:val="008517D2"/>
    <w:rsid w:val="00852277"/>
    <w:rsid w:val="00852448"/>
    <w:rsid w:val="00866A57"/>
    <w:rsid w:val="00867B55"/>
    <w:rsid w:val="008720DC"/>
    <w:rsid w:val="00873EAC"/>
    <w:rsid w:val="0087435F"/>
    <w:rsid w:val="00875968"/>
    <w:rsid w:val="0087747C"/>
    <w:rsid w:val="00877D8E"/>
    <w:rsid w:val="008804AD"/>
    <w:rsid w:val="008818FB"/>
    <w:rsid w:val="0088258A"/>
    <w:rsid w:val="00886332"/>
    <w:rsid w:val="00887203"/>
    <w:rsid w:val="00890ECA"/>
    <w:rsid w:val="00892160"/>
    <w:rsid w:val="008A26D9"/>
    <w:rsid w:val="008A3555"/>
    <w:rsid w:val="008A45C9"/>
    <w:rsid w:val="008A6A5B"/>
    <w:rsid w:val="008A78C3"/>
    <w:rsid w:val="008B2611"/>
    <w:rsid w:val="008B5BC9"/>
    <w:rsid w:val="008B6FF1"/>
    <w:rsid w:val="008C0C29"/>
    <w:rsid w:val="008C13D7"/>
    <w:rsid w:val="008C1A35"/>
    <w:rsid w:val="008C62B5"/>
    <w:rsid w:val="008C784A"/>
    <w:rsid w:val="008D10DE"/>
    <w:rsid w:val="008D2B18"/>
    <w:rsid w:val="008D4B0B"/>
    <w:rsid w:val="008D4C59"/>
    <w:rsid w:val="008E20D1"/>
    <w:rsid w:val="008E32AE"/>
    <w:rsid w:val="008E3398"/>
    <w:rsid w:val="008E77F6"/>
    <w:rsid w:val="008E7ECC"/>
    <w:rsid w:val="008F00D9"/>
    <w:rsid w:val="008F0C56"/>
    <w:rsid w:val="008F3638"/>
    <w:rsid w:val="008F4441"/>
    <w:rsid w:val="008F6F31"/>
    <w:rsid w:val="008F74DF"/>
    <w:rsid w:val="00907185"/>
    <w:rsid w:val="009127BA"/>
    <w:rsid w:val="009221C4"/>
    <w:rsid w:val="009227A6"/>
    <w:rsid w:val="00922AC5"/>
    <w:rsid w:val="00922ACF"/>
    <w:rsid w:val="00922E9B"/>
    <w:rsid w:val="0092306B"/>
    <w:rsid w:val="009327DA"/>
    <w:rsid w:val="009332E7"/>
    <w:rsid w:val="009338CF"/>
    <w:rsid w:val="00933EC1"/>
    <w:rsid w:val="0094026B"/>
    <w:rsid w:val="00943C25"/>
    <w:rsid w:val="00945163"/>
    <w:rsid w:val="00950C8D"/>
    <w:rsid w:val="009530DB"/>
    <w:rsid w:val="00953676"/>
    <w:rsid w:val="0096317F"/>
    <w:rsid w:val="009650F3"/>
    <w:rsid w:val="00966DCA"/>
    <w:rsid w:val="009705EE"/>
    <w:rsid w:val="00972882"/>
    <w:rsid w:val="00972A1E"/>
    <w:rsid w:val="00972CFB"/>
    <w:rsid w:val="00977927"/>
    <w:rsid w:val="0098135C"/>
    <w:rsid w:val="0098156A"/>
    <w:rsid w:val="00981730"/>
    <w:rsid w:val="0098230C"/>
    <w:rsid w:val="00982C84"/>
    <w:rsid w:val="00984033"/>
    <w:rsid w:val="00991BAC"/>
    <w:rsid w:val="0099564D"/>
    <w:rsid w:val="0099741F"/>
    <w:rsid w:val="009A1854"/>
    <w:rsid w:val="009A47A3"/>
    <w:rsid w:val="009A540A"/>
    <w:rsid w:val="009A6EA0"/>
    <w:rsid w:val="009B032F"/>
    <w:rsid w:val="009B2D2E"/>
    <w:rsid w:val="009B3175"/>
    <w:rsid w:val="009B55E4"/>
    <w:rsid w:val="009B7A8D"/>
    <w:rsid w:val="009C1335"/>
    <w:rsid w:val="009C1AB2"/>
    <w:rsid w:val="009C4D79"/>
    <w:rsid w:val="009C6333"/>
    <w:rsid w:val="009C7047"/>
    <w:rsid w:val="009C7251"/>
    <w:rsid w:val="009D1BF4"/>
    <w:rsid w:val="009D3E9F"/>
    <w:rsid w:val="009E0CF5"/>
    <w:rsid w:val="009E1494"/>
    <w:rsid w:val="009E2810"/>
    <w:rsid w:val="009E2E91"/>
    <w:rsid w:val="009E6EA7"/>
    <w:rsid w:val="009E70E1"/>
    <w:rsid w:val="009E7122"/>
    <w:rsid w:val="009F2834"/>
    <w:rsid w:val="009F2975"/>
    <w:rsid w:val="00A04330"/>
    <w:rsid w:val="00A05519"/>
    <w:rsid w:val="00A0748F"/>
    <w:rsid w:val="00A139F5"/>
    <w:rsid w:val="00A13AC5"/>
    <w:rsid w:val="00A21F7C"/>
    <w:rsid w:val="00A22CF8"/>
    <w:rsid w:val="00A24E25"/>
    <w:rsid w:val="00A254CC"/>
    <w:rsid w:val="00A25D49"/>
    <w:rsid w:val="00A25F0B"/>
    <w:rsid w:val="00A27961"/>
    <w:rsid w:val="00A30E62"/>
    <w:rsid w:val="00A364A6"/>
    <w:rsid w:val="00A365F4"/>
    <w:rsid w:val="00A400BE"/>
    <w:rsid w:val="00A40FF6"/>
    <w:rsid w:val="00A44C08"/>
    <w:rsid w:val="00A47D80"/>
    <w:rsid w:val="00A51736"/>
    <w:rsid w:val="00A53132"/>
    <w:rsid w:val="00A563F2"/>
    <w:rsid w:val="00A566E8"/>
    <w:rsid w:val="00A57A10"/>
    <w:rsid w:val="00A57A8C"/>
    <w:rsid w:val="00A61CDD"/>
    <w:rsid w:val="00A62FEC"/>
    <w:rsid w:val="00A634DA"/>
    <w:rsid w:val="00A63A46"/>
    <w:rsid w:val="00A6787E"/>
    <w:rsid w:val="00A70912"/>
    <w:rsid w:val="00A73E53"/>
    <w:rsid w:val="00A7677C"/>
    <w:rsid w:val="00A80ED8"/>
    <w:rsid w:val="00A810F9"/>
    <w:rsid w:val="00A81E8A"/>
    <w:rsid w:val="00A84237"/>
    <w:rsid w:val="00A858A6"/>
    <w:rsid w:val="00A86902"/>
    <w:rsid w:val="00A86ECC"/>
    <w:rsid w:val="00A86FCC"/>
    <w:rsid w:val="00A9377F"/>
    <w:rsid w:val="00AA0316"/>
    <w:rsid w:val="00AA1552"/>
    <w:rsid w:val="00AA3134"/>
    <w:rsid w:val="00AA685E"/>
    <w:rsid w:val="00AA710D"/>
    <w:rsid w:val="00AB10CF"/>
    <w:rsid w:val="00AB3D48"/>
    <w:rsid w:val="00AB5FE9"/>
    <w:rsid w:val="00AB6BF4"/>
    <w:rsid w:val="00AB6D25"/>
    <w:rsid w:val="00AC2F03"/>
    <w:rsid w:val="00AC49E5"/>
    <w:rsid w:val="00AC54B2"/>
    <w:rsid w:val="00AC591B"/>
    <w:rsid w:val="00AD2201"/>
    <w:rsid w:val="00AD45F3"/>
    <w:rsid w:val="00AD4D6E"/>
    <w:rsid w:val="00AD66BD"/>
    <w:rsid w:val="00AE2D4B"/>
    <w:rsid w:val="00AE4F99"/>
    <w:rsid w:val="00AE6E8C"/>
    <w:rsid w:val="00AF32FE"/>
    <w:rsid w:val="00AF3507"/>
    <w:rsid w:val="00AF6913"/>
    <w:rsid w:val="00AF7047"/>
    <w:rsid w:val="00B05326"/>
    <w:rsid w:val="00B070C3"/>
    <w:rsid w:val="00B074E0"/>
    <w:rsid w:val="00B12BA7"/>
    <w:rsid w:val="00B12E34"/>
    <w:rsid w:val="00B1335F"/>
    <w:rsid w:val="00B14952"/>
    <w:rsid w:val="00B16C83"/>
    <w:rsid w:val="00B23647"/>
    <w:rsid w:val="00B2492B"/>
    <w:rsid w:val="00B31E5A"/>
    <w:rsid w:val="00B321C0"/>
    <w:rsid w:val="00B329B3"/>
    <w:rsid w:val="00B3775C"/>
    <w:rsid w:val="00B40D92"/>
    <w:rsid w:val="00B4119A"/>
    <w:rsid w:val="00B53BB8"/>
    <w:rsid w:val="00B616CD"/>
    <w:rsid w:val="00B653AB"/>
    <w:rsid w:val="00B65F9E"/>
    <w:rsid w:val="00B66B19"/>
    <w:rsid w:val="00B71E5D"/>
    <w:rsid w:val="00B7438D"/>
    <w:rsid w:val="00B84593"/>
    <w:rsid w:val="00B878FC"/>
    <w:rsid w:val="00B90FE4"/>
    <w:rsid w:val="00B914E9"/>
    <w:rsid w:val="00B920B9"/>
    <w:rsid w:val="00B956EE"/>
    <w:rsid w:val="00B961DD"/>
    <w:rsid w:val="00B967D6"/>
    <w:rsid w:val="00BA2BA1"/>
    <w:rsid w:val="00BA442D"/>
    <w:rsid w:val="00BA61C8"/>
    <w:rsid w:val="00BA7B08"/>
    <w:rsid w:val="00BB005F"/>
    <w:rsid w:val="00BB4F09"/>
    <w:rsid w:val="00BB6568"/>
    <w:rsid w:val="00BB69DF"/>
    <w:rsid w:val="00BB7BB2"/>
    <w:rsid w:val="00BC1143"/>
    <w:rsid w:val="00BC1F2D"/>
    <w:rsid w:val="00BC2542"/>
    <w:rsid w:val="00BC36BE"/>
    <w:rsid w:val="00BC4D1B"/>
    <w:rsid w:val="00BD4E33"/>
    <w:rsid w:val="00BD5123"/>
    <w:rsid w:val="00BD6074"/>
    <w:rsid w:val="00BD7280"/>
    <w:rsid w:val="00BE0021"/>
    <w:rsid w:val="00BE04C8"/>
    <w:rsid w:val="00BE10BE"/>
    <w:rsid w:val="00BE2E0C"/>
    <w:rsid w:val="00BE5F5A"/>
    <w:rsid w:val="00BE61C6"/>
    <w:rsid w:val="00BE6CEF"/>
    <w:rsid w:val="00BF68C0"/>
    <w:rsid w:val="00BF7CBC"/>
    <w:rsid w:val="00C00F97"/>
    <w:rsid w:val="00C030DE"/>
    <w:rsid w:val="00C03AB0"/>
    <w:rsid w:val="00C03C21"/>
    <w:rsid w:val="00C05605"/>
    <w:rsid w:val="00C063CB"/>
    <w:rsid w:val="00C12101"/>
    <w:rsid w:val="00C13F89"/>
    <w:rsid w:val="00C14D8E"/>
    <w:rsid w:val="00C1714D"/>
    <w:rsid w:val="00C22105"/>
    <w:rsid w:val="00C244B6"/>
    <w:rsid w:val="00C26CC4"/>
    <w:rsid w:val="00C27385"/>
    <w:rsid w:val="00C2783C"/>
    <w:rsid w:val="00C31B68"/>
    <w:rsid w:val="00C34C75"/>
    <w:rsid w:val="00C3702F"/>
    <w:rsid w:val="00C37B93"/>
    <w:rsid w:val="00C37F8B"/>
    <w:rsid w:val="00C40A0B"/>
    <w:rsid w:val="00C44696"/>
    <w:rsid w:val="00C44909"/>
    <w:rsid w:val="00C4728B"/>
    <w:rsid w:val="00C502C3"/>
    <w:rsid w:val="00C51E6A"/>
    <w:rsid w:val="00C526DD"/>
    <w:rsid w:val="00C52F49"/>
    <w:rsid w:val="00C53EF5"/>
    <w:rsid w:val="00C53F53"/>
    <w:rsid w:val="00C5404E"/>
    <w:rsid w:val="00C551E9"/>
    <w:rsid w:val="00C55DFB"/>
    <w:rsid w:val="00C64A37"/>
    <w:rsid w:val="00C66DB4"/>
    <w:rsid w:val="00C67665"/>
    <w:rsid w:val="00C67C6D"/>
    <w:rsid w:val="00C70FA1"/>
    <w:rsid w:val="00C7158E"/>
    <w:rsid w:val="00C7250B"/>
    <w:rsid w:val="00C7346B"/>
    <w:rsid w:val="00C759B0"/>
    <w:rsid w:val="00C77C0E"/>
    <w:rsid w:val="00C8347C"/>
    <w:rsid w:val="00C843EB"/>
    <w:rsid w:val="00C91687"/>
    <w:rsid w:val="00C924A8"/>
    <w:rsid w:val="00C9334A"/>
    <w:rsid w:val="00C945FE"/>
    <w:rsid w:val="00C9549A"/>
    <w:rsid w:val="00C95772"/>
    <w:rsid w:val="00C96FAA"/>
    <w:rsid w:val="00C97A04"/>
    <w:rsid w:val="00CA107B"/>
    <w:rsid w:val="00CA10E6"/>
    <w:rsid w:val="00CA2E4F"/>
    <w:rsid w:val="00CA484D"/>
    <w:rsid w:val="00CA4FB6"/>
    <w:rsid w:val="00CA6556"/>
    <w:rsid w:val="00CB10FB"/>
    <w:rsid w:val="00CB17CB"/>
    <w:rsid w:val="00CC0140"/>
    <w:rsid w:val="00CC1382"/>
    <w:rsid w:val="00CC1967"/>
    <w:rsid w:val="00CC6BC9"/>
    <w:rsid w:val="00CC7030"/>
    <w:rsid w:val="00CC739E"/>
    <w:rsid w:val="00CD02E6"/>
    <w:rsid w:val="00CD3857"/>
    <w:rsid w:val="00CD58B7"/>
    <w:rsid w:val="00CE27D5"/>
    <w:rsid w:val="00CE414A"/>
    <w:rsid w:val="00CE435A"/>
    <w:rsid w:val="00CF0456"/>
    <w:rsid w:val="00CF2B82"/>
    <w:rsid w:val="00CF2D04"/>
    <w:rsid w:val="00CF4099"/>
    <w:rsid w:val="00CF724B"/>
    <w:rsid w:val="00D00796"/>
    <w:rsid w:val="00D0128A"/>
    <w:rsid w:val="00D05CC0"/>
    <w:rsid w:val="00D10AFD"/>
    <w:rsid w:val="00D13F06"/>
    <w:rsid w:val="00D21A6F"/>
    <w:rsid w:val="00D24B1E"/>
    <w:rsid w:val="00D261A2"/>
    <w:rsid w:val="00D26E3E"/>
    <w:rsid w:val="00D312F7"/>
    <w:rsid w:val="00D3239E"/>
    <w:rsid w:val="00D32CC7"/>
    <w:rsid w:val="00D333E7"/>
    <w:rsid w:val="00D335CC"/>
    <w:rsid w:val="00D352C2"/>
    <w:rsid w:val="00D44983"/>
    <w:rsid w:val="00D515FC"/>
    <w:rsid w:val="00D52140"/>
    <w:rsid w:val="00D529A0"/>
    <w:rsid w:val="00D54A6C"/>
    <w:rsid w:val="00D56D41"/>
    <w:rsid w:val="00D616D2"/>
    <w:rsid w:val="00D61A7A"/>
    <w:rsid w:val="00D62F3C"/>
    <w:rsid w:val="00D63B5F"/>
    <w:rsid w:val="00D67E43"/>
    <w:rsid w:val="00D67F9D"/>
    <w:rsid w:val="00D70CAE"/>
    <w:rsid w:val="00D70EF7"/>
    <w:rsid w:val="00D713D8"/>
    <w:rsid w:val="00D746A8"/>
    <w:rsid w:val="00D75071"/>
    <w:rsid w:val="00D77976"/>
    <w:rsid w:val="00D81C28"/>
    <w:rsid w:val="00D82003"/>
    <w:rsid w:val="00D8397C"/>
    <w:rsid w:val="00D83BC7"/>
    <w:rsid w:val="00D8767A"/>
    <w:rsid w:val="00D92660"/>
    <w:rsid w:val="00D94EED"/>
    <w:rsid w:val="00D958CD"/>
    <w:rsid w:val="00D95C25"/>
    <w:rsid w:val="00D96026"/>
    <w:rsid w:val="00DA68F7"/>
    <w:rsid w:val="00DA7C1C"/>
    <w:rsid w:val="00DB0373"/>
    <w:rsid w:val="00DB147A"/>
    <w:rsid w:val="00DB1B7A"/>
    <w:rsid w:val="00DB42B8"/>
    <w:rsid w:val="00DB56D1"/>
    <w:rsid w:val="00DC1AB6"/>
    <w:rsid w:val="00DC2DC6"/>
    <w:rsid w:val="00DC397E"/>
    <w:rsid w:val="00DC6708"/>
    <w:rsid w:val="00DD0DB1"/>
    <w:rsid w:val="00DD16D4"/>
    <w:rsid w:val="00DD2F72"/>
    <w:rsid w:val="00DD30E0"/>
    <w:rsid w:val="00DD3996"/>
    <w:rsid w:val="00DD42E7"/>
    <w:rsid w:val="00DD6321"/>
    <w:rsid w:val="00DE01C8"/>
    <w:rsid w:val="00DE344E"/>
    <w:rsid w:val="00DE3CBB"/>
    <w:rsid w:val="00DE3CEC"/>
    <w:rsid w:val="00DE4D4E"/>
    <w:rsid w:val="00DE5E13"/>
    <w:rsid w:val="00DE657C"/>
    <w:rsid w:val="00DE72D2"/>
    <w:rsid w:val="00E01436"/>
    <w:rsid w:val="00E03C50"/>
    <w:rsid w:val="00E045BD"/>
    <w:rsid w:val="00E047C3"/>
    <w:rsid w:val="00E06833"/>
    <w:rsid w:val="00E10CC6"/>
    <w:rsid w:val="00E156A7"/>
    <w:rsid w:val="00E17B77"/>
    <w:rsid w:val="00E23337"/>
    <w:rsid w:val="00E25061"/>
    <w:rsid w:val="00E259EA"/>
    <w:rsid w:val="00E32061"/>
    <w:rsid w:val="00E344A7"/>
    <w:rsid w:val="00E41AE4"/>
    <w:rsid w:val="00E41B99"/>
    <w:rsid w:val="00E42FF9"/>
    <w:rsid w:val="00E4714C"/>
    <w:rsid w:val="00E504CF"/>
    <w:rsid w:val="00E51AEB"/>
    <w:rsid w:val="00E522A7"/>
    <w:rsid w:val="00E54452"/>
    <w:rsid w:val="00E5774A"/>
    <w:rsid w:val="00E57AA2"/>
    <w:rsid w:val="00E61E72"/>
    <w:rsid w:val="00E6205C"/>
    <w:rsid w:val="00E647CA"/>
    <w:rsid w:val="00E6573A"/>
    <w:rsid w:val="00E664C5"/>
    <w:rsid w:val="00E671A2"/>
    <w:rsid w:val="00E7094F"/>
    <w:rsid w:val="00E72387"/>
    <w:rsid w:val="00E76D26"/>
    <w:rsid w:val="00E7740E"/>
    <w:rsid w:val="00E80955"/>
    <w:rsid w:val="00E834B3"/>
    <w:rsid w:val="00E84178"/>
    <w:rsid w:val="00E84302"/>
    <w:rsid w:val="00E869F7"/>
    <w:rsid w:val="00E87FFA"/>
    <w:rsid w:val="00E92E12"/>
    <w:rsid w:val="00EA4901"/>
    <w:rsid w:val="00EB1390"/>
    <w:rsid w:val="00EB2C71"/>
    <w:rsid w:val="00EB3139"/>
    <w:rsid w:val="00EB4340"/>
    <w:rsid w:val="00EB556D"/>
    <w:rsid w:val="00EB5932"/>
    <w:rsid w:val="00EB5A7D"/>
    <w:rsid w:val="00EC38A3"/>
    <w:rsid w:val="00EC5591"/>
    <w:rsid w:val="00EC593F"/>
    <w:rsid w:val="00ED525B"/>
    <w:rsid w:val="00ED55C0"/>
    <w:rsid w:val="00ED682B"/>
    <w:rsid w:val="00ED769A"/>
    <w:rsid w:val="00EE15A7"/>
    <w:rsid w:val="00EE41D5"/>
    <w:rsid w:val="00EE6523"/>
    <w:rsid w:val="00EE6E87"/>
    <w:rsid w:val="00EE6FC7"/>
    <w:rsid w:val="00EF3E42"/>
    <w:rsid w:val="00EF67A4"/>
    <w:rsid w:val="00F037A4"/>
    <w:rsid w:val="00F162BC"/>
    <w:rsid w:val="00F22684"/>
    <w:rsid w:val="00F22A2F"/>
    <w:rsid w:val="00F262EB"/>
    <w:rsid w:val="00F27C8F"/>
    <w:rsid w:val="00F32749"/>
    <w:rsid w:val="00F3426F"/>
    <w:rsid w:val="00F37172"/>
    <w:rsid w:val="00F371C4"/>
    <w:rsid w:val="00F408A0"/>
    <w:rsid w:val="00F42CCF"/>
    <w:rsid w:val="00F44246"/>
    <w:rsid w:val="00F4477E"/>
    <w:rsid w:val="00F44E83"/>
    <w:rsid w:val="00F4530B"/>
    <w:rsid w:val="00F462AE"/>
    <w:rsid w:val="00F54AAD"/>
    <w:rsid w:val="00F55A47"/>
    <w:rsid w:val="00F60715"/>
    <w:rsid w:val="00F61EEB"/>
    <w:rsid w:val="00F630EA"/>
    <w:rsid w:val="00F652B5"/>
    <w:rsid w:val="00F66036"/>
    <w:rsid w:val="00F66A49"/>
    <w:rsid w:val="00F67D8F"/>
    <w:rsid w:val="00F71721"/>
    <w:rsid w:val="00F76775"/>
    <w:rsid w:val="00F802BE"/>
    <w:rsid w:val="00F80BB8"/>
    <w:rsid w:val="00F80F46"/>
    <w:rsid w:val="00F815D8"/>
    <w:rsid w:val="00F86024"/>
    <w:rsid w:val="00F8611A"/>
    <w:rsid w:val="00F91B65"/>
    <w:rsid w:val="00F945A9"/>
    <w:rsid w:val="00F94FCE"/>
    <w:rsid w:val="00F96A8C"/>
    <w:rsid w:val="00F97AD7"/>
    <w:rsid w:val="00FA2015"/>
    <w:rsid w:val="00FA290C"/>
    <w:rsid w:val="00FA2DFD"/>
    <w:rsid w:val="00FA37BE"/>
    <w:rsid w:val="00FA475C"/>
    <w:rsid w:val="00FA5128"/>
    <w:rsid w:val="00FB42D4"/>
    <w:rsid w:val="00FB5906"/>
    <w:rsid w:val="00FB762F"/>
    <w:rsid w:val="00FC2AED"/>
    <w:rsid w:val="00FC3D50"/>
    <w:rsid w:val="00FC549B"/>
    <w:rsid w:val="00FD2286"/>
    <w:rsid w:val="00FD348B"/>
    <w:rsid w:val="00FD35F3"/>
    <w:rsid w:val="00FD4D37"/>
    <w:rsid w:val="00FD51A8"/>
    <w:rsid w:val="00FD5EA7"/>
    <w:rsid w:val="00FD6224"/>
    <w:rsid w:val="00FD6D2F"/>
    <w:rsid w:val="00FE4206"/>
    <w:rsid w:val="00FE6FD1"/>
    <w:rsid w:val="00FE7A08"/>
    <w:rsid w:val="00FE7CFB"/>
    <w:rsid w:val="00FF3E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20C36"/>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informacji"/>
    <w:qFormat/>
    <w:rsid w:val="00C551E9"/>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autoRedefine/>
    <w:qFormat/>
    <w:rsid w:val="005075E3"/>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5075E3"/>
    <w:rPr>
      <w:rFonts w:ascii="Fira Sans SemiBold" w:eastAsia="Times New Roman" w:hAnsi="Fira Sans SemiBold" w:cs="Times New Roman"/>
      <w:bCs/>
      <w:color w:val="001D77"/>
      <w:sz w:val="19"/>
      <w:szCs w:val="24"/>
      <w:lang w:eastAsia="pl-PL"/>
    </w:rPr>
  </w:style>
  <w:style w:type="paragraph" w:customStyle="1" w:styleId="LID">
    <w:name w:val="LID"/>
    <w:basedOn w:val="Normalny"/>
    <w:autoRedefine/>
    <w:qFormat/>
    <w:rsid w:val="00DE01C8"/>
    <w:pPr>
      <w:spacing w:before="360"/>
    </w:pPr>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567426"/>
    <w:rPr>
      <w:color w:val="954F72" w:themeColor="followedHyperlink"/>
      <w:u w:val="single"/>
    </w:rPr>
  </w:style>
  <w:style w:type="character" w:styleId="Nierozpoznanawzmianka">
    <w:name w:val="Unresolved Mention"/>
    <w:basedOn w:val="Domylnaczcionkaakapitu"/>
    <w:uiPriority w:val="99"/>
    <w:semiHidden/>
    <w:unhideWhenUsed/>
    <w:rsid w:val="009E7122"/>
    <w:rPr>
      <w:color w:val="605E5C"/>
      <w:shd w:val="clear" w:color="auto" w:fill="E1DFDD"/>
    </w:rPr>
  </w:style>
  <w:style w:type="character" w:styleId="Odwoaniedokomentarza">
    <w:name w:val="annotation reference"/>
    <w:basedOn w:val="Domylnaczcionkaakapitu"/>
    <w:uiPriority w:val="99"/>
    <w:semiHidden/>
    <w:unhideWhenUsed/>
    <w:rsid w:val="009E7122"/>
    <w:rPr>
      <w:sz w:val="16"/>
      <w:szCs w:val="16"/>
    </w:rPr>
  </w:style>
  <w:style w:type="paragraph" w:styleId="Tekstkomentarza">
    <w:name w:val="annotation text"/>
    <w:basedOn w:val="Normalny"/>
    <w:link w:val="TekstkomentarzaZnak"/>
    <w:uiPriority w:val="99"/>
    <w:semiHidden/>
    <w:unhideWhenUsed/>
    <w:rsid w:val="009E712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7122"/>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9E7122"/>
    <w:rPr>
      <w:b/>
      <w:bCs/>
    </w:rPr>
  </w:style>
  <w:style w:type="character" w:customStyle="1" w:styleId="TematkomentarzaZnak">
    <w:name w:val="Temat komentarza Znak"/>
    <w:basedOn w:val="TekstkomentarzaZnak"/>
    <w:link w:val="Tematkomentarza"/>
    <w:uiPriority w:val="99"/>
    <w:semiHidden/>
    <w:rsid w:val="009E7122"/>
    <w:rPr>
      <w:rFonts w:ascii="Fira Sans" w:hAnsi="Fira Sans"/>
      <w:b/>
      <w:bCs/>
      <w:sz w:val="20"/>
      <w:szCs w:val="20"/>
    </w:rPr>
  </w:style>
  <w:style w:type="paragraph" w:customStyle="1" w:styleId="Ikonawskanika">
    <w:name w:val="Ikona wskaźnika"/>
    <w:basedOn w:val="Normalny"/>
    <w:link w:val="IkonawskanikaZnak"/>
    <w:qFormat/>
    <w:rsid w:val="00AD66BD"/>
    <w:pPr>
      <w:autoSpaceDE w:val="0"/>
      <w:autoSpaceDN w:val="0"/>
      <w:adjustRightInd w:val="0"/>
      <w:spacing w:before="0"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AD66BD"/>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AD66BD"/>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AD66BD"/>
    <w:rPr>
      <w:color w:val="FFFFFF" w:themeColor="background1"/>
    </w:rPr>
  </w:style>
  <w:style w:type="character" w:customStyle="1" w:styleId="WartowskanikaZnak">
    <w:name w:val="Wartość wskaźnika Znak"/>
    <w:basedOn w:val="Domylnaczcionkaakapitu"/>
    <w:link w:val="Wartowskanika"/>
    <w:rsid w:val="00AD66BD"/>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AD66BD"/>
    <w:rPr>
      <w:rFonts w:ascii="Fira Sans" w:hAnsi="Fira Sans"/>
      <w:color w:val="FFFFFF" w:themeColor="background1"/>
      <w:sz w:val="20"/>
    </w:rPr>
  </w:style>
  <w:style w:type="paragraph" w:styleId="Poprawka">
    <w:name w:val="Revision"/>
    <w:hidden/>
    <w:uiPriority w:val="99"/>
    <w:semiHidden/>
    <w:rsid w:val="00A27961"/>
    <w:pPr>
      <w:spacing w:after="0" w:line="240" w:lineRule="auto"/>
    </w:pPr>
    <w:rPr>
      <w:rFonts w:ascii="Fira Sans" w:hAnsi="Fira Sans"/>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96534">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025327883">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12807157">
      <w:bodyDiv w:val="1"/>
      <w:marLeft w:val="0"/>
      <w:marRight w:val="0"/>
      <w:marTop w:val="0"/>
      <w:marBottom w:val="0"/>
      <w:divBdr>
        <w:top w:val="none" w:sz="0" w:space="0" w:color="auto"/>
        <w:left w:val="none" w:sz="0" w:space="0" w:color="auto"/>
        <w:bottom w:val="none" w:sz="0" w:space="0" w:color="auto"/>
        <w:right w:val="none" w:sz="0" w:space="0" w:color="auto"/>
      </w:divBdr>
    </w:div>
    <w:div w:id="206054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footer" Target="footer2.xml"/><Relationship Id="rId26" Type="http://schemas.openxmlformats.org/officeDocument/2006/relationships/hyperlink" Target="https://www.facebook.com/GlownyUrzadStatystyczny/" TargetMode="External"/><Relationship Id="rId39" Type="http://schemas.openxmlformats.org/officeDocument/2006/relationships/hyperlink" Target="https://stat.gov.pl/en/metainformation/glossary/terms-used-in-official-statistics/2962,term.html" TargetMode="External"/><Relationship Id="rId21" Type="http://schemas.openxmlformats.org/officeDocument/2006/relationships/image" Target="media/image8.png"/><Relationship Id="rId34" Type="http://schemas.openxmlformats.org/officeDocument/2006/relationships/hyperlink" Target="https://dashboard-regon.stat.gov.pl/"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obslugaprasowa@stat.gov.pl" TargetMode="External"/><Relationship Id="rId29" Type="http://schemas.openxmlformats.org/officeDocument/2006/relationships/image" Target="media/image12.png"/><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x.com/StatPoland" TargetMode="External"/><Relationship Id="rId32" Type="http://schemas.openxmlformats.org/officeDocument/2006/relationships/image" Target="media/image13.png"/><Relationship Id="rId37" Type="http://schemas.openxmlformats.org/officeDocument/2006/relationships/hyperlink" Target="https://stat.gov.pl/en/metainformation/glossary/terms-used-in-official-statistics/814,term.html" TargetMode="External"/><Relationship Id="rId40" Type="http://schemas.openxmlformats.org/officeDocument/2006/relationships/hyperlink" Target="https://stat.gov.pl/en/metainformation/glossary/terms-used-in-official-statistics/2961,term.html"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9.png"/><Relationship Id="rId28" Type="http://schemas.openxmlformats.org/officeDocument/2006/relationships/hyperlink" Target="https://www.instagram.com/gus_stat/?next" TargetMode="External"/><Relationship Id="rId36" Type="http://schemas.openxmlformats.org/officeDocument/2006/relationships/hyperlink" Target="https://bdl.stat.gov.pl/BDL/start"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linkedin.com/company/glownyurzadstatystyczny/"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hyperlink" Target="https://new.stat.gov.pl/en" TargetMode="External"/><Relationship Id="rId27" Type="http://schemas.openxmlformats.org/officeDocument/2006/relationships/image" Target="media/image11.png"/><Relationship Id="rId30" Type="http://schemas.openxmlformats.org/officeDocument/2006/relationships/hyperlink" Target="https://youtube.com/@glownyurzadstatystycznygus?si=IgHa1awoYniiJyQI" TargetMode="External"/><Relationship Id="rId35" Type="http://schemas.openxmlformats.org/officeDocument/2006/relationships/hyperlink" Target="https://dashboard.stat.gov.pl/"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header" Target="header2.xml"/><Relationship Id="rId25" Type="http://schemas.openxmlformats.org/officeDocument/2006/relationships/image" Target="media/image10.png"/><Relationship Id="rId33" Type="http://schemas.openxmlformats.org/officeDocument/2006/relationships/hyperlink" Target="https://stat.gov.pl/en/topics/economic-activities-finances/structural-changes-of-groups-of-entities-of-the-national-economy/structural-changes-of-groups-of-entities-of-the-national-economy-located-in-the-border-area-in-poland-in-the-years-2023-2024,1,10.html" TargetMode="External"/><Relationship Id="rId38" Type="http://schemas.openxmlformats.org/officeDocument/2006/relationships/hyperlink" Target="https://stat.gov.pl/en/metainformation/glossary/terms-used-in-official-statistics/817,ter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150F9-42FE-4E0A-83C4-93BD4F8EEA54}">
  <ds:schemaRefs>
    <ds:schemaRef ds:uri="http://purl.org/dc/dcmitype/"/>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317B68D2-035B-43D5-90AA-19B46C5CB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2D8543-517B-422F-8E0D-49E157D7DA6F}">
  <ds:schemaRefs>
    <ds:schemaRef ds:uri="http://schemas.microsoft.com/sharepoint/v3/contenttype/forms"/>
  </ds:schemaRefs>
</ds:datastoreItem>
</file>

<file path=customXml/itemProps4.xml><?xml version="1.0" encoding="utf-8"?>
<ds:datastoreItem xmlns:ds="http://schemas.openxmlformats.org/officeDocument/2006/customXml" ds:itemID="{7DA79BB5-4241-4BE1-A2D1-30F77C491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7</Pages>
  <Words>2021</Words>
  <Characters>12126</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Entities of the national economy in border areas in Poland in 2025</dc:title>
  <dc:subject/>
  <dc:creator>Statistics Poland</dc:creator>
  <cp:keywords/>
  <dc:description/>
  <cp:lastPrinted>2026-04-17T07:40:00Z</cp:lastPrinted>
  <dcterms:created xsi:type="dcterms:W3CDTF">2024-04-19T06:03:00Z</dcterms:created>
  <dcterms:modified xsi:type="dcterms:W3CDTF">2026-04-17T07:42:00Z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