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7D90E67" w14:textId="41D3EBE3" w:rsidR="00E95A15" w:rsidRPr="00BD215E" w:rsidRDefault="00E95A15" w:rsidP="00E95A15">
      <w:pPr>
        <w:pStyle w:val="P68B1DB1-Bezodstpw1"/>
        <w:rPr>
          <w:lang w:val="en-GB"/>
        </w:rPr>
      </w:pPr>
      <w:bookmarkStart w:id="0" w:name="_Hlk236220253"/>
      <w:bookmarkEnd w:id="0"/>
      <w:r w:rsidRPr="00BD215E">
        <w:rPr>
          <w:lang w:val="en-GB"/>
        </w:rPr>
        <w:t xml:space="preserve">Health </w:t>
      </w:r>
      <w:r w:rsidR="009B2BBB" w:rsidRPr="00BD215E">
        <w:rPr>
          <w:lang w:val="en-GB"/>
        </w:rPr>
        <w:t xml:space="preserve">care </w:t>
      </w:r>
      <w:r w:rsidRPr="00BD215E">
        <w:rPr>
          <w:lang w:val="en-GB"/>
        </w:rPr>
        <w:t xml:space="preserve">expenditure </w:t>
      </w:r>
      <w:r w:rsidR="009B2BBB" w:rsidRPr="00BD215E">
        <w:rPr>
          <w:lang w:val="en-GB"/>
        </w:rPr>
        <w:t xml:space="preserve">in </w:t>
      </w:r>
      <w:r w:rsidRPr="00BD215E">
        <w:rPr>
          <w:lang w:val="en-GB"/>
        </w:rPr>
        <w:t>2023-2025</w:t>
      </w:r>
    </w:p>
    <w:p w14:paraId="14B9013F" w14:textId="7A0D3DC0" w:rsidR="008D6303" w:rsidRPr="00BD215E" w:rsidRDefault="009B2BBB" w:rsidP="00E95A15">
      <w:pPr>
        <w:pStyle w:val="P68B1DB1-Bezodstpw1"/>
        <w:rPr>
          <w:sz w:val="16"/>
          <w:szCs w:val="16"/>
          <w:lang w:val="en-GB"/>
        </w:rPr>
      </w:pPr>
      <w:r w:rsidRPr="00BD215E">
        <w:rPr>
          <w:lang w:val="en-GB"/>
        </w:rPr>
        <w:tab/>
      </w:r>
    </w:p>
    <w:p w14:paraId="50366B61" w14:textId="2E9AB402" w:rsidR="00454DA0" w:rsidRPr="00BD215E" w:rsidRDefault="00CF53D1" w:rsidP="00CF53D1">
      <w:pPr>
        <w:suppressAutoHyphens/>
        <w:spacing w:before="0" w:after="0" w:line="240" w:lineRule="auto"/>
        <w:rPr>
          <w:lang w:val="en-GB"/>
        </w:rPr>
      </w:pPr>
      <w:r w:rsidRPr="00BD215E">
        <w:rPr>
          <w:lang w:val="en-GB"/>
        </w:rPr>
        <w:t>Th</w:t>
      </w:r>
      <w:r w:rsidR="00BD215E" w:rsidRPr="00BD215E">
        <w:rPr>
          <w:lang w:val="en-GB"/>
        </w:rPr>
        <w:t>is</w:t>
      </w:r>
      <w:r w:rsidRPr="00BD215E">
        <w:rPr>
          <w:lang w:val="en-GB"/>
        </w:rPr>
        <w:t xml:space="preserve"> statistical release presents data on health expenditure from two distinct </w:t>
      </w:r>
      <w:r w:rsidR="00BD215E" w:rsidRPr="00BD215E">
        <w:rPr>
          <w:lang w:val="en-GB"/>
        </w:rPr>
        <w:t xml:space="preserve">analytical </w:t>
      </w:r>
      <w:r w:rsidRPr="00BD215E">
        <w:rPr>
          <w:lang w:val="en-GB"/>
        </w:rPr>
        <w:t>perspectives:</w:t>
      </w:r>
    </w:p>
    <w:p w14:paraId="52C2533C" w14:textId="60AE9DE8" w:rsidR="00454DA0" w:rsidRPr="00BD215E" w:rsidRDefault="00CF53D1" w:rsidP="008E425E">
      <w:pPr>
        <w:pStyle w:val="Akapitzlist"/>
        <w:numPr>
          <w:ilvl w:val="0"/>
          <w:numId w:val="8"/>
        </w:numPr>
        <w:suppressAutoHyphens/>
        <w:spacing w:line="264" w:lineRule="auto"/>
        <w:ind w:left="357" w:hanging="357"/>
        <w:rPr>
          <w:rFonts w:eastAsia="Times New Roman" w:cs="Times New Roman"/>
          <w:b/>
          <w:szCs w:val="19"/>
          <w:lang w:val="en-GB"/>
        </w:rPr>
      </w:pPr>
      <w:r w:rsidRPr="00BD215E">
        <w:rPr>
          <w:rStyle w:val="Pogrubienie"/>
          <w:lang w:val="en-GB"/>
        </w:rPr>
        <w:t>National Health Accounts for 2023–2025</w:t>
      </w:r>
      <w:r w:rsidRPr="00BD215E">
        <w:rPr>
          <w:lang w:val="en-GB"/>
        </w:rPr>
        <w:t xml:space="preserve"> provide a comprehensive analysis of all current health expenditure incurred by public </w:t>
      </w:r>
      <w:r w:rsidR="00E1437E">
        <w:rPr>
          <w:lang w:val="en-GB"/>
        </w:rPr>
        <w:t>sector</w:t>
      </w:r>
      <w:r w:rsidRPr="00BD215E">
        <w:rPr>
          <w:lang w:val="en-GB"/>
        </w:rPr>
        <w:t xml:space="preserve">, businesses, and households. </w:t>
      </w:r>
      <w:r w:rsidR="00955CEA">
        <w:rPr>
          <w:lang w:val="en-GB"/>
        </w:rPr>
        <w:tab/>
      </w:r>
      <w:r w:rsidR="007701B0" w:rsidRPr="00BD215E">
        <w:rPr>
          <w:lang w:val="en-GB"/>
        </w:rPr>
        <w:br/>
      </w:r>
      <w:r w:rsidRPr="00BD215E">
        <w:rPr>
          <w:lang w:val="en-GB"/>
        </w:rPr>
        <w:t>The accounts are compiled by Statistics Poland (GUS) using an internationally recognised methodology that enables cross-country comparisons.</w:t>
      </w:r>
      <w:r w:rsidR="00454DA0" w:rsidRPr="00BD215E">
        <w:rPr>
          <w:rStyle w:val="Odwoanieprzypisudolnego"/>
          <w:rFonts w:eastAsia="Times New Roman" w:cs="Times New Roman"/>
          <w:szCs w:val="19"/>
          <w:lang w:val="en-GB"/>
        </w:rPr>
        <w:footnoteReference w:id="1"/>
      </w:r>
      <w:r w:rsidR="00E03D5D" w:rsidRPr="00BD215E">
        <w:rPr>
          <w:rFonts w:eastAsia="Times New Roman" w:cs="Times New Roman"/>
          <w:szCs w:val="19"/>
          <w:lang w:val="en-GB"/>
        </w:rPr>
        <w:t>,</w:t>
      </w:r>
    </w:p>
    <w:p w14:paraId="04000D53" w14:textId="608E7D6F" w:rsidR="00454DA0" w:rsidRPr="00E1437E" w:rsidRDefault="00CF53D1" w:rsidP="00E1437E">
      <w:pPr>
        <w:pStyle w:val="Akapitzlist"/>
        <w:numPr>
          <w:ilvl w:val="0"/>
          <w:numId w:val="8"/>
        </w:numPr>
        <w:suppressAutoHyphens/>
        <w:spacing w:line="264" w:lineRule="auto"/>
        <w:ind w:left="357" w:hanging="357"/>
        <w:rPr>
          <w:rFonts w:eastAsia="Times New Roman" w:cs="Times New Roman"/>
          <w:b/>
          <w:szCs w:val="19"/>
          <w:lang w:val="en-GB"/>
        </w:rPr>
      </w:pPr>
      <w:r w:rsidRPr="00BD215E">
        <w:rPr>
          <w:rStyle w:val="Pogrubienie"/>
          <w:lang w:val="en-GB"/>
        </w:rPr>
        <w:t>Public Expenditure on Health Care in 2025</w:t>
      </w:r>
      <w:r w:rsidRPr="00BD215E">
        <w:rPr>
          <w:lang w:val="en-GB"/>
        </w:rPr>
        <w:t xml:space="preserve"> is statistical </w:t>
      </w:r>
      <w:r w:rsidR="0003470D" w:rsidRPr="00BD215E">
        <w:rPr>
          <w:lang w:val="en-GB"/>
        </w:rPr>
        <w:t xml:space="preserve">summary </w:t>
      </w:r>
      <w:r w:rsidR="00E74800" w:rsidRPr="00BD215E">
        <w:rPr>
          <w:lang w:val="en-GB"/>
        </w:rPr>
        <w:t xml:space="preserve">on </w:t>
      </w:r>
      <w:r w:rsidRPr="00BD215E">
        <w:rPr>
          <w:lang w:val="en-GB"/>
        </w:rPr>
        <w:t xml:space="preserve">public expenditure on health care </w:t>
      </w:r>
      <w:r w:rsidR="00E74800" w:rsidRPr="00BD215E">
        <w:rPr>
          <w:lang w:val="en-GB"/>
        </w:rPr>
        <w:t>prepared by the Ministry of Health with the support of Statistics Poland</w:t>
      </w:r>
      <w:r w:rsidR="00BD215E" w:rsidRPr="00BD215E">
        <w:rPr>
          <w:lang w:val="en-GB"/>
        </w:rPr>
        <w:t>.</w:t>
      </w:r>
      <w:r w:rsidR="00E74800" w:rsidRPr="00BD215E">
        <w:rPr>
          <w:lang w:val="en-GB"/>
        </w:rPr>
        <w:t xml:space="preserve"> </w:t>
      </w:r>
      <w:r w:rsidR="00E74800" w:rsidRPr="00E1437E">
        <w:rPr>
          <w:lang w:val="en-GB"/>
        </w:rPr>
        <w:t xml:space="preserve">It presents </w:t>
      </w:r>
      <w:r w:rsidRPr="00E1437E">
        <w:rPr>
          <w:lang w:val="en-GB"/>
        </w:rPr>
        <w:t>both current and capital expenditur</w:t>
      </w:r>
      <w:r w:rsidR="00E74800" w:rsidRPr="00E1437E">
        <w:rPr>
          <w:lang w:val="en-GB"/>
        </w:rPr>
        <w:t>e</w:t>
      </w:r>
      <w:r w:rsidRPr="00E1437E">
        <w:rPr>
          <w:lang w:val="en-GB"/>
        </w:rPr>
        <w:t xml:space="preserve"> incurred in accordance with Article 131c of the Act on Health Care Services Financed from Public Funds. However, it does not include expenditure by local government units.</w:t>
      </w:r>
      <w:r w:rsidR="00454DA0" w:rsidRPr="00BD215E">
        <w:rPr>
          <w:rStyle w:val="Odwoanieprzypisudolnego"/>
          <w:rFonts w:eastAsia="Times New Roman" w:cs="Times New Roman"/>
          <w:szCs w:val="19"/>
          <w:lang w:val="en-GB"/>
        </w:rPr>
        <w:footnoteReference w:id="2"/>
      </w:r>
    </w:p>
    <w:p w14:paraId="64CBAB18" w14:textId="65BDDBF3" w:rsidR="00454DA0" w:rsidRPr="00BD215E" w:rsidRDefault="00454DA0" w:rsidP="008E425E">
      <w:pPr>
        <w:pStyle w:val="P68B1DB1-Bezodstpw1"/>
        <w:spacing w:before="360" w:after="120"/>
        <w:rPr>
          <w:lang w:val="en-GB"/>
        </w:rPr>
      </w:pPr>
      <w:r w:rsidRPr="00BD215E">
        <w:rPr>
          <w:lang w:val="en-GB"/>
        </w:rPr>
        <w:t xml:space="preserve">National Health Account </w:t>
      </w:r>
      <w:r w:rsidR="00260911" w:rsidRPr="00BD215E">
        <w:rPr>
          <w:lang w:val="en-GB"/>
        </w:rPr>
        <w:t xml:space="preserve">for </w:t>
      </w:r>
      <w:r w:rsidRPr="00BD215E">
        <w:rPr>
          <w:lang w:val="en-GB"/>
        </w:rPr>
        <w:t>2023-2025</w:t>
      </w:r>
    </w:p>
    <w:p w14:paraId="66008B5C" w14:textId="7A025F24" w:rsidR="00393761" w:rsidRPr="00BD215E" w:rsidRDefault="00393761" w:rsidP="008E425E">
      <w:pPr>
        <w:pStyle w:val="Tytuinfomacjisygnalnej"/>
        <w:tabs>
          <w:tab w:val="left" w:pos="3163"/>
        </w:tabs>
        <w:spacing w:before="0" w:after="120"/>
        <w:rPr>
          <w:sz w:val="2"/>
          <w:szCs w:val="2"/>
          <w:lang w:val="en-GB"/>
        </w:rPr>
      </w:pPr>
    </w:p>
    <w:p w14:paraId="1C2CABEB" w14:textId="05E4DEA2" w:rsidR="004168DC" w:rsidRPr="00BD215E" w:rsidRDefault="00D82FEA" w:rsidP="008E425E">
      <w:pPr>
        <w:pStyle w:val="Lead"/>
        <w:suppressAutoHyphens/>
        <w:spacing w:before="0" w:after="0" w:line="240" w:lineRule="auto"/>
        <w:rPr>
          <w:noProof w:val="0"/>
          <w:szCs w:val="22"/>
          <w:lang w:val="en-GB"/>
        </w:rPr>
      </w:pPr>
      <w:r w:rsidRPr="00BD215E">
        <w:rPr>
          <w:color w:val="001D77"/>
          <w:lang w:val="en-GB"/>
        </w:rPr>
        <mc:AlternateContent>
          <mc:Choice Requires="wps">
            <w:drawing>
              <wp:anchor distT="45720" distB="45720" distL="114300" distR="114300" simplePos="0" relativeHeight="251759616" behindDoc="0" locked="0" layoutInCell="1" allowOverlap="1" wp14:anchorId="15C529A5" wp14:editId="70C7F2F9">
                <wp:simplePos x="0" y="0"/>
                <wp:positionH relativeFrom="margin">
                  <wp:posOffset>3175</wp:posOffset>
                </wp:positionH>
                <wp:positionV relativeFrom="paragraph">
                  <wp:posOffset>5080</wp:posOffset>
                </wp:positionV>
                <wp:extent cx="2204085" cy="1229995"/>
                <wp:effectExtent l="0" t="0" r="5715" b="8255"/>
                <wp:wrapSquare wrapText="bothSides"/>
                <wp:docPr id="6" name="Pole tekstowe 2" descr="Estimated increase by 21.0 % current health expenditure in 2025 compared to 20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4085" cy="1229995"/>
                        </a:xfrm>
                        <a:prstGeom prst="roundRect">
                          <a:avLst/>
                        </a:prstGeom>
                        <a:solidFill>
                          <a:srgbClr val="001D77"/>
                        </a:solidFill>
                        <a:ln w="9525">
                          <a:noFill/>
                          <a:miter lim="800000"/>
                          <a:headEnd/>
                          <a:tailEnd/>
                        </a:ln>
                      </wps:spPr>
                      <wps:txbx>
                        <w:txbxContent>
                          <w:p w14:paraId="701C9349" w14:textId="056900DC" w:rsidR="0001348A" w:rsidRPr="00CF7C09" w:rsidRDefault="0001348A" w:rsidP="00D82FEA">
                            <w:pPr>
                              <w:autoSpaceDE w:val="0"/>
                              <w:autoSpaceDN w:val="0"/>
                              <w:adjustRightInd w:val="0"/>
                              <w:spacing w:before="0" w:after="0" w:line="240" w:lineRule="auto"/>
                              <w:rPr>
                                <w:rFonts w:ascii="Fira Sans SemiBold" w:hAnsi="Fira Sans SemiBold"/>
                                <w:color w:val="FFFFFF" w:themeColor="background1"/>
                                <w:sz w:val="72"/>
                                <w:szCs w:val="72"/>
                                <w:lang w:val="en-GB"/>
                              </w:rPr>
                            </w:pPr>
                            <w:r w:rsidRPr="004B4292">
                              <w:rPr>
                                <w:rStyle w:val="IkonawskanikaZnak"/>
                                <w:sz w:val="76"/>
                                <w:szCs w:val="76"/>
                              </w:rPr>
                              <w:sym w:font="Wingdings" w:char="F0F1"/>
                            </w:r>
                            <w:r>
                              <w:rPr>
                                <w:rStyle w:val="WartowskanikaZnak"/>
                                <w:sz w:val="72"/>
                                <w:szCs w:val="72"/>
                                <w:lang w:val="en-GB"/>
                              </w:rPr>
                              <w:t>21.0</w:t>
                            </w:r>
                            <w:r w:rsidRPr="00CF7C09">
                              <w:rPr>
                                <w:rStyle w:val="WartowskanikaZnak"/>
                                <w:sz w:val="72"/>
                                <w:szCs w:val="72"/>
                                <w:lang w:val="en-GB"/>
                              </w:rPr>
                              <w:t>%</w:t>
                            </w:r>
                          </w:p>
                          <w:p w14:paraId="07918DB4" w14:textId="77777777" w:rsidR="0001348A" w:rsidRDefault="0001348A" w:rsidP="00E25593">
                            <w:pPr>
                              <w:pStyle w:val="P68B1DB1-Normalny3"/>
                              <w:suppressAutoHyphens/>
                              <w:spacing w:before="0" w:after="0" w:line="240" w:lineRule="auto"/>
                              <w:rPr>
                                <w:sz w:val="18"/>
                              </w:rPr>
                            </w:pPr>
                            <w:r>
                              <w:t>Estimated increase in current health expenditure in 2025 compared to 2024</w:t>
                            </w:r>
                          </w:p>
                          <w:p w14:paraId="2488C932" w14:textId="77777777" w:rsidR="0001348A" w:rsidRPr="0055005F" w:rsidRDefault="0001348A" w:rsidP="00D82FEA">
                            <w:pPr>
                              <w:pStyle w:val="Opiswskanika"/>
                              <w:rPr>
                                <w:sz w:val="18"/>
                                <w:szCs w:val="20"/>
                                <w:lang w:val="en"/>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15C529A5" id="Pole tekstowe 2" o:spid="_x0000_s1026" alt="Estimated increase by 21.0 % current health expenditure in 2025 compared to 2024" style="position:absolute;margin-left:.25pt;margin-top:.4pt;width:173.55pt;height:96.85pt;z-index:2517596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" fillcolor="#001d77" stroked="f">
                <v:stroke joinstyle="miter"/>
                <v:textbox>
                  <w:txbxContent>
                    <w:p w14:paraId="701C9349" w14:textId="056900DC" w:rsidR="0001348A" w:rsidRPr="00CF7C09" w:rsidRDefault="0001348A" w:rsidP="00D82FEA">
                      <w:pPr>
                        <w:autoSpaceDE w:val="0"/>
                        <w:autoSpaceDN w:val="0"/>
                        <w:adjustRightInd w:val="0"/>
                        <w:spacing w:before="0" w:after="0" w:line="240" w:lineRule="auto"/>
                        <w:rPr>
                          <w:rFonts w:ascii="Fira Sans SemiBold" w:hAnsi="Fira Sans SemiBold"/>
                          <w:color w:val="FFFFFF" w:themeColor="background1"/>
                          <w:sz w:val="72"/>
                          <w:szCs w:val="72"/>
                          <w:lang w:val="en-GB"/>
                        </w:rPr>
                      </w:pPr>
                      <w:r w:rsidRPr="004B4292">
                        <w:rPr>
                          <w:rStyle w:val="IkonawskanikaZnak"/>
                          <w:sz w:val="76"/>
                          <w:szCs w:val="76"/>
                        </w:rPr>
                        <w:sym w:font="Wingdings" w:char="F0F1"/>
                      </w:r>
                      <w:r>
                        <w:rPr>
                          <w:rStyle w:val="WartowskanikaZnak"/>
                          <w:sz w:val="72"/>
                          <w:szCs w:val="72"/>
                          <w:lang w:val="en-GB"/>
                        </w:rPr>
                        <w:t>21.0</w:t>
                      </w:r>
                      <w:r w:rsidRPr="00CF7C09">
                        <w:rPr>
                          <w:rStyle w:val="WartowskanikaZnak"/>
                          <w:sz w:val="72"/>
                          <w:szCs w:val="72"/>
                          <w:lang w:val="en-GB"/>
                        </w:rPr>
                        <w:t>%</w:t>
                      </w:r>
                    </w:p>
                    <w:p w14:paraId="07918DB4" w14:textId="77777777" w:rsidR="0001348A" w:rsidRDefault="0001348A" w:rsidP="00E25593">
                      <w:pPr>
                        <w:pStyle w:val="P68B1DB1-Normalny3"/>
                        <w:suppressAutoHyphens/>
                        <w:spacing w:before="0" w:after="0" w:line="240" w:lineRule="auto"/>
                        <w:rPr>
                          <w:sz w:val="18"/>
                        </w:rPr>
                      </w:pPr>
                      <w:r>
                        <w:t>Estimated increase in current health expenditure in 2025 compared to 2024</w:t>
                      </w:r>
                    </w:p>
                    <w:p w14:paraId="2488C932" w14:textId="77777777" w:rsidR="0001348A" w:rsidRPr="0055005F" w:rsidRDefault="0001348A" w:rsidP="00D82FEA">
                      <w:pPr>
                        <w:pStyle w:val="Opiswskanika"/>
                        <w:rPr>
                          <w:sz w:val="18"/>
                          <w:szCs w:val="20"/>
                          <w:lang w:val="en"/>
                        </w:rPr>
                      </w:pPr>
                    </w:p>
                  </w:txbxContent>
                </v:textbox>
                <w10:wrap type="square" anchorx="margin"/>
              </v:roundrect>
            </w:pict>
          </mc:Fallback>
        </mc:AlternateContent>
      </w:r>
      <w:r w:rsidR="004168DC" w:rsidRPr="00BD215E">
        <w:rPr>
          <w:noProof w:val="0"/>
          <w:lang w:val="en-GB"/>
        </w:rPr>
        <w:t xml:space="preserve">According to preliminary estimates, national current expenditure on health care in 2025 amounted to PLN 348.0 billion, representing </w:t>
      </w:r>
      <w:r w:rsidR="006C59CC" w:rsidRPr="00BD215E">
        <w:rPr>
          <w:noProof w:val="0"/>
          <w:lang w:val="en-GB"/>
        </w:rPr>
        <w:br/>
      </w:r>
      <w:r w:rsidR="004168DC" w:rsidRPr="00BD215E">
        <w:rPr>
          <w:noProof w:val="0"/>
          <w:lang w:val="en-GB"/>
        </w:rPr>
        <w:t>8.9% of gross domestic product</w:t>
      </w:r>
      <w:r w:rsidR="004168DC" w:rsidRPr="00BD215E">
        <w:rPr>
          <w:rStyle w:val="Odwoanieprzypisudolnego"/>
          <w:noProof w:val="0"/>
          <w:lang w:val="en-GB"/>
        </w:rPr>
        <w:footnoteReference w:id="3"/>
      </w:r>
      <w:r w:rsidR="004168DC" w:rsidRPr="00BD215E">
        <w:rPr>
          <w:noProof w:val="0"/>
          <w:lang w:val="en-GB"/>
        </w:rPr>
        <w:t xml:space="preserve">. </w:t>
      </w:r>
      <w:r w:rsidR="004168DC" w:rsidRPr="00BD215E">
        <w:rPr>
          <w:noProof w:val="0"/>
          <w:szCs w:val="22"/>
          <w:lang w:val="en-GB"/>
        </w:rPr>
        <w:t xml:space="preserve">Compared </w:t>
      </w:r>
      <w:r w:rsidR="007701B0" w:rsidRPr="00BD215E">
        <w:rPr>
          <w:noProof w:val="0"/>
          <w:szCs w:val="22"/>
          <w:lang w:val="en-GB"/>
        </w:rPr>
        <w:br/>
      </w:r>
      <w:r w:rsidR="004168DC" w:rsidRPr="00BD215E">
        <w:rPr>
          <w:noProof w:val="0"/>
          <w:szCs w:val="22"/>
          <w:lang w:val="en-GB"/>
        </w:rPr>
        <w:t>to 2024, they increased by PLN 60.4 billion</w:t>
      </w:r>
      <w:r w:rsidR="005C5C75" w:rsidRPr="00BD215E">
        <w:rPr>
          <w:noProof w:val="0"/>
          <w:szCs w:val="22"/>
          <w:vertAlign w:val="superscript"/>
          <w:lang w:val="en-GB"/>
        </w:rPr>
        <w:footnoteReference w:id="4"/>
      </w:r>
      <w:r w:rsidR="004168DC" w:rsidRPr="00BD215E">
        <w:rPr>
          <w:noProof w:val="0"/>
          <w:szCs w:val="22"/>
          <w:lang w:val="en-GB"/>
        </w:rPr>
        <w:t xml:space="preserve">, </w:t>
      </w:r>
      <w:r w:rsidR="00955CEA">
        <w:rPr>
          <w:noProof w:val="0"/>
          <w:szCs w:val="22"/>
          <w:lang w:val="en-GB"/>
        </w:rPr>
        <w:br/>
      </w:r>
      <w:r w:rsidR="004168DC" w:rsidRPr="00BD215E">
        <w:rPr>
          <w:noProof w:val="0"/>
          <w:szCs w:val="22"/>
          <w:lang w:val="en-GB"/>
        </w:rPr>
        <w:t xml:space="preserve">i.e. by 21.0%. Expenditures from the compulsory contributory health insurance system had the highest dynamics (an increase of PLN 42.3 billion, </w:t>
      </w:r>
      <w:r w:rsidR="004168DC" w:rsidRPr="00BD215E">
        <w:rPr>
          <w:noProof w:val="0"/>
          <w:szCs w:val="22"/>
          <w:lang w:val="en-GB"/>
        </w:rPr>
        <w:br/>
      </w:r>
      <w:r w:rsidR="00923BE9" w:rsidRPr="00BD215E">
        <w:rPr>
          <w:noProof w:val="0"/>
          <w:szCs w:val="22"/>
          <w:lang w:val="en-GB"/>
        </w:rPr>
        <w:t>t</w:t>
      </w:r>
      <w:r w:rsidR="004168DC" w:rsidRPr="00BD215E">
        <w:rPr>
          <w:noProof w:val="0"/>
          <w:szCs w:val="22"/>
          <w:lang w:val="en-GB"/>
        </w:rPr>
        <w:t>his is 24.6%</w:t>
      </w:r>
      <w:r w:rsidR="00BF58C4" w:rsidRPr="00BD215E">
        <w:rPr>
          <w:noProof w:val="0"/>
          <w:szCs w:val="22"/>
          <w:lang w:val="en-GB"/>
        </w:rPr>
        <w:t>).</w:t>
      </w:r>
    </w:p>
    <w:p w14:paraId="5377248D" w14:textId="6C517E92" w:rsidR="00320A07" w:rsidRPr="00BD215E" w:rsidRDefault="006C59CC" w:rsidP="00955CEA">
      <w:pPr>
        <w:suppressAutoHyphens/>
        <w:spacing w:before="240" w:line="264" w:lineRule="auto"/>
        <w:rPr>
          <w:spacing w:val="-2"/>
          <w:lang w:val="en-GB"/>
        </w:rPr>
      </w:pPr>
      <w:r w:rsidRPr="00BD215E">
        <w:rPr>
          <w:spacing w:val="-2"/>
          <w:lang w:val="en-GB"/>
        </w:rPr>
        <w:t>According to preliminary estimates, current health expenditure (public and private) in Poland amounted to PLN 348.0 billion in 2025, accounting for 8.9% of the preliminarily estimated gross domestic product (GDP).</w:t>
      </w:r>
      <w:r w:rsidR="00955CEA">
        <w:rPr>
          <w:spacing w:val="-2"/>
          <w:lang w:val="en-GB"/>
        </w:rPr>
        <w:t xml:space="preserve"> </w:t>
      </w:r>
      <w:r w:rsidRPr="00BD215E">
        <w:rPr>
          <w:spacing w:val="-2"/>
          <w:lang w:val="en-GB"/>
        </w:rPr>
        <w:t xml:space="preserve">A comparison of this </w:t>
      </w:r>
      <w:r w:rsidR="00955CEA">
        <w:rPr>
          <w:spacing w:val="-2"/>
          <w:lang w:val="en-GB"/>
        </w:rPr>
        <w:t xml:space="preserve">last figure with </w:t>
      </w:r>
      <w:r w:rsidRPr="00BD215E">
        <w:rPr>
          <w:spacing w:val="-2"/>
          <w:lang w:val="en-GB"/>
        </w:rPr>
        <w:t xml:space="preserve">the </w:t>
      </w:r>
      <w:r w:rsidR="00BB23A9">
        <w:rPr>
          <w:spacing w:val="-2"/>
          <w:lang w:val="en-GB"/>
        </w:rPr>
        <w:t xml:space="preserve">relevant indicator representing </w:t>
      </w:r>
      <w:r w:rsidRPr="00BD215E">
        <w:rPr>
          <w:spacing w:val="-2"/>
          <w:lang w:val="en-GB"/>
        </w:rPr>
        <w:t>for 26 European OECD countries, as well as with selected countries representing the highest and lowest levels of health expenditure as a share of GDP and those closer to the OECD average, indicates a relatively strong increase in the value of health care services and medical goods consumed in Poland</w:t>
      </w:r>
      <w:r w:rsidR="00BB23A9">
        <w:rPr>
          <w:spacing w:val="-2"/>
          <w:lang w:val="en-GB"/>
        </w:rPr>
        <w:t xml:space="preserve"> in recent years</w:t>
      </w:r>
      <w:r w:rsidRPr="00BD215E">
        <w:rPr>
          <w:spacing w:val="-2"/>
          <w:lang w:val="en-GB"/>
        </w:rPr>
        <w:t>.</w:t>
      </w:r>
    </w:p>
    <w:p w14:paraId="17D70258" w14:textId="77777777" w:rsidR="006C59CC" w:rsidRPr="00BD215E" w:rsidRDefault="006C59CC" w:rsidP="008E425E">
      <w:pPr>
        <w:suppressAutoHyphens/>
        <w:spacing w:before="0" w:line="264" w:lineRule="auto"/>
        <w:rPr>
          <w:lang w:val="en-GB"/>
        </w:rPr>
      </w:pPr>
      <w:r w:rsidRPr="00BD215E">
        <w:rPr>
          <w:lang w:val="en-GB"/>
        </w:rPr>
        <w:t xml:space="preserve">Until 2021, current health expenditure in Poland fluctuated between 6.3% and 6.5% of GDP, placing the country among the two </w:t>
      </w:r>
      <w:r w:rsidRPr="00BD215E">
        <w:rPr>
          <w:spacing w:val="-2"/>
          <w:lang w:val="en-GB"/>
        </w:rPr>
        <w:t>to</w:t>
      </w:r>
      <w:r w:rsidRPr="00BD215E">
        <w:rPr>
          <w:lang w:val="en-GB"/>
        </w:rPr>
        <w:t xml:space="preserve"> five lowest-ranking of the 26 European OECD countries and more than 2 percentage points below the average for this group.</w:t>
      </w:r>
    </w:p>
    <w:p w14:paraId="2E81B366" w14:textId="77777777" w:rsidR="006C59CC" w:rsidRPr="00BD215E" w:rsidRDefault="006C59CC" w:rsidP="006C59CC">
      <w:pPr>
        <w:suppressAutoHyphens/>
        <w:rPr>
          <w:lang w:val="en-GB"/>
        </w:rPr>
      </w:pPr>
    </w:p>
    <w:p w14:paraId="40CC2A32" w14:textId="0893E579" w:rsidR="006C59CC" w:rsidRPr="00BD215E" w:rsidRDefault="006C59CC" w:rsidP="006C59CC">
      <w:pPr>
        <w:suppressAutoHyphens/>
        <w:rPr>
          <w:lang w:val="en-GB"/>
        </w:rPr>
      </w:pPr>
      <w:r w:rsidRPr="00BD215E">
        <w:rPr>
          <w:lang w:val="en-GB"/>
        </w:rPr>
        <w:lastRenderedPageBreak/>
        <w:t>During the COVID-19 pandemic</w:t>
      </w:r>
      <w:r w:rsidR="00F97CD6">
        <w:rPr>
          <w:lang w:val="en-GB"/>
        </w:rPr>
        <w:t xml:space="preserve"> (2020-2022)</w:t>
      </w:r>
      <w:r w:rsidRPr="00BD215E">
        <w:rPr>
          <w:lang w:val="en-GB"/>
        </w:rPr>
        <w:t xml:space="preserve">, health expenditure increased in many countries, whereas in Poland it remained at a comparatively low level. A marked increase in current health expenditure has been observed in Poland </w:t>
      </w:r>
      <w:r w:rsidR="009D101F">
        <w:rPr>
          <w:lang w:val="en-GB"/>
        </w:rPr>
        <w:t>in</w:t>
      </w:r>
      <w:r w:rsidRPr="00BD215E">
        <w:rPr>
          <w:lang w:val="en-GB"/>
        </w:rPr>
        <w:t xml:space="preserve"> three years.</w:t>
      </w:r>
    </w:p>
    <w:p w14:paraId="521552CF" w14:textId="4BC2AA87" w:rsidR="006C59CC" w:rsidRPr="00BD215E" w:rsidRDefault="006C59CC" w:rsidP="006C59CC">
      <w:pPr>
        <w:pStyle w:val="P68B1DB1-Normalny4"/>
        <w:spacing w:after="0" w:line="240" w:lineRule="auto"/>
        <w:rPr>
          <w:lang w:val="en-GB"/>
        </w:rPr>
      </w:pPr>
      <w:r w:rsidRPr="00BD215E">
        <w:rPr>
          <w:noProof/>
          <w:lang w:val="en-GB"/>
        </w:rPr>
        <w:drawing>
          <wp:anchor distT="0" distB="0" distL="114300" distR="114300" simplePos="0" relativeHeight="251780096" behindDoc="0" locked="0" layoutInCell="1" allowOverlap="1" wp14:anchorId="0C2A1935" wp14:editId="03B1FBA7">
            <wp:simplePos x="0" y="0"/>
            <wp:positionH relativeFrom="column">
              <wp:posOffset>34290</wp:posOffset>
            </wp:positionH>
            <wp:positionV relativeFrom="paragraph">
              <wp:posOffset>193675</wp:posOffset>
            </wp:positionV>
            <wp:extent cx="4987290" cy="2084705"/>
            <wp:effectExtent l="0" t="0" r="3810" b="0"/>
            <wp:wrapTopAndBottom/>
            <wp:docPr id="20" name="Obraz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987290" cy="2084705"/>
                    </a:xfrm>
                    <a:prstGeom prst="rect">
                      <a:avLst/>
                    </a:prstGeom>
                  </pic:spPr>
                </pic:pic>
              </a:graphicData>
            </a:graphic>
            <wp14:sizeRelH relativeFrom="margin">
              <wp14:pctWidth>0</wp14:pctWidth>
            </wp14:sizeRelH>
            <wp14:sizeRelV relativeFrom="margin">
              <wp14:pctHeight>0</wp14:pctHeight>
            </wp14:sizeRelV>
          </wp:anchor>
        </w:drawing>
      </w:r>
      <w:r w:rsidRPr="00BD215E">
        <w:rPr>
          <w:lang w:val="en-GB"/>
        </w:rPr>
        <w:t xml:space="preserve">Chart 1. Current expenditure on health care in </w:t>
      </w:r>
      <w:r w:rsidR="00E853E9" w:rsidRPr="00BD215E">
        <w:rPr>
          <w:lang w:val="en-GB"/>
        </w:rPr>
        <w:t xml:space="preserve">selected </w:t>
      </w:r>
      <w:r w:rsidRPr="00BD215E">
        <w:rPr>
          <w:lang w:val="en-GB"/>
        </w:rPr>
        <w:t>European OECD countries</w:t>
      </w:r>
    </w:p>
    <w:p w14:paraId="5B7100FE" w14:textId="4AA859EC" w:rsidR="006C59CC" w:rsidRPr="00BD215E" w:rsidRDefault="006C59CC" w:rsidP="006C59CC">
      <w:pPr>
        <w:pStyle w:val="P68B1DB1-Normalny4"/>
        <w:spacing w:after="0" w:line="240" w:lineRule="auto"/>
        <w:rPr>
          <w:b w:val="0"/>
          <w:sz w:val="16"/>
          <w:szCs w:val="16"/>
          <w:lang w:val="en-GB"/>
        </w:rPr>
      </w:pPr>
      <w:r w:rsidRPr="00BD215E">
        <w:rPr>
          <w:b w:val="0"/>
          <w:sz w:val="16"/>
          <w:szCs w:val="16"/>
          <w:lang w:val="en-GB"/>
        </w:rPr>
        <w:t>Based on OECD Data Explorer (</w:t>
      </w:r>
      <w:hyperlink r:id="rId12" w:history="1">
        <w:r w:rsidRPr="00BD215E">
          <w:rPr>
            <w:rStyle w:val="Hipercze"/>
            <w:rFonts w:cstheme="minorBidi"/>
            <w:b w:val="0"/>
            <w:sz w:val="16"/>
            <w:szCs w:val="16"/>
            <w:lang w:val="en-GB"/>
          </w:rPr>
          <w:t>https://data-explorer.oecd.org/</w:t>
        </w:r>
      </w:hyperlink>
      <w:r w:rsidR="009D101F">
        <w:rPr>
          <w:b w:val="0"/>
          <w:sz w:val="16"/>
          <w:szCs w:val="16"/>
          <w:lang w:val="en-GB"/>
        </w:rPr>
        <w:t xml:space="preserve">); accessed on </w:t>
      </w:r>
      <w:r w:rsidRPr="00BD215E">
        <w:rPr>
          <w:b w:val="0"/>
          <w:sz w:val="16"/>
          <w:szCs w:val="16"/>
          <w:lang w:val="en-GB"/>
        </w:rPr>
        <w:t>27.07.2026.</w:t>
      </w:r>
    </w:p>
    <w:p w14:paraId="34770BD7" w14:textId="4B98F4A6" w:rsidR="006C59CC" w:rsidRPr="00BD215E" w:rsidRDefault="006C59CC" w:rsidP="006C59CC">
      <w:pPr>
        <w:suppressAutoHyphens/>
        <w:rPr>
          <w:lang w:val="en-GB"/>
        </w:rPr>
      </w:pPr>
      <w:r w:rsidRPr="00BD215E">
        <w:rPr>
          <w:lang w:val="en-GB"/>
        </w:rPr>
        <w:t xml:space="preserve">If the preliminary estimates are confirmed, current health expenditure as a share of GDP </w:t>
      </w:r>
      <w:r w:rsidR="00E853E9" w:rsidRPr="00BD215E">
        <w:rPr>
          <w:lang w:val="en-GB"/>
        </w:rPr>
        <w:br/>
      </w:r>
      <w:r w:rsidRPr="00BD215E">
        <w:rPr>
          <w:lang w:val="en-GB"/>
        </w:rPr>
        <w:t xml:space="preserve">in Poland would be only 0.5 percentage points below the average for the European OECD countries. This would bring Poland closer to countries such as the Czech Republic, Spain </w:t>
      </w:r>
      <w:r w:rsidR="00E853E9" w:rsidRPr="00BD215E">
        <w:rPr>
          <w:lang w:val="en-GB"/>
        </w:rPr>
        <w:br/>
      </w:r>
      <w:r w:rsidRPr="00BD215E">
        <w:rPr>
          <w:lang w:val="en-GB"/>
        </w:rPr>
        <w:t>and Italy in terms of the share of current health expenditure in GDP.</w:t>
      </w:r>
    </w:p>
    <w:p w14:paraId="3A8C4553" w14:textId="77777777" w:rsidR="000818B4" w:rsidRPr="00BD215E" w:rsidRDefault="000818B4" w:rsidP="000818B4">
      <w:pPr>
        <w:pStyle w:val="P68B1DB1-Normalny5"/>
        <w:suppressAutoHyphens/>
        <w:spacing w:before="240" w:line="288" w:lineRule="auto"/>
        <w:rPr>
          <w:bCs/>
          <w:lang w:val="en-GB"/>
        </w:rPr>
      </w:pPr>
      <w:r w:rsidRPr="00BD215E">
        <w:rPr>
          <w:lang w:val="en-GB"/>
        </w:rPr>
        <w:t>Current expenditure on health care 2013-2025</w:t>
      </w:r>
    </w:p>
    <w:p w14:paraId="1CF44B69" w14:textId="77777777" w:rsidR="00473B93" w:rsidRDefault="000818B4" w:rsidP="00473B93">
      <w:pPr>
        <w:spacing w:before="0"/>
        <w:rPr>
          <w:lang w:val="en-GB"/>
        </w:rPr>
      </w:pPr>
      <w:r w:rsidRPr="00BD215E">
        <w:rPr>
          <w:rFonts w:asciiTheme="minorHAnsi" w:hAnsiTheme="minorHAnsi"/>
          <w:noProof/>
          <w:color w:val="212492"/>
          <w:sz w:val="22"/>
          <w:lang w:val="en-GB"/>
        </w:rPr>
        <mc:AlternateContent>
          <mc:Choice Requires="wps">
            <w:drawing>
              <wp:anchor distT="45720" distB="45720" distL="114300" distR="114300" simplePos="0" relativeHeight="251761664" behindDoc="0" locked="0" layoutInCell="1" allowOverlap="1" wp14:anchorId="32ADFD97" wp14:editId="1C962307">
                <wp:simplePos x="0" y="0"/>
                <wp:positionH relativeFrom="page">
                  <wp:posOffset>5691017</wp:posOffset>
                </wp:positionH>
                <wp:positionV relativeFrom="paragraph">
                  <wp:posOffset>633730</wp:posOffset>
                </wp:positionV>
                <wp:extent cx="1747520" cy="843280"/>
                <wp:effectExtent l="0" t="0" r="0" b="0"/>
                <wp:wrapNone/>
                <wp:docPr id="30" name="Text field 2" descr="National current expenditure on health increased by 202.1% between 2015 and 20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7520" cy="843280"/>
                        </a:xfrm>
                        <a:prstGeom prst="rect">
                          <a:avLst/>
                        </a:prstGeom>
                        <a:noFill/>
                        <a:ln w="9525">
                          <a:noFill/>
                          <a:miter lim="800000"/>
                          <a:headEnd/>
                          <a:tailEnd/>
                        </a:ln>
                      </wps:spPr>
                      <wps:txbx>
                        <w:txbxContent>
                          <w:p w14:paraId="0ED272D6" w14:textId="77777777" w:rsidR="0001348A" w:rsidRDefault="0001348A" w:rsidP="000818B4">
                            <w:pPr>
                              <w:pStyle w:val="P68B1DB1-tekstzboku6"/>
                              <w:spacing w:before="0"/>
                              <w:rPr>
                                <w:color w:val="1F4E79" w:themeColor="accent1" w:themeShade="80"/>
                              </w:rPr>
                            </w:pPr>
                            <w:r>
                              <w:t>National current expenditure on health increased by 202.1% between 2015 and 2025.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2ADFD97" id="_x0000_t202" coordsize="21600,21600" o:spt="202" path="m,l,21600r21600,l21600,xe">
                <v:stroke joinstyle="miter"/>
                <v:path gradientshapeok="t" o:connecttype="rect"/>
              </v:shapetype>
              <v:shape id="Text field 2" o:spid="_x0000_s1027" type="#_x0000_t202" alt="National current expenditure on health increased by 202.1% between 2015 and 2025." style="position:absolute;margin-left:448.1pt;margin-top:49.9pt;width:137.6pt;height:66.4pt;z-index:251761664;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" filled="f" stroked="f">
                <v:textbox>
                  <w:txbxContent>
                    <w:p w14:paraId="0ED272D6" w14:textId="77777777" w:rsidR="0001348A" w:rsidRDefault="0001348A" w:rsidP="000818B4">
                      <w:pPr>
                        <w:pStyle w:val="P68B1DB1-tekstzboku6"/>
                        <w:spacing w:before="0"/>
                        <w:rPr>
                          <w:color w:val="1F4E79" w:themeColor="accent1" w:themeShade="80"/>
                        </w:rPr>
                      </w:pPr>
                      <w:r>
                        <w:t>National current expenditure on health increased by 202.1% between 2015 and 2025.</w:t>
                      </w:r>
                    </w:p>
                  </w:txbxContent>
                </v:textbox>
                <w10:wrap anchorx="page"/>
              </v:shape>
            </w:pict>
          </mc:Fallback>
        </mc:AlternateContent>
      </w:r>
      <w:r w:rsidR="00100F92" w:rsidRPr="00BD215E">
        <w:rPr>
          <w:lang w:val="en-GB"/>
        </w:rPr>
        <w:t>Chart</w:t>
      </w:r>
      <w:r w:rsidRPr="00BD215E">
        <w:rPr>
          <w:lang w:val="en-GB"/>
        </w:rPr>
        <w:t xml:space="preserve"> 1 shows </w:t>
      </w:r>
      <w:r w:rsidR="009D101F">
        <w:rPr>
          <w:lang w:val="en-GB"/>
        </w:rPr>
        <w:t xml:space="preserve">that </w:t>
      </w:r>
      <w:r w:rsidRPr="00BD215E">
        <w:rPr>
          <w:lang w:val="en-GB"/>
        </w:rPr>
        <w:t xml:space="preserve">an increase in national current expenditure on health care in relation to GDP was associated with a very dynamic increase in these expenditures expressed in </w:t>
      </w:r>
      <w:r w:rsidR="00285F89" w:rsidRPr="00BD215E">
        <w:rPr>
          <w:lang w:val="en-GB"/>
        </w:rPr>
        <w:t>PLN</w:t>
      </w:r>
      <w:r w:rsidRPr="00BD215E">
        <w:rPr>
          <w:lang w:val="en-GB"/>
        </w:rPr>
        <w:t xml:space="preserve">. </w:t>
      </w:r>
      <w:r w:rsidR="007701B0" w:rsidRPr="00BD215E">
        <w:rPr>
          <w:lang w:val="en-GB"/>
        </w:rPr>
        <w:br/>
      </w:r>
      <w:r w:rsidRPr="00BD215E">
        <w:rPr>
          <w:lang w:val="en-GB"/>
        </w:rPr>
        <w:t>Between 201</w:t>
      </w:r>
      <w:r w:rsidR="009D101F">
        <w:rPr>
          <w:lang w:val="en-GB"/>
        </w:rPr>
        <w:t>5</w:t>
      </w:r>
      <w:r w:rsidRPr="00BD215E">
        <w:rPr>
          <w:lang w:val="en-GB"/>
        </w:rPr>
        <w:t xml:space="preserve"> and 202</w:t>
      </w:r>
      <w:r w:rsidR="009D101F">
        <w:rPr>
          <w:lang w:val="en-GB"/>
        </w:rPr>
        <w:t>5</w:t>
      </w:r>
      <w:r w:rsidRPr="00BD215E">
        <w:rPr>
          <w:lang w:val="en-GB"/>
        </w:rPr>
        <w:t xml:space="preserve">, this expenditure (in current prices) increased by 130.9% or more than 2 times. </w:t>
      </w:r>
    </w:p>
    <w:p w14:paraId="324C42DE" w14:textId="6675C46F" w:rsidR="000818B4" w:rsidRPr="00BD215E" w:rsidRDefault="000818B4" w:rsidP="00473B93">
      <w:pPr>
        <w:spacing w:before="0"/>
        <w:rPr>
          <w:lang w:val="en-GB"/>
        </w:rPr>
      </w:pPr>
      <w:r w:rsidRPr="00BD215E">
        <w:rPr>
          <w:lang w:val="en-GB"/>
        </w:rPr>
        <w:t xml:space="preserve">Taking into account preliminary data for 2024 and preliminary estimates for 2025, current health expenditure increased by 202.1%, or more than 3 times, between 2015 and 2025. </w:t>
      </w:r>
      <w:r w:rsidR="00473B93">
        <w:rPr>
          <w:lang w:val="en-GB"/>
        </w:rPr>
        <w:br/>
      </w:r>
      <w:r w:rsidRPr="00BD215E">
        <w:rPr>
          <w:lang w:val="en-GB"/>
        </w:rPr>
        <w:t xml:space="preserve">The largest year-on-year increases were recorded </w:t>
      </w:r>
      <w:r w:rsidR="009D101F">
        <w:rPr>
          <w:lang w:val="en-GB"/>
        </w:rPr>
        <w:t xml:space="preserve">between </w:t>
      </w:r>
      <w:r w:rsidRPr="00BD215E">
        <w:rPr>
          <w:lang w:val="en-GB"/>
        </w:rPr>
        <w:t>2022</w:t>
      </w:r>
      <w:r w:rsidR="009D101F">
        <w:rPr>
          <w:lang w:val="en-GB"/>
        </w:rPr>
        <w:t xml:space="preserve"> and </w:t>
      </w:r>
      <w:r w:rsidRPr="00BD215E">
        <w:rPr>
          <w:lang w:val="en-GB"/>
        </w:rPr>
        <w:t xml:space="preserve">2025 (by 19.9%, 18.4%, 18.0%, 21.0%, respectively). However, it should be taken into account that 2022 and 2023 saw the highest inflation </w:t>
      </w:r>
      <w:r w:rsidR="0051512F">
        <w:rPr>
          <w:lang w:val="en-GB"/>
        </w:rPr>
        <w:t>in last 20 years</w:t>
      </w:r>
      <w:r w:rsidRPr="00BD215E">
        <w:rPr>
          <w:lang w:val="en-GB"/>
        </w:rPr>
        <w:t xml:space="preserve"> (an increase in the prices of consumer goods and services by 14.4% and 11.4%, respectively).</w:t>
      </w:r>
      <w:r w:rsidRPr="00BD215E">
        <w:rPr>
          <w:rStyle w:val="Odwoanieprzypisudolnego"/>
          <w:rFonts w:eastAsiaTheme="minorEastAsia" w:cs="Arial"/>
          <w:szCs w:val="19"/>
          <w:lang w:val="en-GB"/>
        </w:rPr>
        <w:footnoteReference w:id="5"/>
      </w:r>
    </w:p>
    <w:p w14:paraId="79C5AC15" w14:textId="13610E5D" w:rsidR="004E7AEC" w:rsidRPr="00BD215E" w:rsidRDefault="008771D4" w:rsidP="004E7AEC">
      <w:pPr>
        <w:suppressAutoHyphens/>
        <w:spacing w:before="240" w:after="0" w:line="240" w:lineRule="auto"/>
        <w:rPr>
          <w:rFonts w:eastAsiaTheme="minorEastAsia" w:cs="Arial"/>
          <w:b/>
          <w:color w:val="000000" w:themeColor="text1"/>
          <w:szCs w:val="19"/>
          <w:lang w:val="en-GB"/>
        </w:rPr>
      </w:pPr>
      <w:r w:rsidRPr="00BD215E">
        <w:rPr>
          <w:b/>
          <w:lang w:val="en-GB"/>
        </w:rPr>
        <w:t xml:space="preserve"> </w:t>
      </w:r>
      <w:r w:rsidRPr="00BD215E">
        <w:rPr>
          <w:rFonts w:eastAsiaTheme="minorEastAsia" w:cs="Arial"/>
          <w:b/>
          <w:szCs w:val="19"/>
          <w:lang w:val="en-GB"/>
        </w:rPr>
        <w:t xml:space="preserve">Chart </w:t>
      </w:r>
      <w:r w:rsidR="004E7AEC" w:rsidRPr="00BD215E">
        <w:rPr>
          <w:rFonts w:eastAsiaTheme="minorEastAsia" w:cs="Arial"/>
          <w:b/>
          <w:color w:val="000000" w:themeColor="text1"/>
          <w:szCs w:val="19"/>
          <w:lang w:val="en-GB"/>
        </w:rPr>
        <w:t xml:space="preserve">2. National current expenditure on health care </w:t>
      </w:r>
    </w:p>
    <w:p w14:paraId="4BF6CB08" w14:textId="190434E1" w:rsidR="00C1466E" w:rsidRPr="00BD215E" w:rsidRDefault="00A54EDE" w:rsidP="00FA40EC">
      <w:pPr>
        <w:suppressAutoHyphens/>
        <w:spacing w:before="240" w:after="0" w:line="240" w:lineRule="auto"/>
        <w:rPr>
          <w:b/>
          <w:lang w:val="en-GB"/>
        </w:rPr>
      </w:pPr>
      <w:r w:rsidRPr="00BD215E">
        <w:rPr>
          <w:b/>
          <w:noProof/>
          <w:lang w:val="en-GB"/>
        </w:rPr>
        <w:drawing>
          <wp:inline distT="0" distB="0" distL="0" distR="0" wp14:anchorId="754FAE38" wp14:editId="2DC4CF71">
            <wp:extent cx="5051698" cy="2182586"/>
            <wp:effectExtent l="0" t="0" r="0" b="8255"/>
            <wp:docPr id="7" name="Obraz 7" descr=" Chart 2. National current expenditure on health car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127313" cy="2215255"/>
                    </a:xfrm>
                    <a:prstGeom prst="rect">
                      <a:avLst/>
                    </a:prstGeom>
                  </pic:spPr>
                </pic:pic>
              </a:graphicData>
            </a:graphic>
          </wp:inline>
        </w:drawing>
      </w:r>
    </w:p>
    <w:p w14:paraId="018AF092" w14:textId="65F3C131" w:rsidR="004E7AEC" w:rsidRPr="00BD215E" w:rsidRDefault="00CA4FCB" w:rsidP="00853E6F">
      <w:pPr>
        <w:pStyle w:val="P68B1DB1-Normalny5"/>
        <w:suppressAutoHyphens/>
        <w:spacing w:before="600" w:after="0" w:line="288" w:lineRule="auto"/>
        <w:ind w:right="96"/>
        <w:rPr>
          <w:bCs/>
          <w:lang w:val="en-GB"/>
        </w:rPr>
      </w:pPr>
      <w:r w:rsidRPr="00BD215E">
        <w:rPr>
          <w:b/>
          <w:noProof/>
          <w:szCs w:val="19"/>
          <w:lang w:val="en-GB"/>
        </w:rPr>
        <w:lastRenderedPageBreak/>
        <mc:AlternateContent>
          <mc:Choice Requires="wps">
            <w:drawing>
              <wp:anchor distT="45720" distB="45720" distL="114300" distR="114300" simplePos="0" relativeHeight="251765760" behindDoc="1" locked="0" layoutInCell="1" allowOverlap="1" wp14:anchorId="34118656" wp14:editId="1E078477">
                <wp:simplePos x="0" y="0"/>
                <wp:positionH relativeFrom="page">
                  <wp:posOffset>5878683</wp:posOffset>
                </wp:positionH>
                <wp:positionV relativeFrom="paragraph">
                  <wp:posOffset>46355</wp:posOffset>
                </wp:positionV>
                <wp:extent cx="1576705" cy="1183640"/>
                <wp:effectExtent l="0" t="0" r="0" b="0"/>
                <wp:wrapTight wrapText="bothSides">
                  <wp:wrapPolygon edited="0">
                    <wp:start x="783" y="0"/>
                    <wp:lineTo x="783" y="21206"/>
                    <wp:lineTo x="20617" y="21206"/>
                    <wp:lineTo x="20617" y="0"/>
                    <wp:lineTo x="783" y="0"/>
                  </wp:wrapPolygon>
                </wp:wrapTight>
                <wp:docPr id="43" name="Text box 7" descr="In 2025, current public expenditure reached PLN 271.8 billion, which is PLN 50.6 billion more than in 20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6705" cy="1183640"/>
                        </a:xfrm>
                        <a:prstGeom prst="rect">
                          <a:avLst/>
                        </a:prstGeom>
                        <a:noFill/>
                        <a:ln w="9525">
                          <a:noFill/>
                          <a:miter lim="800000"/>
                          <a:headEnd/>
                          <a:tailEnd/>
                        </a:ln>
                      </wps:spPr>
                      <wps:txbx>
                        <w:txbxContent>
                          <w:p w14:paraId="75F28435" w14:textId="02BE6AA1" w:rsidR="0001348A" w:rsidRPr="00005BFE" w:rsidRDefault="00005BFE" w:rsidP="0044126A">
                            <w:pPr>
                              <w:pStyle w:val="tekstzboku"/>
                              <w:suppressAutoHyphens/>
                              <w:rPr>
                                <w:lang w:val="en-GB"/>
                              </w:rPr>
                            </w:pPr>
                            <w:r w:rsidRPr="00005BFE">
                              <w:rPr>
                                <w:lang w:val="en-GB"/>
                              </w:rPr>
                              <w:t>In 2025, public current spending on healthcare reached 271.8 billion PLN, which is 50.6 billion PLN more than in 2024 (an increase of 16.9%).</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4118656" id="Text box 7" o:spid="_x0000_s1028" type="#_x0000_t202" alt="In 2025, current public expenditure reached PLN 271.8 billion, which is PLN 50.6 billion more than in 2024" style="position:absolute;margin-left:462.9pt;margin-top:3.65pt;width:124.15pt;height:93.2pt;z-index:-251550720;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" filled="f" stroked="f">
                <v:textbox>
                  <w:txbxContent>
                    <w:p w14:paraId="75F28435" w14:textId="02BE6AA1" w:rsidR="0001348A" w:rsidRPr="00005BFE" w:rsidRDefault="00005BFE" w:rsidP="0044126A">
                      <w:pPr>
                        <w:pStyle w:val="tekstzboku"/>
                        <w:suppressAutoHyphens/>
                        <w:rPr>
                          <w:lang w:val="en-GB"/>
                        </w:rPr>
                      </w:pPr>
                      <w:r w:rsidRPr="00005BFE">
                        <w:rPr>
                          <w:lang w:val="en-GB"/>
                        </w:rPr>
                        <w:t>In 2025, public current spending on healthcare reached 271.8 billion PLN, which is 50.6 billion PLN more than in 2024 (an increase of 16.9%).</w:t>
                      </w:r>
                    </w:p>
                  </w:txbxContent>
                </v:textbox>
                <w10:wrap type="tight" anchorx="page"/>
              </v:shape>
            </w:pict>
          </mc:Fallback>
        </mc:AlternateContent>
      </w:r>
      <w:r w:rsidR="004E7AEC" w:rsidRPr="00BD215E">
        <w:rPr>
          <w:lang w:val="en-GB"/>
        </w:rPr>
        <w:t xml:space="preserve">Main components of national expenditure </w:t>
      </w:r>
      <w:r w:rsidR="00B21068" w:rsidRPr="00BD215E">
        <w:rPr>
          <w:lang w:val="en-GB"/>
        </w:rPr>
        <w:t xml:space="preserve">on health </w:t>
      </w:r>
      <w:r w:rsidR="004E7AEC" w:rsidRPr="00BD215E">
        <w:rPr>
          <w:lang w:val="en-GB"/>
        </w:rPr>
        <w:t>in relation to GDP</w:t>
      </w:r>
    </w:p>
    <w:p w14:paraId="45A909F8" w14:textId="3DAE6209" w:rsidR="004E7AEC" w:rsidRPr="00BD215E" w:rsidRDefault="004E7AEC" w:rsidP="008567BB">
      <w:pPr>
        <w:rPr>
          <w:lang w:val="en-GB"/>
        </w:rPr>
      </w:pPr>
      <w:r w:rsidRPr="00BD215E">
        <w:rPr>
          <w:lang w:val="en-GB"/>
        </w:rPr>
        <w:t>The largest share of national current expenditure on health care is held by the public sector, whose expenditure incurred in 2025 was</w:t>
      </w:r>
      <w:bookmarkStart w:id="2" w:name="_Hlk204066212"/>
      <w:r w:rsidRPr="00BD215E">
        <w:rPr>
          <w:lang w:val="en-GB"/>
        </w:rPr>
        <w:t xml:space="preserve"> initially estimated at PLN 271.8 billion, i.e. PLN 50.6</w:t>
      </w:r>
      <w:r w:rsidR="00853E6F" w:rsidRPr="00BD215E">
        <w:rPr>
          <w:lang w:val="en-GB"/>
        </w:rPr>
        <w:t> </w:t>
      </w:r>
      <w:r w:rsidRPr="00BD215E">
        <w:rPr>
          <w:lang w:val="en-GB"/>
        </w:rPr>
        <w:t xml:space="preserve">billion more than in 2024. The value of public expenditure on health care in relation to GDP reached 6.9%, i.e. 0.9% p.p. more than in the previous year. </w:t>
      </w:r>
    </w:p>
    <w:p w14:paraId="00F05394" w14:textId="26927C75" w:rsidR="004E7AEC" w:rsidRPr="00BD215E" w:rsidRDefault="004E7AEC" w:rsidP="008567BB">
      <w:pPr>
        <w:rPr>
          <w:lang w:val="en-GB"/>
        </w:rPr>
      </w:pPr>
      <w:r w:rsidRPr="00BD215E">
        <w:rPr>
          <w:lang w:val="en-GB"/>
        </w:rPr>
        <w:t xml:space="preserve">The largest component of public health </w:t>
      </w:r>
      <w:r w:rsidR="00E84E3C">
        <w:rPr>
          <w:lang w:val="en-GB"/>
        </w:rPr>
        <w:t xml:space="preserve">care </w:t>
      </w:r>
      <w:r w:rsidRPr="00BD215E">
        <w:rPr>
          <w:lang w:val="en-GB"/>
        </w:rPr>
        <w:t xml:space="preserve">spending were </w:t>
      </w:r>
      <w:r w:rsidR="00E84E3C">
        <w:rPr>
          <w:lang w:val="en-GB"/>
        </w:rPr>
        <w:t xml:space="preserve">transfers </w:t>
      </w:r>
      <w:r w:rsidRPr="00BD215E">
        <w:rPr>
          <w:lang w:val="en-GB"/>
        </w:rPr>
        <w:t xml:space="preserve">from compulsory health insurance schemes which have been estimated at PLN 214.2 billion, i.e. 5.5% in relation to GDP </w:t>
      </w:r>
      <w:bookmarkStart w:id="3" w:name="_Hlk204674946"/>
      <w:r w:rsidRPr="00BD215E">
        <w:rPr>
          <w:lang w:val="en-GB"/>
        </w:rPr>
        <w:t>(4.7% in 2024)</w:t>
      </w:r>
      <w:bookmarkEnd w:id="3"/>
      <w:r w:rsidRPr="00BD215E">
        <w:rPr>
          <w:lang w:val="en-GB"/>
        </w:rPr>
        <w:t xml:space="preserve">. Funding in 2025 from compulsory health insurance year-on-year increased by 24.6%, which is more dynamic than national current expenditure on health care (21.0%). The rest of public expenditure </w:t>
      </w:r>
      <w:r w:rsidR="00E84E3C">
        <w:rPr>
          <w:lang w:val="en-GB"/>
        </w:rPr>
        <w:t xml:space="preserve">on health care </w:t>
      </w:r>
      <w:r w:rsidRPr="00BD215E">
        <w:rPr>
          <w:lang w:val="en-GB"/>
        </w:rPr>
        <w:t xml:space="preserve">was financed by the government </w:t>
      </w:r>
      <w:r w:rsidR="00E84E3C">
        <w:rPr>
          <w:lang w:val="en-GB"/>
        </w:rPr>
        <w:br/>
        <w:t xml:space="preserve">and local self-government </w:t>
      </w:r>
      <w:r w:rsidRPr="00BD215E">
        <w:rPr>
          <w:lang w:val="en-GB"/>
        </w:rPr>
        <w:t>se</w:t>
      </w:r>
      <w:r w:rsidR="00E84E3C">
        <w:rPr>
          <w:lang w:val="en-GB"/>
        </w:rPr>
        <w:t>ct</w:t>
      </w:r>
      <w:r w:rsidRPr="00BD215E">
        <w:rPr>
          <w:lang w:val="en-GB"/>
        </w:rPr>
        <w:t>or</w:t>
      </w:r>
      <w:r w:rsidR="00E84E3C">
        <w:rPr>
          <w:lang w:val="en-GB"/>
        </w:rPr>
        <w:t xml:space="preserve"> </w:t>
      </w:r>
      <w:r w:rsidRPr="00BD215E">
        <w:rPr>
          <w:lang w:val="en-GB"/>
        </w:rPr>
        <w:t>in the total amount estimated at PLN 57.6 billion, which corresponded to 1.5% of GDP. This share of public health expenditure increased by 16.9% compared to 2024.</w:t>
      </w:r>
    </w:p>
    <w:bookmarkEnd w:id="2"/>
    <w:p w14:paraId="73C6CF93" w14:textId="03F953A9" w:rsidR="004E7AEC" w:rsidRPr="00BD215E" w:rsidRDefault="004E7AEC" w:rsidP="00B21068">
      <w:pPr>
        <w:spacing w:before="240" w:after="0" w:line="240" w:lineRule="auto"/>
        <w:rPr>
          <w:b/>
          <w:szCs w:val="19"/>
          <w:lang w:val="en-GB"/>
        </w:rPr>
      </w:pPr>
      <w:r w:rsidRPr="00BD215E">
        <w:rPr>
          <w:b/>
          <w:szCs w:val="19"/>
          <w:lang w:val="en-GB"/>
        </w:rPr>
        <w:t xml:space="preserve">Table 1. </w:t>
      </w:r>
      <w:r w:rsidR="000011F1" w:rsidRPr="00BD215E">
        <w:rPr>
          <w:b/>
          <w:szCs w:val="19"/>
          <w:lang w:val="en-GB"/>
        </w:rPr>
        <w:t xml:space="preserve">Current expenditures on health </w:t>
      </w:r>
      <w:r w:rsidR="00B21068" w:rsidRPr="00BD215E">
        <w:rPr>
          <w:b/>
          <w:szCs w:val="19"/>
          <w:lang w:val="en-GB"/>
        </w:rPr>
        <w:t xml:space="preserve">care </w:t>
      </w:r>
      <w:r w:rsidR="000011F1" w:rsidRPr="00BD215E">
        <w:rPr>
          <w:b/>
          <w:szCs w:val="19"/>
          <w:lang w:val="en-GB"/>
        </w:rPr>
        <w:t>and th</w:t>
      </w:r>
      <w:r w:rsidR="009C4A6E" w:rsidRPr="00BD215E">
        <w:rPr>
          <w:b/>
          <w:szCs w:val="19"/>
          <w:lang w:val="en-GB"/>
        </w:rPr>
        <w:t>e</w:t>
      </w:r>
      <w:r w:rsidR="000011F1" w:rsidRPr="00BD215E">
        <w:rPr>
          <w:b/>
          <w:szCs w:val="19"/>
          <w:lang w:val="en-GB"/>
        </w:rPr>
        <w:t xml:space="preserve">ir share in GDP </w:t>
      </w:r>
    </w:p>
    <w:p w14:paraId="54F4C523" w14:textId="036861BC" w:rsidR="00697278" w:rsidRPr="00BD215E" w:rsidRDefault="00697278" w:rsidP="000011F1">
      <w:pPr>
        <w:spacing w:before="0" w:after="0" w:line="240" w:lineRule="auto"/>
        <w:rPr>
          <w:b/>
          <w:szCs w:val="19"/>
          <w:lang w:val="en-GB"/>
        </w:rPr>
      </w:pPr>
    </w:p>
    <w:tbl>
      <w:tblPr>
        <w:tblStyle w:val="Tabela-Siatka1"/>
        <w:tblpPr w:vertAnchor="text" w:tblpY="1"/>
        <w:tblOverlap w:val="never"/>
        <w:tblW w:w="0" w:type="auto"/>
        <w:tblBorders>
          <w:top w:val="single" w:sz="4" w:space="0" w:color="001D77"/>
          <w:left w:val="none" w:sz="0" w:space="0" w:color="auto"/>
          <w:bottom w:val="single" w:sz="4" w:space="0" w:color="001D77"/>
          <w:right w:val="none" w:sz="0" w:space="0" w:color="auto"/>
          <w:insideH w:val="single" w:sz="4" w:space="0" w:color="001D77"/>
          <w:insideV w:val="single" w:sz="4" w:space="0" w:color="001D77"/>
        </w:tblBorders>
        <w:tblLayout w:type="fixed"/>
        <w:tblCellMar>
          <w:left w:w="0" w:type="dxa"/>
          <w:right w:w="0" w:type="dxa"/>
        </w:tblCellMar>
        <w:tblLook w:val="04A0" w:firstRow="1" w:lastRow="0" w:firstColumn="1" w:lastColumn="0" w:noHBand="0" w:noVBand="1"/>
        <w:tblDescription w:val="Table 1. Current expenditure on health and its share of GDP "/>
      </w:tblPr>
      <w:tblGrid>
        <w:gridCol w:w="1134"/>
        <w:gridCol w:w="2155"/>
        <w:gridCol w:w="964"/>
        <w:gridCol w:w="567"/>
        <w:gridCol w:w="992"/>
        <w:gridCol w:w="567"/>
        <w:gridCol w:w="992"/>
        <w:gridCol w:w="567"/>
      </w:tblGrid>
      <w:tr w:rsidR="004E7AEC" w:rsidRPr="00BD215E" w14:paraId="5729E084" w14:textId="77777777" w:rsidTr="007701B0">
        <w:trPr>
          <w:trHeight w:val="557"/>
        </w:trPr>
        <w:tc>
          <w:tcPr>
            <w:tcW w:w="3289" w:type="dxa"/>
            <w:gridSpan w:val="2"/>
            <w:vMerge w:val="restart"/>
            <w:tcBorders>
              <w:top w:val="single" w:sz="4" w:space="0" w:color="001D77"/>
              <w:bottom w:val="single" w:sz="12" w:space="0" w:color="001D77"/>
            </w:tcBorders>
            <w:vAlign w:val="center"/>
          </w:tcPr>
          <w:p w14:paraId="2D163104" w14:textId="77777777" w:rsidR="004E7AEC" w:rsidRPr="00407A30" w:rsidRDefault="004E7AEC" w:rsidP="00FB5641">
            <w:pPr>
              <w:pStyle w:val="Tablicanotka"/>
              <w:spacing w:before="40" w:after="40"/>
              <w:jc w:val="center"/>
              <w:rPr>
                <w:noProof w:val="0"/>
                <w:lang w:val="en-GB"/>
              </w:rPr>
            </w:pPr>
            <w:r w:rsidRPr="00407A30">
              <w:rPr>
                <w:noProof w:val="0"/>
                <w:lang w:val="en-GB"/>
              </w:rPr>
              <w:t>Specification</w:t>
            </w:r>
          </w:p>
        </w:tc>
        <w:tc>
          <w:tcPr>
            <w:tcW w:w="1531" w:type="dxa"/>
            <w:gridSpan w:val="2"/>
            <w:tcBorders>
              <w:top w:val="single" w:sz="4" w:space="0" w:color="001D77"/>
            </w:tcBorders>
            <w:vAlign w:val="center"/>
          </w:tcPr>
          <w:p w14:paraId="47632E9C" w14:textId="77777777" w:rsidR="004E7AEC" w:rsidRPr="00407A30" w:rsidRDefault="004E7AEC" w:rsidP="00FB5641">
            <w:pPr>
              <w:pStyle w:val="Tablicanotka"/>
              <w:spacing w:before="40" w:after="40"/>
              <w:jc w:val="center"/>
              <w:rPr>
                <w:noProof w:val="0"/>
                <w:lang w:val="en-GB"/>
              </w:rPr>
            </w:pPr>
            <w:r w:rsidRPr="00407A30">
              <w:rPr>
                <w:noProof w:val="0"/>
                <w:lang w:val="en-GB"/>
              </w:rPr>
              <w:t>2023</w:t>
            </w:r>
          </w:p>
        </w:tc>
        <w:tc>
          <w:tcPr>
            <w:tcW w:w="1559" w:type="dxa"/>
            <w:gridSpan w:val="2"/>
            <w:tcBorders>
              <w:top w:val="single" w:sz="4" w:space="0" w:color="001D77"/>
            </w:tcBorders>
            <w:vAlign w:val="center"/>
          </w:tcPr>
          <w:p w14:paraId="42FFED70" w14:textId="77777777" w:rsidR="004E7AEC" w:rsidRPr="00407A30" w:rsidRDefault="004E7AEC" w:rsidP="00FB5641">
            <w:pPr>
              <w:pStyle w:val="Tablicanotka"/>
              <w:spacing w:before="40" w:after="40"/>
              <w:jc w:val="center"/>
              <w:rPr>
                <w:noProof w:val="0"/>
                <w:lang w:val="en-GB"/>
              </w:rPr>
            </w:pPr>
            <w:r w:rsidRPr="00407A30">
              <w:rPr>
                <w:noProof w:val="0"/>
                <w:lang w:val="en-GB"/>
              </w:rPr>
              <w:t>2024</w:t>
            </w:r>
          </w:p>
          <w:p w14:paraId="6F44C890" w14:textId="4F77E9C5" w:rsidR="004E7AEC" w:rsidRPr="00407A30" w:rsidRDefault="004E7AEC" w:rsidP="007701B0">
            <w:pPr>
              <w:pStyle w:val="Tablicanotka"/>
              <w:spacing w:before="40" w:after="40" w:line="240" w:lineRule="auto"/>
              <w:jc w:val="center"/>
              <w:rPr>
                <w:noProof w:val="0"/>
                <w:lang w:val="en-GB"/>
              </w:rPr>
            </w:pPr>
            <w:r w:rsidRPr="00407A30">
              <w:rPr>
                <w:noProof w:val="0"/>
                <w:lang w:val="en-GB"/>
              </w:rPr>
              <w:t>(preliminary data)</w:t>
            </w:r>
            <w:r w:rsidRPr="00407A30">
              <w:rPr>
                <w:noProof w:val="0"/>
                <w:vertAlign w:val="superscript"/>
                <w:lang w:val="en-GB"/>
              </w:rPr>
              <w:t xml:space="preserve"> </w:t>
            </w:r>
            <w:r w:rsidR="00671862" w:rsidRPr="00407A30">
              <w:rPr>
                <w:noProof w:val="0"/>
                <w:vertAlign w:val="superscript"/>
                <w:lang w:val="en-GB"/>
              </w:rPr>
              <w:t>c</w:t>
            </w:r>
          </w:p>
        </w:tc>
        <w:tc>
          <w:tcPr>
            <w:tcW w:w="1559" w:type="dxa"/>
            <w:gridSpan w:val="2"/>
            <w:tcBorders>
              <w:top w:val="single" w:sz="4" w:space="0" w:color="001D77"/>
            </w:tcBorders>
            <w:vAlign w:val="center"/>
          </w:tcPr>
          <w:p w14:paraId="3CCF2536" w14:textId="77777777" w:rsidR="004E7AEC" w:rsidRPr="00407A30" w:rsidRDefault="004E7AEC" w:rsidP="00FB5641">
            <w:pPr>
              <w:pStyle w:val="Tablicanotka"/>
              <w:spacing w:before="40" w:after="40"/>
              <w:jc w:val="center"/>
              <w:rPr>
                <w:noProof w:val="0"/>
                <w:lang w:val="en-GB"/>
              </w:rPr>
            </w:pPr>
            <w:r w:rsidRPr="00407A30">
              <w:rPr>
                <w:noProof w:val="0"/>
                <w:lang w:val="en-GB"/>
              </w:rPr>
              <w:t>2025</w:t>
            </w:r>
          </w:p>
          <w:p w14:paraId="71D36DD8" w14:textId="77777777" w:rsidR="004E7AEC" w:rsidRPr="00407A30" w:rsidRDefault="004E7AEC" w:rsidP="007701B0">
            <w:pPr>
              <w:pStyle w:val="Tablicanotka"/>
              <w:spacing w:before="40" w:after="40" w:line="240" w:lineRule="auto"/>
              <w:jc w:val="center"/>
              <w:rPr>
                <w:noProof w:val="0"/>
                <w:lang w:val="en-GB"/>
              </w:rPr>
            </w:pPr>
            <w:r w:rsidRPr="00407A30">
              <w:rPr>
                <w:noProof w:val="0"/>
                <w:lang w:val="en-GB"/>
              </w:rPr>
              <w:t>(preliminary estimate)</w:t>
            </w:r>
          </w:p>
        </w:tc>
      </w:tr>
      <w:tr w:rsidR="004E7AEC" w:rsidRPr="00BD215E" w14:paraId="55FF27BA" w14:textId="77777777" w:rsidTr="00FB5641">
        <w:tc>
          <w:tcPr>
            <w:tcW w:w="3289" w:type="dxa"/>
            <w:gridSpan w:val="2"/>
            <w:vMerge/>
            <w:tcBorders>
              <w:bottom w:val="single" w:sz="6" w:space="0" w:color="001D77"/>
            </w:tcBorders>
            <w:vAlign w:val="center"/>
          </w:tcPr>
          <w:p w14:paraId="7C971B44" w14:textId="77777777" w:rsidR="004E7AEC" w:rsidRPr="00407A30" w:rsidRDefault="004E7AEC" w:rsidP="00FB5641">
            <w:pPr>
              <w:spacing w:before="40" w:after="40"/>
              <w:jc w:val="center"/>
              <w:rPr>
                <w:sz w:val="16"/>
                <w:szCs w:val="16"/>
                <w:lang w:val="en-GB"/>
              </w:rPr>
            </w:pPr>
          </w:p>
        </w:tc>
        <w:tc>
          <w:tcPr>
            <w:tcW w:w="964" w:type="dxa"/>
            <w:tcBorders>
              <w:bottom w:val="single" w:sz="12" w:space="0" w:color="001D77"/>
            </w:tcBorders>
            <w:vAlign w:val="center"/>
          </w:tcPr>
          <w:p w14:paraId="4BFDEE72" w14:textId="3B838139" w:rsidR="004E7AEC" w:rsidRPr="00407A30" w:rsidRDefault="00B3508A" w:rsidP="00FB5641">
            <w:pPr>
              <w:pStyle w:val="Tablicanotka"/>
              <w:spacing w:before="40" w:after="40"/>
              <w:jc w:val="center"/>
              <w:rPr>
                <w:noProof w:val="0"/>
                <w:lang w:val="en-GB"/>
              </w:rPr>
            </w:pPr>
            <w:r w:rsidRPr="00407A30">
              <w:rPr>
                <w:noProof w:val="0"/>
                <w:lang w:val="en-GB"/>
              </w:rPr>
              <w:t>in PLN million</w:t>
            </w:r>
          </w:p>
        </w:tc>
        <w:tc>
          <w:tcPr>
            <w:tcW w:w="567" w:type="dxa"/>
            <w:tcBorders>
              <w:bottom w:val="single" w:sz="12" w:space="0" w:color="001D77"/>
            </w:tcBorders>
            <w:vAlign w:val="center"/>
          </w:tcPr>
          <w:p w14:paraId="67B1773C" w14:textId="77777777" w:rsidR="004E7AEC" w:rsidRPr="00407A30" w:rsidRDefault="004E7AEC" w:rsidP="00FB5641">
            <w:pPr>
              <w:pStyle w:val="Tablicanotka"/>
              <w:spacing w:before="40" w:after="40"/>
              <w:jc w:val="center"/>
              <w:rPr>
                <w:noProof w:val="0"/>
                <w:lang w:val="en-GB"/>
              </w:rPr>
            </w:pPr>
            <w:r w:rsidRPr="00407A30">
              <w:rPr>
                <w:noProof w:val="0"/>
                <w:lang w:val="en-GB"/>
              </w:rPr>
              <w:t>%</w:t>
            </w:r>
            <w:r w:rsidRPr="00407A30">
              <w:rPr>
                <w:noProof w:val="0"/>
                <w:lang w:val="en-GB"/>
              </w:rPr>
              <w:br/>
              <w:t>GDP</w:t>
            </w:r>
          </w:p>
        </w:tc>
        <w:tc>
          <w:tcPr>
            <w:tcW w:w="992" w:type="dxa"/>
            <w:tcBorders>
              <w:bottom w:val="single" w:sz="12" w:space="0" w:color="001D77"/>
            </w:tcBorders>
            <w:vAlign w:val="center"/>
          </w:tcPr>
          <w:p w14:paraId="1E382140" w14:textId="6CF2A8EF" w:rsidR="004E7AEC" w:rsidRPr="00407A30" w:rsidRDefault="00B3508A" w:rsidP="00FB5641">
            <w:pPr>
              <w:pStyle w:val="Tablicanotka"/>
              <w:spacing w:before="40" w:after="40"/>
              <w:jc w:val="center"/>
              <w:rPr>
                <w:noProof w:val="0"/>
                <w:lang w:val="en-GB"/>
              </w:rPr>
            </w:pPr>
            <w:r w:rsidRPr="00407A30">
              <w:rPr>
                <w:noProof w:val="0"/>
                <w:lang w:val="en-GB"/>
              </w:rPr>
              <w:t>in PLN million</w:t>
            </w:r>
          </w:p>
        </w:tc>
        <w:tc>
          <w:tcPr>
            <w:tcW w:w="567" w:type="dxa"/>
            <w:tcBorders>
              <w:bottom w:val="single" w:sz="12" w:space="0" w:color="001D77"/>
            </w:tcBorders>
            <w:vAlign w:val="center"/>
          </w:tcPr>
          <w:p w14:paraId="6A604FAA" w14:textId="77777777" w:rsidR="004E7AEC" w:rsidRPr="00407A30" w:rsidRDefault="004E7AEC" w:rsidP="00FB5641">
            <w:pPr>
              <w:pStyle w:val="Tablicanotka"/>
              <w:spacing w:before="40" w:after="40"/>
              <w:jc w:val="center"/>
              <w:rPr>
                <w:noProof w:val="0"/>
                <w:lang w:val="en-GB"/>
              </w:rPr>
            </w:pPr>
            <w:r w:rsidRPr="00407A30">
              <w:rPr>
                <w:noProof w:val="0"/>
                <w:lang w:val="en-GB"/>
              </w:rPr>
              <w:t>%</w:t>
            </w:r>
            <w:r w:rsidRPr="00407A30">
              <w:rPr>
                <w:noProof w:val="0"/>
                <w:lang w:val="en-GB"/>
              </w:rPr>
              <w:br/>
              <w:t>GDP</w:t>
            </w:r>
          </w:p>
        </w:tc>
        <w:tc>
          <w:tcPr>
            <w:tcW w:w="992" w:type="dxa"/>
            <w:tcBorders>
              <w:bottom w:val="single" w:sz="12" w:space="0" w:color="001D77"/>
            </w:tcBorders>
            <w:vAlign w:val="center"/>
          </w:tcPr>
          <w:p w14:paraId="0BDD2E8A" w14:textId="43C52EA2" w:rsidR="004E7AEC" w:rsidRPr="00407A30" w:rsidRDefault="00B3508A" w:rsidP="00FB5641">
            <w:pPr>
              <w:pStyle w:val="Tablicanotka"/>
              <w:spacing w:before="40" w:after="40"/>
              <w:jc w:val="center"/>
              <w:rPr>
                <w:noProof w:val="0"/>
                <w:lang w:val="en-GB"/>
              </w:rPr>
            </w:pPr>
            <w:r w:rsidRPr="00407A30">
              <w:rPr>
                <w:noProof w:val="0"/>
                <w:lang w:val="en-GB"/>
              </w:rPr>
              <w:t>in PLN million</w:t>
            </w:r>
          </w:p>
        </w:tc>
        <w:tc>
          <w:tcPr>
            <w:tcW w:w="567" w:type="dxa"/>
            <w:tcBorders>
              <w:bottom w:val="single" w:sz="12" w:space="0" w:color="001D77"/>
            </w:tcBorders>
            <w:vAlign w:val="center"/>
          </w:tcPr>
          <w:p w14:paraId="3F4F0853" w14:textId="77777777" w:rsidR="004E7AEC" w:rsidRPr="00407A30" w:rsidRDefault="004E7AEC" w:rsidP="00FB5641">
            <w:pPr>
              <w:pStyle w:val="Tablicanotka"/>
              <w:spacing w:before="40" w:after="40"/>
              <w:jc w:val="center"/>
              <w:rPr>
                <w:noProof w:val="0"/>
                <w:lang w:val="en-GB"/>
              </w:rPr>
            </w:pPr>
            <w:r w:rsidRPr="00407A30">
              <w:rPr>
                <w:noProof w:val="0"/>
                <w:lang w:val="en-GB"/>
              </w:rPr>
              <w:t>%</w:t>
            </w:r>
            <w:r w:rsidRPr="00407A30">
              <w:rPr>
                <w:noProof w:val="0"/>
                <w:lang w:val="en-GB"/>
              </w:rPr>
              <w:br/>
              <w:t>GDP</w:t>
            </w:r>
          </w:p>
        </w:tc>
      </w:tr>
      <w:tr w:rsidR="004E7AEC" w:rsidRPr="00BD215E" w14:paraId="261A2698" w14:textId="77777777" w:rsidTr="00FB5641">
        <w:tc>
          <w:tcPr>
            <w:tcW w:w="1134" w:type="dxa"/>
            <w:tcBorders>
              <w:top w:val="single" w:sz="12" w:space="0" w:color="001D77"/>
              <w:bottom w:val="single" w:sz="12" w:space="0" w:color="001D77"/>
            </w:tcBorders>
            <w:vAlign w:val="center"/>
          </w:tcPr>
          <w:p w14:paraId="38A3E0AA" w14:textId="180CEDBB" w:rsidR="004E7AEC" w:rsidRPr="00407A30" w:rsidRDefault="001E6AC6" w:rsidP="007701B0">
            <w:pPr>
              <w:pStyle w:val="Tablicanotka"/>
              <w:ind w:left="57"/>
              <w:jc w:val="center"/>
              <w:rPr>
                <w:noProof w:val="0"/>
                <w:lang w:val="en-GB"/>
              </w:rPr>
            </w:pPr>
            <w:r w:rsidRPr="00407A30">
              <w:rPr>
                <w:noProof w:val="0"/>
                <w:lang w:val="en-GB"/>
              </w:rPr>
              <w:t>Financing</w:t>
            </w:r>
            <w:r w:rsidR="007701B0" w:rsidRPr="00407A30">
              <w:rPr>
                <w:noProof w:val="0"/>
                <w:lang w:val="en-GB"/>
              </w:rPr>
              <w:br/>
            </w:r>
            <w:r w:rsidR="004E7AEC" w:rsidRPr="00407A30">
              <w:rPr>
                <w:noProof w:val="0"/>
                <w:lang w:val="en-GB"/>
              </w:rPr>
              <w:t>scheme</w:t>
            </w:r>
          </w:p>
        </w:tc>
        <w:tc>
          <w:tcPr>
            <w:tcW w:w="2155" w:type="dxa"/>
            <w:tcBorders>
              <w:top w:val="single" w:sz="12" w:space="0" w:color="001D77"/>
              <w:bottom w:val="single" w:sz="12" w:space="0" w:color="001D77"/>
            </w:tcBorders>
            <w:vAlign w:val="center"/>
          </w:tcPr>
          <w:p w14:paraId="01EEA849" w14:textId="77777777" w:rsidR="004E7AEC" w:rsidRPr="00407A30" w:rsidRDefault="004E7AEC" w:rsidP="00FB5641">
            <w:pPr>
              <w:pStyle w:val="Tablicanotka"/>
              <w:ind w:left="57"/>
              <w:jc w:val="center"/>
              <w:rPr>
                <w:noProof w:val="0"/>
                <w:lang w:val="en-GB"/>
              </w:rPr>
            </w:pPr>
            <w:r w:rsidRPr="00407A30">
              <w:rPr>
                <w:noProof w:val="0"/>
                <w:lang w:val="en-GB"/>
              </w:rPr>
              <w:t>Gross domestic product</w:t>
            </w:r>
            <w:r w:rsidRPr="00407A30">
              <w:rPr>
                <w:noProof w:val="0"/>
                <w:vertAlign w:val="superscript"/>
                <w:lang w:val="en-GB"/>
              </w:rPr>
              <w:t xml:space="preserve"> a</w:t>
            </w:r>
          </w:p>
        </w:tc>
        <w:tc>
          <w:tcPr>
            <w:tcW w:w="964" w:type="dxa"/>
            <w:tcBorders>
              <w:top w:val="single" w:sz="12" w:space="0" w:color="001D77"/>
              <w:bottom w:val="single" w:sz="12" w:space="0" w:color="001D77"/>
            </w:tcBorders>
            <w:vAlign w:val="center"/>
          </w:tcPr>
          <w:p w14:paraId="3BBAB9C8" w14:textId="77777777" w:rsidR="004E7AEC" w:rsidRPr="00407A30" w:rsidRDefault="004E7AEC" w:rsidP="00FB5641">
            <w:pPr>
              <w:pStyle w:val="Tablicanotka"/>
              <w:spacing w:before="40" w:after="40"/>
              <w:ind w:right="57"/>
              <w:jc w:val="right"/>
              <w:rPr>
                <w:noProof w:val="0"/>
                <w:lang w:val="en-GB"/>
              </w:rPr>
            </w:pPr>
            <w:r w:rsidRPr="00407A30">
              <w:rPr>
                <w:noProof w:val="0"/>
                <w:lang w:val="en-GB"/>
              </w:rPr>
              <w:t>3 415 274</w:t>
            </w:r>
          </w:p>
        </w:tc>
        <w:tc>
          <w:tcPr>
            <w:tcW w:w="567" w:type="dxa"/>
            <w:tcBorders>
              <w:top w:val="single" w:sz="12" w:space="0" w:color="001D77"/>
              <w:bottom w:val="single" w:sz="12" w:space="0" w:color="001D77"/>
            </w:tcBorders>
            <w:vAlign w:val="center"/>
          </w:tcPr>
          <w:p w14:paraId="05760F85" w14:textId="77777777" w:rsidR="004E7AEC" w:rsidRPr="00407A30" w:rsidRDefault="004E7AEC" w:rsidP="00FB5641">
            <w:pPr>
              <w:pStyle w:val="Tablicanotka"/>
              <w:spacing w:before="40" w:after="40"/>
              <w:ind w:right="57"/>
              <w:jc w:val="right"/>
              <w:rPr>
                <w:noProof w:val="0"/>
                <w:lang w:val="en-GB"/>
              </w:rPr>
            </w:pPr>
            <w:r w:rsidRPr="00407A30">
              <w:rPr>
                <w:noProof w:val="0"/>
                <w:lang w:val="en-GB"/>
              </w:rPr>
              <w:t>100</w:t>
            </w:r>
          </w:p>
        </w:tc>
        <w:tc>
          <w:tcPr>
            <w:tcW w:w="992" w:type="dxa"/>
            <w:tcBorders>
              <w:top w:val="single" w:sz="12" w:space="0" w:color="001D77"/>
              <w:bottom w:val="single" w:sz="12" w:space="0" w:color="001D77"/>
            </w:tcBorders>
            <w:vAlign w:val="center"/>
          </w:tcPr>
          <w:p w14:paraId="1D3E0DFA" w14:textId="77777777" w:rsidR="004E7AEC" w:rsidRPr="00407A30" w:rsidRDefault="004E7AEC" w:rsidP="00FB5641">
            <w:pPr>
              <w:pStyle w:val="Tablicanotka"/>
              <w:spacing w:before="40" w:after="40"/>
              <w:ind w:right="57"/>
              <w:jc w:val="right"/>
              <w:rPr>
                <w:noProof w:val="0"/>
                <w:lang w:val="en-GB"/>
              </w:rPr>
            </w:pPr>
            <w:r w:rsidRPr="00407A30">
              <w:rPr>
                <w:noProof w:val="0"/>
                <w:lang w:val="en-GB"/>
              </w:rPr>
              <w:t>3 669 531</w:t>
            </w:r>
          </w:p>
        </w:tc>
        <w:tc>
          <w:tcPr>
            <w:tcW w:w="567" w:type="dxa"/>
            <w:tcBorders>
              <w:top w:val="single" w:sz="12" w:space="0" w:color="001D77"/>
              <w:bottom w:val="single" w:sz="12" w:space="0" w:color="001D77"/>
            </w:tcBorders>
            <w:vAlign w:val="center"/>
          </w:tcPr>
          <w:p w14:paraId="70AAED2F" w14:textId="77777777" w:rsidR="004E7AEC" w:rsidRPr="00407A30" w:rsidRDefault="004E7AEC" w:rsidP="00FB5641">
            <w:pPr>
              <w:pStyle w:val="Tablicanotka"/>
              <w:spacing w:before="40" w:after="40"/>
              <w:ind w:right="57"/>
              <w:jc w:val="right"/>
              <w:rPr>
                <w:noProof w:val="0"/>
                <w:lang w:val="en-GB"/>
              </w:rPr>
            </w:pPr>
            <w:r w:rsidRPr="00407A30">
              <w:rPr>
                <w:noProof w:val="0"/>
                <w:lang w:val="en-GB"/>
              </w:rPr>
              <w:t>100</w:t>
            </w:r>
          </w:p>
        </w:tc>
        <w:tc>
          <w:tcPr>
            <w:tcW w:w="992" w:type="dxa"/>
            <w:tcBorders>
              <w:top w:val="single" w:sz="12" w:space="0" w:color="001D77"/>
              <w:bottom w:val="single" w:sz="12" w:space="0" w:color="001D77"/>
            </w:tcBorders>
            <w:vAlign w:val="center"/>
          </w:tcPr>
          <w:p w14:paraId="685A1B35" w14:textId="77777777" w:rsidR="004E7AEC" w:rsidRPr="00407A30" w:rsidRDefault="004E7AEC" w:rsidP="00FB5641">
            <w:pPr>
              <w:pStyle w:val="Tablicanotka"/>
              <w:spacing w:before="40" w:after="40"/>
              <w:ind w:right="57"/>
              <w:jc w:val="right"/>
              <w:rPr>
                <w:noProof w:val="0"/>
                <w:lang w:val="en-GB"/>
              </w:rPr>
            </w:pPr>
            <w:r w:rsidRPr="00407A30">
              <w:rPr>
                <w:noProof w:val="0"/>
                <w:lang w:val="en-GB"/>
              </w:rPr>
              <w:t>3 912 673</w:t>
            </w:r>
          </w:p>
        </w:tc>
        <w:tc>
          <w:tcPr>
            <w:tcW w:w="567" w:type="dxa"/>
            <w:tcBorders>
              <w:top w:val="single" w:sz="12" w:space="0" w:color="001D77"/>
              <w:bottom w:val="single" w:sz="12" w:space="0" w:color="001D77"/>
            </w:tcBorders>
            <w:vAlign w:val="center"/>
          </w:tcPr>
          <w:p w14:paraId="63D2B943" w14:textId="77777777" w:rsidR="004E7AEC" w:rsidRPr="00407A30" w:rsidRDefault="004E7AEC" w:rsidP="00FB5641">
            <w:pPr>
              <w:pStyle w:val="Tablicanotka"/>
              <w:spacing w:before="40" w:after="40"/>
              <w:ind w:right="57"/>
              <w:jc w:val="right"/>
              <w:rPr>
                <w:noProof w:val="0"/>
                <w:lang w:val="en-GB"/>
              </w:rPr>
            </w:pPr>
            <w:r w:rsidRPr="00407A30">
              <w:rPr>
                <w:noProof w:val="0"/>
                <w:lang w:val="en-GB"/>
              </w:rPr>
              <w:t>100</w:t>
            </w:r>
          </w:p>
        </w:tc>
      </w:tr>
      <w:tr w:rsidR="004E7AEC" w:rsidRPr="00BD215E" w14:paraId="0AED1558" w14:textId="77777777" w:rsidTr="00FB5641">
        <w:tc>
          <w:tcPr>
            <w:tcW w:w="1134" w:type="dxa"/>
            <w:tcBorders>
              <w:top w:val="single" w:sz="12" w:space="0" w:color="001D77"/>
            </w:tcBorders>
          </w:tcPr>
          <w:p w14:paraId="5447543C" w14:textId="77777777" w:rsidR="004E7AEC" w:rsidRPr="00407A30" w:rsidRDefault="004E7AEC" w:rsidP="00FB5641">
            <w:pPr>
              <w:pStyle w:val="P68B1DB1-Normalny7"/>
              <w:spacing w:before="40" w:after="40"/>
              <w:rPr>
                <w:bCs/>
                <w:lang w:val="en-GB"/>
              </w:rPr>
            </w:pPr>
            <w:r w:rsidRPr="00407A30">
              <w:rPr>
                <w:lang w:val="en-GB"/>
              </w:rPr>
              <w:t>HF.1+HF.2+</w:t>
            </w:r>
            <w:r w:rsidRPr="00407A30">
              <w:rPr>
                <w:lang w:val="en-GB"/>
              </w:rPr>
              <w:br/>
              <w:t>HF.3</w:t>
            </w:r>
          </w:p>
        </w:tc>
        <w:tc>
          <w:tcPr>
            <w:tcW w:w="2155" w:type="dxa"/>
            <w:tcBorders>
              <w:top w:val="single" w:sz="12" w:space="0" w:color="001D77"/>
            </w:tcBorders>
            <w:vAlign w:val="center"/>
          </w:tcPr>
          <w:p w14:paraId="4F77526B" w14:textId="60633574" w:rsidR="004E7AEC" w:rsidRPr="00407A30" w:rsidRDefault="004E7AEC" w:rsidP="00FB5641">
            <w:pPr>
              <w:pStyle w:val="Tablicanotka"/>
              <w:spacing w:before="40" w:after="40"/>
              <w:ind w:left="57" w:right="57"/>
              <w:rPr>
                <w:b/>
                <w:bCs/>
                <w:noProof w:val="0"/>
                <w:lang w:val="en-GB"/>
              </w:rPr>
            </w:pPr>
            <w:r w:rsidRPr="00407A30">
              <w:rPr>
                <w:b/>
                <w:noProof w:val="0"/>
                <w:lang w:val="en-GB"/>
              </w:rPr>
              <w:t>Total current expenditure on health care</w:t>
            </w:r>
            <w:r w:rsidRPr="00407A30">
              <w:rPr>
                <w:b/>
                <w:noProof w:val="0"/>
                <w:vertAlign w:val="superscript"/>
                <w:lang w:val="en-GB"/>
              </w:rPr>
              <w:t xml:space="preserve"> </w:t>
            </w:r>
            <w:r w:rsidR="00130DA4" w:rsidRPr="00407A30">
              <w:rPr>
                <w:b/>
                <w:noProof w:val="0"/>
                <w:vertAlign w:val="superscript"/>
                <w:lang w:val="en-GB"/>
              </w:rPr>
              <w:t>b</w:t>
            </w:r>
          </w:p>
        </w:tc>
        <w:tc>
          <w:tcPr>
            <w:tcW w:w="964" w:type="dxa"/>
            <w:tcBorders>
              <w:top w:val="single" w:sz="12" w:space="0" w:color="001D77"/>
            </w:tcBorders>
          </w:tcPr>
          <w:p w14:paraId="2FA1BDCC" w14:textId="77777777" w:rsidR="004E7AEC" w:rsidRPr="00407A30" w:rsidRDefault="004E7AEC" w:rsidP="00FB5641">
            <w:pPr>
              <w:pStyle w:val="TableParagraph"/>
              <w:spacing w:before="11"/>
              <w:rPr>
                <w:b/>
                <w:sz w:val="26"/>
                <w:lang w:val="en-GB"/>
              </w:rPr>
            </w:pPr>
          </w:p>
          <w:p w14:paraId="6AFAF64D" w14:textId="20024C8F" w:rsidR="004E7AEC" w:rsidRPr="00407A30" w:rsidRDefault="004E7AEC" w:rsidP="00FB5641">
            <w:pPr>
              <w:pStyle w:val="P68B1DB1-Normalny8"/>
              <w:spacing w:before="40" w:after="40"/>
              <w:ind w:right="57"/>
              <w:jc w:val="right"/>
              <w:rPr>
                <w:bCs/>
                <w:szCs w:val="16"/>
                <w:lang w:val="en-GB"/>
              </w:rPr>
            </w:pPr>
            <w:r w:rsidRPr="00407A30">
              <w:rPr>
                <w:lang w:val="en-GB"/>
              </w:rPr>
              <w:t>243 798</w:t>
            </w:r>
            <w:r w:rsidR="00130DA4" w:rsidRPr="00407A30">
              <w:rPr>
                <w:lang w:val="en-GB"/>
              </w:rPr>
              <w:t>.</w:t>
            </w:r>
            <w:r w:rsidRPr="00407A30">
              <w:rPr>
                <w:lang w:val="en-GB"/>
              </w:rPr>
              <w:t>9</w:t>
            </w:r>
          </w:p>
        </w:tc>
        <w:tc>
          <w:tcPr>
            <w:tcW w:w="567" w:type="dxa"/>
            <w:tcBorders>
              <w:top w:val="single" w:sz="12" w:space="0" w:color="001D77"/>
            </w:tcBorders>
          </w:tcPr>
          <w:p w14:paraId="38C7D4D8" w14:textId="77777777" w:rsidR="004E7AEC" w:rsidRPr="00407A30" w:rsidRDefault="004E7AEC" w:rsidP="00FB5641">
            <w:pPr>
              <w:pStyle w:val="TableParagraph"/>
              <w:spacing w:before="11"/>
              <w:rPr>
                <w:b/>
                <w:sz w:val="26"/>
                <w:lang w:val="en-GB"/>
              </w:rPr>
            </w:pPr>
          </w:p>
          <w:p w14:paraId="653D3975" w14:textId="11F651E2" w:rsidR="004E7AEC" w:rsidRPr="00407A30" w:rsidRDefault="004E7AEC" w:rsidP="00FB5641">
            <w:pPr>
              <w:pStyle w:val="P68B1DB1-Normalny8"/>
              <w:spacing w:before="40" w:after="40"/>
              <w:ind w:right="57"/>
              <w:jc w:val="right"/>
              <w:rPr>
                <w:bCs/>
                <w:szCs w:val="16"/>
                <w:lang w:val="en-GB"/>
              </w:rPr>
            </w:pPr>
            <w:r w:rsidRPr="00407A30">
              <w:rPr>
                <w:lang w:val="en-GB"/>
              </w:rPr>
              <w:t>7</w:t>
            </w:r>
            <w:r w:rsidR="00130DA4" w:rsidRPr="00407A30">
              <w:rPr>
                <w:lang w:val="en-GB"/>
              </w:rPr>
              <w:t>.</w:t>
            </w:r>
            <w:r w:rsidRPr="00407A30">
              <w:rPr>
                <w:lang w:val="en-GB"/>
              </w:rPr>
              <w:t>1</w:t>
            </w:r>
          </w:p>
        </w:tc>
        <w:tc>
          <w:tcPr>
            <w:tcW w:w="992" w:type="dxa"/>
            <w:tcBorders>
              <w:top w:val="single" w:sz="12" w:space="0" w:color="001D77"/>
            </w:tcBorders>
          </w:tcPr>
          <w:p w14:paraId="78D23948" w14:textId="77777777" w:rsidR="004E7AEC" w:rsidRPr="00407A30" w:rsidRDefault="004E7AEC" w:rsidP="00FB5641">
            <w:pPr>
              <w:pStyle w:val="TableParagraph"/>
              <w:spacing w:before="11"/>
              <w:rPr>
                <w:b/>
                <w:sz w:val="26"/>
                <w:lang w:val="en-GB"/>
              </w:rPr>
            </w:pPr>
          </w:p>
          <w:p w14:paraId="33EC820F" w14:textId="464DB661" w:rsidR="004E7AEC" w:rsidRPr="00407A30" w:rsidRDefault="004E7AEC" w:rsidP="00FB5641">
            <w:pPr>
              <w:pStyle w:val="P68B1DB1-Normalny8"/>
              <w:spacing w:before="40" w:after="40"/>
              <w:ind w:right="57"/>
              <w:jc w:val="right"/>
              <w:rPr>
                <w:bCs/>
                <w:szCs w:val="16"/>
                <w:lang w:val="en-GB"/>
              </w:rPr>
            </w:pPr>
            <w:r w:rsidRPr="00407A30">
              <w:rPr>
                <w:lang w:val="en-GB"/>
              </w:rPr>
              <w:t>287 565</w:t>
            </w:r>
            <w:r w:rsidR="00130DA4" w:rsidRPr="00407A30">
              <w:rPr>
                <w:lang w:val="en-GB"/>
              </w:rPr>
              <w:t>.</w:t>
            </w:r>
            <w:r w:rsidRPr="00407A30">
              <w:rPr>
                <w:lang w:val="en-GB"/>
              </w:rPr>
              <w:t>5</w:t>
            </w:r>
          </w:p>
        </w:tc>
        <w:tc>
          <w:tcPr>
            <w:tcW w:w="567" w:type="dxa"/>
            <w:tcBorders>
              <w:top w:val="single" w:sz="12" w:space="0" w:color="001D77"/>
            </w:tcBorders>
          </w:tcPr>
          <w:p w14:paraId="13463984" w14:textId="77777777" w:rsidR="004E7AEC" w:rsidRPr="00407A30" w:rsidRDefault="004E7AEC" w:rsidP="00FB5641">
            <w:pPr>
              <w:pStyle w:val="TableParagraph"/>
              <w:spacing w:before="11"/>
              <w:rPr>
                <w:b/>
                <w:sz w:val="26"/>
                <w:lang w:val="en-GB"/>
              </w:rPr>
            </w:pPr>
          </w:p>
          <w:p w14:paraId="08193C0C" w14:textId="616FC9ED" w:rsidR="004E7AEC" w:rsidRPr="00407A30" w:rsidRDefault="004E7AEC" w:rsidP="00FB5641">
            <w:pPr>
              <w:pStyle w:val="P68B1DB1-Normalny8"/>
              <w:spacing w:before="40" w:after="40"/>
              <w:ind w:right="57"/>
              <w:jc w:val="right"/>
              <w:rPr>
                <w:bCs/>
                <w:szCs w:val="16"/>
                <w:lang w:val="en-GB"/>
              </w:rPr>
            </w:pPr>
            <w:r w:rsidRPr="00407A30">
              <w:rPr>
                <w:lang w:val="en-GB"/>
              </w:rPr>
              <w:t>7</w:t>
            </w:r>
            <w:r w:rsidR="00130DA4" w:rsidRPr="00407A30">
              <w:rPr>
                <w:lang w:val="en-GB"/>
              </w:rPr>
              <w:t>.</w:t>
            </w:r>
            <w:r w:rsidRPr="00407A30">
              <w:rPr>
                <w:lang w:val="en-GB"/>
              </w:rPr>
              <w:t>8</w:t>
            </w:r>
          </w:p>
        </w:tc>
        <w:tc>
          <w:tcPr>
            <w:tcW w:w="992" w:type="dxa"/>
            <w:tcBorders>
              <w:top w:val="single" w:sz="12" w:space="0" w:color="001D77"/>
            </w:tcBorders>
          </w:tcPr>
          <w:p w14:paraId="4B214996" w14:textId="77777777" w:rsidR="004E7AEC" w:rsidRPr="00407A30" w:rsidRDefault="004E7AEC" w:rsidP="00FB5641">
            <w:pPr>
              <w:pStyle w:val="TableParagraph"/>
              <w:spacing w:before="11"/>
              <w:rPr>
                <w:b/>
                <w:sz w:val="26"/>
                <w:lang w:val="en-GB"/>
              </w:rPr>
            </w:pPr>
          </w:p>
          <w:p w14:paraId="5710E64B" w14:textId="2C831747" w:rsidR="004E7AEC" w:rsidRPr="00407A30" w:rsidRDefault="004E7AEC" w:rsidP="00FB5641">
            <w:pPr>
              <w:pStyle w:val="P68B1DB1-Normalny8"/>
              <w:spacing w:before="40" w:after="40"/>
              <w:ind w:right="57"/>
              <w:jc w:val="right"/>
              <w:rPr>
                <w:bCs/>
                <w:szCs w:val="16"/>
                <w:lang w:val="en-GB"/>
              </w:rPr>
            </w:pPr>
            <w:r w:rsidRPr="00407A30">
              <w:rPr>
                <w:lang w:val="en-GB"/>
              </w:rPr>
              <w:t>348 009</w:t>
            </w:r>
            <w:r w:rsidR="00130DA4" w:rsidRPr="00407A30">
              <w:rPr>
                <w:lang w:val="en-GB"/>
              </w:rPr>
              <w:t>.</w:t>
            </w:r>
            <w:r w:rsidRPr="00407A30">
              <w:rPr>
                <w:lang w:val="en-GB"/>
              </w:rPr>
              <w:t>9</w:t>
            </w:r>
          </w:p>
        </w:tc>
        <w:tc>
          <w:tcPr>
            <w:tcW w:w="567" w:type="dxa"/>
            <w:tcBorders>
              <w:top w:val="single" w:sz="12" w:space="0" w:color="001D77"/>
              <w:right w:val="nil"/>
            </w:tcBorders>
          </w:tcPr>
          <w:p w14:paraId="3E5FAD2E" w14:textId="77777777" w:rsidR="004E7AEC" w:rsidRPr="00407A30" w:rsidRDefault="004E7AEC" w:rsidP="00FB5641">
            <w:pPr>
              <w:pStyle w:val="TableParagraph"/>
              <w:spacing w:before="11"/>
              <w:rPr>
                <w:b/>
                <w:sz w:val="26"/>
                <w:lang w:val="en-GB"/>
              </w:rPr>
            </w:pPr>
          </w:p>
          <w:p w14:paraId="778380B2" w14:textId="51EA3E9F" w:rsidR="004E7AEC" w:rsidRPr="00407A30" w:rsidRDefault="004E7AEC" w:rsidP="00FB5641">
            <w:pPr>
              <w:pStyle w:val="P68B1DB1-Normalny8"/>
              <w:spacing w:before="40" w:after="40"/>
              <w:ind w:right="57"/>
              <w:jc w:val="right"/>
              <w:rPr>
                <w:bCs/>
                <w:szCs w:val="16"/>
                <w:lang w:val="en-GB"/>
              </w:rPr>
            </w:pPr>
            <w:r w:rsidRPr="00407A30">
              <w:rPr>
                <w:lang w:val="en-GB"/>
              </w:rPr>
              <w:t>8</w:t>
            </w:r>
            <w:r w:rsidR="00130DA4" w:rsidRPr="00407A30">
              <w:rPr>
                <w:lang w:val="en-GB"/>
              </w:rPr>
              <w:t>.</w:t>
            </w:r>
            <w:r w:rsidRPr="00407A30">
              <w:rPr>
                <w:lang w:val="en-GB"/>
              </w:rPr>
              <w:t>9</w:t>
            </w:r>
          </w:p>
        </w:tc>
      </w:tr>
      <w:tr w:rsidR="004E7AEC" w:rsidRPr="00BD215E" w14:paraId="75620576" w14:textId="77777777" w:rsidTr="00FB5641">
        <w:tc>
          <w:tcPr>
            <w:tcW w:w="1134" w:type="dxa"/>
            <w:tcBorders>
              <w:bottom w:val="single" w:sz="4" w:space="0" w:color="001D77"/>
            </w:tcBorders>
            <w:vAlign w:val="center"/>
          </w:tcPr>
          <w:p w14:paraId="44587B01" w14:textId="77777777" w:rsidR="004E7AEC" w:rsidRPr="00407A30" w:rsidRDefault="004E7AEC" w:rsidP="00FB5641">
            <w:pPr>
              <w:pStyle w:val="Tablicanotka"/>
              <w:spacing w:before="40" w:after="40"/>
              <w:ind w:left="57"/>
              <w:rPr>
                <w:noProof w:val="0"/>
                <w:lang w:val="en-GB"/>
              </w:rPr>
            </w:pPr>
            <w:r w:rsidRPr="00407A30">
              <w:rPr>
                <w:noProof w:val="0"/>
                <w:lang w:val="en-GB"/>
              </w:rPr>
              <w:t>HF.1</w:t>
            </w:r>
          </w:p>
        </w:tc>
        <w:tc>
          <w:tcPr>
            <w:tcW w:w="2155" w:type="dxa"/>
            <w:tcBorders>
              <w:bottom w:val="single" w:sz="4" w:space="0" w:color="001D77"/>
            </w:tcBorders>
            <w:vAlign w:val="center"/>
          </w:tcPr>
          <w:p w14:paraId="1173AB62" w14:textId="77777777" w:rsidR="004E7AEC" w:rsidRPr="00407A30" w:rsidRDefault="004E7AEC" w:rsidP="00FB5641">
            <w:pPr>
              <w:pStyle w:val="Tablicanotka"/>
              <w:spacing w:before="40" w:after="40"/>
              <w:ind w:left="57" w:right="57"/>
              <w:jc w:val="both"/>
              <w:rPr>
                <w:noProof w:val="0"/>
                <w:lang w:val="en-GB"/>
              </w:rPr>
            </w:pPr>
            <w:r w:rsidRPr="00407A30">
              <w:rPr>
                <w:noProof w:val="0"/>
                <w:lang w:val="en-GB"/>
              </w:rPr>
              <w:t>Public expenditure</w:t>
            </w:r>
          </w:p>
        </w:tc>
        <w:tc>
          <w:tcPr>
            <w:tcW w:w="964" w:type="dxa"/>
          </w:tcPr>
          <w:p w14:paraId="1D829629" w14:textId="6A17E0A9" w:rsidR="004E7AEC" w:rsidRPr="00407A30" w:rsidRDefault="004E7AEC" w:rsidP="00FB5641">
            <w:pPr>
              <w:pStyle w:val="P68B1DB1-Normalny9"/>
              <w:spacing w:before="40" w:after="40"/>
              <w:ind w:right="57"/>
              <w:jc w:val="right"/>
              <w:rPr>
                <w:szCs w:val="16"/>
                <w:lang w:val="en-GB"/>
              </w:rPr>
            </w:pPr>
            <w:r w:rsidRPr="00407A30">
              <w:rPr>
                <w:lang w:val="en-GB"/>
              </w:rPr>
              <w:t>189 109</w:t>
            </w:r>
            <w:r w:rsidR="00130DA4" w:rsidRPr="00407A30">
              <w:rPr>
                <w:lang w:val="en-GB"/>
              </w:rPr>
              <w:t>.</w:t>
            </w:r>
            <w:r w:rsidRPr="00407A30">
              <w:rPr>
                <w:lang w:val="en-GB"/>
              </w:rPr>
              <w:t>8</w:t>
            </w:r>
          </w:p>
        </w:tc>
        <w:tc>
          <w:tcPr>
            <w:tcW w:w="567" w:type="dxa"/>
          </w:tcPr>
          <w:p w14:paraId="35C76847" w14:textId="336CFE2E" w:rsidR="004E7AEC" w:rsidRPr="00407A30" w:rsidRDefault="004E7AEC" w:rsidP="00FB5641">
            <w:pPr>
              <w:pStyle w:val="P68B1DB1-Normalny9"/>
              <w:spacing w:before="40" w:after="40"/>
              <w:ind w:right="57"/>
              <w:jc w:val="right"/>
              <w:rPr>
                <w:szCs w:val="16"/>
                <w:lang w:val="en-GB"/>
              </w:rPr>
            </w:pPr>
            <w:r w:rsidRPr="00407A30">
              <w:rPr>
                <w:lang w:val="en-GB"/>
              </w:rPr>
              <w:t>5</w:t>
            </w:r>
            <w:r w:rsidR="00130DA4" w:rsidRPr="00407A30">
              <w:rPr>
                <w:lang w:val="en-GB"/>
              </w:rPr>
              <w:t>.</w:t>
            </w:r>
            <w:r w:rsidRPr="00407A30">
              <w:rPr>
                <w:lang w:val="en-GB"/>
              </w:rPr>
              <w:t>5</w:t>
            </w:r>
          </w:p>
        </w:tc>
        <w:tc>
          <w:tcPr>
            <w:tcW w:w="992" w:type="dxa"/>
          </w:tcPr>
          <w:p w14:paraId="3DF84D46" w14:textId="38CF5014" w:rsidR="004E7AEC" w:rsidRPr="00407A30" w:rsidRDefault="004E7AEC" w:rsidP="00FB5641">
            <w:pPr>
              <w:pStyle w:val="P68B1DB1-Normalny9"/>
              <w:spacing w:before="40" w:after="40"/>
              <w:ind w:right="57"/>
              <w:jc w:val="right"/>
              <w:rPr>
                <w:szCs w:val="16"/>
                <w:lang w:val="en-GB"/>
              </w:rPr>
            </w:pPr>
            <w:r w:rsidRPr="00407A30">
              <w:rPr>
                <w:lang w:val="en-GB"/>
              </w:rPr>
              <w:t>221 187</w:t>
            </w:r>
            <w:r w:rsidR="00130DA4" w:rsidRPr="00407A30">
              <w:rPr>
                <w:lang w:val="en-GB"/>
              </w:rPr>
              <w:t>.</w:t>
            </w:r>
            <w:r w:rsidRPr="00407A30">
              <w:rPr>
                <w:lang w:val="en-GB"/>
              </w:rPr>
              <w:t>8</w:t>
            </w:r>
          </w:p>
        </w:tc>
        <w:tc>
          <w:tcPr>
            <w:tcW w:w="567" w:type="dxa"/>
          </w:tcPr>
          <w:p w14:paraId="79B95C54" w14:textId="20AB1BD5" w:rsidR="004E7AEC" w:rsidRPr="00407A30" w:rsidRDefault="004E7AEC" w:rsidP="00FB5641">
            <w:pPr>
              <w:pStyle w:val="P68B1DB1-Normalny9"/>
              <w:spacing w:before="40" w:after="40"/>
              <w:ind w:right="57"/>
              <w:jc w:val="right"/>
              <w:rPr>
                <w:szCs w:val="16"/>
                <w:lang w:val="en-GB"/>
              </w:rPr>
            </w:pPr>
            <w:r w:rsidRPr="00407A30">
              <w:rPr>
                <w:lang w:val="en-GB"/>
              </w:rPr>
              <w:t>6</w:t>
            </w:r>
            <w:r w:rsidR="00130DA4" w:rsidRPr="00407A30">
              <w:rPr>
                <w:lang w:val="en-GB"/>
              </w:rPr>
              <w:t>.</w:t>
            </w:r>
            <w:r w:rsidRPr="00407A30">
              <w:rPr>
                <w:lang w:val="en-GB"/>
              </w:rPr>
              <w:t>0</w:t>
            </w:r>
          </w:p>
        </w:tc>
        <w:tc>
          <w:tcPr>
            <w:tcW w:w="992" w:type="dxa"/>
          </w:tcPr>
          <w:p w14:paraId="571803EA" w14:textId="385D7963" w:rsidR="004E7AEC" w:rsidRPr="00407A30" w:rsidRDefault="004E7AEC" w:rsidP="00FB5641">
            <w:pPr>
              <w:pStyle w:val="P68B1DB1-Normalny9"/>
              <w:spacing w:before="40" w:after="40"/>
              <w:ind w:right="57"/>
              <w:jc w:val="right"/>
              <w:rPr>
                <w:szCs w:val="16"/>
                <w:lang w:val="en-GB"/>
              </w:rPr>
            </w:pPr>
            <w:r w:rsidRPr="00407A30">
              <w:rPr>
                <w:lang w:val="en-GB"/>
              </w:rPr>
              <w:t>271 801</w:t>
            </w:r>
            <w:r w:rsidR="00130DA4" w:rsidRPr="00407A30">
              <w:rPr>
                <w:lang w:val="en-GB"/>
              </w:rPr>
              <w:t>.</w:t>
            </w:r>
            <w:r w:rsidRPr="00407A30">
              <w:rPr>
                <w:lang w:val="en-GB"/>
              </w:rPr>
              <w:t>7</w:t>
            </w:r>
          </w:p>
        </w:tc>
        <w:tc>
          <w:tcPr>
            <w:tcW w:w="567" w:type="dxa"/>
            <w:tcBorders>
              <w:right w:val="nil"/>
            </w:tcBorders>
          </w:tcPr>
          <w:p w14:paraId="4F5B1C85" w14:textId="18C55D57" w:rsidR="004E7AEC" w:rsidRPr="00407A30" w:rsidRDefault="004E7AEC" w:rsidP="00FB5641">
            <w:pPr>
              <w:pStyle w:val="P68B1DB1-Normalny9"/>
              <w:spacing w:before="40" w:after="40"/>
              <w:ind w:right="57"/>
              <w:jc w:val="right"/>
              <w:rPr>
                <w:szCs w:val="16"/>
                <w:lang w:val="en-GB"/>
              </w:rPr>
            </w:pPr>
            <w:r w:rsidRPr="00407A30">
              <w:rPr>
                <w:lang w:val="en-GB"/>
              </w:rPr>
              <w:t>6</w:t>
            </w:r>
            <w:r w:rsidR="00130DA4" w:rsidRPr="00407A30">
              <w:rPr>
                <w:lang w:val="en-GB"/>
              </w:rPr>
              <w:t>.</w:t>
            </w:r>
            <w:r w:rsidRPr="00407A30">
              <w:rPr>
                <w:lang w:val="en-GB"/>
              </w:rPr>
              <w:t>9</w:t>
            </w:r>
          </w:p>
        </w:tc>
      </w:tr>
      <w:tr w:rsidR="004E7AEC" w:rsidRPr="00BD215E" w14:paraId="69C25947" w14:textId="77777777" w:rsidTr="00FB5641">
        <w:tc>
          <w:tcPr>
            <w:tcW w:w="1134" w:type="dxa"/>
          </w:tcPr>
          <w:p w14:paraId="61E0819C" w14:textId="77777777" w:rsidR="007701B0" w:rsidRPr="00407A30" w:rsidRDefault="007701B0" w:rsidP="00FB5641">
            <w:pPr>
              <w:pStyle w:val="Tablicanotka"/>
              <w:spacing w:before="40" w:after="40"/>
              <w:ind w:left="227"/>
              <w:rPr>
                <w:noProof w:val="0"/>
                <w:lang w:val="en-GB"/>
              </w:rPr>
            </w:pPr>
          </w:p>
          <w:p w14:paraId="4C787654" w14:textId="708CBAA0" w:rsidR="004E7AEC" w:rsidRPr="00407A30" w:rsidRDefault="004E7AEC" w:rsidP="007701B0">
            <w:pPr>
              <w:pStyle w:val="Tablicanotka"/>
              <w:spacing w:before="0" w:after="40"/>
              <w:ind w:left="227"/>
              <w:rPr>
                <w:noProof w:val="0"/>
                <w:lang w:val="en-GB"/>
              </w:rPr>
            </w:pPr>
            <w:r w:rsidRPr="00407A30">
              <w:rPr>
                <w:noProof w:val="0"/>
                <w:lang w:val="en-GB"/>
              </w:rPr>
              <w:t>HF.1.1</w:t>
            </w:r>
          </w:p>
        </w:tc>
        <w:tc>
          <w:tcPr>
            <w:tcW w:w="2155" w:type="dxa"/>
            <w:vAlign w:val="center"/>
          </w:tcPr>
          <w:p w14:paraId="44605519" w14:textId="2E64A574" w:rsidR="004E7AEC" w:rsidRPr="00407A30" w:rsidRDefault="004E7AEC" w:rsidP="007701B0">
            <w:pPr>
              <w:pStyle w:val="Tablicanotka"/>
              <w:spacing w:before="240" w:after="40"/>
              <w:ind w:left="227" w:right="57"/>
              <w:rPr>
                <w:noProof w:val="0"/>
                <w:lang w:val="en-GB"/>
              </w:rPr>
            </w:pPr>
            <w:r w:rsidRPr="00407A30">
              <w:rPr>
                <w:noProof w:val="0"/>
                <w:lang w:val="en-GB"/>
              </w:rPr>
              <w:t>Government s</w:t>
            </w:r>
            <w:r w:rsidR="00B57474" w:rsidRPr="00407A30">
              <w:rPr>
                <w:noProof w:val="0"/>
                <w:lang w:val="en-GB"/>
              </w:rPr>
              <w:t>chemes</w:t>
            </w:r>
          </w:p>
        </w:tc>
        <w:tc>
          <w:tcPr>
            <w:tcW w:w="964" w:type="dxa"/>
          </w:tcPr>
          <w:p w14:paraId="3EAD7F17" w14:textId="77777777" w:rsidR="004E7AEC" w:rsidRPr="00407A30" w:rsidRDefault="004E7AEC" w:rsidP="00FB5641">
            <w:pPr>
              <w:pStyle w:val="TableParagraph"/>
              <w:spacing w:before="11"/>
              <w:rPr>
                <w:sz w:val="26"/>
                <w:lang w:val="en-GB"/>
              </w:rPr>
            </w:pPr>
          </w:p>
          <w:p w14:paraId="20F17B7C" w14:textId="54A2FC6F" w:rsidR="004E7AEC" w:rsidRPr="00407A30" w:rsidRDefault="004E7AEC" w:rsidP="00FB5641">
            <w:pPr>
              <w:pStyle w:val="P68B1DB1-Normalny9"/>
              <w:spacing w:before="40" w:after="40"/>
              <w:ind w:right="57"/>
              <w:jc w:val="right"/>
              <w:rPr>
                <w:szCs w:val="16"/>
                <w:lang w:val="en-GB"/>
              </w:rPr>
            </w:pPr>
            <w:r w:rsidRPr="00407A30">
              <w:rPr>
                <w:lang w:val="en-GB"/>
              </w:rPr>
              <w:t>26 752</w:t>
            </w:r>
            <w:r w:rsidR="00130DA4" w:rsidRPr="00407A30">
              <w:rPr>
                <w:lang w:val="en-GB"/>
              </w:rPr>
              <w:t>.</w:t>
            </w:r>
            <w:r w:rsidRPr="00407A30">
              <w:rPr>
                <w:lang w:val="en-GB"/>
              </w:rPr>
              <w:t>7</w:t>
            </w:r>
          </w:p>
        </w:tc>
        <w:tc>
          <w:tcPr>
            <w:tcW w:w="567" w:type="dxa"/>
          </w:tcPr>
          <w:p w14:paraId="6B1B0DA0" w14:textId="77777777" w:rsidR="004E7AEC" w:rsidRPr="00407A30" w:rsidRDefault="004E7AEC" w:rsidP="00FB5641">
            <w:pPr>
              <w:pStyle w:val="TableParagraph"/>
              <w:spacing w:before="11"/>
              <w:rPr>
                <w:sz w:val="26"/>
                <w:lang w:val="en-GB"/>
              </w:rPr>
            </w:pPr>
          </w:p>
          <w:p w14:paraId="07E69B34" w14:textId="21744216" w:rsidR="004E7AEC" w:rsidRPr="00407A30" w:rsidRDefault="004E7AEC" w:rsidP="00FB5641">
            <w:pPr>
              <w:pStyle w:val="P68B1DB1-Normalny9"/>
              <w:spacing w:before="40" w:after="40"/>
              <w:ind w:right="57"/>
              <w:jc w:val="right"/>
              <w:rPr>
                <w:szCs w:val="16"/>
                <w:lang w:val="en-GB"/>
              </w:rPr>
            </w:pPr>
            <w:r w:rsidRPr="00407A30">
              <w:rPr>
                <w:lang w:val="en-GB"/>
              </w:rPr>
              <w:t>0</w:t>
            </w:r>
            <w:r w:rsidR="00130DA4" w:rsidRPr="00407A30">
              <w:rPr>
                <w:lang w:val="en-GB"/>
              </w:rPr>
              <w:t>.</w:t>
            </w:r>
            <w:r w:rsidRPr="00407A30">
              <w:rPr>
                <w:lang w:val="en-GB"/>
              </w:rPr>
              <w:t>8</w:t>
            </w:r>
          </w:p>
        </w:tc>
        <w:tc>
          <w:tcPr>
            <w:tcW w:w="992" w:type="dxa"/>
          </w:tcPr>
          <w:p w14:paraId="34DCD8E8" w14:textId="77777777" w:rsidR="004E7AEC" w:rsidRPr="00407A30" w:rsidRDefault="004E7AEC" w:rsidP="00FB5641">
            <w:pPr>
              <w:pStyle w:val="TableParagraph"/>
              <w:spacing w:before="11"/>
              <w:rPr>
                <w:sz w:val="26"/>
                <w:lang w:val="en-GB"/>
              </w:rPr>
            </w:pPr>
          </w:p>
          <w:p w14:paraId="177A0CE8" w14:textId="2A6218E2" w:rsidR="004E7AEC" w:rsidRPr="00407A30" w:rsidRDefault="004E7AEC" w:rsidP="00FB5641">
            <w:pPr>
              <w:pStyle w:val="P68B1DB1-Normalny9"/>
              <w:spacing w:before="40" w:after="40"/>
              <w:ind w:right="57"/>
              <w:jc w:val="right"/>
              <w:rPr>
                <w:szCs w:val="16"/>
                <w:lang w:val="en-GB"/>
              </w:rPr>
            </w:pPr>
            <w:r w:rsidRPr="00407A30">
              <w:rPr>
                <w:lang w:val="en-GB"/>
              </w:rPr>
              <w:t>49 268</w:t>
            </w:r>
            <w:r w:rsidR="00130DA4" w:rsidRPr="00407A30">
              <w:rPr>
                <w:lang w:val="en-GB"/>
              </w:rPr>
              <w:t>.</w:t>
            </w:r>
            <w:r w:rsidRPr="00407A30">
              <w:rPr>
                <w:lang w:val="en-GB"/>
              </w:rPr>
              <w:t>1</w:t>
            </w:r>
          </w:p>
        </w:tc>
        <w:tc>
          <w:tcPr>
            <w:tcW w:w="567" w:type="dxa"/>
          </w:tcPr>
          <w:p w14:paraId="404DE4D7" w14:textId="77777777" w:rsidR="004E7AEC" w:rsidRPr="00407A30" w:rsidRDefault="004E7AEC" w:rsidP="00FB5641">
            <w:pPr>
              <w:pStyle w:val="TableParagraph"/>
              <w:spacing w:before="11"/>
              <w:rPr>
                <w:sz w:val="26"/>
                <w:lang w:val="en-GB"/>
              </w:rPr>
            </w:pPr>
          </w:p>
          <w:p w14:paraId="0750EDAA" w14:textId="02D71BD5" w:rsidR="004E7AEC" w:rsidRPr="00407A30" w:rsidRDefault="004E7AEC" w:rsidP="00FB5641">
            <w:pPr>
              <w:pStyle w:val="P68B1DB1-Normalny9"/>
              <w:spacing w:before="40" w:after="40"/>
              <w:ind w:right="57"/>
              <w:jc w:val="right"/>
              <w:rPr>
                <w:szCs w:val="16"/>
                <w:lang w:val="en-GB"/>
              </w:rPr>
            </w:pPr>
            <w:r w:rsidRPr="00407A30">
              <w:rPr>
                <w:lang w:val="en-GB"/>
              </w:rPr>
              <w:t>1</w:t>
            </w:r>
            <w:r w:rsidR="00130DA4" w:rsidRPr="00407A30">
              <w:rPr>
                <w:lang w:val="en-GB"/>
              </w:rPr>
              <w:t>.</w:t>
            </w:r>
            <w:r w:rsidRPr="00407A30">
              <w:rPr>
                <w:lang w:val="en-GB"/>
              </w:rPr>
              <w:t>3</w:t>
            </w:r>
          </w:p>
        </w:tc>
        <w:tc>
          <w:tcPr>
            <w:tcW w:w="992" w:type="dxa"/>
          </w:tcPr>
          <w:p w14:paraId="46BA5944" w14:textId="77777777" w:rsidR="004E7AEC" w:rsidRPr="00407A30" w:rsidRDefault="004E7AEC" w:rsidP="00FB5641">
            <w:pPr>
              <w:pStyle w:val="TableParagraph"/>
              <w:spacing w:before="11"/>
              <w:rPr>
                <w:sz w:val="26"/>
                <w:lang w:val="en-GB"/>
              </w:rPr>
            </w:pPr>
          </w:p>
          <w:p w14:paraId="75FF5C9E" w14:textId="4A25AB29" w:rsidR="004E7AEC" w:rsidRPr="00407A30" w:rsidRDefault="004E7AEC" w:rsidP="00FB5641">
            <w:pPr>
              <w:pStyle w:val="P68B1DB1-Normalny9"/>
              <w:spacing w:before="40" w:after="40"/>
              <w:ind w:right="113"/>
              <w:jc w:val="right"/>
              <w:rPr>
                <w:szCs w:val="16"/>
                <w:lang w:val="en-GB"/>
              </w:rPr>
            </w:pPr>
            <w:r w:rsidRPr="00407A30">
              <w:rPr>
                <w:lang w:val="en-GB"/>
              </w:rPr>
              <w:t>57 569</w:t>
            </w:r>
            <w:r w:rsidR="00130DA4" w:rsidRPr="00407A30">
              <w:rPr>
                <w:lang w:val="en-GB"/>
              </w:rPr>
              <w:t>.</w:t>
            </w:r>
            <w:r w:rsidRPr="00407A30">
              <w:rPr>
                <w:lang w:val="en-GB"/>
              </w:rPr>
              <w:t>9</w:t>
            </w:r>
          </w:p>
        </w:tc>
        <w:tc>
          <w:tcPr>
            <w:tcW w:w="567" w:type="dxa"/>
            <w:tcBorders>
              <w:right w:val="nil"/>
            </w:tcBorders>
          </w:tcPr>
          <w:p w14:paraId="60910E36" w14:textId="77777777" w:rsidR="004E7AEC" w:rsidRPr="00407A30" w:rsidRDefault="004E7AEC" w:rsidP="00FB5641">
            <w:pPr>
              <w:pStyle w:val="TableParagraph"/>
              <w:spacing w:before="11"/>
              <w:rPr>
                <w:sz w:val="26"/>
                <w:lang w:val="en-GB"/>
              </w:rPr>
            </w:pPr>
          </w:p>
          <w:p w14:paraId="37DB0E5A" w14:textId="60EE4BF0" w:rsidR="004E7AEC" w:rsidRPr="00407A30" w:rsidRDefault="004E7AEC" w:rsidP="00FB5641">
            <w:pPr>
              <w:pStyle w:val="P68B1DB1-Normalny9"/>
              <w:spacing w:before="40" w:after="40"/>
              <w:ind w:right="113"/>
              <w:jc w:val="right"/>
              <w:rPr>
                <w:szCs w:val="16"/>
                <w:lang w:val="en-GB"/>
              </w:rPr>
            </w:pPr>
            <w:r w:rsidRPr="00407A30">
              <w:rPr>
                <w:lang w:val="en-GB"/>
              </w:rPr>
              <w:t>1</w:t>
            </w:r>
            <w:r w:rsidR="00130DA4" w:rsidRPr="00407A30">
              <w:rPr>
                <w:lang w:val="en-GB"/>
              </w:rPr>
              <w:t>.</w:t>
            </w:r>
            <w:r w:rsidRPr="00407A30">
              <w:rPr>
                <w:lang w:val="en-GB"/>
              </w:rPr>
              <w:t>5</w:t>
            </w:r>
          </w:p>
        </w:tc>
      </w:tr>
      <w:tr w:rsidR="004E7AEC" w:rsidRPr="00BD215E" w14:paraId="2A41F939" w14:textId="77777777" w:rsidTr="00BC245E">
        <w:trPr>
          <w:trHeight w:val="627"/>
        </w:trPr>
        <w:tc>
          <w:tcPr>
            <w:tcW w:w="1134" w:type="dxa"/>
          </w:tcPr>
          <w:p w14:paraId="1C688395" w14:textId="77777777" w:rsidR="007701B0" w:rsidRPr="00BD215E" w:rsidRDefault="007701B0" w:rsidP="00FB5641">
            <w:pPr>
              <w:pStyle w:val="Tablicanotka"/>
              <w:spacing w:before="40" w:after="40"/>
              <w:ind w:left="227"/>
              <w:rPr>
                <w:noProof w:val="0"/>
                <w:lang w:val="en-GB"/>
              </w:rPr>
            </w:pPr>
          </w:p>
          <w:p w14:paraId="48C3AF21" w14:textId="77777777" w:rsidR="007701B0" w:rsidRPr="00BD215E" w:rsidRDefault="007701B0" w:rsidP="00FB5641">
            <w:pPr>
              <w:pStyle w:val="Tablicanotka"/>
              <w:spacing w:before="40" w:after="40"/>
              <w:ind w:left="227"/>
              <w:rPr>
                <w:noProof w:val="0"/>
                <w:lang w:val="en-GB"/>
              </w:rPr>
            </w:pPr>
          </w:p>
          <w:p w14:paraId="5FE7D6AD" w14:textId="4C392EC2" w:rsidR="004E7AEC" w:rsidRPr="00BD215E" w:rsidRDefault="004E7AEC" w:rsidP="00FB5641">
            <w:pPr>
              <w:pStyle w:val="Tablicanotka"/>
              <w:spacing w:before="40" w:after="40"/>
              <w:ind w:left="227"/>
              <w:rPr>
                <w:noProof w:val="0"/>
                <w:lang w:val="en-GB"/>
              </w:rPr>
            </w:pPr>
            <w:r w:rsidRPr="00BD215E">
              <w:rPr>
                <w:noProof w:val="0"/>
                <w:lang w:val="en-GB"/>
              </w:rPr>
              <w:t>HF.1.2</w:t>
            </w:r>
          </w:p>
        </w:tc>
        <w:tc>
          <w:tcPr>
            <w:tcW w:w="2155" w:type="dxa"/>
            <w:vAlign w:val="center"/>
          </w:tcPr>
          <w:p w14:paraId="3EBC86C6" w14:textId="77777777" w:rsidR="007701B0" w:rsidRPr="00BD215E" w:rsidRDefault="007701B0" w:rsidP="00FB5641">
            <w:pPr>
              <w:pStyle w:val="Tablicanotka"/>
              <w:spacing w:before="40" w:after="40"/>
              <w:ind w:left="227" w:right="57"/>
              <w:rPr>
                <w:noProof w:val="0"/>
                <w:lang w:val="en-GB"/>
              </w:rPr>
            </w:pPr>
            <w:bookmarkStart w:id="4" w:name="_Hlk236140423"/>
          </w:p>
          <w:p w14:paraId="5C239B8A" w14:textId="162258FC" w:rsidR="004E7AEC" w:rsidRPr="00BD215E" w:rsidRDefault="004E7AEC" w:rsidP="00FB5641">
            <w:pPr>
              <w:pStyle w:val="Tablicanotka"/>
              <w:spacing w:before="40" w:after="40"/>
              <w:ind w:left="227" w:right="57"/>
              <w:rPr>
                <w:noProof w:val="0"/>
                <w:lang w:val="en-GB"/>
              </w:rPr>
            </w:pPr>
            <w:r w:rsidRPr="00BD215E">
              <w:rPr>
                <w:noProof w:val="0"/>
                <w:lang w:val="en-GB"/>
              </w:rPr>
              <w:t>Compulsory contributory health insurance schemes</w:t>
            </w:r>
            <w:bookmarkEnd w:id="4"/>
          </w:p>
        </w:tc>
        <w:tc>
          <w:tcPr>
            <w:tcW w:w="964" w:type="dxa"/>
            <w:vAlign w:val="bottom"/>
          </w:tcPr>
          <w:p w14:paraId="6D83E0E1" w14:textId="3B5E2AA7" w:rsidR="004E7AEC" w:rsidRPr="00BD215E" w:rsidRDefault="004E7AEC" w:rsidP="00BC245E">
            <w:pPr>
              <w:pStyle w:val="P68B1DB1-Normalny9"/>
              <w:spacing w:before="0" w:after="40"/>
              <w:ind w:right="57"/>
              <w:jc w:val="right"/>
              <w:rPr>
                <w:szCs w:val="16"/>
                <w:lang w:val="en-GB"/>
              </w:rPr>
            </w:pPr>
            <w:r w:rsidRPr="00BD215E">
              <w:rPr>
                <w:lang w:val="en-GB"/>
              </w:rPr>
              <w:t>162 357</w:t>
            </w:r>
            <w:r w:rsidR="00130DA4" w:rsidRPr="00BD215E">
              <w:rPr>
                <w:lang w:val="en-GB"/>
              </w:rPr>
              <w:t>.</w:t>
            </w:r>
            <w:r w:rsidRPr="00BD215E">
              <w:rPr>
                <w:lang w:val="en-GB"/>
              </w:rPr>
              <w:t>1</w:t>
            </w:r>
          </w:p>
        </w:tc>
        <w:tc>
          <w:tcPr>
            <w:tcW w:w="567" w:type="dxa"/>
            <w:vAlign w:val="bottom"/>
          </w:tcPr>
          <w:p w14:paraId="775709ED" w14:textId="77777777" w:rsidR="004E7AEC" w:rsidRPr="00BD215E" w:rsidRDefault="004E7AEC" w:rsidP="00FB5641">
            <w:pPr>
              <w:pStyle w:val="TableParagraph"/>
              <w:rPr>
                <w:lang w:val="en-GB"/>
              </w:rPr>
            </w:pPr>
          </w:p>
          <w:p w14:paraId="6124C268" w14:textId="77777777" w:rsidR="004E7AEC" w:rsidRPr="00BD215E" w:rsidRDefault="004E7AEC" w:rsidP="00FB5641">
            <w:pPr>
              <w:pStyle w:val="TableParagraph"/>
              <w:spacing w:before="11"/>
              <w:rPr>
                <w:sz w:val="24"/>
                <w:lang w:val="en-GB"/>
              </w:rPr>
            </w:pPr>
          </w:p>
          <w:p w14:paraId="5A42EC9E" w14:textId="0BE62B80" w:rsidR="004E7AEC" w:rsidRPr="00BD215E" w:rsidRDefault="004E7AEC" w:rsidP="00FB5641">
            <w:pPr>
              <w:pStyle w:val="P68B1DB1-Normalny9"/>
              <w:spacing w:before="40" w:after="40"/>
              <w:ind w:right="57"/>
              <w:jc w:val="right"/>
              <w:rPr>
                <w:szCs w:val="16"/>
                <w:lang w:val="en-GB"/>
              </w:rPr>
            </w:pPr>
            <w:r w:rsidRPr="00BD215E">
              <w:rPr>
                <w:lang w:val="en-GB"/>
              </w:rPr>
              <w:t>4</w:t>
            </w:r>
            <w:r w:rsidR="00130DA4" w:rsidRPr="00BD215E">
              <w:rPr>
                <w:lang w:val="en-GB"/>
              </w:rPr>
              <w:t>.</w:t>
            </w:r>
            <w:r w:rsidRPr="00BD215E">
              <w:rPr>
                <w:lang w:val="en-GB"/>
              </w:rPr>
              <w:t>8</w:t>
            </w:r>
          </w:p>
        </w:tc>
        <w:tc>
          <w:tcPr>
            <w:tcW w:w="992" w:type="dxa"/>
            <w:vAlign w:val="bottom"/>
          </w:tcPr>
          <w:p w14:paraId="547C4542" w14:textId="77777777" w:rsidR="004E7AEC" w:rsidRPr="00BD215E" w:rsidRDefault="004E7AEC" w:rsidP="00FB5641">
            <w:pPr>
              <w:pStyle w:val="TableParagraph"/>
              <w:ind w:right="57"/>
              <w:jc w:val="right"/>
              <w:rPr>
                <w:sz w:val="16"/>
                <w:lang w:val="en-GB"/>
              </w:rPr>
            </w:pPr>
          </w:p>
          <w:p w14:paraId="3E79E957" w14:textId="77777777" w:rsidR="004E7AEC" w:rsidRPr="00BD215E" w:rsidRDefault="004E7AEC" w:rsidP="00FB5641">
            <w:pPr>
              <w:pStyle w:val="TableParagraph"/>
              <w:ind w:right="57"/>
              <w:jc w:val="right"/>
              <w:rPr>
                <w:sz w:val="16"/>
                <w:lang w:val="en-GB"/>
              </w:rPr>
            </w:pPr>
          </w:p>
          <w:p w14:paraId="65F98BD0" w14:textId="77777777" w:rsidR="004E7AEC" w:rsidRPr="00BD215E" w:rsidRDefault="004E7AEC" w:rsidP="00BC245E">
            <w:pPr>
              <w:pStyle w:val="TableParagraph"/>
              <w:ind w:right="57"/>
              <w:rPr>
                <w:sz w:val="16"/>
                <w:lang w:val="en-GB"/>
              </w:rPr>
            </w:pPr>
          </w:p>
          <w:p w14:paraId="3175A944" w14:textId="0DDFCEC2" w:rsidR="004E7AEC" w:rsidRPr="00BD215E" w:rsidRDefault="004E7AEC" w:rsidP="00FB5641">
            <w:pPr>
              <w:pStyle w:val="P68B1DB1-Normalny9"/>
              <w:spacing w:before="40" w:after="40"/>
              <w:ind w:right="57"/>
              <w:jc w:val="right"/>
              <w:rPr>
                <w:szCs w:val="16"/>
                <w:lang w:val="en-GB"/>
              </w:rPr>
            </w:pPr>
            <w:r w:rsidRPr="00BD215E">
              <w:rPr>
                <w:lang w:val="en-GB"/>
              </w:rPr>
              <w:t>171 919</w:t>
            </w:r>
            <w:r w:rsidR="00130DA4" w:rsidRPr="00BD215E">
              <w:rPr>
                <w:lang w:val="en-GB"/>
              </w:rPr>
              <w:t>.</w:t>
            </w:r>
            <w:r w:rsidRPr="00BD215E">
              <w:rPr>
                <w:lang w:val="en-GB"/>
              </w:rPr>
              <w:t>6</w:t>
            </w:r>
          </w:p>
        </w:tc>
        <w:tc>
          <w:tcPr>
            <w:tcW w:w="567" w:type="dxa"/>
            <w:vAlign w:val="bottom"/>
          </w:tcPr>
          <w:p w14:paraId="09EB7577" w14:textId="77777777" w:rsidR="004E7AEC" w:rsidRPr="00BD215E" w:rsidRDefault="004E7AEC" w:rsidP="00FB5641">
            <w:pPr>
              <w:pStyle w:val="TableParagraph"/>
              <w:ind w:right="57"/>
              <w:jc w:val="right"/>
              <w:rPr>
                <w:sz w:val="16"/>
                <w:lang w:val="en-GB"/>
              </w:rPr>
            </w:pPr>
          </w:p>
          <w:p w14:paraId="29060EF4" w14:textId="77777777" w:rsidR="004E7AEC" w:rsidRPr="00BD215E" w:rsidRDefault="004E7AEC" w:rsidP="00FB5641">
            <w:pPr>
              <w:pStyle w:val="TableParagraph"/>
              <w:spacing w:before="11"/>
              <w:ind w:right="57"/>
              <w:jc w:val="right"/>
              <w:rPr>
                <w:sz w:val="16"/>
                <w:lang w:val="en-GB"/>
              </w:rPr>
            </w:pPr>
          </w:p>
          <w:p w14:paraId="68786D5F" w14:textId="77777777" w:rsidR="004E7AEC" w:rsidRPr="00BD215E" w:rsidRDefault="004E7AEC" w:rsidP="00FB5641">
            <w:pPr>
              <w:pStyle w:val="TableParagraph"/>
              <w:ind w:right="57"/>
              <w:jc w:val="right"/>
              <w:rPr>
                <w:sz w:val="16"/>
                <w:lang w:val="en-GB"/>
              </w:rPr>
            </w:pPr>
          </w:p>
          <w:p w14:paraId="6F08C155" w14:textId="01EE68D6" w:rsidR="004E7AEC" w:rsidRPr="00BD215E" w:rsidRDefault="004E7AEC" w:rsidP="00FB5641">
            <w:pPr>
              <w:pStyle w:val="P68B1DB1-Normalny9"/>
              <w:spacing w:before="40" w:after="40"/>
              <w:ind w:right="57"/>
              <w:jc w:val="right"/>
              <w:rPr>
                <w:szCs w:val="16"/>
                <w:lang w:val="en-GB"/>
              </w:rPr>
            </w:pPr>
            <w:r w:rsidRPr="00BD215E">
              <w:rPr>
                <w:lang w:val="en-GB"/>
              </w:rPr>
              <w:t>4</w:t>
            </w:r>
            <w:r w:rsidR="00130DA4" w:rsidRPr="00BD215E">
              <w:rPr>
                <w:lang w:val="en-GB"/>
              </w:rPr>
              <w:t>.</w:t>
            </w:r>
            <w:r w:rsidRPr="00BD215E">
              <w:rPr>
                <w:lang w:val="en-GB"/>
              </w:rPr>
              <w:t>7</w:t>
            </w:r>
          </w:p>
        </w:tc>
        <w:tc>
          <w:tcPr>
            <w:tcW w:w="992" w:type="dxa"/>
            <w:vAlign w:val="bottom"/>
          </w:tcPr>
          <w:p w14:paraId="3DEDC254" w14:textId="77777777" w:rsidR="004E7AEC" w:rsidRPr="00BD215E" w:rsidRDefault="004E7AEC" w:rsidP="00FB5641">
            <w:pPr>
              <w:pStyle w:val="TableParagraph"/>
              <w:rPr>
                <w:lang w:val="en-GB"/>
              </w:rPr>
            </w:pPr>
          </w:p>
          <w:p w14:paraId="2115E8C4" w14:textId="40A7F6D6" w:rsidR="004E7AEC" w:rsidRPr="00BD215E" w:rsidRDefault="004E7AEC" w:rsidP="00FB5641">
            <w:pPr>
              <w:pStyle w:val="P68B1DB1-Normalny9"/>
              <w:spacing w:before="40" w:after="40"/>
              <w:ind w:right="113"/>
              <w:jc w:val="right"/>
              <w:rPr>
                <w:szCs w:val="16"/>
                <w:lang w:val="en-GB"/>
              </w:rPr>
            </w:pPr>
            <w:r w:rsidRPr="00BD215E">
              <w:rPr>
                <w:lang w:val="en-GB"/>
              </w:rPr>
              <w:t>214 231</w:t>
            </w:r>
            <w:r w:rsidR="00130DA4" w:rsidRPr="00BD215E">
              <w:rPr>
                <w:lang w:val="en-GB"/>
              </w:rPr>
              <w:t>.</w:t>
            </w:r>
            <w:r w:rsidRPr="00BD215E">
              <w:rPr>
                <w:lang w:val="en-GB"/>
              </w:rPr>
              <w:t>8</w:t>
            </w:r>
          </w:p>
        </w:tc>
        <w:tc>
          <w:tcPr>
            <w:tcW w:w="567" w:type="dxa"/>
            <w:tcBorders>
              <w:right w:val="nil"/>
            </w:tcBorders>
            <w:vAlign w:val="bottom"/>
          </w:tcPr>
          <w:p w14:paraId="608F6983" w14:textId="77777777" w:rsidR="004E7AEC" w:rsidRPr="00BD215E" w:rsidRDefault="004E7AEC" w:rsidP="00FB5641">
            <w:pPr>
              <w:pStyle w:val="TableParagraph"/>
              <w:rPr>
                <w:lang w:val="en-GB"/>
              </w:rPr>
            </w:pPr>
          </w:p>
          <w:p w14:paraId="78CFBD46" w14:textId="77777777" w:rsidR="004E7AEC" w:rsidRPr="00BD215E" w:rsidRDefault="004E7AEC" w:rsidP="00FB5641">
            <w:pPr>
              <w:pStyle w:val="TableParagraph"/>
              <w:spacing w:before="11"/>
              <w:rPr>
                <w:sz w:val="24"/>
                <w:lang w:val="en-GB"/>
              </w:rPr>
            </w:pPr>
          </w:p>
          <w:p w14:paraId="549D1BD7" w14:textId="70F4CBE8" w:rsidR="004E7AEC" w:rsidRPr="00BD215E" w:rsidRDefault="004E7AEC" w:rsidP="00FB5641">
            <w:pPr>
              <w:pStyle w:val="P68B1DB1-Normalny9"/>
              <w:spacing w:before="40" w:after="40"/>
              <w:ind w:right="113"/>
              <w:jc w:val="right"/>
              <w:rPr>
                <w:szCs w:val="16"/>
                <w:lang w:val="en-GB"/>
              </w:rPr>
            </w:pPr>
            <w:r w:rsidRPr="00BD215E">
              <w:rPr>
                <w:lang w:val="en-GB"/>
              </w:rPr>
              <w:t>5</w:t>
            </w:r>
            <w:r w:rsidR="00130DA4" w:rsidRPr="00BD215E">
              <w:rPr>
                <w:lang w:val="en-GB"/>
              </w:rPr>
              <w:t>.</w:t>
            </w:r>
            <w:r w:rsidRPr="00BD215E">
              <w:rPr>
                <w:lang w:val="en-GB"/>
              </w:rPr>
              <w:t>5</w:t>
            </w:r>
          </w:p>
        </w:tc>
      </w:tr>
      <w:tr w:rsidR="004E7AEC" w:rsidRPr="00BD215E" w14:paraId="11EDA4E0" w14:textId="77777777" w:rsidTr="00FB5641">
        <w:tc>
          <w:tcPr>
            <w:tcW w:w="1134" w:type="dxa"/>
            <w:tcBorders>
              <w:bottom w:val="single" w:sz="4" w:space="0" w:color="001D77"/>
            </w:tcBorders>
            <w:vAlign w:val="center"/>
          </w:tcPr>
          <w:p w14:paraId="4002CBAF" w14:textId="77777777" w:rsidR="004E7AEC" w:rsidRPr="00BD215E" w:rsidRDefault="004E7AEC" w:rsidP="00FB5641">
            <w:pPr>
              <w:pStyle w:val="Tablicanotka"/>
              <w:spacing w:before="40" w:after="40"/>
              <w:ind w:left="57"/>
              <w:rPr>
                <w:noProof w:val="0"/>
                <w:lang w:val="en-GB"/>
              </w:rPr>
            </w:pPr>
            <w:r w:rsidRPr="00BD215E">
              <w:rPr>
                <w:noProof w:val="0"/>
                <w:lang w:val="en-GB"/>
              </w:rPr>
              <w:t>HF.2+HF.3</w:t>
            </w:r>
          </w:p>
        </w:tc>
        <w:tc>
          <w:tcPr>
            <w:tcW w:w="2155" w:type="dxa"/>
            <w:tcBorders>
              <w:bottom w:val="single" w:sz="4" w:space="0" w:color="001D77"/>
            </w:tcBorders>
            <w:vAlign w:val="center"/>
          </w:tcPr>
          <w:p w14:paraId="464CD975" w14:textId="77777777" w:rsidR="004E7AEC" w:rsidRPr="00BD215E" w:rsidRDefault="004E7AEC" w:rsidP="00FB5641">
            <w:pPr>
              <w:pStyle w:val="Tablicanotka"/>
              <w:spacing w:before="40" w:after="40"/>
              <w:ind w:left="57" w:right="57"/>
              <w:jc w:val="both"/>
              <w:rPr>
                <w:noProof w:val="0"/>
                <w:lang w:val="en-GB"/>
              </w:rPr>
            </w:pPr>
            <w:r w:rsidRPr="00BD215E">
              <w:rPr>
                <w:noProof w:val="0"/>
                <w:lang w:val="en-GB"/>
              </w:rPr>
              <w:t>Private expenditure</w:t>
            </w:r>
          </w:p>
        </w:tc>
        <w:tc>
          <w:tcPr>
            <w:tcW w:w="964" w:type="dxa"/>
          </w:tcPr>
          <w:p w14:paraId="0D3F3207" w14:textId="6EB2DFAD" w:rsidR="004E7AEC" w:rsidRPr="00BD215E" w:rsidRDefault="004E7AEC" w:rsidP="00FB5641">
            <w:pPr>
              <w:pStyle w:val="P68B1DB1-Normalny9"/>
              <w:spacing w:before="40" w:after="40"/>
              <w:ind w:right="57"/>
              <w:jc w:val="right"/>
              <w:rPr>
                <w:szCs w:val="16"/>
                <w:lang w:val="en-GB"/>
              </w:rPr>
            </w:pPr>
            <w:r w:rsidRPr="00BD215E">
              <w:rPr>
                <w:lang w:val="en-GB"/>
              </w:rPr>
              <w:t>54 689</w:t>
            </w:r>
            <w:r w:rsidR="00130DA4" w:rsidRPr="00BD215E">
              <w:rPr>
                <w:lang w:val="en-GB"/>
              </w:rPr>
              <w:t>.</w:t>
            </w:r>
            <w:r w:rsidRPr="00BD215E">
              <w:rPr>
                <w:lang w:val="en-GB"/>
              </w:rPr>
              <w:t>1</w:t>
            </w:r>
          </w:p>
        </w:tc>
        <w:tc>
          <w:tcPr>
            <w:tcW w:w="567" w:type="dxa"/>
          </w:tcPr>
          <w:p w14:paraId="4C6EE5D3" w14:textId="1586E1BD" w:rsidR="004E7AEC" w:rsidRPr="00BD215E" w:rsidRDefault="004E7AEC" w:rsidP="00FB5641">
            <w:pPr>
              <w:pStyle w:val="P68B1DB1-Normalny9"/>
              <w:spacing w:before="40" w:after="40"/>
              <w:ind w:right="57"/>
              <w:jc w:val="right"/>
              <w:rPr>
                <w:szCs w:val="16"/>
                <w:lang w:val="en-GB"/>
              </w:rPr>
            </w:pPr>
            <w:r w:rsidRPr="00BD215E">
              <w:rPr>
                <w:lang w:val="en-GB"/>
              </w:rPr>
              <w:t>1</w:t>
            </w:r>
            <w:r w:rsidR="00130DA4" w:rsidRPr="00BD215E">
              <w:rPr>
                <w:lang w:val="en-GB"/>
              </w:rPr>
              <w:t>.</w:t>
            </w:r>
            <w:r w:rsidRPr="00BD215E">
              <w:rPr>
                <w:lang w:val="en-GB"/>
              </w:rPr>
              <w:t>6</w:t>
            </w:r>
          </w:p>
        </w:tc>
        <w:tc>
          <w:tcPr>
            <w:tcW w:w="992" w:type="dxa"/>
          </w:tcPr>
          <w:p w14:paraId="55739ABB" w14:textId="688AD6C6" w:rsidR="004E7AEC" w:rsidRPr="00BD215E" w:rsidRDefault="004E7AEC" w:rsidP="00FB5641">
            <w:pPr>
              <w:pStyle w:val="P68B1DB1-Normalny9"/>
              <w:spacing w:before="40" w:after="40"/>
              <w:ind w:right="57"/>
              <w:jc w:val="right"/>
              <w:rPr>
                <w:szCs w:val="16"/>
                <w:lang w:val="en-GB"/>
              </w:rPr>
            </w:pPr>
            <w:r w:rsidRPr="00BD215E">
              <w:rPr>
                <w:lang w:val="en-GB"/>
              </w:rPr>
              <w:t>66 377</w:t>
            </w:r>
            <w:r w:rsidR="00130DA4" w:rsidRPr="00BD215E">
              <w:rPr>
                <w:lang w:val="en-GB"/>
              </w:rPr>
              <w:t>.</w:t>
            </w:r>
            <w:r w:rsidRPr="00BD215E">
              <w:rPr>
                <w:lang w:val="en-GB"/>
              </w:rPr>
              <w:t>7</w:t>
            </w:r>
          </w:p>
        </w:tc>
        <w:tc>
          <w:tcPr>
            <w:tcW w:w="567" w:type="dxa"/>
          </w:tcPr>
          <w:p w14:paraId="4F03D1EC" w14:textId="0CCCFB07" w:rsidR="004E7AEC" w:rsidRPr="00BD215E" w:rsidRDefault="004E7AEC" w:rsidP="00FB5641">
            <w:pPr>
              <w:pStyle w:val="P68B1DB1-Normalny9"/>
              <w:spacing w:before="40" w:after="40"/>
              <w:ind w:right="57"/>
              <w:jc w:val="right"/>
              <w:rPr>
                <w:szCs w:val="16"/>
                <w:lang w:val="en-GB"/>
              </w:rPr>
            </w:pPr>
            <w:r w:rsidRPr="00BD215E">
              <w:rPr>
                <w:lang w:val="en-GB"/>
              </w:rPr>
              <w:t>1</w:t>
            </w:r>
            <w:r w:rsidR="00130DA4" w:rsidRPr="00BD215E">
              <w:rPr>
                <w:lang w:val="en-GB"/>
              </w:rPr>
              <w:t>.</w:t>
            </w:r>
            <w:r w:rsidRPr="00BD215E">
              <w:rPr>
                <w:lang w:val="en-GB"/>
              </w:rPr>
              <w:t>8</w:t>
            </w:r>
          </w:p>
        </w:tc>
        <w:tc>
          <w:tcPr>
            <w:tcW w:w="992" w:type="dxa"/>
          </w:tcPr>
          <w:p w14:paraId="60992A57" w14:textId="236186BF" w:rsidR="004E7AEC" w:rsidRPr="00BD215E" w:rsidRDefault="004E7AEC" w:rsidP="00FB5641">
            <w:pPr>
              <w:pStyle w:val="P68B1DB1-Normalny9"/>
              <w:spacing w:before="40" w:after="40"/>
              <w:ind w:right="57"/>
              <w:jc w:val="right"/>
              <w:rPr>
                <w:szCs w:val="16"/>
                <w:lang w:val="en-GB"/>
              </w:rPr>
            </w:pPr>
            <w:r w:rsidRPr="00BD215E">
              <w:rPr>
                <w:lang w:val="en-GB"/>
              </w:rPr>
              <w:t>76 208</w:t>
            </w:r>
            <w:r w:rsidR="00130DA4" w:rsidRPr="00BD215E">
              <w:rPr>
                <w:lang w:val="en-GB"/>
              </w:rPr>
              <w:t>.</w:t>
            </w:r>
            <w:r w:rsidRPr="00BD215E">
              <w:rPr>
                <w:lang w:val="en-GB"/>
              </w:rPr>
              <w:t>2</w:t>
            </w:r>
          </w:p>
        </w:tc>
        <w:tc>
          <w:tcPr>
            <w:tcW w:w="567" w:type="dxa"/>
            <w:tcBorders>
              <w:right w:val="nil"/>
            </w:tcBorders>
          </w:tcPr>
          <w:p w14:paraId="6EFA431D" w14:textId="5E7ADD55" w:rsidR="004E7AEC" w:rsidRPr="00BD215E" w:rsidRDefault="004E7AEC" w:rsidP="00FB5641">
            <w:pPr>
              <w:pStyle w:val="P68B1DB1-Normalny9"/>
              <w:spacing w:before="40" w:after="40"/>
              <w:ind w:right="57"/>
              <w:jc w:val="right"/>
              <w:rPr>
                <w:szCs w:val="16"/>
                <w:lang w:val="en-GB"/>
              </w:rPr>
            </w:pPr>
            <w:r w:rsidRPr="00BD215E">
              <w:rPr>
                <w:lang w:val="en-GB"/>
              </w:rPr>
              <w:t>1</w:t>
            </w:r>
            <w:r w:rsidR="00130DA4" w:rsidRPr="00BD215E">
              <w:rPr>
                <w:lang w:val="en-GB"/>
              </w:rPr>
              <w:t>.</w:t>
            </w:r>
            <w:r w:rsidRPr="00BD215E">
              <w:rPr>
                <w:lang w:val="en-GB"/>
              </w:rPr>
              <w:t>9</w:t>
            </w:r>
          </w:p>
        </w:tc>
      </w:tr>
      <w:tr w:rsidR="004E7AEC" w:rsidRPr="00BD215E" w14:paraId="37D39B42" w14:textId="77777777" w:rsidTr="00FB5641">
        <w:tc>
          <w:tcPr>
            <w:tcW w:w="1134" w:type="dxa"/>
            <w:tcBorders>
              <w:bottom w:val="nil"/>
            </w:tcBorders>
          </w:tcPr>
          <w:p w14:paraId="34139877" w14:textId="77777777" w:rsidR="007701B0" w:rsidRPr="00BD215E" w:rsidRDefault="004E7AEC" w:rsidP="00FB5641">
            <w:pPr>
              <w:pStyle w:val="Tablicanotka"/>
              <w:spacing w:before="40" w:after="40"/>
              <w:ind w:left="227"/>
              <w:rPr>
                <w:noProof w:val="0"/>
                <w:lang w:val="en-GB"/>
              </w:rPr>
            </w:pPr>
            <w:r w:rsidRPr="00BD215E">
              <w:rPr>
                <w:noProof w:val="0"/>
                <w:lang w:val="en-GB"/>
              </w:rPr>
              <w:t xml:space="preserve"> </w:t>
            </w:r>
          </w:p>
          <w:p w14:paraId="64DAEA3B" w14:textId="7CD936AD" w:rsidR="004E7AEC" w:rsidRPr="00BD215E" w:rsidRDefault="004E7AEC" w:rsidP="00FB5641">
            <w:pPr>
              <w:pStyle w:val="Tablicanotka"/>
              <w:spacing w:before="40" w:after="40"/>
              <w:ind w:left="227"/>
              <w:rPr>
                <w:noProof w:val="0"/>
                <w:lang w:val="en-GB"/>
              </w:rPr>
            </w:pPr>
            <w:r w:rsidRPr="00BD215E">
              <w:rPr>
                <w:noProof w:val="0"/>
                <w:lang w:val="en-GB"/>
              </w:rPr>
              <w:t>HF.3</w:t>
            </w:r>
          </w:p>
        </w:tc>
        <w:tc>
          <w:tcPr>
            <w:tcW w:w="2155" w:type="dxa"/>
            <w:tcBorders>
              <w:bottom w:val="nil"/>
            </w:tcBorders>
            <w:vAlign w:val="center"/>
          </w:tcPr>
          <w:p w14:paraId="3D58D6DD" w14:textId="194B36A0" w:rsidR="004E7AEC" w:rsidRPr="00BD215E" w:rsidRDefault="005712F2" w:rsidP="00574EB0">
            <w:pPr>
              <w:suppressAutoHyphens/>
              <w:autoSpaceDE w:val="0"/>
              <w:autoSpaceDN w:val="0"/>
              <w:spacing w:after="0" w:line="240" w:lineRule="auto"/>
              <w:ind w:left="227" w:right="57"/>
              <w:rPr>
                <w:lang w:val="en-GB"/>
              </w:rPr>
            </w:pPr>
            <w:r w:rsidRPr="00BD215E">
              <w:rPr>
                <w:spacing w:val="-2"/>
                <w:sz w:val="16"/>
                <w:szCs w:val="16"/>
                <w:lang w:val="en-GB"/>
              </w:rPr>
              <w:t xml:space="preserve">of which household </w:t>
            </w:r>
            <w:r w:rsidR="007701B0" w:rsidRPr="00BD215E">
              <w:rPr>
                <w:spacing w:val="-2"/>
                <w:sz w:val="16"/>
                <w:szCs w:val="16"/>
                <w:lang w:val="en-GB"/>
              </w:rPr>
              <w:br/>
            </w:r>
            <w:r w:rsidRPr="00BD215E">
              <w:rPr>
                <w:spacing w:val="-2"/>
                <w:sz w:val="16"/>
                <w:szCs w:val="16"/>
                <w:lang w:val="en-GB"/>
              </w:rPr>
              <w:t xml:space="preserve">out-of-pocket expenditure </w:t>
            </w:r>
          </w:p>
        </w:tc>
        <w:tc>
          <w:tcPr>
            <w:tcW w:w="964" w:type="dxa"/>
            <w:tcBorders>
              <w:bottom w:val="nil"/>
            </w:tcBorders>
          </w:tcPr>
          <w:p w14:paraId="38B476E7" w14:textId="77777777" w:rsidR="004E7AEC" w:rsidRPr="00BD215E" w:rsidRDefault="004E7AEC" w:rsidP="00574EB0">
            <w:pPr>
              <w:pStyle w:val="P68B1DB1-Normalny9"/>
              <w:spacing w:before="40" w:after="40"/>
              <w:ind w:right="57"/>
              <w:jc w:val="right"/>
              <w:rPr>
                <w:lang w:val="en-GB"/>
              </w:rPr>
            </w:pPr>
          </w:p>
          <w:p w14:paraId="7E423C47" w14:textId="095AC4DC" w:rsidR="004E7AEC" w:rsidRPr="00BD215E" w:rsidRDefault="004E7AEC" w:rsidP="00574EB0">
            <w:pPr>
              <w:pStyle w:val="P68B1DB1-Normalny9"/>
              <w:spacing w:before="40" w:after="40"/>
              <w:ind w:right="57"/>
              <w:jc w:val="right"/>
              <w:rPr>
                <w:lang w:val="en-GB"/>
              </w:rPr>
            </w:pPr>
            <w:r w:rsidRPr="00BD215E">
              <w:rPr>
                <w:lang w:val="en-GB"/>
              </w:rPr>
              <w:t>38 633</w:t>
            </w:r>
            <w:r w:rsidR="00130DA4" w:rsidRPr="00BD215E">
              <w:rPr>
                <w:lang w:val="en-GB"/>
              </w:rPr>
              <w:t>.</w:t>
            </w:r>
            <w:r w:rsidRPr="00BD215E">
              <w:rPr>
                <w:lang w:val="en-GB"/>
              </w:rPr>
              <w:t>2</w:t>
            </w:r>
          </w:p>
        </w:tc>
        <w:tc>
          <w:tcPr>
            <w:tcW w:w="567" w:type="dxa"/>
            <w:tcBorders>
              <w:bottom w:val="nil"/>
            </w:tcBorders>
          </w:tcPr>
          <w:p w14:paraId="41737985" w14:textId="77777777" w:rsidR="004E7AEC" w:rsidRPr="00BD215E" w:rsidRDefault="004E7AEC" w:rsidP="00574EB0">
            <w:pPr>
              <w:pStyle w:val="P68B1DB1-Normalny9"/>
              <w:spacing w:before="40" w:after="40"/>
              <w:ind w:right="57"/>
              <w:jc w:val="right"/>
              <w:rPr>
                <w:lang w:val="en-GB"/>
              </w:rPr>
            </w:pPr>
          </w:p>
          <w:p w14:paraId="0609B332" w14:textId="5A325089" w:rsidR="004E7AEC" w:rsidRPr="00BD215E" w:rsidRDefault="004E7AEC" w:rsidP="00574EB0">
            <w:pPr>
              <w:pStyle w:val="P68B1DB1-Normalny9"/>
              <w:spacing w:before="40" w:after="40"/>
              <w:ind w:right="57"/>
              <w:jc w:val="right"/>
              <w:rPr>
                <w:lang w:val="en-GB"/>
              </w:rPr>
            </w:pPr>
            <w:r w:rsidRPr="00BD215E">
              <w:rPr>
                <w:lang w:val="en-GB"/>
              </w:rPr>
              <w:t>1</w:t>
            </w:r>
            <w:r w:rsidR="00130DA4" w:rsidRPr="00BD215E">
              <w:rPr>
                <w:lang w:val="en-GB"/>
              </w:rPr>
              <w:t>.</w:t>
            </w:r>
            <w:r w:rsidRPr="00BD215E">
              <w:rPr>
                <w:lang w:val="en-GB"/>
              </w:rPr>
              <w:t>1</w:t>
            </w:r>
          </w:p>
        </w:tc>
        <w:tc>
          <w:tcPr>
            <w:tcW w:w="992" w:type="dxa"/>
            <w:tcBorders>
              <w:bottom w:val="nil"/>
            </w:tcBorders>
          </w:tcPr>
          <w:p w14:paraId="626395D2" w14:textId="77777777" w:rsidR="004E7AEC" w:rsidRPr="00BD215E" w:rsidRDefault="004E7AEC" w:rsidP="00574EB0">
            <w:pPr>
              <w:pStyle w:val="P68B1DB1-Normalny9"/>
              <w:spacing w:before="40" w:after="40"/>
              <w:ind w:right="57"/>
              <w:jc w:val="right"/>
              <w:rPr>
                <w:lang w:val="en-GB"/>
              </w:rPr>
            </w:pPr>
          </w:p>
          <w:p w14:paraId="2177826A" w14:textId="11693D47" w:rsidR="004E7AEC" w:rsidRPr="00BD215E" w:rsidRDefault="004E7AEC" w:rsidP="00574EB0">
            <w:pPr>
              <w:pStyle w:val="P68B1DB1-Normalny9"/>
              <w:spacing w:before="40" w:after="40"/>
              <w:ind w:right="57"/>
              <w:jc w:val="right"/>
              <w:rPr>
                <w:lang w:val="en-GB"/>
              </w:rPr>
            </w:pPr>
            <w:r w:rsidRPr="00BD215E">
              <w:rPr>
                <w:lang w:val="en-GB"/>
              </w:rPr>
              <w:t>47 640</w:t>
            </w:r>
            <w:r w:rsidR="00130DA4" w:rsidRPr="00BD215E">
              <w:rPr>
                <w:lang w:val="en-GB"/>
              </w:rPr>
              <w:t>.</w:t>
            </w:r>
            <w:r w:rsidRPr="00BD215E">
              <w:rPr>
                <w:lang w:val="en-GB"/>
              </w:rPr>
              <w:t>5</w:t>
            </w:r>
          </w:p>
        </w:tc>
        <w:tc>
          <w:tcPr>
            <w:tcW w:w="567" w:type="dxa"/>
            <w:tcBorders>
              <w:bottom w:val="nil"/>
            </w:tcBorders>
          </w:tcPr>
          <w:p w14:paraId="3758B07B" w14:textId="77777777" w:rsidR="004E7AEC" w:rsidRPr="00BD215E" w:rsidRDefault="004E7AEC" w:rsidP="00574EB0">
            <w:pPr>
              <w:pStyle w:val="P68B1DB1-Normalny9"/>
              <w:spacing w:before="40" w:after="40"/>
              <w:ind w:right="57"/>
              <w:jc w:val="right"/>
              <w:rPr>
                <w:lang w:val="en-GB"/>
              </w:rPr>
            </w:pPr>
          </w:p>
          <w:p w14:paraId="60772C9C" w14:textId="4BB256E4" w:rsidR="004E7AEC" w:rsidRPr="00BD215E" w:rsidRDefault="004E7AEC" w:rsidP="00574EB0">
            <w:pPr>
              <w:pStyle w:val="P68B1DB1-Normalny9"/>
              <w:spacing w:before="40" w:after="40"/>
              <w:ind w:right="57"/>
              <w:jc w:val="right"/>
              <w:rPr>
                <w:lang w:val="en-GB"/>
              </w:rPr>
            </w:pPr>
            <w:r w:rsidRPr="00BD215E">
              <w:rPr>
                <w:lang w:val="en-GB"/>
              </w:rPr>
              <w:t>1</w:t>
            </w:r>
            <w:r w:rsidR="00130DA4" w:rsidRPr="00BD215E">
              <w:rPr>
                <w:lang w:val="en-GB"/>
              </w:rPr>
              <w:t>.</w:t>
            </w:r>
            <w:r w:rsidRPr="00BD215E">
              <w:rPr>
                <w:lang w:val="en-GB"/>
              </w:rPr>
              <w:t>3</w:t>
            </w:r>
          </w:p>
        </w:tc>
        <w:tc>
          <w:tcPr>
            <w:tcW w:w="992" w:type="dxa"/>
            <w:tcBorders>
              <w:bottom w:val="nil"/>
            </w:tcBorders>
          </w:tcPr>
          <w:p w14:paraId="6620E3AE" w14:textId="77777777" w:rsidR="004E7AEC" w:rsidRPr="00BD215E" w:rsidRDefault="004E7AEC" w:rsidP="00574EB0">
            <w:pPr>
              <w:pStyle w:val="P68B1DB1-Normalny9"/>
              <w:spacing w:before="40" w:after="40"/>
              <w:ind w:right="57"/>
              <w:jc w:val="right"/>
              <w:rPr>
                <w:lang w:val="en-GB"/>
              </w:rPr>
            </w:pPr>
          </w:p>
          <w:p w14:paraId="16CB7F40" w14:textId="3947E0EE" w:rsidR="004E7AEC" w:rsidRPr="00BD215E" w:rsidRDefault="004E7AEC" w:rsidP="00574EB0">
            <w:pPr>
              <w:pStyle w:val="P68B1DB1-Normalny9"/>
              <w:spacing w:before="40" w:after="40"/>
              <w:ind w:right="57"/>
              <w:jc w:val="right"/>
              <w:rPr>
                <w:lang w:val="en-GB"/>
              </w:rPr>
            </w:pPr>
            <w:r w:rsidRPr="00BD215E">
              <w:rPr>
                <w:lang w:val="en-GB"/>
              </w:rPr>
              <w:t>54 743</w:t>
            </w:r>
            <w:r w:rsidR="00130DA4" w:rsidRPr="00BD215E">
              <w:rPr>
                <w:lang w:val="en-GB"/>
              </w:rPr>
              <w:t>.</w:t>
            </w:r>
            <w:r w:rsidRPr="00BD215E">
              <w:rPr>
                <w:lang w:val="en-GB"/>
              </w:rPr>
              <w:t>1</w:t>
            </w:r>
          </w:p>
        </w:tc>
        <w:tc>
          <w:tcPr>
            <w:tcW w:w="567" w:type="dxa"/>
            <w:tcBorders>
              <w:bottom w:val="nil"/>
              <w:right w:val="nil"/>
            </w:tcBorders>
          </w:tcPr>
          <w:p w14:paraId="28EEDA65" w14:textId="77777777" w:rsidR="004E7AEC" w:rsidRPr="00BD215E" w:rsidRDefault="004E7AEC" w:rsidP="00574EB0">
            <w:pPr>
              <w:pStyle w:val="P68B1DB1-Normalny9"/>
              <w:spacing w:before="40" w:after="40"/>
              <w:ind w:right="57"/>
              <w:jc w:val="right"/>
              <w:rPr>
                <w:lang w:val="en-GB"/>
              </w:rPr>
            </w:pPr>
          </w:p>
          <w:p w14:paraId="6E3D1175" w14:textId="58EB71F9" w:rsidR="004E7AEC" w:rsidRPr="00BD215E" w:rsidRDefault="004E7AEC" w:rsidP="00574EB0">
            <w:pPr>
              <w:pStyle w:val="P68B1DB1-Normalny9"/>
              <w:spacing w:before="40" w:after="40"/>
              <w:ind w:right="57"/>
              <w:jc w:val="right"/>
              <w:rPr>
                <w:lang w:val="en-GB"/>
              </w:rPr>
            </w:pPr>
            <w:r w:rsidRPr="00BD215E">
              <w:rPr>
                <w:lang w:val="en-GB"/>
              </w:rPr>
              <w:t>1</w:t>
            </w:r>
            <w:r w:rsidR="00130DA4" w:rsidRPr="00BD215E">
              <w:rPr>
                <w:lang w:val="en-GB"/>
              </w:rPr>
              <w:t>.</w:t>
            </w:r>
            <w:r w:rsidRPr="00BD215E">
              <w:rPr>
                <w:lang w:val="en-GB"/>
              </w:rPr>
              <w:t>4</w:t>
            </w:r>
          </w:p>
        </w:tc>
      </w:tr>
    </w:tbl>
    <w:p w14:paraId="4BF8003A" w14:textId="520D4487" w:rsidR="004E7AEC" w:rsidRPr="00BD215E" w:rsidRDefault="004E7AEC" w:rsidP="004E7AEC">
      <w:pPr>
        <w:widowControl w:val="0"/>
        <w:suppressAutoHyphens/>
        <w:spacing w:after="0" w:line="240" w:lineRule="auto"/>
        <w:rPr>
          <w:sz w:val="16"/>
          <w:lang w:val="en-GB"/>
        </w:rPr>
      </w:pPr>
      <w:r w:rsidRPr="00BD215E">
        <w:rPr>
          <w:rFonts w:cs="Arial"/>
          <w:sz w:val="16"/>
          <w:szCs w:val="16"/>
          <w:vertAlign w:val="superscript"/>
          <w:lang w:val="en-GB"/>
        </w:rPr>
        <w:t>a</w:t>
      </w:r>
      <w:r w:rsidRPr="00BD215E">
        <w:rPr>
          <w:rFonts w:cs="Arial"/>
          <w:sz w:val="16"/>
          <w:szCs w:val="16"/>
          <w:lang w:val="en-GB"/>
        </w:rPr>
        <w:t xml:space="preserve"> </w:t>
      </w:r>
      <w:bookmarkStart w:id="5" w:name="_Hlk204677564"/>
      <w:r w:rsidRPr="00BD215E">
        <w:rPr>
          <w:sz w:val="16"/>
          <w:lang w:val="en-GB"/>
        </w:rPr>
        <w:t xml:space="preserve">Source: </w:t>
      </w:r>
      <w:r w:rsidRPr="00BD215E">
        <w:rPr>
          <w:sz w:val="16"/>
          <w:szCs w:val="16"/>
          <w:lang w:val="en-GB"/>
        </w:rPr>
        <w:t>CSO data:</w:t>
      </w:r>
      <w:r w:rsidRPr="00BD215E">
        <w:rPr>
          <w:sz w:val="16"/>
          <w:lang w:val="en-GB"/>
        </w:rPr>
        <w:t xml:space="preserve"> </w:t>
      </w:r>
      <w:hyperlink r:id="rId14" w:tooltip="Wskaźniki Makroekonomiczne ">
        <w:r w:rsidRPr="00BD215E">
          <w:rPr>
            <w:sz w:val="16"/>
            <w:u w:val="single" w:color="0000FF"/>
            <w:lang w:val="en-GB"/>
          </w:rPr>
          <w:t xml:space="preserve">Macroeconomic indicators (https://stat.gov.pl/macroeconomic </w:t>
        </w:r>
      </w:hyperlink>
      <w:r w:rsidRPr="00BD215E">
        <w:rPr>
          <w:sz w:val="16"/>
          <w:lang w:val="en-GB"/>
        </w:rPr>
        <w:t xml:space="preserve">indicators/) </w:t>
      </w:r>
      <w:r w:rsidRPr="00BD215E">
        <w:rPr>
          <w:rFonts w:eastAsia="Times New Roman" w:cs="Times New Roman"/>
          <w:szCs w:val="19"/>
          <w:lang w:val="en-GB"/>
        </w:rPr>
        <w:t>–</w:t>
      </w:r>
      <w:r w:rsidRPr="00BD215E">
        <w:rPr>
          <w:sz w:val="16"/>
          <w:lang w:val="en-GB"/>
        </w:rPr>
        <w:t xml:space="preserve"> update 17.04.2026</w:t>
      </w:r>
      <w:r w:rsidR="00052349" w:rsidRPr="00BD215E">
        <w:rPr>
          <w:sz w:val="16"/>
          <w:lang w:val="en-GB"/>
        </w:rPr>
        <w:t>.</w:t>
      </w:r>
      <w:r w:rsidRPr="00BD215E">
        <w:rPr>
          <w:sz w:val="16"/>
          <w:lang w:val="en-GB"/>
        </w:rPr>
        <w:t xml:space="preserve"> </w:t>
      </w:r>
      <w:bookmarkStart w:id="6" w:name="_Hlk204678800"/>
      <w:bookmarkEnd w:id="5"/>
    </w:p>
    <w:bookmarkEnd w:id="6"/>
    <w:p w14:paraId="63C66C57" w14:textId="3D758A89" w:rsidR="004E7AEC" w:rsidRPr="00BD215E" w:rsidRDefault="00130DA4" w:rsidP="004E7AEC">
      <w:pPr>
        <w:pStyle w:val="P68B1DB1-Normalny10"/>
        <w:suppressAutoHyphens/>
        <w:spacing w:before="0" w:after="0" w:line="240" w:lineRule="auto"/>
        <w:rPr>
          <w:lang w:val="en-GB"/>
        </w:rPr>
      </w:pPr>
      <w:r w:rsidRPr="00BD215E">
        <w:rPr>
          <w:vertAlign w:val="superscript"/>
          <w:lang w:val="en-GB"/>
        </w:rPr>
        <w:t>b</w:t>
      </w:r>
      <w:r w:rsidR="00005BFE" w:rsidRPr="00005BFE">
        <w:t xml:space="preserve"> </w:t>
      </w:r>
      <w:r w:rsidR="00005BFE" w:rsidRPr="00D71EA2">
        <w:t>T</w:t>
      </w:r>
      <w:r w:rsidR="00005BFE">
        <w:t xml:space="preserve">he sum of all </w:t>
      </w:r>
      <w:r w:rsidR="00005BFE" w:rsidRPr="00D71EA2">
        <w:t xml:space="preserve">public and private </w:t>
      </w:r>
      <w:proofErr w:type="spellStart"/>
      <w:r w:rsidR="00005BFE" w:rsidRPr="00D71EA2">
        <w:t>spending</w:t>
      </w:r>
      <w:r w:rsidR="00005BFE">
        <w:t>s</w:t>
      </w:r>
      <w:proofErr w:type="spellEnd"/>
      <w:r w:rsidR="00005BFE" w:rsidRPr="00D71EA2">
        <w:t xml:space="preserve">; the </w:t>
      </w:r>
      <w:r w:rsidR="00005BFE">
        <w:t>total numbers</w:t>
      </w:r>
      <w:r w:rsidR="00005BFE" w:rsidRPr="00D71EA2">
        <w:t xml:space="preserve"> given in this row may differ slightly (in the first decimal place</w:t>
      </w:r>
      <w:r w:rsidR="00005BFE">
        <w:t>)</w:t>
      </w:r>
      <w:r w:rsidR="00005BFE" w:rsidRPr="00D71EA2">
        <w:t xml:space="preserve"> from the result of adding the components listed in the table, due to rounding of the source data).</w:t>
      </w:r>
    </w:p>
    <w:p w14:paraId="4E37219E" w14:textId="7C062B48" w:rsidR="004E7AEC" w:rsidRPr="00BD215E" w:rsidRDefault="006D3751" w:rsidP="004E7AEC">
      <w:pPr>
        <w:pStyle w:val="P68B1DB1-Normalny10"/>
        <w:suppressAutoHyphens/>
        <w:spacing w:before="0" w:after="0" w:line="240" w:lineRule="auto"/>
        <w:rPr>
          <w:lang w:val="en-GB"/>
        </w:rPr>
      </w:pPr>
      <w:bookmarkStart w:id="7" w:name="_Hlk204676743"/>
      <w:r w:rsidRPr="00BD215E">
        <w:rPr>
          <w:vertAlign w:val="superscript"/>
          <w:lang w:val="en-GB"/>
        </w:rPr>
        <w:t>c</w:t>
      </w:r>
      <w:r w:rsidRPr="00BD215E">
        <w:rPr>
          <w:lang w:val="en-GB"/>
        </w:rPr>
        <w:t xml:space="preserve"> </w:t>
      </w:r>
      <w:r w:rsidR="004E7AEC" w:rsidRPr="00BD215E">
        <w:rPr>
          <w:lang w:val="en-GB"/>
        </w:rPr>
        <w:t xml:space="preserve">See </w:t>
      </w:r>
      <w:bookmarkStart w:id="8" w:name="_Hlk204676771"/>
      <w:bookmarkStart w:id="9" w:name="_Hlk204676787"/>
      <w:r w:rsidR="004E7AEC" w:rsidRPr="00BD215E">
        <w:rPr>
          <w:lang w:val="en-GB"/>
        </w:rPr>
        <w:t>p. 1 footnote 3.</w:t>
      </w:r>
      <w:bookmarkEnd w:id="8"/>
    </w:p>
    <w:bookmarkEnd w:id="7"/>
    <w:bookmarkEnd w:id="9"/>
    <w:p w14:paraId="776C09D7" w14:textId="04AE2648" w:rsidR="004E7AEC" w:rsidRPr="00BD215E" w:rsidRDefault="00CA4FCB" w:rsidP="00665DAF">
      <w:pPr>
        <w:pStyle w:val="P68B1DB1-Normalny5"/>
        <w:suppressAutoHyphens/>
        <w:spacing w:before="360" w:line="288" w:lineRule="auto"/>
        <w:ind w:right="96"/>
        <w:rPr>
          <w:rFonts w:cs="Arial"/>
          <w:color w:val="000000" w:themeColor="text1"/>
          <w:szCs w:val="19"/>
          <w:lang w:val="en-GB"/>
        </w:rPr>
      </w:pPr>
      <w:r w:rsidRPr="0087063E">
        <w:rPr>
          <w:bCs/>
          <w:noProof/>
          <w:lang w:val="pl-PL"/>
        </w:rPr>
        <mc:AlternateContent>
          <mc:Choice Requires="wps">
            <w:drawing>
              <wp:anchor distT="45720" distB="45720" distL="114300" distR="114300" simplePos="0" relativeHeight="251782144" behindDoc="0" locked="0" layoutInCell="1" allowOverlap="1" wp14:anchorId="164C6F33" wp14:editId="455A761E">
                <wp:simplePos x="0" y="0"/>
                <wp:positionH relativeFrom="page">
                  <wp:align>right</wp:align>
                </wp:positionH>
                <wp:positionV relativeFrom="paragraph">
                  <wp:posOffset>371035</wp:posOffset>
                </wp:positionV>
                <wp:extent cx="1775460" cy="1508760"/>
                <wp:effectExtent l="0" t="0" r="0" b="0"/>
                <wp:wrapNone/>
                <wp:docPr id="24" name="Pole tekstowe 24" descr="W 2024 r. wydatki publiczne na ochronę zdrowia stanowiły 76,9% całkowitych wydatków bieżących na ochronę zdrowia, w tym większość (59,8%) przypadała na systemy obowiązkowych ubezpieczeń zdrowotnych."/>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5460" cy="1508760"/>
                        </a:xfrm>
                        <a:prstGeom prst="rect">
                          <a:avLst/>
                        </a:prstGeom>
                        <a:noFill/>
                        <a:ln w="9525">
                          <a:noFill/>
                          <a:miter lim="800000"/>
                          <a:headEnd/>
                          <a:tailEnd/>
                        </a:ln>
                      </wps:spPr>
                      <wps:txbx>
                        <w:txbxContent>
                          <w:p w14:paraId="1520CA4E" w14:textId="59D540D5" w:rsidR="00CA4FCB" w:rsidRPr="00CA4FCB" w:rsidRDefault="00CA4FCB" w:rsidP="00CA4FCB">
                            <w:pPr>
                              <w:pStyle w:val="tekstzboku"/>
                              <w:spacing w:before="0"/>
                              <w:ind w:right="80"/>
                              <w:rPr>
                                <w:color w:val="1F4E79" w:themeColor="accent1" w:themeShade="80"/>
                                <w:lang w:val="en-GB"/>
                              </w:rPr>
                            </w:pPr>
                            <w:r w:rsidRPr="00CA4FCB">
                              <w:rPr>
                                <w:color w:val="1F4E79" w:themeColor="accent1" w:themeShade="80"/>
                                <w:lang w:val="en-GB"/>
                              </w:rPr>
                              <w:t xml:space="preserve">In 2024, public </w:t>
                            </w:r>
                            <w:r w:rsidR="00074ECA">
                              <w:rPr>
                                <w:color w:val="1F4E79" w:themeColor="accent1" w:themeShade="80"/>
                                <w:lang w:val="en-GB"/>
                              </w:rPr>
                              <w:t xml:space="preserve">sector </w:t>
                            </w:r>
                            <w:r w:rsidR="00074ECA">
                              <w:rPr>
                                <w:color w:val="1F4E79" w:themeColor="accent1" w:themeShade="80"/>
                                <w:lang w:val="en-GB"/>
                              </w:rPr>
                              <w:br/>
                            </w:r>
                            <w:proofErr w:type="spellStart"/>
                            <w:r w:rsidR="00074ECA" w:rsidRPr="00CA4FCB">
                              <w:rPr>
                                <w:color w:val="1F4E79" w:themeColor="accent1" w:themeShade="80"/>
                                <w:lang w:val="en-GB"/>
                              </w:rPr>
                              <w:t>spending</w:t>
                            </w:r>
                            <w:r w:rsidR="00074ECA">
                              <w:rPr>
                                <w:color w:val="1F4E79" w:themeColor="accent1" w:themeShade="80"/>
                                <w:lang w:val="en-GB"/>
                              </w:rPr>
                              <w:t>s</w:t>
                            </w:r>
                            <w:proofErr w:type="spellEnd"/>
                            <w:r w:rsidRPr="00CA4FCB">
                              <w:rPr>
                                <w:color w:val="1F4E79" w:themeColor="accent1" w:themeShade="80"/>
                                <w:lang w:val="en-GB"/>
                              </w:rPr>
                              <w:t xml:space="preserve"> </w:t>
                            </w:r>
                            <w:r w:rsidR="00074ECA">
                              <w:rPr>
                                <w:color w:val="1F4E79" w:themeColor="accent1" w:themeShade="80"/>
                                <w:lang w:val="en-GB"/>
                              </w:rPr>
                              <w:t>on health care</w:t>
                            </w:r>
                            <w:r>
                              <w:rPr>
                                <w:color w:val="1F4E79" w:themeColor="accent1" w:themeShade="80"/>
                                <w:lang w:val="en-GB"/>
                              </w:rPr>
                              <w:br/>
                            </w:r>
                            <w:r w:rsidRPr="00CA4FCB">
                              <w:rPr>
                                <w:color w:val="1F4E79" w:themeColor="accent1" w:themeShade="80"/>
                                <w:lang w:val="en-GB"/>
                              </w:rPr>
                              <w:t>accounted for 76.9% of total current health</w:t>
                            </w:r>
                            <w:r w:rsidR="00074ECA">
                              <w:rPr>
                                <w:color w:val="1F4E79" w:themeColor="accent1" w:themeShade="80"/>
                                <w:lang w:val="en-GB"/>
                              </w:rPr>
                              <w:t xml:space="preserve"> </w:t>
                            </w:r>
                            <w:r w:rsidRPr="00CA4FCB">
                              <w:rPr>
                                <w:color w:val="1F4E79" w:themeColor="accent1" w:themeShade="80"/>
                                <w:lang w:val="en-GB"/>
                              </w:rPr>
                              <w:t>care expenditure, with most of it (59.8%) going to mandatory health insurance systems.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64C6F33" id="Pole tekstowe 24" o:spid="_x0000_s1029" type="#_x0000_t202" alt="W 2024 r. wydatki publiczne na ochronę zdrowia stanowiły 76,9% całkowitych wydatków bieżących na ochronę zdrowia, w tym większość (59,8%) przypadała na systemy obowiązkowych ubezpieczeń zdrowotnych." style="position:absolute;margin-left:88.6pt;margin-top:29.2pt;width:139.8pt;height:118.8pt;z-index:251782144;visibility:visible;mso-wrap-style:square;mso-width-percent:0;mso-height-percent:0;mso-wrap-distance-left:9pt;mso-wrap-distance-top:3.6pt;mso-wrap-distance-right:9pt;mso-wrap-distance-bottom:3.6pt;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" filled="f" stroked="f">
                <v:textbox>
                  <w:txbxContent>
                    <w:p w14:paraId="1520CA4E" w14:textId="59D540D5" w:rsidR="00CA4FCB" w:rsidRPr="00CA4FCB" w:rsidRDefault="00CA4FCB" w:rsidP="00CA4FCB">
                      <w:pPr>
                        <w:pStyle w:val="tekstzboku"/>
                        <w:spacing w:before="0"/>
                        <w:ind w:right="80"/>
                        <w:rPr>
                          <w:color w:val="1F4E79" w:themeColor="accent1" w:themeShade="80"/>
                          <w:lang w:val="en-GB"/>
                        </w:rPr>
                      </w:pPr>
                      <w:r w:rsidRPr="00CA4FCB">
                        <w:rPr>
                          <w:color w:val="1F4E79" w:themeColor="accent1" w:themeShade="80"/>
                          <w:lang w:val="en-GB"/>
                        </w:rPr>
                        <w:t xml:space="preserve">In 2024, public </w:t>
                      </w:r>
                      <w:r w:rsidR="00074ECA">
                        <w:rPr>
                          <w:color w:val="1F4E79" w:themeColor="accent1" w:themeShade="80"/>
                          <w:lang w:val="en-GB"/>
                        </w:rPr>
                        <w:t xml:space="preserve">sector </w:t>
                      </w:r>
                      <w:r w:rsidR="00074ECA">
                        <w:rPr>
                          <w:color w:val="1F4E79" w:themeColor="accent1" w:themeShade="80"/>
                          <w:lang w:val="en-GB"/>
                        </w:rPr>
                        <w:br/>
                      </w:r>
                      <w:proofErr w:type="spellStart"/>
                      <w:r w:rsidR="00074ECA" w:rsidRPr="00CA4FCB">
                        <w:rPr>
                          <w:color w:val="1F4E79" w:themeColor="accent1" w:themeShade="80"/>
                          <w:lang w:val="en-GB"/>
                        </w:rPr>
                        <w:t>spending</w:t>
                      </w:r>
                      <w:r w:rsidR="00074ECA">
                        <w:rPr>
                          <w:color w:val="1F4E79" w:themeColor="accent1" w:themeShade="80"/>
                          <w:lang w:val="en-GB"/>
                        </w:rPr>
                        <w:t>s</w:t>
                      </w:r>
                      <w:proofErr w:type="spellEnd"/>
                      <w:r w:rsidRPr="00CA4FCB">
                        <w:rPr>
                          <w:color w:val="1F4E79" w:themeColor="accent1" w:themeShade="80"/>
                          <w:lang w:val="en-GB"/>
                        </w:rPr>
                        <w:t xml:space="preserve"> </w:t>
                      </w:r>
                      <w:r w:rsidR="00074ECA">
                        <w:rPr>
                          <w:color w:val="1F4E79" w:themeColor="accent1" w:themeShade="80"/>
                          <w:lang w:val="en-GB"/>
                        </w:rPr>
                        <w:t>on health care</w:t>
                      </w:r>
                      <w:r>
                        <w:rPr>
                          <w:color w:val="1F4E79" w:themeColor="accent1" w:themeShade="80"/>
                          <w:lang w:val="en-GB"/>
                        </w:rPr>
                        <w:br/>
                      </w:r>
                      <w:r w:rsidRPr="00CA4FCB">
                        <w:rPr>
                          <w:color w:val="1F4E79" w:themeColor="accent1" w:themeShade="80"/>
                          <w:lang w:val="en-GB"/>
                        </w:rPr>
                        <w:t>accounted for 76.9% of total current health</w:t>
                      </w:r>
                      <w:r w:rsidR="00074ECA">
                        <w:rPr>
                          <w:color w:val="1F4E79" w:themeColor="accent1" w:themeShade="80"/>
                          <w:lang w:val="en-GB"/>
                        </w:rPr>
                        <w:t xml:space="preserve"> </w:t>
                      </w:r>
                      <w:r w:rsidRPr="00CA4FCB">
                        <w:rPr>
                          <w:color w:val="1F4E79" w:themeColor="accent1" w:themeShade="80"/>
                          <w:lang w:val="en-GB"/>
                        </w:rPr>
                        <w:t>care expenditure, with most of it (59.8%) going to mandatory health insurance systems.</w:t>
                      </w:r>
                    </w:p>
                  </w:txbxContent>
                </v:textbox>
                <w10:wrap anchorx="page"/>
              </v:shape>
            </w:pict>
          </mc:Fallback>
        </mc:AlternateContent>
      </w:r>
      <w:r w:rsidR="00B21068" w:rsidRPr="00BD215E">
        <w:rPr>
          <w:lang w:val="en-GB"/>
        </w:rPr>
        <w:t xml:space="preserve">Current </w:t>
      </w:r>
      <w:r w:rsidR="004E7AEC" w:rsidRPr="00BD215E">
        <w:rPr>
          <w:lang w:val="en-GB"/>
        </w:rPr>
        <w:t>expenditure</w:t>
      </w:r>
      <w:r w:rsidR="00B21068" w:rsidRPr="00BD215E">
        <w:rPr>
          <w:lang w:val="en-GB"/>
        </w:rPr>
        <w:t>s</w:t>
      </w:r>
      <w:r w:rsidR="004E7AEC" w:rsidRPr="00BD215E">
        <w:rPr>
          <w:lang w:val="en-GB"/>
        </w:rPr>
        <w:t xml:space="preserve"> </w:t>
      </w:r>
      <w:r w:rsidR="00B21068" w:rsidRPr="00BD215E">
        <w:rPr>
          <w:lang w:val="en-GB"/>
        </w:rPr>
        <w:t xml:space="preserve">on health care </w:t>
      </w:r>
      <w:r w:rsidR="004E7AEC" w:rsidRPr="00BD215E">
        <w:rPr>
          <w:lang w:val="en-GB"/>
        </w:rPr>
        <w:t>by funding scheme</w:t>
      </w:r>
      <w:r w:rsidR="00B21068" w:rsidRPr="00BD215E">
        <w:rPr>
          <w:lang w:val="en-GB"/>
        </w:rPr>
        <w:t>s</w:t>
      </w:r>
      <w:r w:rsidR="004E7AEC" w:rsidRPr="00BD215E">
        <w:rPr>
          <w:lang w:val="en-GB"/>
        </w:rPr>
        <w:t xml:space="preserve"> </w:t>
      </w:r>
    </w:p>
    <w:p w14:paraId="6B903796" w14:textId="387F3F5A" w:rsidR="009B1141" w:rsidRPr="00BD215E" w:rsidRDefault="009B1141" w:rsidP="00665DAF">
      <w:pPr>
        <w:spacing w:line="264" w:lineRule="auto"/>
        <w:rPr>
          <w:lang w:val="en-GB"/>
        </w:rPr>
      </w:pPr>
      <w:r w:rsidRPr="00BD215E">
        <w:rPr>
          <w:lang w:val="en-GB"/>
        </w:rPr>
        <w:t xml:space="preserve">The structure of current expenditure on health care by financing schemes (HF) continued to be dominated by public expenditure, which accounted for </w:t>
      </w:r>
      <w:r w:rsidRPr="00BD215E">
        <w:rPr>
          <w:rStyle w:val="Pogrubienie"/>
          <w:b w:val="0"/>
          <w:lang w:val="en-GB"/>
        </w:rPr>
        <w:t>76.9%</w:t>
      </w:r>
      <w:r w:rsidRPr="00BD215E">
        <w:rPr>
          <w:lang w:val="en-GB"/>
        </w:rPr>
        <w:t xml:space="preserve"> in 2024, compared with </w:t>
      </w:r>
      <w:r w:rsidRPr="00BD215E">
        <w:rPr>
          <w:rStyle w:val="Pogrubienie"/>
          <w:b w:val="0"/>
          <w:lang w:val="en-GB"/>
        </w:rPr>
        <w:t>77.6%</w:t>
      </w:r>
      <w:r w:rsidRPr="00BD215E">
        <w:rPr>
          <w:lang w:val="en-GB"/>
        </w:rPr>
        <w:t xml:space="preserve"> in 2023. Within public expenditure, the vast majority was financed through compulsory health insurance schemes; however, its share declined substantially in the last year, from </w:t>
      </w:r>
      <w:r w:rsidRPr="00BD215E">
        <w:rPr>
          <w:rStyle w:val="Pogrubienie"/>
          <w:b w:val="0"/>
          <w:lang w:val="en-GB"/>
        </w:rPr>
        <w:t>66.6%</w:t>
      </w:r>
      <w:r w:rsidRPr="00BD215E">
        <w:rPr>
          <w:lang w:val="en-GB"/>
        </w:rPr>
        <w:t xml:space="preserve"> in 2023 to </w:t>
      </w:r>
      <w:r w:rsidRPr="00BD215E">
        <w:rPr>
          <w:rStyle w:val="Pogrubienie"/>
          <w:b w:val="0"/>
          <w:lang w:val="en-GB"/>
        </w:rPr>
        <w:t>59.8%</w:t>
      </w:r>
      <w:r w:rsidRPr="00BD215E">
        <w:rPr>
          <w:lang w:val="en-GB"/>
        </w:rPr>
        <w:t xml:space="preserve"> in 2024. Correspondingly, the role of government schemes increased, from </w:t>
      </w:r>
      <w:r w:rsidRPr="00BD215E">
        <w:rPr>
          <w:rStyle w:val="Pogrubienie"/>
          <w:b w:val="0"/>
          <w:lang w:val="en-GB"/>
        </w:rPr>
        <w:t>11.0%</w:t>
      </w:r>
      <w:r w:rsidRPr="00BD215E">
        <w:rPr>
          <w:lang w:val="en-GB"/>
        </w:rPr>
        <w:t xml:space="preserve"> in 2023 to </w:t>
      </w:r>
      <w:r w:rsidRPr="00BD215E">
        <w:rPr>
          <w:rStyle w:val="Pogrubienie"/>
          <w:b w:val="0"/>
          <w:lang w:val="en-GB"/>
        </w:rPr>
        <w:t>17.1%</w:t>
      </w:r>
      <w:r w:rsidRPr="00BD215E">
        <w:rPr>
          <w:lang w:val="en-GB"/>
        </w:rPr>
        <w:t xml:space="preserve"> in 2024. Household out-of-pocket payments (</w:t>
      </w:r>
      <w:r w:rsidRPr="00BD215E">
        <w:rPr>
          <w:rStyle w:val="Pogrubienie"/>
          <w:b w:val="0"/>
          <w:lang w:val="en-GB"/>
        </w:rPr>
        <w:t>16.6%</w:t>
      </w:r>
      <w:r w:rsidRPr="00BD215E">
        <w:rPr>
          <w:lang w:val="en-GB"/>
        </w:rPr>
        <w:t>) and voluntary health insurance schemes (</w:t>
      </w:r>
      <w:r w:rsidRPr="00BD215E">
        <w:rPr>
          <w:rStyle w:val="Pogrubienie"/>
          <w:b w:val="0"/>
          <w:lang w:val="en-GB"/>
        </w:rPr>
        <w:t>4.7%</w:t>
      </w:r>
      <w:r w:rsidRPr="00BD215E">
        <w:rPr>
          <w:lang w:val="en-GB"/>
        </w:rPr>
        <w:t>) also accounted for a significant share.</w:t>
      </w:r>
    </w:p>
    <w:p w14:paraId="6564E9F9" w14:textId="77777777" w:rsidR="007E43BE" w:rsidRPr="00BD215E" w:rsidRDefault="007E43BE" w:rsidP="007E43BE">
      <w:pPr>
        <w:autoSpaceDE w:val="0"/>
        <w:autoSpaceDN w:val="0"/>
        <w:spacing w:before="40" w:after="40" w:line="240" w:lineRule="auto"/>
        <w:rPr>
          <w:rFonts w:eastAsiaTheme="minorEastAsia" w:cs="Arial"/>
          <w:b/>
          <w:szCs w:val="19"/>
          <w:lang w:val="en-GB"/>
        </w:rPr>
      </w:pPr>
    </w:p>
    <w:p w14:paraId="6598FC91" w14:textId="77777777" w:rsidR="007E43BE" w:rsidRPr="00BD215E" w:rsidRDefault="007E43BE" w:rsidP="007E43BE">
      <w:pPr>
        <w:autoSpaceDE w:val="0"/>
        <w:autoSpaceDN w:val="0"/>
        <w:spacing w:before="40" w:after="40" w:line="240" w:lineRule="auto"/>
        <w:rPr>
          <w:rFonts w:eastAsiaTheme="minorEastAsia" w:cs="Arial"/>
          <w:b/>
          <w:szCs w:val="19"/>
          <w:lang w:val="en-GB"/>
        </w:rPr>
      </w:pPr>
    </w:p>
    <w:p w14:paraId="57BA8C9E" w14:textId="77777777" w:rsidR="007E43BE" w:rsidRPr="00BD215E" w:rsidRDefault="007E43BE" w:rsidP="007E43BE">
      <w:pPr>
        <w:autoSpaceDE w:val="0"/>
        <w:autoSpaceDN w:val="0"/>
        <w:spacing w:before="40" w:after="40" w:line="240" w:lineRule="auto"/>
        <w:rPr>
          <w:rFonts w:eastAsiaTheme="minorEastAsia" w:cs="Arial"/>
          <w:b/>
          <w:szCs w:val="19"/>
          <w:lang w:val="en-GB"/>
        </w:rPr>
      </w:pPr>
    </w:p>
    <w:p w14:paraId="6A689E3F" w14:textId="51650177" w:rsidR="004E7AEC" w:rsidRPr="00BD215E" w:rsidRDefault="008771D4" w:rsidP="00665DAF">
      <w:pPr>
        <w:autoSpaceDE w:val="0"/>
        <w:autoSpaceDN w:val="0"/>
        <w:spacing w:before="40" w:after="0" w:line="240" w:lineRule="auto"/>
        <w:rPr>
          <w:szCs w:val="19"/>
          <w:lang w:val="en-GB"/>
        </w:rPr>
      </w:pPr>
      <w:r w:rsidRPr="00BD215E">
        <w:rPr>
          <w:rFonts w:eastAsiaTheme="minorEastAsia" w:cs="Arial"/>
          <w:b/>
          <w:szCs w:val="19"/>
          <w:lang w:val="en-GB"/>
        </w:rPr>
        <w:lastRenderedPageBreak/>
        <w:t>Chart</w:t>
      </w:r>
      <w:r w:rsidR="004E7AEC" w:rsidRPr="00BD215E">
        <w:rPr>
          <w:b/>
          <w:szCs w:val="19"/>
          <w:lang w:val="en-GB"/>
        </w:rPr>
        <w:t xml:space="preserve"> 3. </w:t>
      </w:r>
      <w:r w:rsidR="007E43BE" w:rsidRPr="00BD215E">
        <w:rPr>
          <w:rFonts w:cs="Segoe UI"/>
          <w:b/>
          <w:color w:val="000000"/>
          <w:szCs w:val="19"/>
          <w:lang w:val="en-GB"/>
        </w:rPr>
        <w:t>Current expenditure</w:t>
      </w:r>
      <w:r w:rsidR="00B21068" w:rsidRPr="00BD215E">
        <w:rPr>
          <w:rFonts w:cs="Segoe UI"/>
          <w:b/>
          <w:color w:val="000000"/>
          <w:szCs w:val="19"/>
          <w:lang w:val="en-GB"/>
        </w:rPr>
        <w:t>s</w:t>
      </w:r>
      <w:r w:rsidR="007E43BE" w:rsidRPr="00BD215E">
        <w:rPr>
          <w:rFonts w:cs="Segoe UI"/>
          <w:b/>
          <w:color w:val="000000"/>
          <w:szCs w:val="19"/>
          <w:lang w:val="en-GB"/>
        </w:rPr>
        <w:t xml:space="preserve"> on health care by financing schemes</w:t>
      </w:r>
      <w:r w:rsidR="004E7AEC" w:rsidRPr="00BD215E">
        <w:rPr>
          <w:rStyle w:val="Odwoanieprzypisudolnego"/>
          <w:rFonts w:eastAsia="Times New Roman" w:cs="Times New Roman"/>
          <w:szCs w:val="19"/>
          <w:lang w:val="en-GB"/>
        </w:rPr>
        <w:footnoteReference w:id="6"/>
      </w:r>
    </w:p>
    <w:p w14:paraId="3F8F5940" w14:textId="23EB9DE2" w:rsidR="007E43BE" w:rsidRPr="00BD215E" w:rsidRDefault="00916882" w:rsidP="007E43BE">
      <w:pPr>
        <w:autoSpaceDE w:val="0"/>
        <w:autoSpaceDN w:val="0"/>
        <w:spacing w:before="40" w:after="40" w:line="240" w:lineRule="auto"/>
        <w:rPr>
          <w:lang w:val="en-GB"/>
        </w:rPr>
      </w:pPr>
      <w:r w:rsidRPr="00BD215E">
        <w:rPr>
          <w:rFonts w:ascii="Fira Sans SemiBold" w:eastAsia="Times New Roman" w:hAnsi="Fira Sans SemiBold" w:cs="Times New Roman"/>
          <w:bCs/>
          <w:noProof/>
          <w:color w:val="001D77"/>
          <w:szCs w:val="24"/>
          <w:lang w:val="en-GB"/>
        </w:rPr>
        <w:drawing>
          <wp:inline distT="0" distB="0" distL="0" distR="0" wp14:anchorId="02A334A1" wp14:editId="2F8085AC">
            <wp:extent cx="4515485" cy="1654175"/>
            <wp:effectExtent l="0" t="0" r="0" b="3175"/>
            <wp:docPr id="13" name="Obraz 13" descr="Chart 3. Current expenditure on health care by financing schem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4560583" cy="1670696"/>
                    </a:xfrm>
                    <a:prstGeom prst="rect">
                      <a:avLst/>
                    </a:prstGeom>
                  </pic:spPr>
                </pic:pic>
              </a:graphicData>
            </a:graphic>
          </wp:inline>
        </w:drawing>
      </w:r>
    </w:p>
    <w:p w14:paraId="6D8BAFC8" w14:textId="2114A166" w:rsidR="004E7AEC" w:rsidRPr="00BD215E" w:rsidRDefault="00074ECA" w:rsidP="00665DAF">
      <w:pPr>
        <w:autoSpaceDE w:val="0"/>
        <w:autoSpaceDN w:val="0"/>
        <w:spacing w:before="240" w:after="0" w:line="240" w:lineRule="auto"/>
        <w:rPr>
          <w:rFonts w:ascii="Fira Sans SemiBold" w:eastAsia="Times New Roman" w:hAnsi="Fira Sans SemiBold" w:cs="Times New Roman"/>
          <w:bCs/>
          <w:color w:val="001D77"/>
          <w:szCs w:val="24"/>
          <w:lang w:val="en-GB"/>
        </w:rPr>
      </w:pPr>
      <w:r w:rsidRPr="00BD215E">
        <w:rPr>
          <w:noProof/>
          <w:sz w:val="14"/>
          <w:szCs w:val="14"/>
          <w:lang w:val="en-GB"/>
        </w:rPr>
        <mc:AlternateContent>
          <mc:Choice Requires="wps">
            <w:drawing>
              <wp:anchor distT="45720" distB="45720" distL="114300" distR="114300" simplePos="0" relativeHeight="251767808" behindDoc="1" locked="0" layoutInCell="1" allowOverlap="1" wp14:anchorId="63A1BF42" wp14:editId="3540C8FC">
                <wp:simplePos x="0" y="0"/>
                <wp:positionH relativeFrom="page">
                  <wp:posOffset>5726430</wp:posOffset>
                </wp:positionH>
                <wp:positionV relativeFrom="paragraph">
                  <wp:posOffset>164953</wp:posOffset>
                </wp:positionV>
                <wp:extent cx="1832610" cy="1617345"/>
                <wp:effectExtent l="0" t="0" r="0" b="1905"/>
                <wp:wrapTight wrapText="bothSides">
                  <wp:wrapPolygon edited="0">
                    <wp:start x="674" y="0"/>
                    <wp:lineTo x="674" y="21371"/>
                    <wp:lineTo x="20881" y="21371"/>
                    <wp:lineTo x="20881" y="0"/>
                    <wp:lineTo x="674" y="0"/>
                  </wp:wrapPolygon>
                </wp:wrapTight>
                <wp:docPr id="3" name="Text field 2" descr="Healthcare expenditure ac-counted for the largest share of current health expendi-ture in 2024 (6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32610" cy="1617345"/>
                        </a:xfrm>
                        <a:prstGeom prst="rect">
                          <a:avLst/>
                        </a:prstGeom>
                        <a:noFill/>
                        <a:ln w="9525">
                          <a:noFill/>
                          <a:miter lim="800000"/>
                          <a:headEnd/>
                          <a:tailEnd/>
                        </a:ln>
                      </wps:spPr>
                      <wps:txbx>
                        <w:txbxContent>
                          <w:p w14:paraId="666CCFC8" w14:textId="66B00C4A" w:rsidR="0001348A" w:rsidRDefault="00074ECA" w:rsidP="004E7AEC">
                            <w:pPr>
                              <w:pStyle w:val="P68B1DB1-tekstzboku11"/>
                              <w:spacing w:before="0"/>
                              <w:ind w:right="180"/>
                            </w:pPr>
                            <w:r w:rsidRPr="00074ECA">
                              <w:t>In 2024, spending on medical services made up the largest share of current health care expenditures (60.2%). Coming in second were costs for purchasing medicines and other medical products (16.7%), and third were expenses for long-term care (8.4%).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3A1BF42" id="_x0000_s1030" type="#_x0000_t202" alt="Healthcare expenditure ac-counted for the largest share of current health expendi-ture in 2024 (60.2%)" style="position:absolute;margin-left:450.9pt;margin-top:13pt;width:144.3pt;height:127.35pt;z-index:-251548672;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" filled="f" stroked="f">
                <v:textbox>
                  <w:txbxContent>
                    <w:p w14:paraId="666CCFC8" w14:textId="66B00C4A" w:rsidR="0001348A" w:rsidRDefault="00074ECA" w:rsidP="004E7AEC">
                      <w:pPr>
                        <w:pStyle w:val="P68B1DB1-tekstzboku11"/>
                        <w:spacing w:before="0"/>
                        <w:ind w:right="180"/>
                      </w:pPr>
                      <w:r w:rsidRPr="00074ECA">
                        <w:t>In 2024, spending on medical services made up the largest share of current health care expenditures (60.2%). Coming in second were costs for purchasing medicines and other medical products (16.7%), and third were expenses for long-term care (8.4%).</w:t>
                      </w:r>
                    </w:p>
                  </w:txbxContent>
                </v:textbox>
                <w10:wrap type="tight" anchorx="page"/>
              </v:shape>
            </w:pict>
          </mc:Fallback>
        </mc:AlternateContent>
      </w:r>
      <w:r w:rsidR="004E7AEC" w:rsidRPr="00BD215E">
        <w:rPr>
          <w:rFonts w:ascii="Fira Sans SemiBold" w:eastAsia="Times New Roman" w:hAnsi="Fira Sans SemiBold" w:cs="Times New Roman"/>
          <w:color w:val="001D77"/>
          <w:szCs w:val="24"/>
          <w:lang w:val="en-GB"/>
        </w:rPr>
        <w:t>Current expenditure</w:t>
      </w:r>
      <w:r w:rsidR="00B21068" w:rsidRPr="00BD215E">
        <w:rPr>
          <w:rFonts w:ascii="Fira Sans SemiBold" w:eastAsia="Times New Roman" w:hAnsi="Fira Sans SemiBold" w:cs="Times New Roman"/>
          <w:color w:val="001D77"/>
          <w:szCs w:val="24"/>
          <w:lang w:val="en-GB"/>
        </w:rPr>
        <w:t>s</w:t>
      </w:r>
      <w:r w:rsidR="004E7AEC" w:rsidRPr="00BD215E">
        <w:rPr>
          <w:rFonts w:ascii="Fira Sans SemiBold" w:eastAsia="Times New Roman" w:hAnsi="Fira Sans SemiBold" w:cs="Times New Roman"/>
          <w:color w:val="001D77"/>
          <w:szCs w:val="24"/>
          <w:lang w:val="en-GB"/>
        </w:rPr>
        <w:t xml:space="preserve"> on healthcare by function</w:t>
      </w:r>
    </w:p>
    <w:p w14:paraId="309CEA3A" w14:textId="44F41A47" w:rsidR="000818B4" w:rsidRPr="00BD215E" w:rsidRDefault="001038E8" w:rsidP="00665DAF">
      <w:pPr>
        <w:spacing w:after="0"/>
        <w:rPr>
          <w:lang w:val="en-GB"/>
        </w:rPr>
      </w:pPr>
      <w:r w:rsidRPr="00BD215E">
        <w:rPr>
          <w:lang w:val="en-GB"/>
        </w:rPr>
        <w:t>In the structure of current expenditure on health according to the classification of functions (HC), the dominant position in 2024 was medical services, which accounted for 60.2% of total current expenditure. Expenditure on medicines and other medical products came second (16.7%) and expenditure on long-term care came third (8.4%).</w:t>
      </w:r>
    </w:p>
    <w:p w14:paraId="09EE0B54" w14:textId="77777777" w:rsidR="00665DAF" w:rsidRPr="00BD215E" w:rsidRDefault="00665DAF" w:rsidP="00665DAF">
      <w:pPr>
        <w:spacing w:after="0"/>
        <w:rPr>
          <w:b/>
          <w:sz w:val="2"/>
          <w:szCs w:val="2"/>
          <w:lang w:val="en-GB"/>
        </w:rPr>
      </w:pPr>
    </w:p>
    <w:p w14:paraId="6396F4CF" w14:textId="0B945D8F" w:rsidR="00062824" w:rsidRPr="00BD215E" w:rsidRDefault="00557967" w:rsidP="00665DAF">
      <w:pPr>
        <w:autoSpaceDE w:val="0"/>
        <w:autoSpaceDN w:val="0"/>
        <w:spacing w:before="0" w:after="0" w:line="240" w:lineRule="auto"/>
        <w:rPr>
          <w:b/>
          <w:szCs w:val="19"/>
          <w:lang w:val="en-GB"/>
        </w:rPr>
      </w:pPr>
      <w:r w:rsidRPr="00BD215E">
        <w:rPr>
          <w:b/>
          <w:szCs w:val="19"/>
          <w:lang w:val="en-GB"/>
        </w:rPr>
        <w:t>Chart</w:t>
      </w:r>
      <w:r w:rsidR="001038E8" w:rsidRPr="00BD215E">
        <w:rPr>
          <w:b/>
          <w:szCs w:val="19"/>
          <w:lang w:val="en-GB"/>
        </w:rPr>
        <w:t xml:space="preserve"> 4. </w:t>
      </w:r>
      <w:r w:rsidR="00062824" w:rsidRPr="00BD215E">
        <w:rPr>
          <w:rFonts w:cs="Segoe UI"/>
          <w:b/>
          <w:color w:val="000000"/>
          <w:szCs w:val="19"/>
          <w:lang w:val="en-GB"/>
        </w:rPr>
        <w:t>Current expenditure</w:t>
      </w:r>
      <w:r w:rsidR="00B21068" w:rsidRPr="00BD215E">
        <w:rPr>
          <w:rFonts w:cs="Segoe UI"/>
          <w:b/>
          <w:color w:val="000000"/>
          <w:szCs w:val="19"/>
          <w:lang w:val="en-GB"/>
        </w:rPr>
        <w:t>s</w:t>
      </w:r>
      <w:r w:rsidR="00062824" w:rsidRPr="00BD215E">
        <w:rPr>
          <w:rFonts w:cs="Segoe UI"/>
          <w:b/>
          <w:color w:val="000000"/>
          <w:szCs w:val="19"/>
          <w:lang w:val="en-GB"/>
        </w:rPr>
        <w:t xml:space="preserve"> on health care by functions </w:t>
      </w:r>
    </w:p>
    <w:p w14:paraId="4EA45C1E" w14:textId="6FF7326D" w:rsidR="001038E8" w:rsidRPr="00BD215E" w:rsidRDefault="00062824" w:rsidP="001038E8">
      <w:pPr>
        <w:pStyle w:val="P68B1DB1-Normalny13"/>
        <w:suppressAutoHyphens/>
        <w:spacing w:before="360" w:line="240" w:lineRule="auto"/>
        <w:rPr>
          <w:bCs/>
          <w:lang w:val="en-GB"/>
        </w:rPr>
      </w:pPr>
      <w:r w:rsidRPr="00BD215E">
        <w:rPr>
          <w:bCs/>
          <w:noProof/>
          <w:lang w:val="en-GB"/>
        </w:rPr>
        <w:drawing>
          <wp:inline distT="0" distB="0" distL="0" distR="0" wp14:anchorId="795678FA" wp14:editId="4F64C9A3">
            <wp:extent cx="4495800" cy="1848925"/>
            <wp:effectExtent l="0" t="0" r="0" b="0"/>
            <wp:docPr id="16" name="Obraz 16" descr="Chart 4. Current expenditure on health care by function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4556492" cy="1873885"/>
                    </a:xfrm>
                    <a:prstGeom prst="rect">
                      <a:avLst/>
                    </a:prstGeom>
                  </pic:spPr>
                </pic:pic>
              </a:graphicData>
            </a:graphic>
          </wp:inline>
        </w:drawing>
      </w:r>
    </w:p>
    <w:p w14:paraId="625F3F16" w14:textId="722C602B" w:rsidR="001038E8" w:rsidRPr="00BD215E" w:rsidRDefault="001038E8" w:rsidP="00665DAF">
      <w:pPr>
        <w:shd w:val="clear" w:color="auto" w:fill="FFFFFF" w:themeFill="background1"/>
        <w:suppressAutoHyphens/>
        <w:spacing w:before="360" w:line="288" w:lineRule="auto"/>
        <w:rPr>
          <w:rFonts w:ascii="Fira Sans SemiBold" w:eastAsia="Times New Roman" w:hAnsi="Fira Sans SemiBold" w:cs="Times New Roman"/>
          <w:bCs/>
          <w:color w:val="001D77"/>
          <w:szCs w:val="24"/>
          <w:lang w:val="en-GB"/>
        </w:rPr>
      </w:pPr>
      <w:r w:rsidRPr="00BD215E">
        <w:rPr>
          <w:rFonts w:asciiTheme="minorHAnsi" w:eastAsiaTheme="minorEastAsia" w:hAnsiTheme="minorHAnsi"/>
          <w:noProof/>
          <w:color w:val="212492"/>
          <w:sz w:val="22"/>
          <w:lang w:val="en-GB"/>
        </w:rPr>
        <mc:AlternateContent>
          <mc:Choice Requires="wps">
            <w:drawing>
              <wp:anchor distT="45720" distB="45720" distL="114300" distR="114300" simplePos="0" relativeHeight="251769856" behindDoc="0" locked="0" layoutInCell="1" allowOverlap="1" wp14:anchorId="74A9545E" wp14:editId="5ECD4630">
                <wp:simplePos x="0" y="0"/>
                <wp:positionH relativeFrom="page">
                  <wp:posOffset>5767705</wp:posOffset>
                </wp:positionH>
                <wp:positionV relativeFrom="paragraph">
                  <wp:posOffset>112883</wp:posOffset>
                </wp:positionV>
                <wp:extent cx="1712595" cy="1635369"/>
                <wp:effectExtent l="0" t="0" r="0" b="3175"/>
                <wp:wrapNone/>
                <wp:docPr id="26" name="Text field 2" descr="In 2024, the largest stream of health expenditure went to hospitals (4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2595" cy="1635369"/>
                        </a:xfrm>
                        <a:prstGeom prst="rect">
                          <a:avLst/>
                        </a:prstGeom>
                        <a:noFill/>
                        <a:ln w="9525">
                          <a:noFill/>
                          <a:miter lim="800000"/>
                          <a:headEnd/>
                          <a:tailEnd/>
                        </a:ln>
                      </wps:spPr>
                      <wps:txbx>
                        <w:txbxContent>
                          <w:p w14:paraId="4875149B" w14:textId="4D4E0B0A" w:rsidR="0001348A" w:rsidRDefault="00074ECA" w:rsidP="001038E8">
                            <w:pPr>
                              <w:pStyle w:val="P68B1DB1-tekstzboku11"/>
                              <w:suppressAutoHyphens/>
                              <w:spacing w:before="0"/>
                            </w:pPr>
                            <w:r w:rsidRPr="00074ECA">
                              <w:t>In 2024, the biggest chunk of health care spending went to hospitals (42.4%). The second largest group of providers in terms of costs were outpatient medical facilities (26.6%), and third were pharmacies and other medical goods suppliers (16.1%).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4A9545E" id="_x0000_s1031" type="#_x0000_t202" alt="In 2024, the largest stream of health expenditure went to hospitals (42.4%)" style="position:absolute;margin-left:454.15pt;margin-top:8.9pt;width:134.85pt;height:128.75pt;z-index:251769856;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" filled="f" stroked="f">
                <v:textbox>
                  <w:txbxContent>
                    <w:p w14:paraId="4875149B" w14:textId="4D4E0B0A" w:rsidR="0001348A" w:rsidRDefault="00074ECA" w:rsidP="001038E8">
                      <w:pPr>
                        <w:pStyle w:val="P68B1DB1-tekstzboku11"/>
                        <w:suppressAutoHyphens/>
                        <w:spacing w:before="0"/>
                      </w:pPr>
                      <w:r w:rsidRPr="00074ECA">
                        <w:t>In 2024, the biggest chunk of health care spending went to hospitals (42.4%). The second largest group of providers in terms of costs were outpatient medical facilities (26.6%), and third were pharmacies and other medical goods suppliers (16.1%).</w:t>
                      </w:r>
                    </w:p>
                  </w:txbxContent>
                </v:textbox>
                <w10:wrap anchorx="page"/>
              </v:shape>
            </w:pict>
          </mc:Fallback>
        </mc:AlternateContent>
      </w:r>
      <w:r w:rsidRPr="00BD215E">
        <w:rPr>
          <w:rFonts w:ascii="Fira Sans SemiBold" w:eastAsia="Times New Roman" w:hAnsi="Fira Sans SemiBold" w:cs="Times New Roman"/>
          <w:color w:val="001D77"/>
          <w:szCs w:val="24"/>
          <w:lang w:val="en-GB"/>
        </w:rPr>
        <w:t>Current expenditure</w:t>
      </w:r>
      <w:r w:rsidR="00B21068" w:rsidRPr="00BD215E">
        <w:rPr>
          <w:rFonts w:ascii="Fira Sans SemiBold" w:eastAsia="Times New Roman" w:hAnsi="Fira Sans SemiBold" w:cs="Times New Roman"/>
          <w:color w:val="001D77"/>
          <w:szCs w:val="24"/>
          <w:lang w:val="en-GB"/>
        </w:rPr>
        <w:t>s</w:t>
      </w:r>
      <w:r w:rsidRPr="00BD215E">
        <w:rPr>
          <w:rFonts w:ascii="Fira Sans SemiBold" w:eastAsia="Times New Roman" w:hAnsi="Fira Sans SemiBold" w:cs="Times New Roman"/>
          <w:color w:val="001D77"/>
          <w:szCs w:val="24"/>
          <w:lang w:val="en-GB"/>
        </w:rPr>
        <w:t xml:space="preserve"> on healthcare by type of healthcare provider</w:t>
      </w:r>
    </w:p>
    <w:p w14:paraId="7B042646" w14:textId="4F8570D3" w:rsidR="001038E8" w:rsidRPr="00BD215E" w:rsidRDefault="001038E8" w:rsidP="008567BB">
      <w:pPr>
        <w:rPr>
          <w:color w:val="000000" w:themeColor="text1"/>
          <w:lang w:val="en-GB"/>
        </w:rPr>
      </w:pPr>
      <w:r w:rsidRPr="00BD215E">
        <w:rPr>
          <w:lang w:val="en-GB"/>
        </w:rPr>
        <w:t>In</w:t>
      </w:r>
      <w:bookmarkStart w:id="10" w:name="_Hlk79063347"/>
      <w:r w:rsidRPr="00BD215E">
        <w:rPr>
          <w:lang w:val="en-GB"/>
        </w:rPr>
        <w:t xml:space="preserve"> 2024, as part of the classification of healthcare providers (HP), the largest expenditure stream went to hospitals and accounted for 42.4% of national current expenditure on healthcare (43.5% in 2023). </w:t>
      </w:r>
      <w:r w:rsidRPr="00BD215E">
        <w:rPr>
          <w:color w:val="000000" w:themeColor="text1"/>
          <w:lang w:val="en-GB"/>
        </w:rPr>
        <w:t>The second most cost-intensive type of healthcare provider was outpatient healthcare providers (26.6%), followed by pharmacies and other providers of medical goods (16.1%).</w:t>
      </w:r>
    </w:p>
    <w:p w14:paraId="2AF336AE" w14:textId="6341E4EF" w:rsidR="004867DA" w:rsidRPr="00BD215E" w:rsidRDefault="008771D4" w:rsidP="00665DAF">
      <w:pPr>
        <w:autoSpaceDE w:val="0"/>
        <w:autoSpaceDN w:val="0"/>
        <w:spacing w:before="240" w:after="0" w:line="240" w:lineRule="auto"/>
        <w:rPr>
          <w:b/>
          <w:szCs w:val="19"/>
          <w:lang w:val="en-GB"/>
        </w:rPr>
      </w:pPr>
      <w:r w:rsidRPr="00BD215E">
        <w:rPr>
          <w:b/>
          <w:szCs w:val="19"/>
          <w:lang w:val="en-GB"/>
        </w:rPr>
        <w:t>Chart</w:t>
      </w:r>
      <w:r w:rsidR="001038E8" w:rsidRPr="00BD215E">
        <w:rPr>
          <w:b/>
          <w:szCs w:val="19"/>
          <w:lang w:val="en-GB"/>
        </w:rPr>
        <w:t xml:space="preserve"> 5. </w:t>
      </w:r>
      <w:r w:rsidR="004867DA" w:rsidRPr="00BD215E">
        <w:rPr>
          <w:rFonts w:cs="Segoe UI"/>
          <w:b/>
          <w:color w:val="000000"/>
          <w:szCs w:val="19"/>
          <w:lang w:val="en-GB"/>
        </w:rPr>
        <w:t>Current expenditure</w:t>
      </w:r>
      <w:r w:rsidR="00B21068" w:rsidRPr="00BD215E">
        <w:rPr>
          <w:rFonts w:cs="Segoe UI"/>
          <w:b/>
          <w:color w:val="000000"/>
          <w:szCs w:val="19"/>
          <w:lang w:val="en-GB"/>
        </w:rPr>
        <w:t>s</w:t>
      </w:r>
      <w:r w:rsidR="004867DA" w:rsidRPr="00BD215E">
        <w:rPr>
          <w:rFonts w:cs="Segoe UI"/>
          <w:b/>
          <w:color w:val="000000"/>
          <w:szCs w:val="19"/>
          <w:lang w:val="en-GB"/>
        </w:rPr>
        <w:t xml:space="preserve"> on health care by providers </w:t>
      </w:r>
    </w:p>
    <w:p w14:paraId="693D5239" w14:textId="61F7856A" w:rsidR="001038E8" w:rsidRPr="00BD215E" w:rsidRDefault="005E6E68" w:rsidP="001038E8">
      <w:pPr>
        <w:pStyle w:val="P68B1DB1-Normalny16"/>
        <w:shd w:val="clear" w:color="auto" w:fill="FFFFFF" w:themeFill="background1"/>
        <w:suppressAutoHyphens/>
        <w:spacing w:before="240" w:line="288" w:lineRule="auto"/>
        <w:rPr>
          <w:b/>
          <w:lang w:val="en-GB"/>
        </w:rPr>
      </w:pPr>
      <w:r w:rsidRPr="00BD215E">
        <w:rPr>
          <w:b/>
          <w:noProof/>
          <w:lang w:val="en-GB"/>
        </w:rPr>
        <w:drawing>
          <wp:inline distT="0" distB="0" distL="0" distR="0" wp14:anchorId="6FC61716" wp14:editId="4EA5D828">
            <wp:extent cx="4405775" cy="1641763"/>
            <wp:effectExtent l="0" t="0" r="0" b="0"/>
            <wp:docPr id="17" name="Obraz 17" descr=" Chart 5. Current expenditure on health care by provider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4432677" cy="1651788"/>
                    </a:xfrm>
                    <a:prstGeom prst="rect">
                      <a:avLst/>
                    </a:prstGeom>
                  </pic:spPr>
                </pic:pic>
              </a:graphicData>
            </a:graphic>
          </wp:inline>
        </w:drawing>
      </w:r>
    </w:p>
    <w:bookmarkEnd w:id="10"/>
    <w:p w14:paraId="4F8ECB9D" w14:textId="32CFF981" w:rsidR="001038E8" w:rsidRPr="00BD215E" w:rsidRDefault="001038E8" w:rsidP="001038E8">
      <w:pPr>
        <w:pStyle w:val="P68B1DB1-Normalny18"/>
        <w:spacing w:before="0" w:after="160" w:line="259" w:lineRule="auto"/>
        <w:rPr>
          <w:b/>
          <w:lang w:val="en-GB"/>
        </w:rPr>
      </w:pPr>
      <w:r w:rsidRPr="00BD215E">
        <w:rPr>
          <w:lang w:val="en-GB"/>
        </w:rPr>
        <w:lastRenderedPageBreak/>
        <w:t xml:space="preserve">Public </w:t>
      </w:r>
      <w:r w:rsidR="00DF5FA1" w:rsidRPr="00BD215E">
        <w:rPr>
          <w:lang w:val="en-GB"/>
        </w:rPr>
        <w:t xml:space="preserve">expenditure </w:t>
      </w:r>
      <w:r w:rsidR="00DF5FA1">
        <w:rPr>
          <w:lang w:val="en-GB"/>
        </w:rPr>
        <w:t xml:space="preserve">on </w:t>
      </w:r>
      <w:r w:rsidRPr="00BD215E">
        <w:rPr>
          <w:lang w:val="en-GB"/>
        </w:rPr>
        <w:t xml:space="preserve">health </w:t>
      </w:r>
      <w:r w:rsidR="00DF5FA1">
        <w:rPr>
          <w:lang w:val="en-GB"/>
        </w:rPr>
        <w:t xml:space="preserve">care </w:t>
      </w:r>
      <w:r w:rsidRPr="00BD215E">
        <w:rPr>
          <w:lang w:val="en-GB"/>
        </w:rPr>
        <w:t>in 2025</w:t>
      </w:r>
      <w:r w:rsidR="00F66178" w:rsidRPr="00BD215E">
        <w:rPr>
          <w:lang w:val="en-GB"/>
        </w:rPr>
        <w:t xml:space="preserve"> </w:t>
      </w:r>
      <w:r w:rsidRPr="00BD215E">
        <w:rPr>
          <w:vertAlign w:val="superscript"/>
          <w:lang w:val="en-GB"/>
        </w:rPr>
        <w:footnoteReference w:id="7"/>
      </w:r>
    </w:p>
    <w:p w14:paraId="34261DED" w14:textId="02D6F18C" w:rsidR="001038E8" w:rsidRPr="00BD215E" w:rsidRDefault="001038E8" w:rsidP="00A05330">
      <w:pPr>
        <w:suppressAutoHyphens/>
        <w:adjustRightInd w:val="0"/>
        <w:spacing w:before="360" w:line="288" w:lineRule="auto"/>
        <w:ind w:left="3345"/>
        <w:rPr>
          <w:rFonts w:eastAsia="Times New Roman" w:cs="Times New Roman"/>
          <w:b/>
          <w:szCs w:val="19"/>
          <w:lang w:val="en-GB"/>
        </w:rPr>
      </w:pPr>
      <w:r w:rsidRPr="00BD215E">
        <w:rPr>
          <w:noProof/>
          <w:color w:val="001D77"/>
          <w:szCs w:val="19"/>
          <w:lang w:val="en-GB"/>
        </w:rPr>
        <mc:AlternateContent>
          <mc:Choice Requires="wps">
            <w:drawing>
              <wp:anchor distT="45720" distB="45720" distL="114300" distR="114300" simplePos="0" relativeHeight="251772928" behindDoc="0" locked="0" layoutInCell="1" allowOverlap="1" wp14:anchorId="3556E969" wp14:editId="673D00E4">
                <wp:simplePos x="0" y="0"/>
                <wp:positionH relativeFrom="margin">
                  <wp:align>left</wp:align>
                </wp:positionH>
                <wp:positionV relativeFrom="paragraph">
                  <wp:posOffset>102870</wp:posOffset>
                </wp:positionV>
                <wp:extent cx="2103755" cy="1295400"/>
                <wp:effectExtent l="0" t="0" r="0" b="0"/>
                <wp:wrapSquare wrapText="bothSides"/>
                <wp:docPr id="33" name="Text field 2" descr="Increase by 10.3% in public expenditure on health in 2025 compared to 2024 "/>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3755" cy="1295400"/>
                        </a:xfrm>
                        <a:prstGeom prst="roundRect">
                          <a:avLst/>
                        </a:prstGeom>
                        <a:solidFill>
                          <a:srgbClr val="001D77"/>
                        </a:solidFill>
                        <a:ln w="9525">
                          <a:noFill/>
                          <a:miter lim="800000"/>
                          <a:headEnd/>
                          <a:tailEnd/>
                        </a:ln>
                      </wps:spPr>
                      <wps:txbx>
                        <w:txbxContent>
                          <w:p w14:paraId="4F3A2BE9" w14:textId="448D586E" w:rsidR="0001348A" w:rsidRPr="001038E8" w:rsidRDefault="0001348A" w:rsidP="001038E8">
                            <w:pPr>
                              <w:autoSpaceDE w:val="0"/>
                              <w:autoSpaceDN w:val="0"/>
                              <w:adjustRightInd w:val="0"/>
                              <w:spacing w:before="0" w:after="0" w:line="240" w:lineRule="auto"/>
                              <w:rPr>
                                <w:rFonts w:ascii="Fira Sans SemiBold" w:hAnsi="Fira Sans SemiBold"/>
                                <w:color w:val="FFFFFF" w:themeColor="background1"/>
                                <w:sz w:val="72"/>
                                <w:szCs w:val="72"/>
                                <w:lang w:val="en-GB"/>
                              </w:rPr>
                            </w:pPr>
                            <w:r>
                              <w:rPr>
                                <w:rStyle w:val="IkonawskanikaZnak"/>
                                <w:color w:val="FFFFFF" w:themeColor="background1"/>
                                <w:sz w:val="76"/>
                                <w:szCs w:val="76"/>
                              </w:rPr>
                              <w:sym w:font="Wingdings" w:char="F0F1"/>
                            </w:r>
                            <w:r w:rsidRPr="001038E8">
                              <w:rPr>
                                <w:rStyle w:val="WartowskanikaZnak"/>
                                <w:lang w:val="en-GB"/>
                              </w:rPr>
                              <w:t xml:space="preserve"> </w:t>
                            </w:r>
                            <w:r w:rsidRPr="001038E8">
                              <w:rPr>
                                <w:rStyle w:val="WartowskanikaZnak"/>
                                <w:sz w:val="72"/>
                                <w:szCs w:val="72"/>
                                <w:lang w:val="en-GB"/>
                              </w:rPr>
                              <w:t>10</w:t>
                            </w:r>
                            <w:r>
                              <w:rPr>
                                <w:rStyle w:val="WartowskanikaZnak"/>
                                <w:sz w:val="72"/>
                                <w:szCs w:val="72"/>
                                <w:lang w:val="en-GB"/>
                              </w:rPr>
                              <w:t>.</w:t>
                            </w:r>
                            <w:r w:rsidRPr="001038E8">
                              <w:rPr>
                                <w:rStyle w:val="WartowskanikaZnak"/>
                                <w:sz w:val="72"/>
                                <w:szCs w:val="72"/>
                                <w:lang w:val="en-GB"/>
                              </w:rPr>
                              <w:t>3%</w:t>
                            </w:r>
                          </w:p>
                          <w:p w14:paraId="05B36DFA" w14:textId="77777777" w:rsidR="0001348A" w:rsidRDefault="0001348A" w:rsidP="001038E8">
                            <w:pPr>
                              <w:pStyle w:val="P68B1DB1-Normalny19"/>
                              <w:rPr>
                                <w:sz w:val="18"/>
                                <w:szCs w:val="20"/>
                              </w:rPr>
                            </w:pPr>
                            <w:r>
                              <w:rPr>
                                <w:sz w:val="20"/>
                                <w:szCs w:val="20"/>
                              </w:rPr>
                              <w:t xml:space="preserve">Increase in public expenditure on health in 2025 compared to 2024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3556E969" id="_x0000_s1032" alt="Increase by 10.3% in public expenditure on health in 2025 compared to 2024 " style="position:absolute;left:0;text-align:left;margin-left:0;margin-top:8.1pt;width:165.65pt;height:102pt;z-index:25177292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" fillcolor="#001d77" stroked="f">
                <v:stroke joinstyle="miter"/>
                <v:textbox>
                  <w:txbxContent>
                    <w:p w14:paraId="4F3A2BE9" w14:textId="448D586E" w:rsidR="0001348A" w:rsidRPr="001038E8" w:rsidRDefault="0001348A" w:rsidP="001038E8">
                      <w:pPr>
                        <w:autoSpaceDE w:val="0"/>
                        <w:autoSpaceDN w:val="0"/>
                        <w:adjustRightInd w:val="0"/>
                        <w:spacing w:before="0" w:after="0" w:line="240" w:lineRule="auto"/>
                        <w:rPr>
                          <w:rFonts w:ascii="Fira Sans SemiBold" w:hAnsi="Fira Sans SemiBold"/>
                          <w:color w:val="FFFFFF" w:themeColor="background1"/>
                          <w:sz w:val="72"/>
                          <w:szCs w:val="72"/>
                          <w:lang w:val="en-GB"/>
                        </w:rPr>
                      </w:pPr>
                      <w:r>
                        <w:rPr>
                          <w:rStyle w:val="IkonawskanikaZnak"/>
                          <w:color w:val="FFFFFF" w:themeColor="background1"/>
                          <w:sz w:val="76"/>
                          <w:szCs w:val="76"/>
                        </w:rPr>
                        <w:sym w:font="Wingdings" w:char="F0F1"/>
                      </w:r>
                      <w:r w:rsidRPr="001038E8">
                        <w:rPr>
                          <w:rStyle w:val="WartowskanikaZnak"/>
                          <w:lang w:val="en-GB"/>
                        </w:rPr>
                        <w:t xml:space="preserve"> </w:t>
                      </w:r>
                      <w:r w:rsidRPr="001038E8">
                        <w:rPr>
                          <w:rStyle w:val="WartowskanikaZnak"/>
                          <w:sz w:val="72"/>
                          <w:szCs w:val="72"/>
                          <w:lang w:val="en-GB"/>
                        </w:rPr>
                        <w:t>10</w:t>
                      </w:r>
                      <w:r>
                        <w:rPr>
                          <w:rStyle w:val="WartowskanikaZnak"/>
                          <w:sz w:val="72"/>
                          <w:szCs w:val="72"/>
                          <w:lang w:val="en-GB"/>
                        </w:rPr>
                        <w:t>.</w:t>
                      </w:r>
                      <w:r w:rsidRPr="001038E8">
                        <w:rPr>
                          <w:rStyle w:val="WartowskanikaZnak"/>
                          <w:sz w:val="72"/>
                          <w:szCs w:val="72"/>
                          <w:lang w:val="en-GB"/>
                        </w:rPr>
                        <w:t>3%</w:t>
                      </w:r>
                    </w:p>
                    <w:p w14:paraId="05B36DFA" w14:textId="77777777" w:rsidR="0001348A" w:rsidRDefault="0001348A" w:rsidP="001038E8">
                      <w:pPr>
                        <w:pStyle w:val="P68B1DB1-Normalny19"/>
                        <w:rPr>
                          <w:sz w:val="18"/>
                          <w:szCs w:val="20"/>
                        </w:rPr>
                      </w:pPr>
                      <w:r>
                        <w:rPr>
                          <w:sz w:val="20"/>
                          <w:szCs w:val="20"/>
                        </w:rPr>
                        <w:t xml:space="preserve">Increase in public expenditure on health in 2025 compared to 2024 </w:t>
                      </w:r>
                    </w:p>
                  </w:txbxContent>
                </v:textbox>
                <w10:wrap type="square" anchorx="margin"/>
              </v:roundrect>
            </w:pict>
          </mc:Fallback>
        </mc:AlternateContent>
      </w:r>
      <w:r w:rsidRPr="00BD215E">
        <w:rPr>
          <w:rFonts w:eastAsiaTheme="minorEastAsia" w:cs="Arial"/>
          <w:b/>
          <w:szCs w:val="19"/>
          <w:lang w:val="en-GB"/>
        </w:rPr>
        <w:t xml:space="preserve">In accordance with Article 131c of the Act </w:t>
      </w:r>
      <w:r w:rsidRPr="00BD215E">
        <w:rPr>
          <w:b/>
          <w:lang w:val="en-GB"/>
        </w:rPr>
        <w:t xml:space="preserve">of 27 August 2004 on publicly funded health care </w:t>
      </w:r>
      <w:bookmarkStart w:id="11" w:name="_Hlk236158899"/>
      <w:r w:rsidRPr="00BD215E">
        <w:rPr>
          <w:b/>
          <w:lang w:val="en-GB"/>
        </w:rPr>
        <w:t>services</w:t>
      </w:r>
      <w:bookmarkEnd w:id="11"/>
      <w:r w:rsidRPr="00BD215E">
        <w:rPr>
          <w:rFonts w:eastAsiaTheme="minorEastAsia" w:cs="Arial"/>
          <w:b/>
          <w:szCs w:val="19"/>
          <w:lang w:val="en-GB"/>
        </w:rPr>
        <w:t>,</w:t>
      </w:r>
      <w:r w:rsidRPr="00BD215E">
        <w:rPr>
          <w:b/>
          <w:lang w:val="en-GB"/>
        </w:rPr>
        <w:t xml:space="preserve"> funds of not less than 6</w:t>
      </w:r>
      <w:r w:rsidR="008567BB" w:rsidRPr="00BD215E">
        <w:rPr>
          <w:b/>
          <w:lang w:val="en-GB"/>
        </w:rPr>
        <w:t>.</w:t>
      </w:r>
      <w:r w:rsidRPr="00BD215E">
        <w:rPr>
          <w:b/>
          <w:lang w:val="en-GB"/>
        </w:rPr>
        <w:t>50% of GDP should be used to</w:t>
      </w:r>
      <w:r w:rsidRPr="00BD215E">
        <w:rPr>
          <w:rFonts w:eastAsiaTheme="minorEastAsia" w:cs="Arial"/>
          <w:szCs w:val="19"/>
          <w:lang w:val="en-GB"/>
        </w:rPr>
        <w:t xml:space="preserve"> </w:t>
      </w:r>
      <w:r w:rsidRPr="00BD215E">
        <w:rPr>
          <w:rFonts w:eastAsiaTheme="minorEastAsia" w:cs="Arial"/>
          <w:b/>
          <w:szCs w:val="19"/>
          <w:lang w:val="en-GB"/>
        </w:rPr>
        <w:t xml:space="preserve">finance </w:t>
      </w:r>
      <w:r w:rsidR="00074ECA">
        <w:rPr>
          <w:rFonts w:eastAsiaTheme="minorEastAsia" w:cs="Arial"/>
          <w:b/>
          <w:szCs w:val="19"/>
          <w:lang w:val="en-GB"/>
        </w:rPr>
        <w:t xml:space="preserve">public </w:t>
      </w:r>
      <w:r w:rsidRPr="00BD215E">
        <w:rPr>
          <w:rFonts w:eastAsiaTheme="minorEastAsia" w:cs="Arial"/>
          <w:b/>
          <w:szCs w:val="19"/>
          <w:lang w:val="en-GB"/>
        </w:rPr>
        <w:t>health care</w:t>
      </w:r>
      <w:r w:rsidRPr="00BD215E">
        <w:rPr>
          <w:rFonts w:eastAsiaTheme="minorEastAsia" w:cs="Arial"/>
          <w:szCs w:val="19"/>
          <w:vertAlign w:val="superscript"/>
          <w:lang w:val="en-GB"/>
        </w:rPr>
        <w:footnoteReference w:id="8"/>
      </w:r>
      <w:r w:rsidRPr="00BD215E">
        <w:rPr>
          <w:rFonts w:eastAsiaTheme="minorEastAsia" w:cs="Arial"/>
          <w:b/>
          <w:szCs w:val="19"/>
          <w:lang w:val="en-GB"/>
        </w:rPr>
        <w:t xml:space="preserve"> in 2025</w:t>
      </w:r>
      <w:r w:rsidRPr="00BD215E">
        <w:rPr>
          <w:rFonts w:eastAsiaTheme="minorEastAsia" w:cs="Arial"/>
          <w:szCs w:val="19"/>
          <w:vertAlign w:val="superscript"/>
          <w:lang w:val="en-GB"/>
        </w:rPr>
        <w:footnoteReference w:id="9"/>
      </w:r>
      <w:r w:rsidRPr="00BD215E">
        <w:rPr>
          <w:rFonts w:eastAsiaTheme="minorEastAsia" w:cs="Arial"/>
          <w:b/>
          <w:szCs w:val="19"/>
          <w:lang w:val="en-GB"/>
        </w:rPr>
        <w:t>. Therefore, expenditure on financing health care in 2025 is planned at PLN 221.7 billion (i.e. 6.52% of GDP), while the implementation of the plan amounted to PLN 232.2 billion (i.e. 6.81% of GDP).</w:t>
      </w:r>
    </w:p>
    <w:p w14:paraId="390D5B34" w14:textId="5FCAA515" w:rsidR="001038E8" w:rsidRPr="00A05330" w:rsidRDefault="00DF5FA1" w:rsidP="00A05330">
      <w:pPr>
        <w:pStyle w:val="P68B1DB1-Normalny16"/>
        <w:tabs>
          <w:tab w:val="left" w:pos="3464"/>
          <w:tab w:val="left" w:pos="5052"/>
          <w:tab w:val="left" w:pos="6640"/>
        </w:tabs>
        <w:suppressAutoHyphens/>
        <w:spacing w:line="264" w:lineRule="auto"/>
        <w:ind w:left="6"/>
        <w:rPr>
          <w:sz w:val="16"/>
          <w:szCs w:val="16"/>
          <w:lang w:val="en-GB"/>
        </w:rPr>
      </w:pPr>
      <w:r w:rsidRPr="00A05330">
        <w:rPr>
          <w:noProof/>
          <w:color w:val="000000" w:themeColor="text1"/>
          <w:sz w:val="16"/>
          <w:szCs w:val="16"/>
          <w:lang w:val="en-GB"/>
        </w:rPr>
        <mc:AlternateContent>
          <mc:Choice Requires="wps">
            <w:drawing>
              <wp:anchor distT="45720" distB="45720" distL="114300" distR="114300" simplePos="0" relativeHeight="251774976" behindDoc="1" locked="0" layoutInCell="1" allowOverlap="1" wp14:anchorId="47F1DDA0" wp14:editId="5BA30574">
                <wp:simplePos x="0" y="0"/>
                <wp:positionH relativeFrom="column">
                  <wp:posOffset>5257410</wp:posOffset>
                </wp:positionH>
                <wp:positionV relativeFrom="paragraph">
                  <wp:posOffset>116498</wp:posOffset>
                </wp:positionV>
                <wp:extent cx="1787525" cy="861060"/>
                <wp:effectExtent l="0" t="0" r="0" b="0"/>
                <wp:wrapTight wrapText="bothSides">
                  <wp:wrapPolygon edited="0">
                    <wp:start x="691" y="0"/>
                    <wp:lineTo x="691" y="21027"/>
                    <wp:lineTo x="20718" y="21027"/>
                    <wp:lineTo x="20718" y="0"/>
                    <wp:lineTo x="691" y="0"/>
                  </wp:wrapPolygon>
                </wp:wrapTight>
                <wp:docPr id="37" name="Text field 37" descr="In 2025, public expenditure on health care increased by PLN 21.6 billion, i.e. by 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7525" cy="861060"/>
                        </a:xfrm>
                        <a:prstGeom prst="rect">
                          <a:avLst/>
                        </a:prstGeom>
                        <a:noFill/>
                        <a:ln w="9525">
                          <a:noFill/>
                          <a:miter lim="800000"/>
                          <a:headEnd/>
                          <a:tailEnd/>
                        </a:ln>
                      </wps:spPr>
                      <wps:txbx>
                        <w:txbxContent>
                          <w:p w14:paraId="1579EBDC" w14:textId="59BBBD2C" w:rsidR="0001348A" w:rsidRPr="001038E8" w:rsidRDefault="0001348A" w:rsidP="001038E8">
                            <w:pPr>
                              <w:pStyle w:val="tekstzboku"/>
                              <w:rPr>
                                <w:lang w:val="en-GB"/>
                              </w:rPr>
                            </w:pPr>
                            <w:r w:rsidRPr="001038E8">
                              <w:rPr>
                                <w:lang w:val="en-GB"/>
                              </w:rPr>
                              <w:t xml:space="preserve">In 2025, public expenditure </w:t>
                            </w:r>
                            <w:r w:rsidR="00DF5FA1">
                              <w:rPr>
                                <w:lang w:val="en-GB"/>
                              </w:rPr>
                              <w:br/>
                            </w:r>
                            <w:r w:rsidRPr="001038E8">
                              <w:rPr>
                                <w:lang w:val="en-GB"/>
                              </w:rPr>
                              <w:t xml:space="preserve">on health care increased </w:t>
                            </w:r>
                            <w:r w:rsidR="00DF5FA1">
                              <w:rPr>
                                <w:lang w:val="en-GB"/>
                              </w:rPr>
                              <w:br/>
                            </w:r>
                            <w:r w:rsidRPr="001038E8">
                              <w:rPr>
                                <w:lang w:val="en-GB"/>
                              </w:rPr>
                              <w:t xml:space="preserve">by PLN 21.6 billion, i.e. </w:t>
                            </w:r>
                            <w:r w:rsidR="00DF5FA1">
                              <w:rPr>
                                <w:lang w:val="en-GB"/>
                              </w:rPr>
                              <w:br/>
                            </w:r>
                            <w:r w:rsidRPr="001038E8">
                              <w:rPr>
                                <w:lang w:val="en-GB"/>
                              </w:rPr>
                              <w:t>by 10.3%</w:t>
                            </w:r>
                            <w:r w:rsidR="00907CE3">
                              <w:rPr>
                                <w:lang w:val="en-GB"/>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7F1DDA0" id="Text field 37" o:spid="_x0000_s1033" type="#_x0000_t202" alt="In 2025, public expenditure on health care increased by PLN 21.6 billion, i.e. by 10.3%" style="position:absolute;left:0;text-align:left;margin-left:413.95pt;margin-top:9.15pt;width:140.75pt;height:67.8pt;z-index:-251541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" filled="f" stroked="f">
                <v:textbox>
                  <w:txbxContent>
                    <w:p w14:paraId="1579EBDC" w14:textId="59BBBD2C" w:rsidR="0001348A" w:rsidRPr="001038E8" w:rsidRDefault="0001348A" w:rsidP="001038E8">
                      <w:pPr>
                        <w:pStyle w:val="tekstzboku"/>
                        <w:rPr>
                          <w:lang w:val="en-GB"/>
                        </w:rPr>
                      </w:pPr>
                      <w:r w:rsidRPr="001038E8">
                        <w:rPr>
                          <w:lang w:val="en-GB"/>
                        </w:rPr>
                        <w:t xml:space="preserve">In 2025, public expenditure </w:t>
                      </w:r>
                      <w:r w:rsidR="00DF5FA1">
                        <w:rPr>
                          <w:lang w:val="en-GB"/>
                        </w:rPr>
                        <w:br/>
                      </w:r>
                      <w:r w:rsidRPr="001038E8">
                        <w:rPr>
                          <w:lang w:val="en-GB"/>
                        </w:rPr>
                        <w:t xml:space="preserve">on health care increased </w:t>
                      </w:r>
                      <w:r w:rsidR="00DF5FA1">
                        <w:rPr>
                          <w:lang w:val="en-GB"/>
                        </w:rPr>
                        <w:br/>
                      </w:r>
                      <w:r w:rsidRPr="001038E8">
                        <w:rPr>
                          <w:lang w:val="en-GB"/>
                        </w:rPr>
                        <w:t xml:space="preserve">by PLN 21.6 billion, i.e. </w:t>
                      </w:r>
                      <w:r w:rsidR="00DF5FA1">
                        <w:rPr>
                          <w:lang w:val="en-GB"/>
                        </w:rPr>
                        <w:br/>
                      </w:r>
                      <w:r w:rsidRPr="001038E8">
                        <w:rPr>
                          <w:lang w:val="en-GB"/>
                        </w:rPr>
                        <w:t>by 10.3%</w:t>
                      </w:r>
                      <w:r w:rsidR="00907CE3">
                        <w:rPr>
                          <w:lang w:val="en-GB"/>
                        </w:rPr>
                        <w:t>.</w:t>
                      </w:r>
                    </w:p>
                  </w:txbxContent>
                </v:textbox>
                <w10:wrap type="tight"/>
              </v:shape>
            </w:pict>
          </mc:Fallback>
        </mc:AlternateContent>
      </w:r>
    </w:p>
    <w:p w14:paraId="015A06F4" w14:textId="2F2A6D46" w:rsidR="001038E8" w:rsidRPr="00BD215E" w:rsidRDefault="001038E8" w:rsidP="00A05330">
      <w:pPr>
        <w:suppressAutoHyphens/>
        <w:spacing w:line="288" w:lineRule="auto"/>
        <w:rPr>
          <w:color w:val="000000" w:themeColor="text1"/>
          <w:lang w:val="en-GB"/>
        </w:rPr>
      </w:pPr>
      <w:r w:rsidRPr="00BD215E">
        <w:rPr>
          <w:lang w:val="en-GB"/>
        </w:rPr>
        <w:t>While implementing the assumptions of the Act on health care services financed from public funds (hereinafter referred to as the Act), the budget act for 2025 and the corresponding draft financial plan of the National Health Fund (N</w:t>
      </w:r>
      <w:r w:rsidR="005F0842">
        <w:rPr>
          <w:lang w:val="en-GB"/>
        </w:rPr>
        <w:t>HF</w:t>
      </w:r>
      <w:r w:rsidRPr="00BD215E">
        <w:rPr>
          <w:lang w:val="en-GB"/>
        </w:rPr>
        <w:t>) planned funds of PLN 222.3 billion</w:t>
      </w:r>
      <w:r w:rsidRPr="00BD215E">
        <w:rPr>
          <w:b/>
          <w:lang w:val="en-GB"/>
        </w:rPr>
        <w:t xml:space="preserve"> </w:t>
      </w:r>
      <w:r w:rsidRPr="00BD215E">
        <w:rPr>
          <w:lang w:val="en-GB"/>
        </w:rPr>
        <w:t xml:space="preserve"> for health care, which were additionally increased during 2025, and their final implementation amounted to PLN 232.2 billion, representing 6.81% of GDP (from year N-2)</w:t>
      </w:r>
      <w:r w:rsidRPr="005F0842">
        <w:rPr>
          <w:vertAlign w:val="superscript"/>
          <w:lang w:val="en-GB"/>
        </w:rPr>
        <w:footnoteReference w:id="10"/>
      </w:r>
      <w:r w:rsidRPr="00BD215E">
        <w:rPr>
          <w:lang w:val="en-GB"/>
        </w:rPr>
        <w:t>. As a result, the public expenditure on health protection referred to in the Act in 2025 was PLN 21.6 billion higher (10.3%) than the corresponding expenditure incurred in 2024.</w:t>
      </w:r>
    </w:p>
    <w:p w14:paraId="75C982AC" w14:textId="5535C367" w:rsidR="001038E8" w:rsidRPr="00BD215E" w:rsidRDefault="001038E8" w:rsidP="00DF5FA1">
      <w:pPr>
        <w:pStyle w:val="P68B1DB1-Normalny20"/>
        <w:tabs>
          <w:tab w:val="left" w:pos="3464"/>
          <w:tab w:val="left" w:pos="5052"/>
          <w:tab w:val="left" w:pos="6640"/>
        </w:tabs>
        <w:suppressAutoHyphens/>
        <w:spacing w:before="360" w:line="288" w:lineRule="auto"/>
        <w:ind w:left="868" w:hanging="862"/>
        <w:rPr>
          <w:bCs/>
          <w:lang w:val="en-GB"/>
        </w:rPr>
      </w:pPr>
      <w:r w:rsidRPr="00BD215E">
        <w:rPr>
          <w:lang w:val="en-GB"/>
        </w:rPr>
        <w:t>Table 2. Public expenditure</w:t>
      </w:r>
      <w:r w:rsidR="009C4A6E" w:rsidRPr="00BD215E">
        <w:rPr>
          <w:lang w:val="en-GB"/>
        </w:rPr>
        <w:t>s</w:t>
      </w:r>
      <w:r w:rsidRPr="00BD215E">
        <w:rPr>
          <w:lang w:val="en-GB"/>
        </w:rPr>
        <w:t xml:space="preserve"> on health and their share of GDP</w:t>
      </w:r>
      <w:r w:rsidRPr="00BD215E">
        <w:rPr>
          <w:sz w:val="16"/>
          <w:szCs w:val="16"/>
          <w:vertAlign w:val="superscript"/>
          <w:lang w:val="en-GB"/>
        </w:rPr>
        <w:t xml:space="preserve"> b</w:t>
      </w:r>
    </w:p>
    <w:tbl>
      <w:tblPr>
        <w:tblStyle w:val="Tabela-Siatka2"/>
        <w:tblpPr w:vertAnchor="text" w:tblpY="1"/>
        <w:tblOverlap w:val="never"/>
        <w:tblW w:w="0" w:type="auto"/>
        <w:tblBorders>
          <w:top w:val="none" w:sz="0" w:space="0" w:color="auto"/>
          <w:left w:val="none" w:sz="0" w:space="0" w:color="auto"/>
          <w:bottom w:val="none" w:sz="0" w:space="0" w:color="auto"/>
          <w:right w:val="none" w:sz="0" w:space="0" w:color="auto"/>
          <w:insideH w:val="single" w:sz="4" w:space="0" w:color="001D77"/>
          <w:insideV w:val="single" w:sz="4" w:space="0" w:color="001D77"/>
        </w:tblBorders>
        <w:tblLayout w:type="fixed"/>
        <w:tblCellMar>
          <w:left w:w="0" w:type="dxa"/>
          <w:right w:w="0" w:type="dxa"/>
        </w:tblCellMar>
        <w:tblLook w:val="04A0" w:firstRow="1" w:lastRow="0" w:firstColumn="1" w:lastColumn="0" w:noHBand="0" w:noVBand="1"/>
        <w:tblDescription w:val="Tablica 2. przedstawia nakłady publiczne na ochronę zdrowia i ich udział w PKB z roku Na, tj. roku bieżącego i z roku N-2, tj. zgodnie z ustawą"/>
      </w:tblPr>
      <w:tblGrid>
        <w:gridCol w:w="567"/>
        <w:gridCol w:w="1191"/>
        <w:gridCol w:w="1503"/>
        <w:gridCol w:w="850"/>
        <w:gridCol w:w="1134"/>
        <w:gridCol w:w="1108"/>
        <w:gridCol w:w="851"/>
        <w:gridCol w:w="851"/>
      </w:tblGrid>
      <w:tr w:rsidR="001038E8" w:rsidRPr="00407A30" w14:paraId="4F19D5A7" w14:textId="77777777" w:rsidTr="00FB5641">
        <w:tc>
          <w:tcPr>
            <w:tcW w:w="567" w:type="dxa"/>
            <w:vMerge w:val="restart"/>
            <w:tcBorders>
              <w:top w:val="single" w:sz="4" w:space="0" w:color="001D77"/>
            </w:tcBorders>
            <w:vAlign w:val="center"/>
          </w:tcPr>
          <w:p w14:paraId="4EA6FDFD" w14:textId="77777777" w:rsidR="001038E8" w:rsidRPr="00407A30" w:rsidRDefault="001038E8" w:rsidP="00FB5641">
            <w:pPr>
              <w:pStyle w:val="Tablicanotka"/>
              <w:spacing w:line="288" w:lineRule="auto"/>
              <w:jc w:val="center"/>
              <w:rPr>
                <w:noProof w:val="0"/>
                <w:lang w:val="en-GB"/>
              </w:rPr>
            </w:pPr>
            <w:r w:rsidRPr="00407A30">
              <w:rPr>
                <w:noProof w:val="0"/>
                <w:lang w:val="en-GB"/>
              </w:rPr>
              <w:t>Year</w:t>
            </w:r>
          </w:p>
        </w:tc>
        <w:tc>
          <w:tcPr>
            <w:tcW w:w="1191" w:type="dxa"/>
            <w:tcBorders>
              <w:top w:val="single" w:sz="4" w:space="0" w:color="001D77"/>
              <w:bottom w:val="single" w:sz="4" w:space="0" w:color="001D77"/>
            </w:tcBorders>
            <w:vAlign w:val="center"/>
          </w:tcPr>
          <w:p w14:paraId="776AC1E0" w14:textId="77777777" w:rsidR="001038E8" w:rsidRPr="00407A30" w:rsidRDefault="001038E8" w:rsidP="00FB5641">
            <w:pPr>
              <w:pStyle w:val="Tablicanotka"/>
              <w:spacing w:line="288" w:lineRule="auto"/>
              <w:jc w:val="center"/>
              <w:rPr>
                <w:noProof w:val="0"/>
                <w:lang w:val="en-GB"/>
              </w:rPr>
            </w:pPr>
            <w:r w:rsidRPr="00407A30">
              <w:rPr>
                <w:noProof w:val="0"/>
                <w:lang w:val="en-GB"/>
              </w:rPr>
              <w:t>GDP N-2</w:t>
            </w:r>
            <w:r w:rsidRPr="00407A30">
              <w:rPr>
                <w:noProof w:val="0"/>
                <w:lang w:val="en-GB"/>
              </w:rPr>
              <w:br/>
              <w:t xml:space="preserve">accordance </w:t>
            </w:r>
            <w:r w:rsidRPr="00407A30">
              <w:rPr>
                <w:noProof w:val="0"/>
                <w:lang w:val="en-GB"/>
              </w:rPr>
              <w:br/>
              <w:t>the Law</w:t>
            </w:r>
          </w:p>
        </w:tc>
        <w:tc>
          <w:tcPr>
            <w:tcW w:w="1503" w:type="dxa"/>
            <w:tcBorders>
              <w:top w:val="single" w:sz="4" w:space="0" w:color="001D77"/>
              <w:bottom w:val="single" w:sz="4" w:space="0" w:color="001D77"/>
            </w:tcBorders>
            <w:vAlign w:val="center"/>
          </w:tcPr>
          <w:p w14:paraId="559CAEF3" w14:textId="77777777" w:rsidR="001038E8" w:rsidRPr="00407A30" w:rsidRDefault="001038E8" w:rsidP="00FB5641">
            <w:pPr>
              <w:pStyle w:val="Tablicanotka"/>
              <w:spacing w:line="288" w:lineRule="auto"/>
              <w:jc w:val="center"/>
              <w:rPr>
                <w:noProof w:val="0"/>
                <w:lang w:val="en-GB"/>
              </w:rPr>
            </w:pPr>
            <w:r w:rsidRPr="00407A30">
              <w:rPr>
                <w:noProof w:val="0"/>
                <w:lang w:val="en-GB"/>
              </w:rPr>
              <w:t xml:space="preserve">GDP </w:t>
            </w:r>
            <w:r w:rsidRPr="00407A30">
              <w:rPr>
                <w:noProof w:val="0"/>
                <w:lang w:val="en-GB"/>
              </w:rPr>
              <w:br/>
              <w:t xml:space="preserve">for the year </w:t>
            </w:r>
            <w:r w:rsidRPr="00407A30">
              <w:rPr>
                <w:noProof w:val="0"/>
                <w:lang w:val="en-GB"/>
              </w:rPr>
              <w:br/>
              <w:t>current (N)</w:t>
            </w:r>
            <w:r w:rsidRPr="00407A30">
              <w:rPr>
                <w:noProof w:val="0"/>
                <w:vertAlign w:val="superscript"/>
                <w:lang w:val="en-GB"/>
              </w:rPr>
              <w:t xml:space="preserve"> a, c</w:t>
            </w:r>
          </w:p>
        </w:tc>
        <w:tc>
          <w:tcPr>
            <w:tcW w:w="1984" w:type="dxa"/>
            <w:gridSpan w:val="2"/>
            <w:tcBorders>
              <w:top w:val="single" w:sz="4" w:space="0" w:color="001D77"/>
              <w:bottom w:val="single" w:sz="4" w:space="0" w:color="001D77"/>
            </w:tcBorders>
            <w:vAlign w:val="center"/>
          </w:tcPr>
          <w:p w14:paraId="76F094CA" w14:textId="77777777" w:rsidR="001038E8" w:rsidRPr="00407A30" w:rsidRDefault="001038E8" w:rsidP="00FB5641">
            <w:pPr>
              <w:pStyle w:val="Tablicanotka"/>
              <w:spacing w:line="288" w:lineRule="auto"/>
              <w:jc w:val="center"/>
              <w:rPr>
                <w:noProof w:val="0"/>
                <w:lang w:val="en-GB"/>
              </w:rPr>
            </w:pPr>
            <w:r w:rsidRPr="00407A30">
              <w:rPr>
                <w:noProof w:val="0"/>
                <w:lang w:val="en-GB"/>
              </w:rPr>
              <w:t>Plan</w:t>
            </w:r>
            <w:r w:rsidRPr="00407A30">
              <w:rPr>
                <w:noProof w:val="0"/>
                <w:vertAlign w:val="superscript"/>
                <w:lang w:val="en-GB"/>
              </w:rPr>
              <w:t xml:space="preserve"> b</w:t>
            </w:r>
          </w:p>
        </w:tc>
        <w:tc>
          <w:tcPr>
            <w:tcW w:w="2810" w:type="dxa"/>
            <w:gridSpan w:val="3"/>
            <w:tcBorders>
              <w:top w:val="single" w:sz="4" w:space="0" w:color="001D77"/>
              <w:bottom w:val="single" w:sz="4" w:space="0" w:color="001D77"/>
            </w:tcBorders>
            <w:vAlign w:val="center"/>
          </w:tcPr>
          <w:p w14:paraId="0688F489" w14:textId="0FE7809B" w:rsidR="001038E8" w:rsidRPr="00407A30" w:rsidRDefault="00DF5FA1" w:rsidP="00FB5641">
            <w:pPr>
              <w:pStyle w:val="Tablicanotka"/>
              <w:spacing w:line="288" w:lineRule="auto"/>
              <w:jc w:val="center"/>
              <w:rPr>
                <w:noProof w:val="0"/>
                <w:lang w:val="en-GB"/>
              </w:rPr>
            </w:pPr>
            <w:r w:rsidRPr="00407A30">
              <w:rPr>
                <w:noProof w:val="0"/>
                <w:lang w:val="en-GB"/>
              </w:rPr>
              <w:t>Implementation</w:t>
            </w:r>
          </w:p>
        </w:tc>
      </w:tr>
      <w:tr w:rsidR="001038E8" w:rsidRPr="00407A30" w14:paraId="019D786C" w14:textId="77777777" w:rsidTr="00FB5641">
        <w:tc>
          <w:tcPr>
            <w:tcW w:w="567" w:type="dxa"/>
            <w:vMerge/>
            <w:tcBorders>
              <w:bottom w:val="single" w:sz="12" w:space="0" w:color="001D77"/>
            </w:tcBorders>
            <w:vAlign w:val="center"/>
          </w:tcPr>
          <w:p w14:paraId="2D26561D" w14:textId="77777777" w:rsidR="001038E8" w:rsidRPr="00407A30" w:rsidRDefault="001038E8" w:rsidP="00FB5641">
            <w:pPr>
              <w:spacing w:line="288" w:lineRule="auto"/>
              <w:jc w:val="center"/>
              <w:rPr>
                <w:sz w:val="16"/>
                <w:szCs w:val="16"/>
                <w:lang w:val="en-GB"/>
              </w:rPr>
            </w:pPr>
          </w:p>
        </w:tc>
        <w:tc>
          <w:tcPr>
            <w:tcW w:w="3544" w:type="dxa"/>
            <w:gridSpan w:val="3"/>
            <w:tcBorders>
              <w:top w:val="single" w:sz="4" w:space="0" w:color="001D77"/>
              <w:bottom w:val="single" w:sz="12" w:space="0" w:color="001D77"/>
            </w:tcBorders>
            <w:vAlign w:val="center"/>
          </w:tcPr>
          <w:p w14:paraId="32C26656" w14:textId="1FE43A25" w:rsidR="001038E8" w:rsidRPr="00407A30" w:rsidRDefault="001038E8" w:rsidP="00FB5641">
            <w:pPr>
              <w:pStyle w:val="Tablicanotka"/>
              <w:spacing w:line="288" w:lineRule="auto"/>
              <w:jc w:val="center"/>
              <w:rPr>
                <w:noProof w:val="0"/>
                <w:lang w:val="en-GB"/>
              </w:rPr>
            </w:pPr>
            <w:r w:rsidRPr="00407A30">
              <w:rPr>
                <w:noProof w:val="0"/>
                <w:lang w:val="en-GB"/>
              </w:rPr>
              <w:t xml:space="preserve">in billion </w:t>
            </w:r>
            <w:r w:rsidR="00B3508A" w:rsidRPr="00407A30">
              <w:rPr>
                <w:noProof w:val="0"/>
                <w:lang w:val="en-GB"/>
              </w:rPr>
              <w:t>PLN</w:t>
            </w:r>
          </w:p>
        </w:tc>
        <w:tc>
          <w:tcPr>
            <w:tcW w:w="1134" w:type="dxa"/>
            <w:tcBorders>
              <w:top w:val="single" w:sz="4" w:space="0" w:color="001D77"/>
              <w:bottom w:val="single" w:sz="12" w:space="0" w:color="001D77"/>
            </w:tcBorders>
            <w:vAlign w:val="center"/>
          </w:tcPr>
          <w:p w14:paraId="66DCB5E0" w14:textId="77777777" w:rsidR="001038E8" w:rsidRPr="00407A30" w:rsidRDefault="001038E8" w:rsidP="00FB5641">
            <w:pPr>
              <w:pStyle w:val="Tablicanotka"/>
              <w:spacing w:line="288" w:lineRule="auto"/>
              <w:jc w:val="center"/>
              <w:rPr>
                <w:noProof w:val="0"/>
                <w:lang w:val="en-GB"/>
              </w:rPr>
            </w:pPr>
            <w:r w:rsidRPr="00407A30">
              <w:rPr>
                <w:noProof w:val="0"/>
                <w:lang w:val="en-GB"/>
              </w:rPr>
              <w:t>% of GDP</w:t>
            </w:r>
            <w:r w:rsidRPr="00407A30">
              <w:rPr>
                <w:noProof w:val="0"/>
                <w:lang w:val="en-GB"/>
              </w:rPr>
              <w:br/>
              <w:t>N-2</w:t>
            </w:r>
          </w:p>
        </w:tc>
        <w:tc>
          <w:tcPr>
            <w:tcW w:w="1108" w:type="dxa"/>
            <w:tcBorders>
              <w:top w:val="single" w:sz="4" w:space="0" w:color="001D77"/>
              <w:bottom w:val="single" w:sz="12" w:space="0" w:color="001D77"/>
            </w:tcBorders>
            <w:vAlign w:val="center"/>
          </w:tcPr>
          <w:p w14:paraId="3C3A3AE7" w14:textId="77777777" w:rsidR="001038E8" w:rsidRPr="00407A30" w:rsidRDefault="001038E8" w:rsidP="00FB5641">
            <w:pPr>
              <w:pStyle w:val="Tablicanotka"/>
              <w:spacing w:line="288" w:lineRule="auto"/>
              <w:jc w:val="center"/>
              <w:rPr>
                <w:noProof w:val="0"/>
                <w:lang w:val="en-GB"/>
              </w:rPr>
            </w:pPr>
            <w:r w:rsidRPr="00407A30">
              <w:rPr>
                <w:noProof w:val="0"/>
                <w:lang w:val="en-GB"/>
              </w:rPr>
              <w:t>in billions</w:t>
            </w:r>
            <w:r w:rsidRPr="00407A30">
              <w:rPr>
                <w:noProof w:val="0"/>
                <w:lang w:val="en-GB"/>
              </w:rPr>
              <w:br/>
              <w:t>PLN</w:t>
            </w:r>
          </w:p>
        </w:tc>
        <w:tc>
          <w:tcPr>
            <w:tcW w:w="851" w:type="dxa"/>
            <w:tcBorders>
              <w:top w:val="single" w:sz="4" w:space="0" w:color="001D77"/>
              <w:bottom w:val="single" w:sz="12" w:space="0" w:color="001D77"/>
            </w:tcBorders>
            <w:vAlign w:val="center"/>
          </w:tcPr>
          <w:p w14:paraId="20F2724F" w14:textId="77777777" w:rsidR="001038E8" w:rsidRPr="00407A30" w:rsidRDefault="001038E8" w:rsidP="00FB5641">
            <w:pPr>
              <w:pStyle w:val="Tablicanotka"/>
              <w:spacing w:line="288" w:lineRule="auto"/>
              <w:jc w:val="center"/>
              <w:rPr>
                <w:noProof w:val="0"/>
                <w:lang w:val="en-GB"/>
              </w:rPr>
            </w:pPr>
            <w:r w:rsidRPr="00407A30">
              <w:rPr>
                <w:noProof w:val="0"/>
                <w:lang w:val="en-GB"/>
              </w:rPr>
              <w:t>% of GDP</w:t>
            </w:r>
            <w:r w:rsidRPr="00407A30">
              <w:rPr>
                <w:noProof w:val="0"/>
                <w:lang w:val="en-GB"/>
              </w:rPr>
              <w:br/>
              <w:t>N-2</w:t>
            </w:r>
            <w:r w:rsidRPr="00407A30">
              <w:rPr>
                <w:noProof w:val="0"/>
                <w:vertAlign w:val="superscript"/>
                <w:lang w:val="en-GB"/>
              </w:rPr>
              <w:t xml:space="preserve"> b</w:t>
            </w:r>
          </w:p>
        </w:tc>
        <w:tc>
          <w:tcPr>
            <w:tcW w:w="851" w:type="dxa"/>
            <w:tcBorders>
              <w:top w:val="single" w:sz="4" w:space="0" w:color="001D77"/>
              <w:bottom w:val="single" w:sz="12" w:space="0" w:color="001D77"/>
            </w:tcBorders>
            <w:vAlign w:val="center"/>
          </w:tcPr>
          <w:p w14:paraId="1017F1A1" w14:textId="77777777" w:rsidR="001038E8" w:rsidRPr="00407A30" w:rsidRDefault="001038E8" w:rsidP="00FB5641">
            <w:pPr>
              <w:pStyle w:val="Tablicanotka"/>
              <w:spacing w:line="288" w:lineRule="auto"/>
              <w:jc w:val="center"/>
              <w:rPr>
                <w:noProof w:val="0"/>
                <w:lang w:val="en-GB"/>
              </w:rPr>
            </w:pPr>
            <w:r w:rsidRPr="00407A30">
              <w:rPr>
                <w:noProof w:val="0"/>
                <w:lang w:val="en-GB"/>
              </w:rPr>
              <w:t>% of GDP</w:t>
            </w:r>
            <w:r w:rsidRPr="00407A30">
              <w:rPr>
                <w:noProof w:val="0"/>
                <w:lang w:val="en-GB"/>
              </w:rPr>
              <w:br/>
              <w:t>N</w:t>
            </w:r>
            <w:r w:rsidRPr="00407A30">
              <w:rPr>
                <w:noProof w:val="0"/>
                <w:vertAlign w:val="superscript"/>
                <w:lang w:val="en-GB"/>
              </w:rPr>
              <w:t xml:space="preserve"> c</w:t>
            </w:r>
          </w:p>
        </w:tc>
      </w:tr>
      <w:tr w:rsidR="001038E8" w:rsidRPr="00407A30" w14:paraId="1547AF40" w14:textId="77777777" w:rsidTr="00FB5641">
        <w:tc>
          <w:tcPr>
            <w:tcW w:w="567" w:type="dxa"/>
            <w:tcBorders>
              <w:top w:val="single" w:sz="4" w:space="0" w:color="001D77"/>
            </w:tcBorders>
          </w:tcPr>
          <w:p w14:paraId="11216CED" w14:textId="77777777" w:rsidR="001038E8" w:rsidRPr="00407A30" w:rsidRDefault="001038E8" w:rsidP="00FB5641">
            <w:pPr>
              <w:spacing w:line="288" w:lineRule="auto"/>
              <w:ind w:left="57"/>
              <w:rPr>
                <w:sz w:val="16"/>
                <w:szCs w:val="16"/>
                <w:lang w:val="en-GB"/>
              </w:rPr>
            </w:pPr>
            <w:r w:rsidRPr="00407A30">
              <w:rPr>
                <w:sz w:val="16"/>
                <w:szCs w:val="16"/>
                <w:lang w:val="en-GB"/>
              </w:rPr>
              <w:t>2024</w:t>
            </w:r>
            <w:r w:rsidRPr="00407A30">
              <w:rPr>
                <w:rStyle w:val="Odwoanieprzypisudolnego"/>
                <w:sz w:val="16"/>
                <w:szCs w:val="16"/>
                <w:lang w:val="en-GB"/>
              </w:rPr>
              <w:footnoteReference w:id="11"/>
            </w:r>
          </w:p>
        </w:tc>
        <w:tc>
          <w:tcPr>
            <w:tcW w:w="1191" w:type="dxa"/>
            <w:tcBorders>
              <w:top w:val="single" w:sz="4" w:space="0" w:color="001D77"/>
            </w:tcBorders>
            <w:vAlign w:val="bottom"/>
          </w:tcPr>
          <w:p w14:paraId="4A5C8196" w14:textId="2E85EABB" w:rsidR="001038E8" w:rsidRPr="00407A30" w:rsidRDefault="001038E8" w:rsidP="00FB5641">
            <w:pPr>
              <w:pStyle w:val="Tablicanotka"/>
              <w:spacing w:line="288" w:lineRule="auto"/>
              <w:ind w:right="57"/>
              <w:jc w:val="right"/>
              <w:rPr>
                <w:noProof w:val="0"/>
                <w:lang w:val="en-GB"/>
              </w:rPr>
            </w:pPr>
            <w:r w:rsidRPr="00407A30">
              <w:rPr>
                <w:noProof w:val="0"/>
                <w:lang w:val="en-GB"/>
              </w:rPr>
              <w:t>3 078</w:t>
            </w:r>
            <w:r w:rsidR="008146FC" w:rsidRPr="00407A30">
              <w:rPr>
                <w:noProof w:val="0"/>
                <w:lang w:val="en-GB"/>
              </w:rPr>
              <w:t>.</w:t>
            </w:r>
            <w:r w:rsidRPr="00407A30">
              <w:rPr>
                <w:noProof w:val="0"/>
                <w:lang w:val="en-GB"/>
              </w:rPr>
              <w:t>3</w:t>
            </w:r>
          </w:p>
        </w:tc>
        <w:tc>
          <w:tcPr>
            <w:tcW w:w="1503" w:type="dxa"/>
            <w:tcBorders>
              <w:top w:val="single" w:sz="4" w:space="0" w:color="001D77"/>
            </w:tcBorders>
            <w:vAlign w:val="bottom"/>
          </w:tcPr>
          <w:p w14:paraId="59E43364" w14:textId="04ADFE7C" w:rsidR="001038E8" w:rsidRPr="00407A30" w:rsidRDefault="001038E8" w:rsidP="00FB5641">
            <w:pPr>
              <w:pStyle w:val="Tablicanotka"/>
              <w:spacing w:line="288" w:lineRule="auto"/>
              <w:ind w:right="57"/>
              <w:jc w:val="right"/>
              <w:rPr>
                <w:noProof w:val="0"/>
                <w:lang w:val="en-GB"/>
              </w:rPr>
            </w:pPr>
            <w:r w:rsidRPr="00407A30">
              <w:rPr>
                <w:noProof w:val="0"/>
                <w:lang w:val="en-GB"/>
              </w:rPr>
              <w:t>3 641</w:t>
            </w:r>
            <w:r w:rsidR="008146FC" w:rsidRPr="00407A30">
              <w:rPr>
                <w:noProof w:val="0"/>
                <w:lang w:val="en-GB"/>
              </w:rPr>
              <w:t>.</w:t>
            </w:r>
            <w:r w:rsidRPr="00407A30">
              <w:rPr>
                <w:noProof w:val="0"/>
                <w:lang w:val="en-GB"/>
              </w:rPr>
              <w:t>2</w:t>
            </w:r>
          </w:p>
        </w:tc>
        <w:tc>
          <w:tcPr>
            <w:tcW w:w="850" w:type="dxa"/>
            <w:tcBorders>
              <w:top w:val="single" w:sz="4" w:space="0" w:color="001D77"/>
            </w:tcBorders>
            <w:vAlign w:val="bottom"/>
          </w:tcPr>
          <w:p w14:paraId="22946809" w14:textId="3E86EE62" w:rsidR="001038E8" w:rsidRPr="00407A30" w:rsidRDefault="001038E8" w:rsidP="00FB5641">
            <w:pPr>
              <w:pStyle w:val="Tablicanotka"/>
              <w:spacing w:line="288" w:lineRule="auto"/>
              <w:ind w:right="57"/>
              <w:jc w:val="right"/>
              <w:rPr>
                <w:noProof w:val="0"/>
                <w:lang w:val="en-GB"/>
              </w:rPr>
            </w:pPr>
            <w:r w:rsidRPr="00407A30">
              <w:rPr>
                <w:noProof w:val="0"/>
                <w:lang w:val="en-GB"/>
              </w:rPr>
              <w:t>193</w:t>
            </w:r>
            <w:r w:rsidR="008146FC" w:rsidRPr="00407A30">
              <w:rPr>
                <w:noProof w:val="0"/>
                <w:lang w:val="en-GB"/>
              </w:rPr>
              <w:t>.</w:t>
            </w:r>
            <w:r w:rsidRPr="00407A30">
              <w:rPr>
                <w:noProof w:val="0"/>
                <w:lang w:val="en-GB"/>
              </w:rPr>
              <w:t>3</w:t>
            </w:r>
          </w:p>
        </w:tc>
        <w:tc>
          <w:tcPr>
            <w:tcW w:w="1134" w:type="dxa"/>
            <w:tcBorders>
              <w:top w:val="single" w:sz="4" w:space="0" w:color="001D77"/>
            </w:tcBorders>
            <w:vAlign w:val="bottom"/>
          </w:tcPr>
          <w:p w14:paraId="3267D98B" w14:textId="54548A1D" w:rsidR="001038E8" w:rsidRPr="00407A30" w:rsidRDefault="001038E8" w:rsidP="00FB5641">
            <w:pPr>
              <w:pStyle w:val="Tablicanotka"/>
              <w:spacing w:line="288" w:lineRule="auto"/>
              <w:ind w:right="57"/>
              <w:jc w:val="right"/>
              <w:rPr>
                <w:noProof w:val="0"/>
                <w:lang w:val="en-GB"/>
              </w:rPr>
            </w:pPr>
            <w:r w:rsidRPr="00407A30">
              <w:rPr>
                <w:noProof w:val="0"/>
                <w:lang w:val="en-GB"/>
              </w:rPr>
              <w:t>6</w:t>
            </w:r>
            <w:r w:rsidR="008146FC" w:rsidRPr="00407A30">
              <w:rPr>
                <w:noProof w:val="0"/>
                <w:lang w:val="en-GB"/>
              </w:rPr>
              <w:t>.</w:t>
            </w:r>
            <w:r w:rsidRPr="00407A30">
              <w:rPr>
                <w:noProof w:val="0"/>
                <w:lang w:val="en-GB"/>
              </w:rPr>
              <w:t>28</w:t>
            </w:r>
          </w:p>
        </w:tc>
        <w:tc>
          <w:tcPr>
            <w:tcW w:w="1108" w:type="dxa"/>
            <w:tcBorders>
              <w:top w:val="single" w:sz="4" w:space="0" w:color="001D77"/>
            </w:tcBorders>
            <w:vAlign w:val="bottom"/>
          </w:tcPr>
          <w:p w14:paraId="55116CC8" w14:textId="182A88F5" w:rsidR="001038E8" w:rsidRPr="00407A30" w:rsidRDefault="001038E8" w:rsidP="00FB5641">
            <w:pPr>
              <w:pStyle w:val="Tablicanotka"/>
              <w:spacing w:line="288" w:lineRule="auto"/>
              <w:ind w:right="57"/>
              <w:jc w:val="right"/>
              <w:rPr>
                <w:noProof w:val="0"/>
                <w:lang w:val="en-GB"/>
              </w:rPr>
            </w:pPr>
            <w:r w:rsidRPr="00407A30">
              <w:rPr>
                <w:noProof w:val="0"/>
                <w:lang w:val="en-GB"/>
              </w:rPr>
              <w:t>210</w:t>
            </w:r>
            <w:r w:rsidR="008146FC" w:rsidRPr="00407A30">
              <w:rPr>
                <w:noProof w:val="0"/>
                <w:lang w:val="en-GB"/>
              </w:rPr>
              <w:t>.</w:t>
            </w:r>
            <w:r w:rsidRPr="00407A30">
              <w:rPr>
                <w:noProof w:val="0"/>
                <w:lang w:val="en-GB"/>
              </w:rPr>
              <w:t>6</w:t>
            </w:r>
          </w:p>
        </w:tc>
        <w:tc>
          <w:tcPr>
            <w:tcW w:w="851" w:type="dxa"/>
            <w:tcBorders>
              <w:top w:val="single" w:sz="4" w:space="0" w:color="001D77"/>
            </w:tcBorders>
            <w:vAlign w:val="bottom"/>
          </w:tcPr>
          <w:p w14:paraId="188712D8" w14:textId="2C3C2C18" w:rsidR="001038E8" w:rsidRPr="00407A30" w:rsidRDefault="001038E8" w:rsidP="00FB5641">
            <w:pPr>
              <w:pStyle w:val="Tablicanotka"/>
              <w:spacing w:line="288" w:lineRule="auto"/>
              <w:ind w:right="57"/>
              <w:jc w:val="right"/>
              <w:rPr>
                <w:noProof w:val="0"/>
                <w:lang w:val="en-GB"/>
              </w:rPr>
            </w:pPr>
            <w:r w:rsidRPr="00407A30">
              <w:rPr>
                <w:noProof w:val="0"/>
                <w:lang w:val="en-GB"/>
              </w:rPr>
              <w:t>6</w:t>
            </w:r>
            <w:r w:rsidR="008146FC" w:rsidRPr="00407A30">
              <w:rPr>
                <w:noProof w:val="0"/>
                <w:lang w:val="en-GB"/>
              </w:rPr>
              <w:t>.</w:t>
            </w:r>
            <w:r w:rsidRPr="00407A30">
              <w:rPr>
                <w:noProof w:val="0"/>
                <w:lang w:val="en-GB"/>
              </w:rPr>
              <w:t>84</w:t>
            </w:r>
          </w:p>
        </w:tc>
        <w:tc>
          <w:tcPr>
            <w:tcW w:w="851" w:type="dxa"/>
            <w:tcBorders>
              <w:top w:val="single" w:sz="4" w:space="0" w:color="001D77"/>
            </w:tcBorders>
            <w:vAlign w:val="bottom"/>
          </w:tcPr>
          <w:p w14:paraId="10EAA850" w14:textId="5BE7BF73" w:rsidR="001038E8" w:rsidRPr="00407A30" w:rsidRDefault="001038E8" w:rsidP="00FB5641">
            <w:pPr>
              <w:pStyle w:val="Tablicanotka"/>
              <w:spacing w:line="288" w:lineRule="auto"/>
              <w:ind w:right="57"/>
              <w:jc w:val="right"/>
              <w:rPr>
                <w:noProof w:val="0"/>
                <w:lang w:val="en-GB"/>
              </w:rPr>
            </w:pPr>
            <w:r w:rsidRPr="00407A30">
              <w:rPr>
                <w:noProof w:val="0"/>
                <w:lang w:val="en-GB"/>
              </w:rPr>
              <w:t>5</w:t>
            </w:r>
            <w:r w:rsidR="008146FC" w:rsidRPr="00407A30">
              <w:rPr>
                <w:noProof w:val="0"/>
                <w:lang w:val="en-GB"/>
              </w:rPr>
              <w:t>.</w:t>
            </w:r>
            <w:r w:rsidRPr="00407A30">
              <w:rPr>
                <w:noProof w:val="0"/>
                <w:lang w:val="en-GB"/>
              </w:rPr>
              <w:t>79</w:t>
            </w:r>
          </w:p>
        </w:tc>
      </w:tr>
      <w:tr w:rsidR="001038E8" w:rsidRPr="00407A30" w14:paraId="1C27582C" w14:textId="77777777" w:rsidTr="00FB5641">
        <w:tc>
          <w:tcPr>
            <w:tcW w:w="567" w:type="dxa"/>
            <w:tcBorders>
              <w:top w:val="single" w:sz="4" w:space="0" w:color="001D77"/>
            </w:tcBorders>
          </w:tcPr>
          <w:p w14:paraId="7A1AE7D6" w14:textId="77777777" w:rsidR="001038E8" w:rsidRPr="00407A30" w:rsidRDefault="001038E8" w:rsidP="00FB5641">
            <w:pPr>
              <w:pStyle w:val="Tablicanotka"/>
              <w:spacing w:line="288" w:lineRule="auto"/>
              <w:ind w:left="57"/>
              <w:rPr>
                <w:noProof w:val="0"/>
                <w:lang w:val="en-GB"/>
              </w:rPr>
            </w:pPr>
            <w:r w:rsidRPr="00407A30">
              <w:rPr>
                <w:noProof w:val="0"/>
                <w:lang w:val="en-GB"/>
              </w:rPr>
              <w:t>2025</w:t>
            </w:r>
          </w:p>
        </w:tc>
        <w:tc>
          <w:tcPr>
            <w:tcW w:w="1191" w:type="dxa"/>
            <w:tcBorders>
              <w:top w:val="single" w:sz="4" w:space="0" w:color="001D77"/>
            </w:tcBorders>
            <w:vAlign w:val="bottom"/>
          </w:tcPr>
          <w:p w14:paraId="753D08C8" w14:textId="2F084CFC" w:rsidR="001038E8" w:rsidRPr="00407A30" w:rsidRDefault="001038E8" w:rsidP="00FB5641">
            <w:pPr>
              <w:pStyle w:val="Tablicanotka"/>
              <w:spacing w:line="288" w:lineRule="auto"/>
              <w:ind w:right="57"/>
              <w:jc w:val="right"/>
              <w:rPr>
                <w:noProof w:val="0"/>
                <w:lang w:val="en-GB"/>
              </w:rPr>
            </w:pPr>
            <w:r w:rsidRPr="00407A30">
              <w:rPr>
                <w:noProof w:val="0"/>
                <w:lang w:val="en-GB"/>
              </w:rPr>
              <w:t>3 410</w:t>
            </w:r>
            <w:r w:rsidR="008146FC" w:rsidRPr="00407A30">
              <w:rPr>
                <w:noProof w:val="0"/>
                <w:lang w:val="en-GB"/>
              </w:rPr>
              <w:t>.</w:t>
            </w:r>
            <w:r w:rsidRPr="00407A30">
              <w:rPr>
                <w:noProof w:val="0"/>
                <w:lang w:val="en-GB"/>
              </w:rPr>
              <w:t>1</w:t>
            </w:r>
          </w:p>
        </w:tc>
        <w:tc>
          <w:tcPr>
            <w:tcW w:w="1503" w:type="dxa"/>
            <w:tcBorders>
              <w:top w:val="single" w:sz="4" w:space="0" w:color="001D77"/>
            </w:tcBorders>
            <w:vAlign w:val="bottom"/>
          </w:tcPr>
          <w:p w14:paraId="4186CD3A" w14:textId="3F2D7681" w:rsidR="001038E8" w:rsidRPr="00407A30" w:rsidRDefault="001038E8" w:rsidP="00FB5641">
            <w:pPr>
              <w:pStyle w:val="Tablicanotka"/>
              <w:spacing w:line="288" w:lineRule="auto"/>
              <w:ind w:right="57"/>
              <w:jc w:val="right"/>
              <w:rPr>
                <w:noProof w:val="0"/>
                <w:lang w:val="en-GB"/>
              </w:rPr>
            </w:pPr>
            <w:r w:rsidRPr="00407A30">
              <w:rPr>
                <w:noProof w:val="0"/>
                <w:lang w:val="en-GB"/>
              </w:rPr>
              <w:t>3 912</w:t>
            </w:r>
            <w:r w:rsidR="008146FC" w:rsidRPr="00407A30">
              <w:rPr>
                <w:noProof w:val="0"/>
                <w:lang w:val="en-GB"/>
              </w:rPr>
              <w:t>.</w:t>
            </w:r>
            <w:r w:rsidRPr="00407A30">
              <w:rPr>
                <w:noProof w:val="0"/>
                <w:lang w:val="en-GB"/>
              </w:rPr>
              <w:t>7</w:t>
            </w:r>
          </w:p>
        </w:tc>
        <w:tc>
          <w:tcPr>
            <w:tcW w:w="850" w:type="dxa"/>
            <w:tcBorders>
              <w:top w:val="single" w:sz="4" w:space="0" w:color="001D77"/>
            </w:tcBorders>
            <w:vAlign w:val="bottom"/>
          </w:tcPr>
          <w:p w14:paraId="6B7C0B8D" w14:textId="6E79C9B8" w:rsidR="001038E8" w:rsidRPr="00407A30" w:rsidRDefault="001038E8" w:rsidP="00FB5641">
            <w:pPr>
              <w:pStyle w:val="Tablicanotka"/>
              <w:spacing w:line="288" w:lineRule="auto"/>
              <w:ind w:right="57"/>
              <w:jc w:val="right"/>
              <w:rPr>
                <w:noProof w:val="0"/>
                <w:lang w:val="en-GB"/>
              </w:rPr>
            </w:pPr>
            <w:r w:rsidRPr="00407A30">
              <w:rPr>
                <w:noProof w:val="0"/>
                <w:lang w:val="en-GB"/>
              </w:rPr>
              <w:t>222</w:t>
            </w:r>
            <w:r w:rsidR="008146FC" w:rsidRPr="00407A30">
              <w:rPr>
                <w:noProof w:val="0"/>
                <w:lang w:val="en-GB"/>
              </w:rPr>
              <w:t>.</w:t>
            </w:r>
            <w:r w:rsidRPr="00407A30">
              <w:rPr>
                <w:noProof w:val="0"/>
                <w:lang w:val="en-GB"/>
              </w:rPr>
              <w:t>3</w:t>
            </w:r>
          </w:p>
        </w:tc>
        <w:tc>
          <w:tcPr>
            <w:tcW w:w="1134" w:type="dxa"/>
            <w:tcBorders>
              <w:top w:val="single" w:sz="4" w:space="0" w:color="001D77"/>
            </w:tcBorders>
            <w:vAlign w:val="bottom"/>
          </w:tcPr>
          <w:p w14:paraId="10D40621" w14:textId="1B5A24DA" w:rsidR="001038E8" w:rsidRPr="00407A30" w:rsidRDefault="001038E8" w:rsidP="00FB5641">
            <w:pPr>
              <w:pStyle w:val="Tablicanotka"/>
              <w:spacing w:line="288" w:lineRule="auto"/>
              <w:ind w:right="57"/>
              <w:jc w:val="right"/>
              <w:rPr>
                <w:noProof w:val="0"/>
                <w:lang w:val="en-GB"/>
              </w:rPr>
            </w:pPr>
            <w:r w:rsidRPr="00407A30">
              <w:rPr>
                <w:noProof w:val="0"/>
                <w:lang w:val="en-GB"/>
              </w:rPr>
              <w:t>6</w:t>
            </w:r>
            <w:r w:rsidR="008146FC" w:rsidRPr="00407A30">
              <w:rPr>
                <w:noProof w:val="0"/>
                <w:lang w:val="en-GB"/>
              </w:rPr>
              <w:t>.</w:t>
            </w:r>
            <w:r w:rsidRPr="00407A30">
              <w:rPr>
                <w:noProof w:val="0"/>
                <w:lang w:val="en-GB"/>
              </w:rPr>
              <w:t>52</w:t>
            </w:r>
          </w:p>
        </w:tc>
        <w:tc>
          <w:tcPr>
            <w:tcW w:w="1108" w:type="dxa"/>
            <w:tcBorders>
              <w:top w:val="single" w:sz="4" w:space="0" w:color="001D77"/>
            </w:tcBorders>
            <w:vAlign w:val="bottom"/>
          </w:tcPr>
          <w:p w14:paraId="30FBD4AA" w14:textId="1B54469D" w:rsidR="001038E8" w:rsidRPr="00407A30" w:rsidRDefault="001038E8" w:rsidP="00FB5641">
            <w:pPr>
              <w:pStyle w:val="Tablicanotka"/>
              <w:spacing w:line="288" w:lineRule="auto"/>
              <w:ind w:right="57"/>
              <w:jc w:val="right"/>
              <w:rPr>
                <w:noProof w:val="0"/>
                <w:lang w:val="en-GB"/>
              </w:rPr>
            </w:pPr>
            <w:r w:rsidRPr="00407A30">
              <w:rPr>
                <w:noProof w:val="0"/>
                <w:lang w:val="en-GB"/>
              </w:rPr>
              <w:t>232</w:t>
            </w:r>
            <w:r w:rsidR="008146FC" w:rsidRPr="00407A30">
              <w:rPr>
                <w:noProof w:val="0"/>
                <w:lang w:val="en-GB"/>
              </w:rPr>
              <w:t>.</w:t>
            </w:r>
            <w:r w:rsidRPr="00407A30">
              <w:rPr>
                <w:noProof w:val="0"/>
                <w:lang w:val="en-GB"/>
              </w:rPr>
              <w:t>2</w:t>
            </w:r>
          </w:p>
        </w:tc>
        <w:tc>
          <w:tcPr>
            <w:tcW w:w="851" w:type="dxa"/>
            <w:tcBorders>
              <w:top w:val="single" w:sz="4" w:space="0" w:color="001D77"/>
            </w:tcBorders>
            <w:vAlign w:val="bottom"/>
          </w:tcPr>
          <w:p w14:paraId="481A4BD5" w14:textId="3F5F7405" w:rsidR="001038E8" w:rsidRPr="00407A30" w:rsidRDefault="001038E8" w:rsidP="00FB5641">
            <w:pPr>
              <w:pStyle w:val="Tablicanotka"/>
              <w:spacing w:line="288" w:lineRule="auto"/>
              <w:ind w:right="57"/>
              <w:jc w:val="right"/>
              <w:rPr>
                <w:noProof w:val="0"/>
                <w:lang w:val="en-GB"/>
              </w:rPr>
            </w:pPr>
            <w:r w:rsidRPr="00407A30">
              <w:rPr>
                <w:noProof w:val="0"/>
                <w:lang w:val="en-GB"/>
              </w:rPr>
              <w:t>6</w:t>
            </w:r>
            <w:r w:rsidR="008146FC" w:rsidRPr="00407A30">
              <w:rPr>
                <w:noProof w:val="0"/>
                <w:lang w:val="en-GB"/>
              </w:rPr>
              <w:t>.</w:t>
            </w:r>
            <w:r w:rsidRPr="00407A30">
              <w:rPr>
                <w:noProof w:val="0"/>
                <w:lang w:val="en-GB"/>
              </w:rPr>
              <w:t>81</w:t>
            </w:r>
          </w:p>
        </w:tc>
        <w:tc>
          <w:tcPr>
            <w:tcW w:w="851" w:type="dxa"/>
            <w:tcBorders>
              <w:top w:val="single" w:sz="4" w:space="0" w:color="001D77"/>
            </w:tcBorders>
            <w:vAlign w:val="bottom"/>
          </w:tcPr>
          <w:p w14:paraId="33DC0E8F" w14:textId="3A3A6984" w:rsidR="001038E8" w:rsidRPr="00407A30" w:rsidRDefault="001038E8" w:rsidP="00FB5641">
            <w:pPr>
              <w:pStyle w:val="Tablicanotka"/>
              <w:spacing w:line="288" w:lineRule="auto"/>
              <w:ind w:right="57"/>
              <w:jc w:val="right"/>
              <w:rPr>
                <w:noProof w:val="0"/>
                <w:lang w:val="en-GB"/>
              </w:rPr>
            </w:pPr>
            <w:r w:rsidRPr="00407A30">
              <w:rPr>
                <w:noProof w:val="0"/>
                <w:lang w:val="en-GB"/>
              </w:rPr>
              <w:t>5</w:t>
            </w:r>
            <w:r w:rsidR="008146FC" w:rsidRPr="00407A30">
              <w:rPr>
                <w:noProof w:val="0"/>
                <w:lang w:val="en-GB"/>
              </w:rPr>
              <w:t>.</w:t>
            </w:r>
            <w:r w:rsidRPr="00407A30">
              <w:rPr>
                <w:noProof w:val="0"/>
                <w:lang w:val="en-GB"/>
              </w:rPr>
              <w:t>93</w:t>
            </w:r>
          </w:p>
        </w:tc>
      </w:tr>
    </w:tbl>
    <w:p w14:paraId="2C6E49C1" w14:textId="77777777" w:rsidR="001038E8" w:rsidRPr="00407A30" w:rsidRDefault="001038E8" w:rsidP="001038E8">
      <w:pPr>
        <w:spacing w:line="288" w:lineRule="auto"/>
        <w:contextualSpacing/>
        <w:rPr>
          <w:sz w:val="16"/>
          <w:szCs w:val="16"/>
          <w:vertAlign w:val="superscript"/>
          <w:lang w:val="en-GB"/>
        </w:rPr>
      </w:pPr>
    </w:p>
    <w:p w14:paraId="1E104CAE" w14:textId="604CCDF6" w:rsidR="001038E8" w:rsidRPr="00407A30" w:rsidRDefault="001038E8" w:rsidP="00B55151">
      <w:pPr>
        <w:pStyle w:val="Tablicanotka"/>
        <w:rPr>
          <w:noProof w:val="0"/>
          <w:lang w:val="en-GB"/>
        </w:rPr>
      </w:pPr>
      <w:proofErr w:type="spellStart"/>
      <w:r w:rsidRPr="00407A30">
        <w:rPr>
          <w:noProof w:val="0"/>
          <w:vertAlign w:val="superscript"/>
          <w:lang w:val="en-GB"/>
        </w:rPr>
        <w:t>a</w:t>
      </w:r>
      <w:proofErr w:type="spellEnd"/>
      <w:r w:rsidRPr="00407A30">
        <w:rPr>
          <w:noProof w:val="0"/>
          <w:lang w:val="en-GB"/>
        </w:rPr>
        <w:t xml:space="preserve"> </w:t>
      </w:r>
      <w:r w:rsidR="00552136" w:rsidRPr="00407A30">
        <w:rPr>
          <w:noProof w:val="0"/>
          <w:lang w:val="en-GB"/>
        </w:rPr>
        <w:t>T</w:t>
      </w:r>
      <w:r w:rsidRPr="00407A30">
        <w:rPr>
          <w:noProof w:val="0"/>
          <w:lang w:val="en-GB"/>
        </w:rPr>
        <w:t xml:space="preserve">he year covered by the health expenditure data (Plan and </w:t>
      </w:r>
      <w:bookmarkStart w:id="13" w:name="_Hlk236280521"/>
      <w:r w:rsidRPr="00407A30">
        <w:rPr>
          <w:noProof w:val="0"/>
          <w:lang w:val="en-GB"/>
        </w:rPr>
        <w:t>Implementation</w:t>
      </w:r>
      <w:bookmarkEnd w:id="13"/>
      <w:r w:rsidRPr="00407A30">
        <w:rPr>
          <w:noProof w:val="0"/>
          <w:lang w:val="en-GB"/>
        </w:rPr>
        <w:t>) is marked with letter N.</w:t>
      </w:r>
    </w:p>
    <w:p w14:paraId="725A6156" w14:textId="77777777" w:rsidR="001038E8" w:rsidRPr="00407A30" w:rsidRDefault="001038E8" w:rsidP="00B55151">
      <w:pPr>
        <w:pStyle w:val="Tablicanotka"/>
        <w:rPr>
          <w:noProof w:val="0"/>
          <w:lang w:val="en-GB"/>
        </w:rPr>
      </w:pPr>
      <w:r w:rsidRPr="00407A30">
        <w:rPr>
          <w:noProof w:val="0"/>
          <w:vertAlign w:val="superscript"/>
          <w:lang w:val="en-GB"/>
        </w:rPr>
        <w:t>b</w:t>
      </w:r>
      <w:r w:rsidRPr="00407A30">
        <w:rPr>
          <w:noProof w:val="0"/>
          <w:lang w:val="en-GB"/>
        </w:rPr>
        <w:t xml:space="preserve"> According to Art. 2 of the Publicly Funded Healthcare Benefits Act, for 2024 expenditure the reference point is the 2022 GDP and for 2025 the reference point is the 2023 GDP.</w:t>
      </w:r>
    </w:p>
    <w:p w14:paraId="10550DF1" w14:textId="09E2D0A1" w:rsidR="001038E8" w:rsidRPr="00BD215E" w:rsidRDefault="001038E8" w:rsidP="00B55151">
      <w:pPr>
        <w:pStyle w:val="Tablicanotka"/>
        <w:rPr>
          <w:noProof w:val="0"/>
          <w:lang w:val="en-GB"/>
        </w:rPr>
      </w:pPr>
      <w:r w:rsidRPr="00407A30">
        <w:rPr>
          <w:noProof w:val="0"/>
          <w:vertAlign w:val="superscript"/>
          <w:lang w:val="en-GB"/>
        </w:rPr>
        <w:t>c</w:t>
      </w:r>
      <w:r w:rsidRPr="00407A30">
        <w:rPr>
          <w:noProof w:val="0"/>
          <w:lang w:val="en-GB"/>
        </w:rPr>
        <w:t xml:space="preserve"> Source: Assumptions for the 2024 Budget Act – Ministry of Finance –  Gov.pl portal and Assumptions for the 2025 Budget Act –  Ministry of Finance –  Gov.pl </w:t>
      </w:r>
      <w:r w:rsidR="005F0842" w:rsidRPr="00407A30">
        <w:rPr>
          <w:noProof w:val="0"/>
          <w:lang w:val="en-GB"/>
        </w:rPr>
        <w:t>website</w:t>
      </w:r>
      <w:r w:rsidRPr="00407A30">
        <w:rPr>
          <w:noProof w:val="0"/>
          <w:lang w:val="en-GB"/>
        </w:rPr>
        <w:t>.</w:t>
      </w:r>
    </w:p>
    <w:p w14:paraId="2A048708" w14:textId="77777777" w:rsidR="001038E8" w:rsidRPr="00BD215E" w:rsidRDefault="001038E8" w:rsidP="001038E8">
      <w:pPr>
        <w:tabs>
          <w:tab w:val="left" w:pos="5812"/>
        </w:tabs>
        <w:autoSpaceDE w:val="0"/>
        <w:autoSpaceDN w:val="0"/>
        <w:spacing w:before="40" w:after="40" w:line="240" w:lineRule="auto"/>
        <w:rPr>
          <w:strike/>
          <w:sz w:val="16"/>
          <w:lang w:val="en-GB"/>
        </w:rPr>
      </w:pPr>
      <w:r w:rsidRPr="00BD215E">
        <w:rPr>
          <w:rStyle w:val="Hipercze"/>
          <w:rFonts w:cstheme="minorBidi"/>
          <w:color w:val="auto"/>
          <w:sz w:val="16"/>
          <w:szCs w:val="16"/>
          <w:lang w:val="en-GB"/>
        </w:rPr>
        <w:t xml:space="preserve"> </w:t>
      </w:r>
    </w:p>
    <w:p w14:paraId="0ABD0564" w14:textId="77777777" w:rsidR="001038E8" w:rsidRPr="00BD215E" w:rsidRDefault="001038E8" w:rsidP="00A263E7">
      <w:pPr>
        <w:pStyle w:val="P68B1DB1-Normalny5"/>
        <w:keepNext/>
        <w:shd w:val="clear" w:color="auto" w:fill="FFFFFF" w:themeFill="background1"/>
        <w:suppressAutoHyphens/>
        <w:spacing w:before="360" w:after="240" w:line="288" w:lineRule="auto"/>
        <w:rPr>
          <w:bCs/>
          <w:lang w:val="en-GB"/>
        </w:rPr>
      </w:pPr>
      <w:r w:rsidRPr="00BD215E">
        <w:rPr>
          <w:lang w:val="en-GB"/>
        </w:rPr>
        <w:lastRenderedPageBreak/>
        <w:t xml:space="preserve">Public expenditure on health care by categories specified in the Act </w:t>
      </w:r>
    </w:p>
    <w:p w14:paraId="10848BBF" w14:textId="44D5DB0C" w:rsidR="001038E8" w:rsidRPr="00BD215E" w:rsidRDefault="001038E8" w:rsidP="00A263E7">
      <w:pPr>
        <w:spacing w:line="288" w:lineRule="auto"/>
        <w:rPr>
          <w:lang w:val="en-GB"/>
        </w:rPr>
      </w:pPr>
      <w:r w:rsidRPr="00BD215E">
        <w:rPr>
          <w:lang w:val="en-GB"/>
        </w:rPr>
        <w:t xml:space="preserve">The structure of expenditure on health care by categories resulting from the Act on health care services financed from public funds shows that the largest share was accounted for by the costs of the National Health Fund (77.1%), while the second largest share was accounted for by budget expenditures financed from the part managed by the minister competent for health (19.9%). Compared to 2024, it can be seen that the share of </w:t>
      </w:r>
      <w:r w:rsidR="00A05330">
        <w:rPr>
          <w:lang w:val="en-GB"/>
        </w:rPr>
        <w:t>NHF</w:t>
      </w:r>
      <w:r w:rsidRPr="00BD215E">
        <w:rPr>
          <w:lang w:val="en-GB"/>
        </w:rPr>
        <w:t xml:space="preserve"> costs decreased by </w:t>
      </w:r>
      <w:r w:rsidR="00A05330">
        <w:rPr>
          <w:lang w:val="en-GB"/>
        </w:rPr>
        <w:br/>
      </w:r>
      <w:r w:rsidRPr="00BD215E">
        <w:rPr>
          <w:lang w:val="en-GB"/>
        </w:rPr>
        <w:t>5.5 percentage points and was replaced by an increased share of budget funds at the disposal of the Minister of Health (an increase of 5.7 percentage points).</w:t>
      </w:r>
    </w:p>
    <w:p w14:paraId="77B03D96" w14:textId="0FD83806" w:rsidR="00C1466E" w:rsidRPr="00BD215E" w:rsidRDefault="001038E8" w:rsidP="00A263E7">
      <w:pPr>
        <w:autoSpaceDE w:val="0"/>
        <w:autoSpaceDN w:val="0"/>
        <w:spacing w:before="360" w:after="240" w:line="240" w:lineRule="auto"/>
        <w:ind w:left="709" w:hanging="709"/>
        <w:rPr>
          <w:rFonts w:ascii="Calibri" w:hAnsi="Calibri"/>
          <w:sz w:val="22"/>
          <w:lang w:val="en-GB"/>
        </w:rPr>
      </w:pPr>
      <w:r w:rsidRPr="00BD215E">
        <w:rPr>
          <w:noProof/>
          <w:lang w:val="en-GB"/>
        </w:rPr>
        <mc:AlternateContent>
          <mc:Choice Requires="wps">
            <w:drawing>
              <wp:anchor distT="45720" distB="45720" distL="114300" distR="114300" simplePos="0" relativeHeight="251778048" behindDoc="0" locked="0" layoutInCell="1" allowOverlap="1" wp14:anchorId="3563769E" wp14:editId="293E9AAA">
                <wp:simplePos x="0" y="0"/>
                <wp:positionH relativeFrom="column">
                  <wp:posOffset>5252720</wp:posOffset>
                </wp:positionH>
                <wp:positionV relativeFrom="paragraph">
                  <wp:posOffset>76005</wp:posOffset>
                </wp:positionV>
                <wp:extent cx="1833880" cy="2341880"/>
                <wp:effectExtent l="0" t="0" r="0" b="1270"/>
                <wp:wrapSquare wrapText="bothSides"/>
                <wp:docPr id="217" name="Text field 2" descr="In 2025, the implementation of budget expenditure fi-nanced from the part man-aged by the minister respon-sible for health was PLN 16.3 billion (54.6%) higher than in 2024, &#10;and their share in the total expenditures specified in the Act on health care ser-vices financed from public funds increased from 14.2% to 19.9%.&#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33880" cy="2341880"/>
                        </a:xfrm>
                        <a:prstGeom prst="rect">
                          <a:avLst/>
                        </a:prstGeom>
                        <a:noFill/>
                        <a:ln w="9525">
                          <a:noFill/>
                          <a:miter lim="800000"/>
                          <a:headEnd/>
                          <a:tailEnd/>
                        </a:ln>
                      </wps:spPr>
                      <wps:txbx>
                        <w:txbxContent>
                          <w:p w14:paraId="7A1AB9D2" w14:textId="77777777" w:rsidR="0001348A" w:rsidRDefault="0001348A" w:rsidP="001038E8">
                            <w:pPr>
                              <w:pStyle w:val="P68B1DB1-Normalny22"/>
                              <w:rPr>
                                <w:bCs/>
                              </w:rPr>
                            </w:pPr>
                            <w:r>
                              <w:t xml:space="preserve">In 2025, the implementation of budget expenditure financed from the part managed by the minister responsible for health was PLN 16.3 billion (54.6%) higher than in 2024, </w:t>
                            </w:r>
                            <w:r>
                              <w:br/>
                              <w:t>and their share in the total expenditures specified in the Act on health care services financed from public funds increased from 14.2% to 19.9%.</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563769E" id="_x0000_s1034" type="#_x0000_t202" alt="In 2025, the implementation of budget expenditure fi-nanced from the part man-aged by the minister respon-sible for health was PLN 16.3 billion (54.6%) higher than in 2024, &#10;and their share in the total expenditures specified in the Act on health care ser-vices financed from public funds increased from 14.2% to 19.9%.&#10;" style="position:absolute;left:0;text-align:left;margin-left:413.6pt;margin-top:6pt;width:144.4pt;height:184.4pt;z-index:2517780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" filled="f" stroked="f">
                <v:textbox>
                  <w:txbxContent>
                    <w:p w14:paraId="7A1AB9D2" w14:textId="77777777" w:rsidR="0001348A" w:rsidRDefault="0001348A" w:rsidP="001038E8">
                      <w:pPr>
                        <w:pStyle w:val="P68B1DB1-Normalny22"/>
                        <w:rPr>
                          <w:bCs/>
                        </w:rPr>
                      </w:pPr>
                      <w:r>
                        <w:t xml:space="preserve">In 2025, the implementation of budget expenditure financed from the part managed by the minister responsible for health was PLN 16.3 billion (54.6%) higher than in 2024, </w:t>
                      </w:r>
                      <w:r>
                        <w:br/>
                        <w:t>and their share in the total expenditures specified in the Act on health care services financed from public funds increased from 14.2% to 19.9%.</w:t>
                      </w:r>
                    </w:p>
                  </w:txbxContent>
                </v:textbox>
                <w10:wrap type="square"/>
              </v:shape>
            </w:pict>
          </mc:Fallback>
        </mc:AlternateContent>
      </w:r>
      <w:r w:rsidRPr="00BD215E">
        <w:rPr>
          <w:b/>
          <w:lang w:val="en-GB"/>
        </w:rPr>
        <w:t>Tab</w:t>
      </w:r>
      <w:r w:rsidRPr="00BD215E">
        <w:rPr>
          <w:b/>
          <w:szCs w:val="19"/>
          <w:lang w:val="en-GB"/>
        </w:rPr>
        <w:t xml:space="preserve">le 3. </w:t>
      </w:r>
      <w:r w:rsidR="00C1466E" w:rsidRPr="00BD215E">
        <w:rPr>
          <w:rFonts w:cs="Segoe UI"/>
          <w:b/>
          <w:color w:val="000000"/>
          <w:szCs w:val="19"/>
          <w:lang w:val="en-GB"/>
        </w:rPr>
        <w:t xml:space="preserve">Structure of expenditures on health </w:t>
      </w:r>
      <w:r w:rsidR="003028F6" w:rsidRPr="00BD215E">
        <w:rPr>
          <w:rFonts w:cs="Segoe UI"/>
          <w:b/>
          <w:color w:val="000000"/>
          <w:szCs w:val="19"/>
          <w:lang w:val="en-GB"/>
        </w:rPr>
        <w:t>care</w:t>
      </w:r>
      <w:r w:rsidR="00C1466E" w:rsidRPr="00BD215E">
        <w:rPr>
          <w:rFonts w:cs="Segoe UI"/>
          <w:b/>
          <w:color w:val="000000"/>
          <w:szCs w:val="19"/>
          <w:lang w:val="en-GB"/>
        </w:rPr>
        <w:t xml:space="preserve"> by categories resulting from the Act</w:t>
      </w:r>
      <w:r w:rsidR="00C1466E" w:rsidRPr="00BD215E">
        <w:rPr>
          <w:rFonts w:ascii="Segoe UI" w:hAnsi="Segoe UI" w:cs="Segoe UI"/>
          <w:color w:val="000000"/>
          <w:sz w:val="20"/>
          <w:szCs w:val="20"/>
          <w:lang w:val="en-GB"/>
        </w:rPr>
        <w:t xml:space="preserve"> </w:t>
      </w:r>
    </w:p>
    <w:tbl>
      <w:tblPr>
        <w:tblStyle w:val="Tabela-Siatka21"/>
        <w:tblW w:w="8320" w:type="dxa"/>
        <w:tblInd w:w="-284" w:type="dxa"/>
        <w:tblBorders>
          <w:top w:val="none" w:sz="0" w:space="0" w:color="auto"/>
          <w:left w:val="none" w:sz="0" w:space="0" w:color="auto"/>
          <w:bottom w:val="none" w:sz="0" w:space="0" w:color="auto"/>
          <w:right w:val="none" w:sz="0" w:space="0" w:color="auto"/>
          <w:insideH w:val="single" w:sz="4" w:space="0" w:color="001D77"/>
          <w:insideV w:val="single" w:sz="4" w:space="0" w:color="001D77"/>
        </w:tblBorders>
        <w:tblLayout w:type="fixed"/>
        <w:tblCellMar>
          <w:left w:w="0" w:type="dxa"/>
          <w:right w:w="0" w:type="dxa"/>
        </w:tblCellMar>
        <w:tblLook w:val="04A0" w:firstRow="1" w:lastRow="0" w:firstColumn="1" w:lastColumn="0" w:noHBand="0" w:noVBand="1"/>
        <w:tblDescription w:val="Table 3. Structure of expenditures on health protection by categories resulting &#10;from the Act &#10;"/>
      </w:tblPr>
      <w:tblGrid>
        <w:gridCol w:w="284"/>
        <w:gridCol w:w="3402"/>
        <w:gridCol w:w="709"/>
        <w:gridCol w:w="709"/>
        <w:gridCol w:w="850"/>
        <w:gridCol w:w="709"/>
        <w:gridCol w:w="709"/>
        <w:gridCol w:w="849"/>
        <w:gridCol w:w="99"/>
      </w:tblGrid>
      <w:tr w:rsidR="001038E8" w:rsidRPr="00BD215E" w14:paraId="1C6ACF11" w14:textId="77777777" w:rsidTr="00FB5641">
        <w:trPr>
          <w:gridAfter w:val="1"/>
          <w:wAfter w:w="99" w:type="dxa"/>
          <w:trHeight w:val="290"/>
        </w:trPr>
        <w:tc>
          <w:tcPr>
            <w:tcW w:w="284" w:type="dxa"/>
            <w:vMerge w:val="restart"/>
            <w:tcBorders>
              <w:right w:val="single" w:sz="12" w:space="0" w:color="001D77"/>
            </w:tcBorders>
            <w:vAlign w:val="center"/>
          </w:tcPr>
          <w:p w14:paraId="2E864208" w14:textId="1DDEBF28" w:rsidR="001038E8" w:rsidRPr="00BD215E" w:rsidRDefault="00BC64AE" w:rsidP="00FB5641">
            <w:pPr>
              <w:pStyle w:val="Tablicanotka"/>
              <w:spacing w:before="100" w:beforeAutospacing="1" w:after="100" w:afterAutospacing="1" w:line="240" w:lineRule="auto"/>
              <w:jc w:val="center"/>
              <w:rPr>
                <w:noProof w:val="0"/>
                <w:lang w:val="en-GB"/>
              </w:rPr>
            </w:pPr>
            <w:r w:rsidRPr="00BD215E">
              <w:rPr>
                <w:noProof w:val="0"/>
                <w:lang w:val="en-GB"/>
              </w:rPr>
              <w:t>No</w:t>
            </w:r>
            <w:r w:rsidR="001038E8" w:rsidRPr="00BD215E">
              <w:rPr>
                <w:noProof w:val="0"/>
                <w:lang w:val="en-GB"/>
              </w:rPr>
              <w:t>.</w:t>
            </w:r>
          </w:p>
        </w:tc>
        <w:tc>
          <w:tcPr>
            <w:tcW w:w="3402" w:type="dxa"/>
            <w:vMerge w:val="restart"/>
            <w:tcBorders>
              <w:top w:val="nil"/>
              <w:left w:val="single" w:sz="12" w:space="0" w:color="001D77"/>
              <w:bottom w:val="single" w:sz="12" w:space="0" w:color="001D77"/>
              <w:right w:val="single" w:sz="12" w:space="0" w:color="001D77"/>
            </w:tcBorders>
            <w:vAlign w:val="center"/>
          </w:tcPr>
          <w:p w14:paraId="6F9FF2BD" w14:textId="5334B963" w:rsidR="001038E8" w:rsidRPr="00407A30" w:rsidRDefault="007F4523" w:rsidP="00FB5641">
            <w:pPr>
              <w:pStyle w:val="Tablicanotka"/>
              <w:spacing w:before="100" w:beforeAutospacing="1" w:after="100" w:afterAutospacing="1" w:line="240" w:lineRule="auto"/>
              <w:jc w:val="center"/>
              <w:rPr>
                <w:noProof w:val="0"/>
                <w:lang w:val="en-GB"/>
              </w:rPr>
            </w:pPr>
            <w:r w:rsidRPr="00407A30">
              <w:rPr>
                <w:noProof w:val="0"/>
                <w:lang w:val="en-GB"/>
              </w:rPr>
              <w:t xml:space="preserve">Categories according to the Act on </w:t>
            </w:r>
            <w:r w:rsidR="003F7AC2" w:rsidRPr="00407A30">
              <w:rPr>
                <w:noProof w:val="0"/>
                <w:lang w:val="en-GB"/>
              </w:rPr>
              <w:t>h</w:t>
            </w:r>
            <w:r w:rsidRPr="00407A30">
              <w:rPr>
                <w:noProof w:val="0"/>
                <w:lang w:val="en-GB"/>
              </w:rPr>
              <w:t xml:space="preserve">ealth </w:t>
            </w:r>
            <w:r w:rsidR="003F7AC2" w:rsidRPr="00407A30">
              <w:rPr>
                <w:noProof w:val="0"/>
                <w:lang w:val="en-GB"/>
              </w:rPr>
              <w:t>c</w:t>
            </w:r>
            <w:r w:rsidRPr="00407A30">
              <w:rPr>
                <w:noProof w:val="0"/>
                <w:lang w:val="en-GB"/>
              </w:rPr>
              <w:t xml:space="preserve">are </w:t>
            </w:r>
            <w:r w:rsidR="003F7AC2" w:rsidRPr="00407A30">
              <w:rPr>
                <w:noProof w:val="0"/>
                <w:lang w:val="en-GB"/>
              </w:rPr>
              <w:t>s</w:t>
            </w:r>
            <w:r w:rsidRPr="00407A30">
              <w:rPr>
                <w:noProof w:val="0"/>
                <w:lang w:val="en-GB"/>
              </w:rPr>
              <w:t xml:space="preserve">ervices </w:t>
            </w:r>
            <w:r w:rsidR="003F7AC2" w:rsidRPr="00407A30">
              <w:rPr>
                <w:noProof w:val="0"/>
                <w:lang w:val="en-GB"/>
              </w:rPr>
              <w:t>f</w:t>
            </w:r>
            <w:r w:rsidRPr="00407A30">
              <w:rPr>
                <w:noProof w:val="0"/>
                <w:lang w:val="en-GB"/>
              </w:rPr>
              <w:t xml:space="preserve">inanced from </w:t>
            </w:r>
            <w:r w:rsidR="003F7AC2" w:rsidRPr="00407A30">
              <w:rPr>
                <w:noProof w:val="0"/>
                <w:lang w:val="en-GB"/>
              </w:rPr>
              <w:t>p</w:t>
            </w:r>
            <w:r w:rsidRPr="00407A30">
              <w:rPr>
                <w:noProof w:val="0"/>
                <w:lang w:val="en-GB"/>
              </w:rPr>
              <w:t xml:space="preserve">ublic </w:t>
            </w:r>
            <w:r w:rsidR="003F7AC2" w:rsidRPr="00407A30">
              <w:rPr>
                <w:noProof w:val="0"/>
                <w:lang w:val="en-GB"/>
              </w:rPr>
              <w:t>f</w:t>
            </w:r>
            <w:r w:rsidRPr="00407A30">
              <w:rPr>
                <w:noProof w:val="0"/>
                <w:lang w:val="en-GB"/>
              </w:rPr>
              <w:t>unds</w:t>
            </w:r>
          </w:p>
        </w:tc>
        <w:tc>
          <w:tcPr>
            <w:tcW w:w="2268" w:type="dxa"/>
            <w:gridSpan w:val="3"/>
            <w:tcBorders>
              <w:left w:val="single" w:sz="12" w:space="0" w:color="001D77"/>
              <w:bottom w:val="single" w:sz="4" w:space="0" w:color="001D77"/>
              <w:right w:val="single" w:sz="12" w:space="0" w:color="001D77"/>
            </w:tcBorders>
          </w:tcPr>
          <w:p w14:paraId="66302196" w14:textId="77777777" w:rsidR="001038E8" w:rsidRPr="00407A30" w:rsidRDefault="001038E8" w:rsidP="00FB5641">
            <w:pPr>
              <w:spacing w:before="100" w:beforeAutospacing="1" w:after="100" w:afterAutospacing="1" w:line="240" w:lineRule="auto"/>
              <w:jc w:val="center"/>
              <w:rPr>
                <w:sz w:val="16"/>
                <w:szCs w:val="16"/>
                <w:lang w:val="en-GB"/>
              </w:rPr>
            </w:pPr>
            <w:r w:rsidRPr="00407A30">
              <w:rPr>
                <w:sz w:val="16"/>
                <w:szCs w:val="16"/>
                <w:lang w:val="en-GB"/>
              </w:rPr>
              <w:t>2024</w:t>
            </w:r>
            <w:r w:rsidRPr="00407A30">
              <w:rPr>
                <w:rStyle w:val="Odwoanieprzypisudolnego"/>
                <w:sz w:val="16"/>
                <w:szCs w:val="16"/>
                <w:lang w:val="en-GB"/>
              </w:rPr>
              <w:footnoteReference w:id="12"/>
            </w:r>
          </w:p>
        </w:tc>
        <w:tc>
          <w:tcPr>
            <w:tcW w:w="2267" w:type="dxa"/>
            <w:gridSpan w:val="3"/>
            <w:tcBorders>
              <w:top w:val="nil"/>
              <w:left w:val="single" w:sz="12" w:space="0" w:color="001D77"/>
              <w:bottom w:val="single" w:sz="4" w:space="0" w:color="001D77"/>
            </w:tcBorders>
            <w:vAlign w:val="center"/>
          </w:tcPr>
          <w:p w14:paraId="5F856B1B" w14:textId="77777777" w:rsidR="001038E8" w:rsidRPr="00407A30" w:rsidRDefault="001038E8" w:rsidP="00FB5641">
            <w:pPr>
              <w:pStyle w:val="Tablicanotka"/>
              <w:spacing w:before="100" w:beforeAutospacing="1" w:after="100" w:afterAutospacing="1" w:line="240" w:lineRule="auto"/>
              <w:ind w:right="-28"/>
              <w:jc w:val="center"/>
              <w:rPr>
                <w:noProof w:val="0"/>
                <w:lang w:val="en-GB"/>
              </w:rPr>
            </w:pPr>
            <w:r w:rsidRPr="00407A30">
              <w:rPr>
                <w:noProof w:val="0"/>
                <w:lang w:val="en-GB"/>
              </w:rPr>
              <w:t>2025</w:t>
            </w:r>
          </w:p>
        </w:tc>
      </w:tr>
      <w:tr w:rsidR="001038E8" w:rsidRPr="00BD215E" w14:paraId="2871411E" w14:textId="77777777" w:rsidTr="00FB5641">
        <w:trPr>
          <w:gridAfter w:val="1"/>
          <w:wAfter w:w="99" w:type="dxa"/>
          <w:trHeight w:val="348"/>
        </w:trPr>
        <w:tc>
          <w:tcPr>
            <w:tcW w:w="284" w:type="dxa"/>
            <w:vMerge/>
            <w:tcBorders>
              <w:right w:val="single" w:sz="12" w:space="0" w:color="001D77"/>
            </w:tcBorders>
            <w:vAlign w:val="center"/>
          </w:tcPr>
          <w:p w14:paraId="48967400" w14:textId="77777777" w:rsidR="001038E8" w:rsidRPr="00BD215E" w:rsidRDefault="001038E8" w:rsidP="00FB5641">
            <w:pPr>
              <w:spacing w:before="100" w:beforeAutospacing="1" w:after="100" w:afterAutospacing="1" w:line="240" w:lineRule="auto"/>
              <w:jc w:val="center"/>
              <w:rPr>
                <w:sz w:val="16"/>
                <w:szCs w:val="16"/>
                <w:lang w:val="en-GB"/>
              </w:rPr>
            </w:pPr>
          </w:p>
        </w:tc>
        <w:tc>
          <w:tcPr>
            <w:tcW w:w="3402" w:type="dxa"/>
            <w:vMerge/>
            <w:tcBorders>
              <w:top w:val="single" w:sz="4" w:space="0" w:color="001D77"/>
              <w:left w:val="single" w:sz="12" w:space="0" w:color="001D77"/>
              <w:bottom w:val="single" w:sz="12" w:space="0" w:color="001D77"/>
              <w:right w:val="single" w:sz="12" w:space="0" w:color="001D77"/>
            </w:tcBorders>
            <w:vAlign w:val="center"/>
          </w:tcPr>
          <w:p w14:paraId="4EED0003" w14:textId="77777777" w:rsidR="001038E8" w:rsidRPr="00407A30" w:rsidRDefault="001038E8" w:rsidP="00FB5641">
            <w:pPr>
              <w:spacing w:before="100" w:beforeAutospacing="1" w:after="100" w:afterAutospacing="1" w:line="240" w:lineRule="auto"/>
              <w:jc w:val="center"/>
              <w:rPr>
                <w:sz w:val="16"/>
                <w:szCs w:val="16"/>
                <w:lang w:val="en-GB"/>
              </w:rPr>
            </w:pPr>
          </w:p>
        </w:tc>
        <w:tc>
          <w:tcPr>
            <w:tcW w:w="709" w:type="dxa"/>
            <w:tcBorders>
              <w:top w:val="single" w:sz="4" w:space="0" w:color="001D77"/>
              <w:left w:val="single" w:sz="12" w:space="0" w:color="001D77"/>
              <w:bottom w:val="single" w:sz="2" w:space="0" w:color="000000" w:themeColor="text1"/>
              <w:right w:val="single" w:sz="12" w:space="0" w:color="001D77"/>
            </w:tcBorders>
            <w:vAlign w:val="center"/>
          </w:tcPr>
          <w:p w14:paraId="75264F06" w14:textId="77777777" w:rsidR="001038E8" w:rsidRPr="00407A30" w:rsidRDefault="001038E8" w:rsidP="00FB5641">
            <w:pPr>
              <w:pStyle w:val="Tablicanotka"/>
              <w:spacing w:before="100" w:beforeAutospacing="1" w:after="100" w:afterAutospacing="1" w:line="240" w:lineRule="auto"/>
              <w:jc w:val="center"/>
              <w:rPr>
                <w:noProof w:val="0"/>
                <w:lang w:val="en-GB"/>
              </w:rPr>
            </w:pPr>
            <w:r w:rsidRPr="00407A30">
              <w:rPr>
                <w:noProof w:val="0"/>
                <w:lang w:val="en-GB"/>
              </w:rPr>
              <w:t>plan</w:t>
            </w:r>
            <w:r w:rsidRPr="00407A30">
              <w:rPr>
                <w:noProof w:val="0"/>
                <w:vertAlign w:val="superscript"/>
                <w:lang w:val="en-GB"/>
              </w:rPr>
              <w:t xml:space="preserve"> a</w:t>
            </w:r>
          </w:p>
        </w:tc>
        <w:tc>
          <w:tcPr>
            <w:tcW w:w="1559" w:type="dxa"/>
            <w:gridSpan w:val="2"/>
            <w:tcBorders>
              <w:top w:val="single" w:sz="4" w:space="0" w:color="001D77"/>
              <w:left w:val="single" w:sz="12" w:space="0" w:color="001D77"/>
              <w:bottom w:val="single" w:sz="2" w:space="0" w:color="000000" w:themeColor="text1"/>
              <w:right w:val="single" w:sz="12" w:space="0" w:color="001D77"/>
            </w:tcBorders>
            <w:vAlign w:val="center"/>
          </w:tcPr>
          <w:p w14:paraId="59B29483" w14:textId="4F48039F" w:rsidR="001038E8" w:rsidRPr="00407A30" w:rsidRDefault="003F7AC2" w:rsidP="00FB5641">
            <w:pPr>
              <w:pStyle w:val="Tablicanotka"/>
              <w:spacing w:before="100" w:beforeAutospacing="1" w:after="100" w:afterAutospacing="1" w:line="240" w:lineRule="auto"/>
              <w:jc w:val="center"/>
              <w:rPr>
                <w:noProof w:val="0"/>
                <w:lang w:val="en-GB"/>
              </w:rPr>
            </w:pPr>
            <w:r w:rsidRPr="00407A30">
              <w:rPr>
                <w:noProof w:val="0"/>
                <w:lang w:val="en-GB"/>
              </w:rPr>
              <w:t>Implementation</w:t>
            </w:r>
          </w:p>
        </w:tc>
        <w:tc>
          <w:tcPr>
            <w:tcW w:w="709" w:type="dxa"/>
            <w:tcBorders>
              <w:top w:val="single" w:sz="4" w:space="0" w:color="001D77"/>
              <w:left w:val="single" w:sz="12" w:space="0" w:color="001D77"/>
              <w:bottom w:val="single" w:sz="2" w:space="0" w:color="000000" w:themeColor="text1"/>
              <w:right w:val="single" w:sz="12" w:space="0" w:color="001D77"/>
            </w:tcBorders>
            <w:vAlign w:val="center"/>
          </w:tcPr>
          <w:p w14:paraId="32F83ED5" w14:textId="77777777" w:rsidR="001038E8" w:rsidRPr="00407A30" w:rsidRDefault="001038E8" w:rsidP="00FB5641">
            <w:pPr>
              <w:pStyle w:val="Tablicanotka"/>
              <w:spacing w:before="100" w:beforeAutospacing="1" w:after="100" w:afterAutospacing="1" w:line="240" w:lineRule="auto"/>
              <w:jc w:val="center"/>
              <w:rPr>
                <w:noProof w:val="0"/>
                <w:lang w:val="en-GB"/>
              </w:rPr>
            </w:pPr>
            <w:r w:rsidRPr="00407A30">
              <w:rPr>
                <w:noProof w:val="0"/>
                <w:lang w:val="en-GB"/>
              </w:rPr>
              <w:t>plan</w:t>
            </w:r>
            <w:r w:rsidRPr="00407A30">
              <w:rPr>
                <w:noProof w:val="0"/>
                <w:vertAlign w:val="superscript"/>
                <w:lang w:val="en-GB"/>
              </w:rPr>
              <w:t xml:space="preserve"> a</w:t>
            </w:r>
          </w:p>
        </w:tc>
        <w:tc>
          <w:tcPr>
            <w:tcW w:w="1558" w:type="dxa"/>
            <w:gridSpan w:val="2"/>
            <w:tcBorders>
              <w:top w:val="single" w:sz="4" w:space="0" w:color="001D77"/>
              <w:left w:val="single" w:sz="12" w:space="0" w:color="001D77"/>
              <w:bottom w:val="single" w:sz="2" w:space="0" w:color="000000" w:themeColor="text1"/>
            </w:tcBorders>
            <w:vAlign w:val="center"/>
          </w:tcPr>
          <w:p w14:paraId="788F31AA" w14:textId="099A8681" w:rsidR="001038E8" w:rsidRPr="00407A30" w:rsidRDefault="003F7AC2" w:rsidP="00FB5641">
            <w:pPr>
              <w:pStyle w:val="Tablicanotka"/>
              <w:spacing w:before="100" w:beforeAutospacing="1" w:after="100" w:afterAutospacing="1" w:line="240" w:lineRule="auto"/>
              <w:jc w:val="center"/>
              <w:rPr>
                <w:noProof w:val="0"/>
                <w:lang w:val="en-GB"/>
              </w:rPr>
            </w:pPr>
            <w:r w:rsidRPr="00407A30">
              <w:rPr>
                <w:noProof w:val="0"/>
                <w:lang w:val="en-GB"/>
              </w:rPr>
              <w:t>Implementation</w:t>
            </w:r>
          </w:p>
        </w:tc>
      </w:tr>
      <w:tr w:rsidR="001038E8" w:rsidRPr="00407A30" w14:paraId="6606A382" w14:textId="77777777" w:rsidTr="00FB5641">
        <w:trPr>
          <w:gridAfter w:val="1"/>
          <w:wAfter w:w="99" w:type="dxa"/>
          <w:trHeight w:val="410"/>
        </w:trPr>
        <w:tc>
          <w:tcPr>
            <w:tcW w:w="284" w:type="dxa"/>
            <w:vMerge/>
            <w:tcBorders>
              <w:bottom w:val="single" w:sz="12" w:space="0" w:color="001D77"/>
              <w:right w:val="single" w:sz="12" w:space="0" w:color="001D77"/>
            </w:tcBorders>
            <w:vAlign w:val="center"/>
          </w:tcPr>
          <w:p w14:paraId="1BDBE734" w14:textId="77777777" w:rsidR="001038E8" w:rsidRPr="00BD215E" w:rsidRDefault="001038E8" w:rsidP="00FB5641">
            <w:pPr>
              <w:spacing w:before="100" w:beforeAutospacing="1" w:after="100" w:afterAutospacing="1" w:line="240" w:lineRule="auto"/>
              <w:jc w:val="center"/>
              <w:rPr>
                <w:sz w:val="16"/>
                <w:szCs w:val="16"/>
                <w:lang w:val="en-GB"/>
              </w:rPr>
            </w:pPr>
          </w:p>
        </w:tc>
        <w:tc>
          <w:tcPr>
            <w:tcW w:w="3402" w:type="dxa"/>
            <w:vMerge/>
            <w:tcBorders>
              <w:top w:val="single" w:sz="4" w:space="0" w:color="001D77"/>
              <w:left w:val="single" w:sz="12" w:space="0" w:color="001D77"/>
              <w:bottom w:val="single" w:sz="12" w:space="0" w:color="001D77"/>
              <w:right w:val="single" w:sz="12" w:space="0" w:color="001D77"/>
            </w:tcBorders>
            <w:vAlign w:val="center"/>
          </w:tcPr>
          <w:p w14:paraId="5E417E6B" w14:textId="77777777" w:rsidR="001038E8" w:rsidRPr="00407A30" w:rsidRDefault="001038E8" w:rsidP="00FB5641">
            <w:pPr>
              <w:spacing w:before="100" w:beforeAutospacing="1" w:after="100" w:afterAutospacing="1" w:line="240" w:lineRule="auto"/>
              <w:jc w:val="center"/>
              <w:rPr>
                <w:sz w:val="16"/>
                <w:szCs w:val="16"/>
                <w:lang w:val="en-GB"/>
              </w:rPr>
            </w:pPr>
          </w:p>
        </w:tc>
        <w:tc>
          <w:tcPr>
            <w:tcW w:w="709" w:type="dxa"/>
            <w:tcBorders>
              <w:top w:val="single" w:sz="2" w:space="0" w:color="000000" w:themeColor="text1"/>
              <w:left w:val="single" w:sz="12" w:space="0" w:color="001D77"/>
              <w:bottom w:val="single" w:sz="12" w:space="0" w:color="001D77"/>
              <w:right w:val="single" w:sz="12" w:space="0" w:color="001D77"/>
            </w:tcBorders>
            <w:vAlign w:val="center"/>
          </w:tcPr>
          <w:p w14:paraId="119BC87C" w14:textId="78805114" w:rsidR="001038E8" w:rsidRPr="00407A30" w:rsidRDefault="001038E8" w:rsidP="00FB5641">
            <w:pPr>
              <w:pStyle w:val="Tablicanotka"/>
              <w:spacing w:before="100" w:beforeAutospacing="1" w:after="100" w:afterAutospacing="1" w:line="240" w:lineRule="auto"/>
              <w:jc w:val="center"/>
              <w:rPr>
                <w:noProof w:val="0"/>
                <w:lang w:val="en-GB"/>
              </w:rPr>
            </w:pPr>
            <w:r w:rsidRPr="00407A30">
              <w:rPr>
                <w:noProof w:val="0"/>
                <w:lang w:val="en-GB"/>
              </w:rPr>
              <w:t xml:space="preserve">million </w:t>
            </w:r>
            <w:r w:rsidR="00B3508A" w:rsidRPr="00407A30">
              <w:rPr>
                <w:noProof w:val="0"/>
                <w:lang w:val="en-GB"/>
              </w:rPr>
              <w:t>PLN</w:t>
            </w:r>
          </w:p>
        </w:tc>
        <w:tc>
          <w:tcPr>
            <w:tcW w:w="709" w:type="dxa"/>
            <w:tcBorders>
              <w:top w:val="single" w:sz="2" w:space="0" w:color="000000" w:themeColor="text1"/>
              <w:left w:val="single" w:sz="12" w:space="0" w:color="001D77"/>
              <w:bottom w:val="single" w:sz="12" w:space="0" w:color="001D77"/>
              <w:right w:val="single" w:sz="12" w:space="0" w:color="001D77"/>
            </w:tcBorders>
            <w:vAlign w:val="center"/>
          </w:tcPr>
          <w:p w14:paraId="2066E8F5" w14:textId="162736FF" w:rsidR="001038E8" w:rsidRPr="00407A30" w:rsidRDefault="001038E8" w:rsidP="00FB5641">
            <w:pPr>
              <w:pStyle w:val="Tablicanotka"/>
              <w:spacing w:before="100" w:beforeAutospacing="1" w:after="100" w:afterAutospacing="1" w:line="240" w:lineRule="auto"/>
              <w:jc w:val="center"/>
              <w:rPr>
                <w:noProof w:val="0"/>
                <w:lang w:val="en-GB"/>
              </w:rPr>
            </w:pPr>
            <w:r w:rsidRPr="00407A30">
              <w:rPr>
                <w:noProof w:val="0"/>
                <w:lang w:val="en-GB"/>
              </w:rPr>
              <w:t xml:space="preserve">million </w:t>
            </w:r>
            <w:r w:rsidR="00B3508A" w:rsidRPr="00407A30">
              <w:rPr>
                <w:noProof w:val="0"/>
                <w:lang w:val="en-GB"/>
              </w:rPr>
              <w:t>PLN</w:t>
            </w:r>
          </w:p>
        </w:tc>
        <w:tc>
          <w:tcPr>
            <w:tcW w:w="850" w:type="dxa"/>
            <w:tcBorders>
              <w:top w:val="single" w:sz="2" w:space="0" w:color="000000" w:themeColor="text1"/>
              <w:left w:val="single" w:sz="12" w:space="0" w:color="001D77"/>
              <w:bottom w:val="single" w:sz="12" w:space="0" w:color="001D77"/>
              <w:right w:val="single" w:sz="12" w:space="0" w:color="001D77"/>
            </w:tcBorders>
            <w:vAlign w:val="center"/>
          </w:tcPr>
          <w:p w14:paraId="2703C36A" w14:textId="77777777" w:rsidR="001038E8" w:rsidRPr="00407A30" w:rsidRDefault="001038E8" w:rsidP="00FB5641">
            <w:pPr>
              <w:pStyle w:val="Tablicanotka"/>
              <w:spacing w:before="100" w:beforeAutospacing="1" w:after="100" w:afterAutospacing="1" w:line="240" w:lineRule="auto"/>
              <w:jc w:val="center"/>
              <w:rPr>
                <w:noProof w:val="0"/>
                <w:lang w:val="en-GB"/>
              </w:rPr>
            </w:pPr>
            <w:r w:rsidRPr="00407A30">
              <w:rPr>
                <w:noProof w:val="0"/>
                <w:lang w:val="en-GB"/>
              </w:rPr>
              <w:t>structure of inputs in %</w:t>
            </w:r>
            <w:r w:rsidRPr="00407A30">
              <w:rPr>
                <w:noProof w:val="0"/>
                <w:vertAlign w:val="superscript"/>
                <w:lang w:val="en-GB"/>
              </w:rPr>
              <w:t>b</w:t>
            </w:r>
          </w:p>
        </w:tc>
        <w:tc>
          <w:tcPr>
            <w:tcW w:w="709" w:type="dxa"/>
            <w:tcBorders>
              <w:top w:val="single" w:sz="2" w:space="0" w:color="000000" w:themeColor="text1"/>
              <w:left w:val="single" w:sz="12" w:space="0" w:color="001D77"/>
              <w:bottom w:val="single" w:sz="12" w:space="0" w:color="001D77"/>
              <w:right w:val="single" w:sz="12" w:space="0" w:color="001D77"/>
            </w:tcBorders>
            <w:vAlign w:val="center"/>
          </w:tcPr>
          <w:p w14:paraId="566C8D20" w14:textId="3096E84F" w:rsidR="001038E8" w:rsidRPr="00407A30" w:rsidRDefault="001038E8" w:rsidP="00FB5641">
            <w:pPr>
              <w:pStyle w:val="Tablicanotka"/>
              <w:spacing w:before="100" w:beforeAutospacing="1" w:after="100" w:afterAutospacing="1" w:line="240" w:lineRule="auto"/>
              <w:jc w:val="center"/>
              <w:rPr>
                <w:noProof w:val="0"/>
                <w:lang w:val="en-GB"/>
              </w:rPr>
            </w:pPr>
            <w:r w:rsidRPr="00407A30">
              <w:rPr>
                <w:noProof w:val="0"/>
                <w:lang w:val="en-GB"/>
              </w:rPr>
              <w:t xml:space="preserve">million </w:t>
            </w:r>
            <w:r w:rsidR="00B3508A" w:rsidRPr="00407A30">
              <w:rPr>
                <w:noProof w:val="0"/>
                <w:lang w:val="en-GB"/>
              </w:rPr>
              <w:t>PLN</w:t>
            </w:r>
          </w:p>
        </w:tc>
        <w:tc>
          <w:tcPr>
            <w:tcW w:w="709" w:type="dxa"/>
            <w:tcBorders>
              <w:top w:val="single" w:sz="2" w:space="0" w:color="000000" w:themeColor="text1"/>
              <w:left w:val="single" w:sz="12" w:space="0" w:color="001D77"/>
              <w:bottom w:val="single" w:sz="12" w:space="0" w:color="001D77"/>
              <w:right w:val="single" w:sz="12" w:space="0" w:color="001D77"/>
            </w:tcBorders>
            <w:vAlign w:val="center"/>
          </w:tcPr>
          <w:p w14:paraId="1D6EF9BE" w14:textId="4051CD9B" w:rsidR="001038E8" w:rsidRPr="00407A30" w:rsidRDefault="001038E8" w:rsidP="00FB5641">
            <w:pPr>
              <w:pStyle w:val="Tablicanotka"/>
              <w:spacing w:before="100" w:beforeAutospacing="1" w:after="100" w:afterAutospacing="1" w:line="240" w:lineRule="auto"/>
              <w:jc w:val="center"/>
              <w:rPr>
                <w:noProof w:val="0"/>
                <w:lang w:val="en-GB"/>
              </w:rPr>
            </w:pPr>
            <w:r w:rsidRPr="00407A30">
              <w:rPr>
                <w:noProof w:val="0"/>
                <w:lang w:val="en-GB"/>
              </w:rPr>
              <w:t xml:space="preserve">million </w:t>
            </w:r>
            <w:r w:rsidR="00B3508A" w:rsidRPr="00407A30">
              <w:rPr>
                <w:noProof w:val="0"/>
                <w:lang w:val="en-GB"/>
              </w:rPr>
              <w:t>PLN</w:t>
            </w:r>
          </w:p>
        </w:tc>
        <w:tc>
          <w:tcPr>
            <w:tcW w:w="849" w:type="dxa"/>
            <w:tcBorders>
              <w:top w:val="single" w:sz="2" w:space="0" w:color="000000" w:themeColor="text1"/>
              <w:left w:val="single" w:sz="12" w:space="0" w:color="001D77"/>
              <w:bottom w:val="single" w:sz="12" w:space="0" w:color="001D77"/>
            </w:tcBorders>
            <w:vAlign w:val="center"/>
          </w:tcPr>
          <w:p w14:paraId="456F9DD4" w14:textId="77777777" w:rsidR="001038E8" w:rsidRPr="00407A30" w:rsidRDefault="001038E8" w:rsidP="00FB5641">
            <w:pPr>
              <w:pStyle w:val="Tablicanotka"/>
              <w:spacing w:before="100" w:beforeAutospacing="1" w:after="100" w:afterAutospacing="1" w:line="240" w:lineRule="auto"/>
              <w:jc w:val="center"/>
              <w:rPr>
                <w:noProof w:val="0"/>
                <w:lang w:val="en-GB"/>
              </w:rPr>
            </w:pPr>
            <w:r w:rsidRPr="00407A30">
              <w:rPr>
                <w:noProof w:val="0"/>
                <w:lang w:val="en-GB"/>
              </w:rPr>
              <w:t>structure of inputs in %</w:t>
            </w:r>
            <w:r w:rsidRPr="00407A30">
              <w:rPr>
                <w:noProof w:val="0"/>
                <w:vertAlign w:val="superscript"/>
                <w:lang w:val="en-GB"/>
              </w:rPr>
              <w:t>b</w:t>
            </w:r>
            <w:bookmarkStart w:id="14" w:name="_GoBack"/>
            <w:bookmarkEnd w:id="14"/>
          </w:p>
        </w:tc>
      </w:tr>
      <w:tr w:rsidR="001038E8" w:rsidRPr="00BD215E" w14:paraId="1F2B68EE" w14:textId="77777777" w:rsidTr="00FB5641">
        <w:trPr>
          <w:gridAfter w:val="1"/>
          <w:wAfter w:w="99" w:type="dxa"/>
        </w:trPr>
        <w:tc>
          <w:tcPr>
            <w:tcW w:w="284" w:type="dxa"/>
            <w:tcBorders>
              <w:top w:val="single" w:sz="12" w:space="0" w:color="001D77"/>
              <w:bottom w:val="single" w:sz="12" w:space="0" w:color="001D77"/>
              <w:right w:val="single" w:sz="12" w:space="0" w:color="001D77"/>
            </w:tcBorders>
          </w:tcPr>
          <w:p w14:paraId="27BB95BC" w14:textId="77777777" w:rsidR="001038E8" w:rsidRPr="00BD215E" w:rsidRDefault="001038E8" w:rsidP="00FB5641">
            <w:pPr>
              <w:pStyle w:val="Tablicanotka"/>
              <w:spacing w:before="100" w:beforeAutospacing="1" w:after="100" w:afterAutospacing="1" w:line="240" w:lineRule="auto"/>
              <w:ind w:left="57"/>
              <w:rPr>
                <w:noProof w:val="0"/>
                <w:lang w:val="en-GB"/>
              </w:rPr>
            </w:pPr>
            <w:bookmarkStart w:id="15" w:name="_Hlk204080740"/>
            <w:r w:rsidRPr="00BD215E">
              <w:rPr>
                <w:noProof w:val="0"/>
                <w:lang w:val="en-GB"/>
              </w:rPr>
              <w:t>I</w:t>
            </w:r>
          </w:p>
        </w:tc>
        <w:tc>
          <w:tcPr>
            <w:tcW w:w="3402" w:type="dxa"/>
            <w:tcBorders>
              <w:top w:val="single" w:sz="12" w:space="0" w:color="001D77"/>
              <w:left w:val="single" w:sz="12" w:space="0" w:color="001D77"/>
              <w:bottom w:val="single" w:sz="12" w:space="0" w:color="001D77"/>
              <w:right w:val="single" w:sz="12" w:space="0" w:color="001D77"/>
            </w:tcBorders>
          </w:tcPr>
          <w:p w14:paraId="626C092A" w14:textId="77777777" w:rsidR="001038E8" w:rsidRPr="00BD215E" w:rsidRDefault="001038E8" w:rsidP="00FB5641">
            <w:pPr>
              <w:pStyle w:val="Tablicanotka"/>
              <w:suppressAutoHyphens/>
              <w:spacing w:before="100" w:beforeAutospacing="1" w:after="100" w:afterAutospacing="1" w:line="240" w:lineRule="auto"/>
              <w:ind w:left="57" w:right="57"/>
              <w:rPr>
                <w:noProof w:val="0"/>
                <w:lang w:val="en-GB"/>
              </w:rPr>
            </w:pPr>
            <w:r w:rsidRPr="00BD215E">
              <w:rPr>
                <w:noProof w:val="0"/>
                <w:lang w:val="en-GB"/>
              </w:rPr>
              <w:t>Budgetary expenditure in the part of the state budget held by the minister responsible for health</w:t>
            </w:r>
          </w:p>
        </w:tc>
        <w:tc>
          <w:tcPr>
            <w:tcW w:w="709" w:type="dxa"/>
            <w:tcBorders>
              <w:top w:val="single" w:sz="12" w:space="0" w:color="001D77"/>
              <w:left w:val="single" w:sz="12" w:space="0" w:color="001D77"/>
              <w:bottom w:val="single" w:sz="12" w:space="0" w:color="001D77"/>
              <w:right w:val="single" w:sz="12" w:space="0" w:color="001D77"/>
            </w:tcBorders>
            <w:vAlign w:val="bottom"/>
          </w:tcPr>
          <w:p w14:paraId="65A86F1D" w14:textId="77777777" w:rsidR="001038E8" w:rsidRPr="00BD215E" w:rsidRDefault="001038E8" w:rsidP="00FB5641">
            <w:pPr>
              <w:pStyle w:val="Tablicanotka"/>
              <w:suppressAutoHyphens/>
              <w:spacing w:before="100" w:beforeAutospacing="1" w:after="100" w:afterAutospacing="1" w:line="240" w:lineRule="auto"/>
              <w:ind w:right="57"/>
              <w:jc w:val="right"/>
              <w:rPr>
                <w:noProof w:val="0"/>
                <w:lang w:val="en-GB"/>
              </w:rPr>
            </w:pPr>
            <w:r w:rsidRPr="00BD215E">
              <w:rPr>
                <w:noProof w:val="0"/>
                <w:lang w:val="en-GB"/>
              </w:rPr>
              <w:t>28 563</w:t>
            </w:r>
          </w:p>
        </w:tc>
        <w:tc>
          <w:tcPr>
            <w:tcW w:w="709" w:type="dxa"/>
            <w:tcBorders>
              <w:top w:val="single" w:sz="12" w:space="0" w:color="001D77"/>
              <w:left w:val="single" w:sz="12" w:space="0" w:color="001D77"/>
              <w:bottom w:val="single" w:sz="12" w:space="0" w:color="001D77"/>
              <w:right w:val="single" w:sz="12" w:space="0" w:color="001D77"/>
            </w:tcBorders>
            <w:vAlign w:val="bottom"/>
          </w:tcPr>
          <w:p w14:paraId="09BBAA18" w14:textId="77777777" w:rsidR="001038E8" w:rsidRPr="00BD215E" w:rsidRDefault="001038E8" w:rsidP="00FB5641">
            <w:pPr>
              <w:pStyle w:val="Tablicanotka"/>
              <w:spacing w:before="100" w:beforeAutospacing="1" w:after="100" w:afterAutospacing="1" w:line="240" w:lineRule="auto"/>
              <w:ind w:right="57"/>
              <w:jc w:val="right"/>
              <w:rPr>
                <w:noProof w:val="0"/>
                <w:lang w:val="en-GB"/>
              </w:rPr>
            </w:pPr>
            <w:r w:rsidRPr="00BD215E">
              <w:rPr>
                <w:noProof w:val="0"/>
                <w:lang w:val="en-GB"/>
              </w:rPr>
              <w:t>29 842</w:t>
            </w:r>
          </w:p>
        </w:tc>
        <w:tc>
          <w:tcPr>
            <w:tcW w:w="850" w:type="dxa"/>
            <w:tcBorders>
              <w:top w:val="single" w:sz="12" w:space="0" w:color="001D77"/>
              <w:left w:val="single" w:sz="12" w:space="0" w:color="001D77"/>
              <w:bottom w:val="single" w:sz="12" w:space="0" w:color="001D77"/>
              <w:right w:val="nil"/>
            </w:tcBorders>
            <w:vAlign w:val="bottom"/>
          </w:tcPr>
          <w:p w14:paraId="7F79062C" w14:textId="1FE2B720" w:rsidR="001038E8" w:rsidRPr="00BD215E" w:rsidRDefault="001038E8" w:rsidP="00FB5641">
            <w:pPr>
              <w:pStyle w:val="P68B1DB1-Normalny23"/>
              <w:spacing w:before="100" w:beforeAutospacing="1" w:after="100" w:afterAutospacing="1" w:line="240" w:lineRule="auto"/>
              <w:ind w:right="57"/>
              <w:jc w:val="right"/>
              <w:rPr>
                <w:lang w:val="en-GB"/>
              </w:rPr>
            </w:pPr>
            <w:r w:rsidRPr="00BD215E">
              <w:rPr>
                <w:lang w:val="en-GB"/>
              </w:rPr>
              <w:t>14</w:t>
            </w:r>
            <w:r w:rsidR="00BC64AE" w:rsidRPr="00BD215E">
              <w:rPr>
                <w:lang w:val="en-GB"/>
              </w:rPr>
              <w:t>.</w:t>
            </w:r>
            <w:r w:rsidRPr="00BD215E">
              <w:rPr>
                <w:lang w:val="en-GB"/>
              </w:rPr>
              <w:t>18</w:t>
            </w:r>
          </w:p>
        </w:tc>
        <w:tc>
          <w:tcPr>
            <w:tcW w:w="709" w:type="dxa"/>
            <w:tcBorders>
              <w:top w:val="single" w:sz="12" w:space="0" w:color="001D77"/>
              <w:left w:val="single" w:sz="12" w:space="0" w:color="001D77"/>
              <w:bottom w:val="single" w:sz="12" w:space="0" w:color="001D77"/>
              <w:right w:val="single" w:sz="12" w:space="0" w:color="001D77"/>
            </w:tcBorders>
            <w:vAlign w:val="bottom"/>
          </w:tcPr>
          <w:p w14:paraId="60EED3AC" w14:textId="77777777" w:rsidR="001038E8" w:rsidRPr="00BD215E" w:rsidRDefault="001038E8" w:rsidP="00FB5641">
            <w:pPr>
              <w:pStyle w:val="Tablicanotka"/>
              <w:spacing w:before="100" w:beforeAutospacing="1" w:after="100" w:afterAutospacing="1" w:line="240" w:lineRule="auto"/>
              <w:ind w:right="57"/>
              <w:jc w:val="right"/>
              <w:rPr>
                <w:noProof w:val="0"/>
                <w:lang w:val="en-GB"/>
              </w:rPr>
            </w:pPr>
            <w:r w:rsidRPr="00BD215E">
              <w:rPr>
                <w:noProof w:val="0"/>
                <w:lang w:val="en-GB"/>
              </w:rPr>
              <w:t>37 182</w:t>
            </w:r>
          </w:p>
        </w:tc>
        <w:tc>
          <w:tcPr>
            <w:tcW w:w="709" w:type="dxa"/>
            <w:tcBorders>
              <w:top w:val="single" w:sz="12" w:space="0" w:color="001D77"/>
              <w:left w:val="single" w:sz="12" w:space="0" w:color="001D77"/>
              <w:bottom w:val="single" w:sz="12" w:space="0" w:color="001D77"/>
              <w:right w:val="single" w:sz="12" w:space="0" w:color="001D77"/>
            </w:tcBorders>
            <w:vAlign w:val="bottom"/>
          </w:tcPr>
          <w:p w14:paraId="453B59E8" w14:textId="77777777" w:rsidR="001038E8" w:rsidRPr="00BD215E" w:rsidRDefault="001038E8" w:rsidP="00FB5641">
            <w:pPr>
              <w:pStyle w:val="Tablicanotka"/>
              <w:spacing w:before="100" w:beforeAutospacing="1" w:after="100" w:afterAutospacing="1" w:line="240" w:lineRule="auto"/>
              <w:ind w:right="57"/>
              <w:jc w:val="right"/>
              <w:rPr>
                <w:noProof w:val="0"/>
                <w:lang w:val="en-GB"/>
              </w:rPr>
            </w:pPr>
            <w:r w:rsidRPr="00BD215E">
              <w:rPr>
                <w:noProof w:val="0"/>
                <w:lang w:val="en-GB"/>
              </w:rPr>
              <w:t>46 129</w:t>
            </w:r>
          </w:p>
        </w:tc>
        <w:tc>
          <w:tcPr>
            <w:tcW w:w="849" w:type="dxa"/>
            <w:tcBorders>
              <w:top w:val="single" w:sz="12" w:space="0" w:color="001D77"/>
              <w:left w:val="single" w:sz="12" w:space="0" w:color="001D77"/>
              <w:bottom w:val="single" w:sz="12" w:space="0" w:color="001D77"/>
              <w:right w:val="nil"/>
            </w:tcBorders>
            <w:vAlign w:val="bottom"/>
          </w:tcPr>
          <w:p w14:paraId="10F4ECC1" w14:textId="0E37CA2C" w:rsidR="001038E8" w:rsidRPr="00BD215E" w:rsidRDefault="001038E8" w:rsidP="00FB5641">
            <w:pPr>
              <w:pStyle w:val="P68B1DB1-Normalny23"/>
              <w:spacing w:before="100" w:beforeAutospacing="1" w:after="100" w:afterAutospacing="1" w:line="240" w:lineRule="auto"/>
              <w:ind w:right="57"/>
              <w:jc w:val="right"/>
              <w:rPr>
                <w:lang w:val="en-GB"/>
              </w:rPr>
            </w:pPr>
            <w:r w:rsidRPr="00BD215E">
              <w:rPr>
                <w:lang w:val="en-GB"/>
              </w:rPr>
              <w:t>19</w:t>
            </w:r>
            <w:r w:rsidR="00BC64AE" w:rsidRPr="00BD215E">
              <w:rPr>
                <w:lang w:val="en-GB"/>
              </w:rPr>
              <w:t>.</w:t>
            </w:r>
            <w:r w:rsidRPr="00BD215E">
              <w:rPr>
                <w:lang w:val="en-GB"/>
              </w:rPr>
              <w:t>87</w:t>
            </w:r>
          </w:p>
        </w:tc>
      </w:tr>
      <w:bookmarkEnd w:id="15"/>
      <w:tr w:rsidR="001038E8" w:rsidRPr="00BD215E" w14:paraId="41862BDE" w14:textId="77777777" w:rsidTr="00FB5641">
        <w:trPr>
          <w:gridAfter w:val="1"/>
          <w:wAfter w:w="99" w:type="dxa"/>
        </w:trPr>
        <w:tc>
          <w:tcPr>
            <w:tcW w:w="284" w:type="dxa"/>
            <w:tcBorders>
              <w:top w:val="single" w:sz="12" w:space="0" w:color="001D77"/>
              <w:bottom w:val="single" w:sz="12" w:space="0" w:color="001D77"/>
              <w:right w:val="single" w:sz="12" w:space="0" w:color="001D77"/>
            </w:tcBorders>
          </w:tcPr>
          <w:p w14:paraId="5F652A81" w14:textId="77777777" w:rsidR="001038E8" w:rsidRPr="00BD215E" w:rsidRDefault="001038E8" w:rsidP="00FB5641">
            <w:pPr>
              <w:pStyle w:val="Tablicanotka"/>
              <w:spacing w:before="100" w:beforeAutospacing="1" w:after="100" w:afterAutospacing="1" w:line="240" w:lineRule="auto"/>
              <w:ind w:left="57"/>
              <w:rPr>
                <w:noProof w:val="0"/>
                <w:lang w:val="en-GB"/>
              </w:rPr>
            </w:pPr>
            <w:r w:rsidRPr="00BD215E">
              <w:rPr>
                <w:noProof w:val="0"/>
                <w:lang w:val="en-GB"/>
              </w:rPr>
              <w:t>II</w:t>
            </w:r>
          </w:p>
        </w:tc>
        <w:tc>
          <w:tcPr>
            <w:tcW w:w="3402" w:type="dxa"/>
            <w:tcBorders>
              <w:top w:val="single" w:sz="12" w:space="0" w:color="001D77"/>
              <w:left w:val="single" w:sz="12" w:space="0" w:color="001D77"/>
              <w:bottom w:val="single" w:sz="12" w:space="0" w:color="001D77"/>
              <w:right w:val="single" w:sz="12" w:space="0" w:color="001D77"/>
            </w:tcBorders>
          </w:tcPr>
          <w:p w14:paraId="471C91F8" w14:textId="77777777" w:rsidR="001038E8" w:rsidRPr="00BD215E" w:rsidRDefault="001038E8" w:rsidP="00FB5641">
            <w:pPr>
              <w:pStyle w:val="Tablicanotka"/>
              <w:suppressAutoHyphens/>
              <w:spacing w:before="100" w:beforeAutospacing="1" w:after="100" w:afterAutospacing="1" w:line="240" w:lineRule="auto"/>
              <w:ind w:left="57" w:right="57"/>
              <w:rPr>
                <w:noProof w:val="0"/>
                <w:lang w:val="en-GB"/>
              </w:rPr>
            </w:pPr>
            <w:r w:rsidRPr="00BD215E">
              <w:rPr>
                <w:noProof w:val="0"/>
                <w:lang w:val="en-GB"/>
              </w:rPr>
              <w:t xml:space="preserve">Expenditure on the budget of European funds </w:t>
            </w:r>
            <w:r w:rsidRPr="00BD215E">
              <w:rPr>
                <w:noProof w:val="0"/>
                <w:lang w:val="en-GB"/>
              </w:rPr>
              <w:br/>
              <w:t>under Healthcare</w:t>
            </w:r>
          </w:p>
        </w:tc>
        <w:tc>
          <w:tcPr>
            <w:tcW w:w="709" w:type="dxa"/>
            <w:tcBorders>
              <w:top w:val="single" w:sz="12" w:space="0" w:color="001D77"/>
              <w:left w:val="single" w:sz="12" w:space="0" w:color="001D77"/>
              <w:bottom w:val="single" w:sz="12" w:space="0" w:color="001D77"/>
              <w:right w:val="single" w:sz="12" w:space="0" w:color="001D77"/>
            </w:tcBorders>
            <w:vAlign w:val="bottom"/>
          </w:tcPr>
          <w:p w14:paraId="2E18C1A5" w14:textId="77777777" w:rsidR="001038E8" w:rsidRPr="00BD215E" w:rsidRDefault="001038E8" w:rsidP="00FB5641">
            <w:pPr>
              <w:pStyle w:val="Tablicanotka"/>
              <w:suppressAutoHyphens/>
              <w:spacing w:before="100" w:beforeAutospacing="1" w:after="100" w:afterAutospacing="1" w:line="240" w:lineRule="auto"/>
              <w:ind w:right="57"/>
              <w:jc w:val="right"/>
              <w:rPr>
                <w:noProof w:val="0"/>
                <w:lang w:val="en-GB"/>
              </w:rPr>
            </w:pPr>
            <w:r w:rsidRPr="00BD215E">
              <w:rPr>
                <w:noProof w:val="0"/>
                <w:lang w:val="en-GB"/>
              </w:rPr>
              <w:t>649</w:t>
            </w:r>
          </w:p>
        </w:tc>
        <w:tc>
          <w:tcPr>
            <w:tcW w:w="709" w:type="dxa"/>
            <w:tcBorders>
              <w:top w:val="single" w:sz="12" w:space="0" w:color="001D77"/>
              <w:left w:val="single" w:sz="12" w:space="0" w:color="001D77"/>
              <w:bottom w:val="single" w:sz="12" w:space="0" w:color="001D77"/>
              <w:right w:val="single" w:sz="12" w:space="0" w:color="001D77"/>
            </w:tcBorders>
            <w:vAlign w:val="bottom"/>
          </w:tcPr>
          <w:p w14:paraId="06C995A9" w14:textId="77777777" w:rsidR="001038E8" w:rsidRPr="00BD215E" w:rsidRDefault="001038E8" w:rsidP="00FB5641">
            <w:pPr>
              <w:pStyle w:val="Tablicanotka"/>
              <w:spacing w:before="100" w:beforeAutospacing="1" w:after="100" w:afterAutospacing="1" w:line="240" w:lineRule="auto"/>
              <w:ind w:right="57"/>
              <w:jc w:val="right"/>
              <w:rPr>
                <w:noProof w:val="0"/>
                <w:lang w:val="en-GB"/>
              </w:rPr>
            </w:pPr>
            <w:r w:rsidRPr="00BD215E">
              <w:rPr>
                <w:noProof w:val="0"/>
                <w:lang w:val="en-GB"/>
              </w:rPr>
              <w:t>568</w:t>
            </w:r>
          </w:p>
        </w:tc>
        <w:tc>
          <w:tcPr>
            <w:tcW w:w="850" w:type="dxa"/>
            <w:tcBorders>
              <w:top w:val="single" w:sz="12" w:space="0" w:color="001D77"/>
              <w:left w:val="single" w:sz="12" w:space="0" w:color="001D77"/>
              <w:bottom w:val="single" w:sz="12" w:space="0" w:color="001D77"/>
              <w:right w:val="nil"/>
            </w:tcBorders>
            <w:vAlign w:val="bottom"/>
          </w:tcPr>
          <w:p w14:paraId="7E7F2924" w14:textId="7D09419D" w:rsidR="001038E8" w:rsidRPr="00BD215E" w:rsidRDefault="001038E8" w:rsidP="00FB5641">
            <w:pPr>
              <w:pStyle w:val="P68B1DB1-Normalny23"/>
              <w:spacing w:before="100" w:beforeAutospacing="1" w:after="100" w:afterAutospacing="1" w:line="240" w:lineRule="auto"/>
              <w:ind w:right="57"/>
              <w:jc w:val="right"/>
              <w:rPr>
                <w:lang w:val="en-GB"/>
              </w:rPr>
            </w:pPr>
            <w:r w:rsidRPr="00BD215E">
              <w:rPr>
                <w:lang w:val="en-GB"/>
              </w:rPr>
              <w:t>0</w:t>
            </w:r>
            <w:r w:rsidR="00BC64AE" w:rsidRPr="00BD215E">
              <w:rPr>
                <w:lang w:val="en-GB"/>
              </w:rPr>
              <w:t>.</w:t>
            </w:r>
            <w:r w:rsidRPr="00BD215E">
              <w:rPr>
                <w:lang w:val="en-GB"/>
              </w:rPr>
              <w:t>27</w:t>
            </w:r>
          </w:p>
        </w:tc>
        <w:tc>
          <w:tcPr>
            <w:tcW w:w="709" w:type="dxa"/>
            <w:tcBorders>
              <w:top w:val="single" w:sz="12" w:space="0" w:color="001D77"/>
              <w:left w:val="single" w:sz="12" w:space="0" w:color="001D77"/>
              <w:bottom w:val="single" w:sz="12" w:space="0" w:color="001D77"/>
              <w:right w:val="single" w:sz="12" w:space="0" w:color="001D77"/>
            </w:tcBorders>
            <w:vAlign w:val="bottom"/>
          </w:tcPr>
          <w:p w14:paraId="6F5A457C" w14:textId="77777777" w:rsidR="001038E8" w:rsidRPr="00BD215E" w:rsidRDefault="001038E8" w:rsidP="00FB5641">
            <w:pPr>
              <w:pStyle w:val="Tablicanotka"/>
              <w:spacing w:before="100" w:beforeAutospacing="1" w:after="100" w:afterAutospacing="1" w:line="240" w:lineRule="auto"/>
              <w:ind w:right="57"/>
              <w:jc w:val="right"/>
              <w:rPr>
                <w:noProof w:val="0"/>
                <w:lang w:val="en-GB"/>
              </w:rPr>
            </w:pPr>
            <w:r w:rsidRPr="00BD215E">
              <w:rPr>
                <w:noProof w:val="0"/>
                <w:lang w:val="en-GB"/>
              </w:rPr>
              <w:t>842</w:t>
            </w:r>
          </w:p>
        </w:tc>
        <w:tc>
          <w:tcPr>
            <w:tcW w:w="709" w:type="dxa"/>
            <w:tcBorders>
              <w:top w:val="single" w:sz="12" w:space="0" w:color="001D77"/>
              <w:left w:val="single" w:sz="12" w:space="0" w:color="001D77"/>
              <w:bottom w:val="single" w:sz="12" w:space="0" w:color="001D77"/>
              <w:right w:val="single" w:sz="12" w:space="0" w:color="001D77"/>
            </w:tcBorders>
            <w:vAlign w:val="bottom"/>
          </w:tcPr>
          <w:p w14:paraId="7528862D" w14:textId="77777777" w:rsidR="001038E8" w:rsidRPr="00BD215E" w:rsidRDefault="001038E8" w:rsidP="00FB5641">
            <w:pPr>
              <w:pStyle w:val="Tablicanotka"/>
              <w:spacing w:before="100" w:beforeAutospacing="1" w:after="100" w:afterAutospacing="1" w:line="240" w:lineRule="auto"/>
              <w:ind w:right="57"/>
              <w:jc w:val="right"/>
              <w:rPr>
                <w:noProof w:val="0"/>
                <w:lang w:val="en-GB"/>
              </w:rPr>
            </w:pPr>
            <w:r w:rsidRPr="00BD215E">
              <w:rPr>
                <w:noProof w:val="0"/>
                <w:lang w:val="en-GB"/>
              </w:rPr>
              <w:t>523</w:t>
            </w:r>
          </w:p>
        </w:tc>
        <w:tc>
          <w:tcPr>
            <w:tcW w:w="849" w:type="dxa"/>
            <w:tcBorders>
              <w:top w:val="single" w:sz="12" w:space="0" w:color="001D77"/>
              <w:left w:val="single" w:sz="12" w:space="0" w:color="001D77"/>
              <w:bottom w:val="single" w:sz="12" w:space="0" w:color="001D77"/>
              <w:right w:val="nil"/>
            </w:tcBorders>
            <w:vAlign w:val="bottom"/>
          </w:tcPr>
          <w:p w14:paraId="2EB06E5A" w14:textId="61B33130" w:rsidR="001038E8" w:rsidRPr="00BD215E" w:rsidRDefault="001038E8" w:rsidP="00FB5641">
            <w:pPr>
              <w:pStyle w:val="P68B1DB1-Normalny23"/>
              <w:spacing w:before="100" w:beforeAutospacing="1" w:after="100" w:afterAutospacing="1" w:line="240" w:lineRule="auto"/>
              <w:ind w:right="57"/>
              <w:jc w:val="right"/>
              <w:rPr>
                <w:lang w:val="en-GB"/>
              </w:rPr>
            </w:pPr>
            <w:r w:rsidRPr="00BD215E">
              <w:rPr>
                <w:lang w:val="en-GB"/>
              </w:rPr>
              <w:t>0</w:t>
            </w:r>
            <w:r w:rsidR="00BC64AE" w:rsidRPr="00BD215E">
              <w:rPr>
                <w:lang w:val="en-GB"/>
              </w:rPr>
              <w:t>.</w:t>
            </w:r>
            <w:r w:rsidRPr="00BD215E">
              <w:rPr>
                <w:lang w:val="en-GB"/>
              </w:rPr>
              <w:t>23</w:t>
            </w:r>
          </w:p>
        </w:tc>
      </w:tr>
      <w:tr w:rsidR="001038E8" w:rsidRPr="00BD215E" w14:paraId="1011839C" w14:textId="77777777" w:rsidTr="00FB5641">
        <w:trPr>
          <w:gridAfter w:val="1"/>
          <w:wAfter w:w="99" w:type="dxa"/>
        </w:trPr>
        <w:tc>
          <w:tcPr>
            <w:tcW w:w="284" w:type="dxa"/>
            <w:tcBorders>
              <w:top w:val="single" w:sz="12" w:space="0" w:color="001D77"/>
              <w:bottom w:val="single" w:sz="12" w:space="0" w:color="001D77"/>
              <w:right w:val="single" w:sz="12" w:space="0" w:color="001D77"/>
            </w:tcBorders>
          </w:tcPr>
          <w:p w14:paraId="534DADD4" w14:textId="77777777" w:rsidR="001038E8" w:rsidRPr="00BD215E" w:rsidRDefault="001038E8" w:rsidP="00FB5641">
            <w:pPr>
              <w:pStyle w:val="Tablicanotka"/>
              <w:spacing w:before="100" w:beforeAutospacing="1" w:after="100" w:afterAutospacing="1" w:line="240" w:lineRule="auto"/>
              <w:ind w:left="57"/>
              <w:rPr>
                <w:noProof w:val="0"/>
                <w:lang w:val="en-GB"/>
              </w:rPr>
            </w:pPr>
            <w:r w:rsidRPr="00BD215E">
              <w:rPr>
                <w:noProof w:val="0"/>
                <w:lang w:val="en-GB"/>
              </w:rPr>
              <w:t>III</w:t>
            </w:r>
          </w:p>
        </w:tc>
        <w:tc>
          <w:tcPr>
            <w:tcW w:w="3402" w:type="dxa"/>
            <w:tcBorders>
              <w:top w:val="single" w:sz="12" w:space="0" w:color="001D77"/>
              <w:left w:val="single" w:sz="12" w:space="0" w:color="001D77"/>
              <w:bottom w:val="single" w:sz="12" w:space="0" w:color="001D77"/>
              <w:right w:val="single" w:sz="12" w:space="0" w:color="001D77"/>
            </w:tcBorders>
          </w:tcPr>
          <w:p w14:paraId="6612711C" w14:textId="77777777" w:rsidR="001038E8" w:rsidRPr="00BD215E" w:rsidRDefault="001038E8" w:rsidP="00FB5641">
            <w:pPr>
              <w:pStyle w:val="Tablicanotka"/>
              <w:suppressAutoHyphens/>
              <w:spacing w:before="100" w:beforeAutospacing="1" w:after="100" w:afterAutospacing="1" w:line="240" w:lineRule="auto"/>
              <w:ind w:left="57" w:right="57"/>
              <w:rPr>
                <w:noProof w:val="0"/>
                <w:lang w:val="en-GB"/>
              </w:rPr>
            </w:pPr>
            <w:r w:rsidRPr="00BD215E">
              <w:rPr>
                <w:noProof w:val="0"/>
                <w:lang w:val="en-GB"/>
              </w:rPr>
              <w:t>Budgetary expenditure of ‘Healthcare’ in other parts of the State budget</w:t>
            </w:r>
          </w:p>
        </w:tc>
        <w:tc>
          <w:tcPr>
            <w:tcW w:w="709" w:type="dxa"/>
            <w:tcBorders>
              <w:top w:val="single" w:sz="12" w:space="0" w:color="001D77"/>
              <w:left w:val="single" w:sz="12" w:space="0" w:color="001D77"/>
              <w:bottom w:val="single" w:sz="12" w:space="0" w:color="001D77"/>
              <w:right w:val="single" w:sz="12" w:space="0" w:color="001D77"/>
            </w:tcBorders>
            <w:vAlign w:val="bottom"/>
          </w:tcPr>
          <w:p w14:paraId="6C8A29DE" w14:textId="77777777" w:rsidR="001038E8" w:rsidRPr="00BD215E" w:rsidRDefault="001038E8" w:rsidP="00FB5641">
            <w:pPr>
              <w:pStyle w:val="Tablicanotka"/>
              <w:suppressAutoHyphens/>
              <w:spacing w:before="100" w:beforeAutospacing="1" w:after="100" w:afterAutospacing="1" w:line="240" w:lineRule="auto"/>
              <w:ind w:right="57"/>
              <w:jc w:val="right"/>
              <w:rPr>
                <w:noProof w:val="0"/>
                <w:lang w:val="en-GB"/>
              </w:rPr>
            </w:pPr>
            <w:r w:rsidRPr="00BD215E">
              <w:rPr>
                <w:noProof w:val="0"/>
                <w:lang w:val="en-GB"/>
              </w:rPr>
              <w:t>6 962</w:t>
            </w:r>
          </w:p>
        </w:tc>
        <w:tc>
          <w:tcPr>
            <w:tcW w:w="709" w:type="dxa"/>
            <w:tcBorders>
              <w:top w:val="single" w:sz="12" w:space="0" w:color="001D77"/>
              <w:left w:val="single" w:sz="12" w:space="0" w:color="001D77"/>
              <w:bottom w:val="single" w:sz="12" w:space="0" w:color="001D77"/>
              <w:right w:val="single" w:sz="12" w:space="0" w:color="001D77"/>
            </w:tcBorders>
            <w:vAlign w:val="bottom"/>
          </w:tcPr>
          <w:p w14:paraId="0B751CAB" w14:textId="77777777" w:rsidR="001038E8" w:rsidRPr="00BD215E" w:rsidRDefault="001038E8" w:rsidP="00FB5641">
            <w:pPr>
              <w:pStyle w:val="Tablicanotka"/>
              <w:spacing w:before="100" w:beforeAutospacing="1" w:after="100" w:afterAutospacing="1" w:line="240" w:lineRule="auto"/>
              <w:ind w:right="57"/>
              <w:jc w:val="right"/>
              <w:rPr>
                <w:noProof w:val="0"/>
                <w:lang w:val="en-GB"/>
              </w:rPr>
            </w:pPr>
            <w:r w:rsidRPr="00BD215E">
              <w:rPr>
                <w:noProof w:val="0"/>
                <w:lang w:val="en-GB"/>
              </w:rPr>
              <w:t>5 589</w:t>
            </w:r>
          </w:p>
        </w:tc>
        <w:tc>
          <w:tcPr>
            <w:tcW w:w="850" w:type="dxa"/>
            <w:tcBorders>
              <w:top w:val="single" w:sz="12" w:space="0" w:color="001D77"/>
              <w:left w:val="single" w:sz="12" w:space="0" w:color="001D77"/>
              <w:bottom w:val="single" w:sz="12" w:space="0" w:color="001D77"/>
              <w:right w:val="nil"/>
            </w:tcBorders>
            <w:vAlign w:val="bottom"/>
          </w:tcPr>
          <w:p w14:paraId="26D978B5" w14:textId="624199F1" w:rsidR="001038E8" w:rsidRPr="00BD215E" w:rsidRDefault="001038E8" w:rsidP="00FB5641">
            <w:pPr>
              <w:pStyle w:val="P68B1DB1-Normalny23"/>
              <w:spacing w:before="100" w:beforeAutospacing="1" w:after="100" w:afterAutospacing="1" w:line="240" w:lineRule="auto"/>
              <w:ind w:right="57"/>
              <w:jc w:val="right"/>
              <w:rPr>
                <w:lang w:val="en-GB"/>
              </w:rPr>
            </w:pPr>
            <w:r w:rsidRPr="00BD215E">
              <w:rPr>
                <w:lang w:val="en-GB"/>
              </w:rPr>
              <w:t>2</w:t>
            </w:r>
            <w:r w:rsidR="00BC64AE" w:rsidRPr="00BD215E">
              <w:rPr>
                <w:lang w:val="en-GB"/>
              </w:rPr>
              <w:t>.</w:t>
            </w:r>
            <w:r w:rsidRPr="00BD215E">
              <w:rPr>
                <w:lang w:val="en-GB"/>
              </w:rPr>
              <w:t>65</w:t>
            </w:r>
          </w:p>
        </w:tc>
        <w:tc>
          <w:tcPr>
            <w:tcW w:w="709" w:type="dxa"/>
            <w:tcBorders>
              <w:top w:val="single" w:sz="12" w:space="0" w:color="001D77"/>
              <w:left w:val="single" w:sz="12" w:space="0" w:color="001D77"/>
              <w:bottom w:val="single" w:sz="12" w:space="0" w:color="001D77"/>
              <w:right w:val="single" w:sz="12" w:space="0" w:color="001D77"/>
            </w:tcBorders>
            <w:vAlign w:val="bottom"/>
          </w:tcPr>
          <w:p w14:paraId="7FF86E26" w14:textId="77777777" w:rsidR="001038E8" w:rsidRPr="00BD215E" w:rsidRDefault="001038E8" w:rsidP="00FB5641">
            <w:pPr>
              <w:pStyle w:val="Tablicanotka"/>
              <w:spacing w:before="100" w:beforeAutospacing="1" w:after="100" w:afterAutospacing="1" w:line="240" w:lineRule="auto"/>
              <w:ind w:right="57"/>
              <w:jc w:val="right"/>
              <w:rPr>
                <w:noProof w:val="0"/>
                <w:lang w:val="en-GB"/>
              </w:rPr>
            </w:pPr>
            <w:r w:rsidRPr="00BD215E">
              <w:rPr>
                <w:noProof w:val="0"/>
                <w:lang w:val="en-GB"/>
              </w:rPr>
              <w:t>7 033</w:t>
            </w:r>
          </w:p>
        </w:tc>
        <w:tc>
          <w:tcPr>
            <w:tcW w:w="709" w:type="dxa"/>
            <w:tcBorders>
              <w:top w:val="single" w:sz="12" w:space="0" w:color="001D77"/>
              <w:left w:val="single" w:sz="12" w:space="0" w:color="001D77"/>
              <w:bottom w:val="single" w:sz="12" w:space="0" w:color="001D77"/>
              <w:right w:val="single" w:sz="12" w:space="0" w:color="001D77"/>
            </w:tcBorders>
            <w:vAlign w:val="bottom"/>
          </w:tcPr>
          <w:p w14:paraId="78A6A30F" w14:textId="77777777" w:rsidR="001038E8" w:rsidRPr="00BD215E" w:rsidRDefault="001038E8" w:rsidP="00FB5641">
            <w:pPr>
              <w:pStyle w:val="Tablicanotka"/>
              <w:spacing w:before="100" w:beforeAutospacing="1" w:after="100" w:afterAutospacing="1" w:line="240" w:lineRule="auto"/>
              <w:ind w:right="57"/>
              <w:jc w:val="right"/>
              <w:rPr>
                <w:noProof w:val="0"/>
                <w:lang w:val="en-GB"/>
              </w:rPr>
            </w:pPr>
            <w:r w:rsidRPr="00BD215E">
              <w:rPr>
                <w:noProof w:val="0"/>
                <w:lang w:val="en-GB"/>
              </w:rPr>
              <w:t>6 031</w:t>
            </w:r>
          </w:p>
        </w:tc>
        <w:tc>
          <w:tcPr>
            <w:tcW w:w="849" w:type="dxa"/>
            <w:tcBorders>
              <w:top w:val="single" w:sz="12" w:space="0" w:color="001D77"/>
              <w:left w:val="single" w:sz="12" w:space="0" w:color="001D77"/>
              <w:bottom w:val="single" w:sz="12" w:space="0" w:color="001D77"/>
              <w:right w:val="nil"/>
            </w:tcBorders>
            <w:vAlign w:val="bottom"/>
          </w:tcPr>
          <w:p w14:paraId="2BCA6F03" w14:textId="7D978E2A" w:rsidR="001038E8" w:rsidRPr="00BD215E" w:rsidRDefault="001038E8" w:rsidP="00FB5641">
            <w:pPr>
              <w:pStyle w:val="P68B1DB1-Normalny23"/>
              <w:spacing w:before="100" w:beforeAutospacing="1" w:after="100" w:afterAutospacing="1" w:line="240" w:lineRule="auto"/>
              <w:ind w:right="57"/>
              <w:jc w:val="right"/>
              <w:rPr>
                <w:lang w:val="en-GB"/>
              </w:rPr>
            </w:pPr>
            <w:r w:rsidRPr="00BD215E">
              <w:rPr>
                <w:lang w:val="en-GB"/>
              </w:rPr>
              <w:t>2</w:t>
            </w:r>
            <w:r w:rsidR="00BC64AE" w:rsidRPr="00BD215E">
              <w:rPr>
                <w:lang w:val="en-GB"/>
              </w:rPr>
              <w:t>.</w:t>
            </w:r>
            <w:r w:rsidRPr="00BD215E">
              <w:rPr>
                <w:lang w:val="en-GB"/>
              </w:rPr>
              <w:t>60</w:t>
            </w:r>
          </w:p>
        </w:tc>
      </w:tr>
      <w:tr w:rsidR="001038E8" w:rsidRPr="00BD215E" w14:paraId="5ADCD02E" w14:textId="77777777" w:rsidTr="00FB5641">
        <w:trPr>
          <w:gridAfter w:val="1"/>
          <w:wAfter w:w="99" w:type="dxa"/>
        </w:trPr>
        <w:tc>
          <w:tcPr>
            <w:tcW w:w="284" w:type="dxa"/>
            <w:tcBorders>
              <w:top w:val="single" w:sz="12" w:space="0" w:color="001D77"/>
              <w:bottom w:val="single" w:sz="12" w:space="0" w:color="001D77"/>
              <w:right w:val="single" w:sz="12" w:space="0" w:color="001D77"/>
            </w:tcBorders>
          </w:tcPr>
          <w:p w14:paraId="0AF2B006" w14:textId="77777777" w:rsidR="001038E8" w:rsidRPr="00BD215E" w:rsidRDefault="001038E8" w:rsidP="00FB5641">
            <w:pPr>
              <w:pStyle w:val="Tablicanotka"/>
              <w:spacing w:before="100" w:beforeAutospacing="1" w:after="100" w:afterAutospacing="1" w:line="240" w:lineRule="auto"/>
              <w:ind w:left="57"/>
              <w:rPr>
                <w:noProof w:val="0"/>
                <w:lang w:val="en-GB"/>
              </w:rPr>
            </w:pPr>
            <w:r w:rsidRPr="00BD215E">
              <w:rPr>
                <w:noProof w:val="0"/>
                <w:lang w:val="en-GB"/>
              </w:rPr>
              <w:t>IV</w:t>
            </w:r>
          </w:p>
        </w:tc>
        <w:tc>
          <w:tcPr>
            <w:tcW w:w="3402" w:type="dxa"/>
            <w:tcBorders>
              <w:top w:val="single" w:sz="12" w:space="0" w:color="001D77"/>
              <w:left w:val="single" w:sz="12" w:space="0" w:color="001D77"/>
              <w:bottom w:val="single" w:sz="12" w:space="0" w:color="001D77"/>
              <w:right w:val="single" w:sz="12" w:space="0" w:color="001D77"/>
            </w:tcBorders>
          </w:tcPr>
          <w:p w14:paraId="1B577A13" w14:textId="77777777" w:rsidR="001038E8" w:rsidRPr="00BD215E" w:rsidRDefault="001038E8" w:rsidP="00FB5641">
            <w:pPr>
              <w:pStyle w:val="Tablicanotka"/>
              <w:suppressAutoHyphens/>
              <w:spacing w:before="100" w:beforeAutospacing="1" w:after="100" w:afterAutospacing="1" w:line="240" w:lineRule="auto"/>
              <w:ind w:left="57" w:right="57"/>
              <w:rPr>
                <w:noProof w:val="0"/>
                <w:lang w:val="en-GB"/>
              </w:rPr>
            </w:pPr>
            <w:r w:rsidRPr="00BD215E">
              <w:rPr>
                <w:noProof w:val="0"/>
                <w:lang w:val="en-GB"/>
              </w:rPr>
              <w:t>Costs of the National Health Fund included in the financial plan of the Fund excluding funds from the Medical Fund transferred to the Fund</w:t>
            </w:r>
          </w:p>
        </w:tc>
        <w:tc>
          <w:tcPr>
            <w:tcW w:w="709" w:type="dxa"/>
            <w:tcBorders>
              <w:top w:val="single" w:sz="12" w:space="0" w:color="001D77"/>
              <w:left w:val="single" w:sz="12" w:space="0" w:color="001D77"/>
              <w:bottom w:val="single" w:sz="12" w:space="0" w:color="001D77"/>
              <w:right w:val="single" w:sz="12" w:space="0" w:color="001D77"/>
            </w:tcBorders>
            <w:vAlign w:val="bottom"/>
          </w:tcPr>
          <w:p w14:paraId="05F2DE9B" w14:textId="77777777" w:rsidR="001038E8" w:rsidRPr="00BD215E" w:rsidRDefault="001038E8" w:rsidP="00FB5641">
            <w:pPr>
              <w:pStyle w:val="Tablicanotka"/>
              <w:suppressAutoHyphens/>
              <w:spacing w:before="100" w:beforeAutospacing="1" w:after="100" w:afterAutospacing="1" w:line="240" w:lineRule="auto"/>
              <w:ind w:right="57"/>
              <w:jc w:val="right"/>
              <w:rPr>
                <w:noProof w:val="0"/>
                <w:lang w:val="en-GB"/>
              </w:rPr>
            </w:pPr>
            <w:r w:rsidRPr="00BD215E">
              <w:rPr>
                <w:noProof w:val="0"/>
                <w:lang w:val="en-GB"/>
              </w:rPr>
              <w:t>156 546</w:t>
            </w:r>
          </w:p>
        </w:tc>
        <w:tc>
          <w:tcPr>
            <w:tcW w:w="709" w:type="dxa"/>
            <w:tcBorders>
              <w:top w:val="single" w:sz="12" w:space="0" w:color="001D77"/>
              <w:left w:val="single" w:sz="12" w:space="0" w:color="001D77"/>
              <w:bottom w:val="single" w:sz="12" w:space="0" w:color="001D77"/>
              <w:right w:val="single" w:sz="12" w:space="0" w:color="001D77"/>
            </w:tcBorders>
            <w:vAlign w:val="bottom"/>
          </w:tcPr>
          <w:p w14:paraId="5152A085" w14:textId="77777777" w:rsidR="001038E8" w:rsidRPr="00BD215E" w:rsidRDefault="001038E8" w:rsidP="00FB5641">
            <w:pPr>
              <w:pStyle w:val="Tablicanotka"/>
              <w:spacing w:before="100" w:beforeAutospacing="1" w:after="100" w:afterAutospacing="1" w:line="240" w:lineRule="auto"/>
              <w:ind w:right="57"/>
              <w:jc w:val="right"/>
              <w:rPr>
                <w:noProof w:val="0"/>
                <w:lang w:val="en-GB"/>
              </w:rPr>
            </w:pPr>
            <w:r w:rsidRPr="00BD215E">
              <w:rPr>
                <w:noProof w:val="0"/>
                <w:lang w:val="en-GB"/>
              </w:rPr>
              <w:t>174 021</w:t>
            </w:r>
            <w:r w:rsidRPr="00BD215E">
              <w:rPr>
                <w:noProof w:val="0"/>
                <w:vertAlign w:val="superscript"/>
                <w:lang w:val="en-GB"/>
              </w:rPr>
              <w:t xml:space="preserve"> b</w:t>
            </w:r>
          </w:p>
        </w:tc>
        <w:tc>
          <w:tcPr>
            <w:tcW w:w="850" w:type="dxa"/>
            <w:tcBorders>
              <w:top w:val="single" w:sz="12" w:space="0" w:color="001D77"/>
              <w:left w:val="single" w:sz="12" w:space="0" w:color="001D77"/>
              <w:bottom w:val="single" w:sz="12" w:space="0" w:color="001D77"/>
              <w:right w:val="nil"/>
            </w:tcBorders>
            <w:vAlign w:val="bottom"/>
          </w:tcPr>
          <w:p w14:paraId="69E501B4" w14:textId="7DD72989" w:rsidR="001038E8" w:rsidRPr="00BD215E" w:rsidRDefault="001038E8" w:rsidP="00FB5641">
            <w:pPr>
              <w:pStyle w:val="P68B1DB1-Normalny23"/>
              <w:spacing w:before="100" w:beforeAutospacing="1" w:after="100" w:afterAutospacing="1" w:line="240" w:lineRule="auto"/>
              <w:ind w:right="57"/>
              <w:jc w:val="right"/>
              <w:rPr>
                <w:lang w:val="en-GB"/>
              </w:rPr>
            </w:pPr>
            <w:r w:rsidRPr="00BD215E">
              <w:rPr>
                <w:lang w:val="en-GB"/>
              </w:rPr>
              <w:t>82</w:t>
            </w:r>
            <w:r w:rsidR="00BC64AE" w:rsidRPr="00BD215E">
              <w:rPr>
                <w:lang w:val="en-GB"/>
              </w:rPr>
              <w:t>.</w:t>
            </w:r>
            <w:r w:rsidRPr="00BD215E">
              <w:rPr>
                <w:lang w:val="en-GB"/>
              </w:rPr>
              <w:t>61</w:t>
            </w:r>
          </w:p>
        </w:tc>
        <w:tc>
          <w:tcPr>
            <w:tcW w:w="709" w:type="dxa"/>
            <w:tcBorders>
              <w:top w:val="single" w:sz="12" w:space="0" w:color="001D77"/>
              <w:left w:val="single" w:sz="12" w:space="0" w:color="001D77"/>
              <w:bottom w:val="single" w:sz="12" w:space="0" w:color="001D77"/>
              <w:right w:val="single" w:sz="12" w:space="0" w:color="001D77"/>
            </w:tcBorders>
            <w:vAlign w:val="bottom"/>
          </w:tcPr>
          <w:p w14:paraId="117F4C1B" w14:textId="77777777" w:rsidR="001038E8" w:rsidRPr="00BD215E" w:rsidRDefault="001038E8" w:rsidP="00FB5641">
            <w:pPr>
              <w:pStyle w:val="Tablicanotka"/>
              <w:spacing w:before="100" w:beforeAutospacing="1" w:after="100" w:afterAutospacing="1" w:line="240" w:lineRule="auto"/>
              <w:ind w:right="57"/>
              <w:jc w:val="right"/>
              <w:rPr>
                <w:noProof w:val="0"/>
                <w:lang w:val="en-GB"/>
              </w:rPr>
            </w:pPr>
            <w:r w:rsidRPr="00BD215E">
              <w:rPr>
                <w:noProof w:val="0"/>
                <w:lang w:val="en-GB"/>
              </w:rPr>
              <w:t>176 504</w:t>
            </w:r>
          </w:p>
        </w:tc>
        <w:tc>
          <w:tcPr>
            <w:tcW w:w="709" w:type="dxa"/>
            <w:tcBorders>
              <w:top w:val="single" w:sz="12" w:space="0" w:color="001D77"/>
              <w:left w:val="single" w:sz="12" w:space="0" w:color="001D77"/>
              <w:bottom w:val="single" w:sz="12" w:space="0" w:color="001D77"/>
              <w:right w:val="single" w:sz="12" w:space="0" w:color="001D77"/>
            </w:tcBorders>
            <w:vAlign w:val="bottom"/>
          </w:tcPr>
          <w:p w14:paraId="5B9768FF" w14:textId="77777777" w:rsidR="001038E8" w:rsidRPr="00BD215E" w:rsidRDefault="001038E8" w:rsidP="00FB5641">
            <w:pPr>
              <w:pStyle w:val="Tablicanotka"/>
              <w:spacing w:before="100" w:beforeAutospacing="1" w:after="100" w:afterAutospacing="1" w:line="240" w:lineRule="auto"/>
              <w:ind w:right="57"/>
              <w:jc w:val="right"/>
              <w:rPr>
                <w:noProof w:val="0"/>
                <w:lang w:val="en-GB"/>
              </w:rPr>
            </w:pPr>
            <w:r w:rsidRPr="00BD215E">
              <w:rPr>
                <w:noProof w:val="0"/>
                <w:lang w:val="en-GB"/>
              </w:rPr>
              <w:t>178 867</w:t>
            </w:r>
            <w:r w:rsidRPr="00BD215E">
              <w:rPr>
                <w:noProof w:val="0"/>
                <w:vertAlign w:val="superscript"/>
                <w:lang w:val="en-GB"/>
              </w:rPr>
              <w:t xml:space="preserve"> c</w:t>
            </w:r>
          </w:p>
        </w:tc>
        <w:tc>
          <w:tcPr>
            <w:tcW w:w="849" w:type="dxa"/>
            <w:tcBorders>
              <w:top w:val="single" w:sz="12" w:space="0" w:color="001D77"/>
              <w:left w:val="single" w:sz="12" w:space="0" w:color="001D77"/>
              <w:bottom w:val="single" w:sz="12" w:space="0" w:color="001D77"/>
              <w:right w:val="nil"/>
            </w:tcBorders>
            <w:vAlign w:val="bottom"/>
          </w:tcPr>
          <w:p w14:paraId="5AA3D986" w14:textId="400BBE22" w:rsidR="001038E8" w:rsidRPr="00BD215E" w:rsidRDefault="001038E8" w:rsidP="00FB5641">
            <w:pPr>
              <w:pStyle w:val="P68B1DB1-Normalny23"/>
              <w:spacing w:before="100" w:beforeAutospacing="1" w:after="100" w:afterAutospacing="1" w:line="240" w:lineRule="auto"/>
              <w:ind w:right="57"/>
              <w:jc w:val="right"/>
              <w:rPr>
                <w:lang w:val="en-GB"/>
              </w:rPr>
            </w:pPr>
            <w:r w:rsidRPr="00BD215E">
              <w:rPr>
                <w:lang w:val="en-GB"/>
              </w:rPr>
              <w:t>77</w:t>
            </w:r>
            <w:r w:rsidR="00BC64AE" w:rsidRPr="00BD215E">
              <w:rPr>
                <w:lang w:val="en-GB"/>
              </w:rPr>
              <w:t>.</w:t>
            </w:r>
            <w:r w:rsidRPr="00BD215E">
              <w:rPr>
                <w:lang w:val="en-GB"/>
              </w:rPr>
              <w:t>05</w:t>
            </w:r>
          </w:p>
        </w:tc>
      </w:tr>
      <w:tr w:rsidR="001038E8" w:rsidRPr="00BD215E" w14:paraId="3BF803DE" w14:textId="77777777" w:rsidTr="00FB5641">
        <w:trPr>
          <w:gridAfter w:val="1"/>
          <w:wAfter w:w="99" w:type="dxa"/>
        </w:trPr>
        <w:tc>
          <w:tcPr>
            <w:tcW w:w="284" w:type="dxa"/>
            <w:tcBorders>
              <w:top w:val="single" w:sz="12" w:space="0" w:color="001D77"/>
              <w:bottom w:val="single" w:sz="12" w:space="0" w:color="001D77"/>
              <w:right w:val="single" w:sz="12" w:space="0" w:color="001D77"/>
            </w:tcBorders>
          </w:tcPr>
          <w:p w14:paraId="642B6121" w14:textId="77777777" w:rsidR="001038E8" w:rsidRPr="00BD215E" w:rsidRDefault="001038E8" w:rsidP="00FB5641">
            <w:pPr>
              <w:pStyle w:val="Tablicanotka"/>
              <w:spacing w:before="100" w:beforeAutospacing="1" w:after="100" w:afterAutospacing="1" w:line="240" w:lineRule="auto"/>
              <w:ind w:left="57"/>
              <w:rPr>
                <w:noProof w:val="0"/>
                <w:lang w:val="en-GB"/>
              </w:rPr>
            </w:pPr>
            <w:r w:rsidRPr="00BD215E">
              <w:rPr>
                <w:noProof w:val="0"/>
                <w:lang w:val="en-GB"/>
              </w:rPr>
              <w:t>V</w:t>
            </w:r>
          </w:p>
        </w:tc>
        <w:tc>
          <w:tcPr>
            <w:tcW w:w="3402" w:type="dxa"/>
            <w:tcBorders>
              <w:top w:val="single" w:sz="12" w:space="0" w:color="001D77"/>
              <w:left w:val="single" w:sz="12" w:space="0" w:color="001D77"/>
              <w:bottom w:val="single" w:sz="12" w:space="0" w:color="001D77"/>
              <w:right w:val="single" w:sz="12" w:space="0" w:color="001D77"/>
            </w:tcBorders>
          </w:tcPr>
          <w:p w14:paraId="6F3A28D2" w14:textId="77777777" w:rsidR="001038E8" w:rsidRPr="00BD215E" w:rsidRDefault="001038E8" w:rsidP="00FB5641">
            <w:pPr>
              <w:pStyle w:val="Tablicanotka"/>
              <w:suppressAutoHyphens/>
              <w:spacing w:before="100" w:beforeAutospacing="1" w:after="100" w:afterAutospacing="1" w:line="240" w:lineRule="auto"/>
              <w:ind w:left="57" w:right="57"/>
              <w:rPr>
                <w:noProof w:val="0"/>
                <w:lang w:val="en-GB"/>
              </w:rPr>
            </w:pPr>
            <w:r w:rsidRPr="00BD215E">
              <w:rPr>
                <w:noProof w:val="0"/>
                <w:lang w:val="en-GB"/>
              </w:rPr>
              <w:t>Costs of the Medical Studies Loan Fund included in the Fund’s financial plan</w:t>
            </w:r>
          </w:p>
        </w:tc>
        <w:tc>
          <w:tcPr>
            <w:tcW w:w="709" w:type="dxa"/>
            <w:tcBorders>
              <w:top w:val="single" w:sz="12" w:space="0" w:color="001D77"/>
              <w:left w:val="single" w:sz="12" w:space="0" w:color="001D77"/>
              <w:bottom w:val="single" w:sz="12" w:space="0" w:color="001D77"/>
              <w:right w:val="single" w:sz="12" w:space="0" w:color="001D77"/>
            </w:tcBorders>
            <w:vAlign w:val="bottom"/>
          </w:tcPr>
          <w:p w14:paraId="253CE778" w14:textId="77777777" w:rsidR="001038E8" w:rsidRPr="00BD215E" w:rsidRDefault="001038E8" w:rsidP="00FB5641">
            <w:pPr>
              <w:pStyle w:val="Tablicanotka"/>
              <w:suppressAutoHyphens/>
              <w:spacing w:before="100" w:beforeAutospacing="1" w:after="100" w:afterAutospacing="1" w:line="240" w:lineRule="auto"/>
              <w:ind w:right="57"/>
              <w:jc w:val="right"/>
              <w:rPr>
                <w:noProof w:val="0"/>
                <w:lang w:val="en-GB"/>
              </w:rPr>
            </w:pPr>
            <w:r w:rsidRPr="00BD215E">
              <w:rPr>
                <w:noProof w:val="0"/>
                <w:lang w:val="en-GB"/>
              </w:rPr>
              <w:t>0</w:t>
            </w:r>
          </w:p>
        </w:tc>
        <w:tc>
          <w:tcPr>
            <w:tcW w:w="709" w:type="dxa"/>
            <w:tcBorders>
              <w:top w:val="single" w:sz="12" w:space="0" w:color="001D77"/>
              <w:left w:val="single" w:sz="12" w:space="0" w:color="001D77"/>
              <w:bottom w:val="single" w:sz="12" w:space="0" w:color="001D77"/>
              <w:right w:val="single" w:sz="12" w:space="0" w:color="001D77"/>
            </w:tcBorders>
            <w:vAlign w:val="bottom"/>
          </w:tcPr>
          <w:p w14:paraId="2C889EB7" w14:textId="77777777" w:rsidR="001038E8" w:rsidRPr="00BD215E" w:rsidRDefault="001038E8" w:rsidP="00FB5641">
            <w:pPr>
              <w:pStyle w:val="Tablicanotka"/>
              <w:spacing w:before="100" w:beforeAutospacing="1" w:after="100" w:afterAutospacing="1" w:line="240" w:lineRule="auto"/>
              <w:ind w:right="57"/>
              <w:jc w:val="right"/>
              <w:rPr>
                <w:noProof w:val="0"/>
                <w:lang w:val="en-GB"/>
              </w:rPr>
            </w:pPr>
            <w:r w:rsidRPr="00BD215E">
              <w:rPr>
                <w:noProof w:val="0"/>
                <w:lang w:val="en-GB"/>
              </w:rPr>
              <w:t>0</w:t>
            </w:r>
          </w:p>
        </w:tc>
        <w:tc>
          <w:tcPr>
            <w:tcW w:w="850" w:type="dxa"/>
            <w:tcBorders>
              <w:top w:val="single" w:sz="12" w:space="0" w:color="001D77"/>
              <w:left w:val="single" w:sz="12" w:space="0" w:color="001D77"/>
              <w:bottom w:val="single" w:sz="12" w:space="0" w:color="001D77"/>
              <w:right w:val="nil"/>
            </w:tcBorders>
            <w:vAlign w:val="bottom"/>
          </w:tcPr>
          <w:p w14:paraId="103DAE32" w14:textId="2EC3BC73" w:rsidR="001038E8" w:rsidRPr="00BD215E" w:rsidRDefault="001038E8" w:rsidP="00FB5641">
            <w:pPr>
              <w:pStyle w:val="P68B1DB1-Normalny23"/>
              <w:spacing w:before="100" w:beforeAutospacing="1" w:after="100" w:afterAutospacing="1" w:line="240" w:lineRule="auto"/>
              <w:ind w:right="57"/>
              <w:jc w:val="right"/>
              <w:rPr>
                <w:lang w:val="en-GB"/>
              </w:rPr>
            </w:pPr>
            <w:r w:rsidRPr="00BD215E">
              <w:rPr>
                <w:lang w:val="en-GB"/>
              </w:rPr>
              <w:t>0</w:t>
            </w:r>
            <w:r w:rsidR="00BC64AE" w:rsidRPr="00BD215E">
              <w:rPr>
                <w:lang w:val="en-GB"/>
              </w:rPr>
              <w:t>.</w:t>
            </w:r>
            <w:r w:rsidRPr="00BD215E">
              <w:rPr>
                <w:lang w:val="en-GB"/>
              </w:rPr>
              <w:t>00</w:t>
            </w:r>
          </w:p>
        </w:tc>
        <w:tc>
          <w:tcPr>
            <w:tcW w:w="709" w:type="dxa"/>
            <w:tcBorders>
              <w:top w:val="single" w:sz="12" w:space="0" w:color="001D77"/>
              <w:left w:val="single" w:sz="12" w:space="0" w:color="001D77"/>
              <w:bottom w:val="single" w:sz="12" w:space="0" w:color="001D77"/>
              <w:right w:val="single" w:sz="12" w:space="0" w:color="001D77"/>
            </w:tcBorders>
            <w:vAlign w:val="bottom"/>
          </w:tcPr>
          <w:p w14:paraId="2950743B" w14:textId="77777777" w:rsidR="001038E8" w:rsidRPr="00BD215E" w:rsidRDefault="001038E8" w:rsidP="00FB5641">
            <w:pPr>
              <w:pStyle w:val="Tablicanotka"/>
              <w:spacing w:before="100" w:beforeAutospacing="1" w:after="100" w:afterAutospacing="1" w:line="240" w:lineRule="auto"/>
              <w:ind w:right="57"/>
              <w:jc w:val="right"/>
              <w:rPr>
                <w:noProof w:val="0"/>
                <w:lang w:val="en-GB"/>
              </w:rPr>
            </w:pPr>
            <w:r w:rsidRPr="00BD215E">
              <w:rPr>
                <w:noProof w:val="0"/>
                <w:lang w:val="en-GB"/>
              </w:rPr>
              <w:t>0</w:t>
            </w:r>
          </w:p>
        </w:tc>
        <w:tc>
          <w:tcPr>
            <w:tcW w:w="709" w:type="dxa"/>
            <w:tcBorders>
              <w:top w:val="single" w:sz="12" w:space="0" w:color="001D77"/>
              <w:left w:val="single" w:sz="12" w:space="0" w:color="001D77"/>
              <w:bottom w:val="single" w:sz="12" w:space="0" w:color="001D77"/>
              <w:right w:val="single" w:sz="12" w:space="0" w:color="001D77"/>
            </w:tcBorders>
            <w:vAlign w:val="bottom"/>
          </w:tcPr>
          <w:p w14:paraId="0E87BA87" w14:textId="77777777" w:rsidR="001038E8" w:rsidRPr="00BD215E" w:rsidRDefault="001038E8" w:rsidP="00FB5641">
            <w:pPr>
              <w:pStyle w:val="Tablicanotka"/>
              <w:spacing w:before="100" w:beforeAutospacing="1" w:after="100" w:afterAutospacing="1" w:line="240" w:lineRule="auto"/>
              <w:ind w:right="57"/>
              <w:jc w:val="right"/>
              <w:rPr>
                <w:noProof w:val="0"/>
                <w:lang w:val="en-GB"/>
              </w:rPr>
            </w:pPr>
            <w:r w:rsidRPr="00BD215E">
              <w:rPr>
                <w:noProof w:val="0"/>
                <w:lang w:val="en-GB"/>
              </w:rPr>
              <w:t>0</w:t>
            </w:r>
          </w:p>
        </w:tc>
        <w:tc>
          <w:tcPr>
            <w:tcW w:w="849" w:type="dxa"/>
            <w:tcBorders>
              <w:top w:val="single" w:sz="12" w:space="0" w:color="001D77"/>
              <w:left w:val="single" w:sz="12" w:space="0" w:color="001D77"/>
              <w:bottom w:val="single" w:sz="12" w:space="0" w:color="001D77"/>
              <w:right w:val="nil"/>
            </w:tcBorders>
            <w:vAlign w:val="bottom"/>
          </w:tcPr>
          <w:p w14:paraId="080B7E46" w14:textId="4EB5FBFC" w:rsidR="001038E8" w:rsidRPr="00BD215E" w:rsidRDefault="001038E8" w:rsidP="00FB5641">
            <w:pPr>
              <w:pStyle w:val="P68B1DB1-Normalny23"/>
              <w:spacing w:before="100" w:beforeAutospacing="1" w:after="100" w:afterAutospacing="1" w:line="240" w:lineRule="auto"/>
              <w:ind w:right="57"/>
              <w:jc w:val="right"/>
              <w:rPr>
                <w:lang w:val="en-GB"/>
              </w:rPr>
            </w:pPr>
            <w:r w:rsidRPr="00BD215E">
              <w:rPr>
                <w:lang w:val="en-GB"/>
              </w:rPr>
              <w:t>0</w:t>
            </w:r>
            <w:r w:rsidR="00BC64AE" w:rsidRPr="00BD215E">
              <w:rPr>
                <w:lang w:val="en-GB"/>
              </w:rPr>
              <w:t>.</w:t>
            </w:r>
            <w:r w:rsidRPr="00BD215E">
              <w:rPr>
                <w:lang w:val="en-GB"/>
              </w:rPr>
              <w:t>00</w:t>
            </w:r>
          </w:p>
        </w:tc>
      </w:tr>
      <w:tr w:rsidR="001038E8" w:rsidRPr="00BD215E" w14:paraId="5E4CD234" w14:textId="77777777" w:rsidTr="00FB5641">
        <w:trPr>
          <w:gridAfter w:val="1"/>
          <w:wAfter w:w="99" w:type="dxa"/>
        </w:trPr>
        <w:tc>
          <w:tcPr>
            <w:tcW w:w="284" w:type="dxa"/>
            <w:tcBorders>
              <w:top w:val="single" w:sz="12" w:space="0" w:color="001D77"/>
              <w:bottom w:val="single" w:sz="12" w:space="0" w:color="001D77"/>
              <w:right w:val="single" w:sz="12" w:space="0" w:color="001D77"/>
            </w:tcBorders>
          </w:tcPr>
          <w:p w14:paraId="34B93D95" w14:textId="77777777" w:rsidR="001038E8" w:rsidRPr="00BD215E" w:rsidRDefault="001038E8" w:rsidP="00FB5641">
            <w:pPr>
              <w:pStyle w:val="Tablicanotka"/>
              <w:spacing w:before="100" w:beforeAutospacing="1" w:after="100" w:afterAutospacing="1" w:line="240" w:lineRule="auto"/>
              <w:ind w:left="57"/>
              <w:rPr>
                <w:noProof w:val="0"/>
                <w:lang w:val="en-GB"/>
              </w:rPr>
            </w:pPr>
            <w:r w:rsidRPr="00BD215E">
              <w:rPr>
                <w:noProof w:val="0"/>
                <w:lang w:val="en-GB"/>
              </w:rPr>
              <w:t>VI</w:t>
            </w:r>
          </w:p>
        </w:tc>
        <w:tc>
          <w:tcPr>
            <w:tcW w:w="3402" w:type="dxa"/>
            <w:tcBorders>
              <w:top w:val="single" w:sz="12" w:space="0" w:color="001D77"/>
              <w:left w:val="single" w:sz="12" w:space="0" w:color="001D77"/>
              <w:bottom w:val="single" w:sz="12" w:space="0" w:color="001D77"/>
              <w:right w:val="single" w:sz="12" w:space="0" w:color="001D77"/>
            </w:tcBorders>
          </w:tcPr>
          <w:p w14:paraId="417C401D" w14:textId="77777777" w:rsidR="001038E8" w:rsidRPr="00BD215E" w:rsidRDefault="001038E8" w:rsidP="00FB5641">
            <w:pPr>
              <w:pStyle w:val="Tablicanotka"/>
              <w:suppressAutoHyphens/>
              <w:spacing w:before="100" w:beforeAutospacing="1" w:after="100" w:afterAutospacing="1" w:line="240" w:lineRule="auto"/>
              <w:ind w:left="57" w:right="57"/>
              <w:rPr>
                <w:noProof w:val="0"/>
                <w:lang w:val="en-GB"/>
              </w:rPr>
            </w:pPr>
            <w:r w:rsidRPr="00BD215E">
              <w:rPr>
                <w:noProof w:val="0"/>
                <w:lang w:val="en-GB"/>
              </w:rPr>
              <w:t>Costs included in the financial plan of the Immunisation Compensation Fund</w:t>
            </w:r>
          </w:p>
        </w:tc>
        <w:tc>
          <w:tcPr>
            <w:tcW w:w="709" w:type="dxa"/>
            <w:tcBorders>
              <w:top w:val="single" w:sz="12" w:space="0" w:color="001D77"/>
              <w:left w:val="single" w:sz="12" w:space="0" w:color="001D77"/>
              <w:bottom w:val="single" w:sz="12" w:space="0" w:color="001D77"/>
              <w:right w:val="single" w:sz="12" w:space="0" w:color="001D77"/>
            </w:tcBorders>
            <w:vAlign w:val="bottom"/>
          </w:tcPr>
          <w:p w14:paraId="56B48135" w14:textId="77777777" w:rsidR="001038E8" w:rsidRPr="00BD215E" w:rsidRDefault="001038E8" w:rsidP="00FB5641">
            <w:pPr>
              <w:pStyle w:val="Tablicanotka"/>
              <w:suppressAutoHyphens/>
              <w:spacing w:before="100" w:beforeAutospacing="1" w:after="100" w:afterAutospacing="1" w:line="240" w:lineRule="auto"/>
              <w:ind w:right="57"/>
              <w:jc w:val="right"/>
              <w:rPr>
                <w:noProof w:val="0"/>
                <w:lang w:val="en-GB"/>
              </w:rPr>
            </w:pPr>
            <w:r w:rsidRPr="00BD215E">
              <w:rPr>
                <w:noProof w:val="0"/>
                <w:lang w:val="en-GB"/>
              </w:rPr>
              <w:t>4</w:t>
            </w:r>
          </w:p>
        </w:tc>
        <w:tc>
          <w:tcPr>
            <w:tcW w:w="709" w:type="dxa"/>
            <w:tcBorders>
              <w:top w:val="single" w:sz="12" w:space="0" w:color="001D77"/>
              <w:left w:val="single" w:sz="12" w:space="0" w:color="001D77"/>
              <w:bottom w:val="single" w:sz="12" w:space="0" w:color="001D77"/>
              <w:right w:val="single" w:sz="12" w:space="0" w:color="001D77"/>
            </w:tcBorders>
            <w:vAlign w:val="bottom"/>
          </w:tcPr>
          <w:p w14:paraId="65CDC4F0" w14:textId="6751F719" w:rsidR="001038E8" w:rsidRPr="00BD215E" w:rsidRDefault="001038E8" w:rsidP="00FB5641">
            <w:pPr>
              <w:pStyle w:val="Tablicanotka"/>
              <w:spacing w:before="100" w:beforeAutospacing="1" w:after="100" w:afterAutospacing="1" w:line="240" w:lineRule="auto"/>
              <w:ind w:right="57"/>
              <w:jc w:val="right"/>
              <w:rPr>
                <w:noProof w:val="0"/>
                <w:lang w:val="en-GB"/>
              </w:rPr>
            </w:pPr>
            <w:r w:rsidRPr="00BD215E">
              <w:rPr>
                <w:noProof w:val="0"/>
                <w:lang w:val="en-GB"/>
              </w:rPr>
              <w:t>0</w:t>
            </w:r>
            <w:r w:rsidR="00BC64AE" w:rsidRPr="00BD215E">
              <w:rPr>
                <w:noProof w:val="0"/>
                <w:lang w:val="en-GB"/>
              </w:rPr>
              <w:t>.</w:t>
            </w:r>
            <w:r w:rsidRPr="00BD215E">
              <w:rPr>
                <w:noProof w:val="0"/>
                <w:lang w:val="en-GB"/>
              </w:rPr>
              <w:t>09</w:t>
            </w:r>
          </w:p>
        </w:tc>
        <w:tc>
          <w:tcPr>
            <w:tcW w:w="850" w:type="dxa"/>
            <w:tcBorders>
              <w:top w:val="single" w:sz="12" w:space="0" w:color="001D77"/>
              <w:left w:val="single" w:sz="12" w:space="0" w:color="001D77"/>
              <w:bottom w:val="single" w:sz="12" w:space="0" w:color="001D77"/>
              <w:right w:val="nil"/>
            </w:tcBorders>
            <w:vAlign w:val="bottom"/>
          </w:tcPr>
          <w:p w14:paraId="2209209A" w14:textId="5504194F" w:rsidR="001038E8" w:rsidRPr="00BD215E" w:rsidRDefault="001038E8" w:rsidP="00FB5641">
            <w:pPr>
              <w:pStyle w:val="P68B1DB1-Normalny23"/>
              <w:spacing w:before="100" w:beforeAutospacing="1" w:after="100" w:afterAutospacing="1" w:line="240" w:lineRule="auto"/>
              <w:ind w:right="57"/>
              <w:jc w:val="right"/>
              <w:rPr>
                <w:lang w:val="en-GB"/>
              </w:rPr>
            </w:pPr>
            <w:r w:rsidRPr="00BD215E">
              <w:rPr>
                <w:lang w:val="en-GB"/>
              </w:rPr>
              <w:t>0</w:t>
            </w:r>
            <w:r w:rsidR="00BC64AE" w:rsidRPr="00BD215E">
              <w:rPr>
                <w:lang w:val="en-GB"/>
              </w:rPr>
              <w:t>.</w:t>
            </w:r>
            <w:r w:rsidRPr="00BD215E">
              <w:rPr>
                <w:lang w:val="en-GB"/>
              </w:rPr>
              <w:t>00</w:t>
            </w:r>
          </w:p>
        </w:tc>
        <w:tc>
          <w:tcPr>
            <w:tcW w:w="709" w:type="dxa"/>
            <w:tcBorders>
              <w:top w:val="single" w:sz="12" w:space="0" w:color="001D77"/>
              <w:left w:val="single" w:sz="12" w:space="0" w:color="001D77"/>
              <w:bottom w:val="single" w:sz="12" w:space="0" w:color="001D77"/>
              <w:right w:val="single" w:sz="12" w:space="0" w:color="001D77"/>
            </w:tcBorders>
            <w:vAlign w:val="bottom"/>
          </w:tcPr>
          <w:p w14:paraId="53347F9F" w14:textId="77777777" w:rsidR="001038E8" w:rsidRPr="00BD215E" w:rsidRDefault="001038E8" w:rsidP="00FB5641">
            <w:pPr>
              <w:pStyle w:val="Tablicanotka"/>
              <w:spacing w:before="100" w:beforeAutospacing="1" w:after="100" w:afterAutospacing="1" w:line="240" w:lineRule="auto"/>
              <w:ind w:right="57"/>
              <w:jc w:val="right"/>
              <w:rPr>
                <w:noProof w:val="0"/>
                <w:lang w:val="en-GB"/>
              </w:rPr>
            </w:pPr>
            <w:r w:rsidRPr="00BD215E">
              <w:rPr>
                <w:noProof w:val="0"/>
                <w:lang w:val="en-GB"/>
              </w:rPr>
              <w:t>3</w:t>
            </w:r>
          </w:p>
        </w:tc>
        <w:tc>
          <w:tcPr>
            <w:tcW w:w="709" w:type="dxa"/>
            <w:tcBorders>
              <w:top w:val="single" w:sz="12" w:space="0" w:color="001D77"/>
              <w:left w:val="single" w:sz="12" w:space="0" w:color="001D77"/>
              <w:bottom w:val="single" w:sz="12" w:space="0" w:color="001D77"/>
              <w:right w:val="single" w:sz="12" w:space="0" w:color="001D77"/>
            </w:tcBorders>
            <w:vAlign w:val="bottom"/>
          </w:tcPr>
          <w:p w14:paraId="2010E223" w14:textId="09DABCD6" w:rsidR="001038E8" w:rsidRPr="00BD215E" w:rsidRDefault="001038E8" w:rsidP="00FB5641">
            <w:pPr>
              <w:pStyle w:val="Tablicanotka"/>
              <w:spacing w:before="100" w:beforeAutospacing="1" w:after="100" w:afterAutospacing="1" w:line="240" w:lineRule="auto"/>
              <w:ind w:right="57"/>
              <w:jc w:val="right"/>
              <w:rPr>
                <w:noProof w:val="0"/>
                <w:lang w:val="en-GB"/>
              </w:rPr>
            </w:pPr>
            <w:r w:rsidRPr="00BD215E">
              <w:rPr>
                <w:noProof w:val="0"/>
                <w:lang w:val="en-GB"/>
              </w:rPr>
              <w:t>0</w:t>
            </w:r>
            <w:r w:rsidR="00BC64AE" w:rsidRPr="00BD215E">
              <w:rPr>
                <w:noProof w:val="0"/>
                <w:lang w:val="en-GB"/>
              </w:rPr>
              <w:t>.</w:t>
            </w:r>
            <w:r w:rsidRPr="00BD215E">
              <w:rPr>
                <w:noProof w:val="0"/>
                <w:lang w:val="en-GB"/>
              </w:rPr>
              <w:t>07</w:t>
            </w:r>
          </w:p>
        </w:tc>
        <w:tc>
          <w:tcPr>
            <w:tcW w:w="849" w:type="dxa"/>
            <w:tcBorders>
              <w:top w:val="single" w:sz="12" w:space="0" w:color="001D77"/>
              <w:left w:val="single" w:sz="12" w:space="0" w:color="001D77"/>
              <w:bottom w:val="single" w:sz="12" w:space="0" w:color="001D77"/>
              <w:right w:val="nil"/>
            </w:tcBorders>
            <w:vAlign w:val="bottom"/>
          </w:tcPr>
          <w:p w14:paraId="42C0175B" w14:textId="6C0C22FD" w:rsidR="001038E8" w:rsidRPr="00BD215E" w:rsidRDefault="001038E8" w:rsidP="00FB5641">
            <w:pPr>
              <w:pStyle w:val="P68B1DB1-Normalny23"/>
              <w:spacing w:before="100" w:beforeAutospacing="1" w:after="100" w:afterAutospacing="1" w:line="240" w:lineRule="auto"/>
              <w:ind w:right="57"/>
              <w:jc w:val="right"/>
              <w:rPr>
                <w:lang w:val="en-GB"/>
              </w:rPr>
            </w:pPr>
            <w:r w:rsidRPr="00BD215E">
              <w:rPr>
                <w:lang w:val="en-GB"/>
              </w:rPr>
              <w:t>0</w:t>
            </w:r>
            <w:r w:rsidR="00BC64AE" w:rsidRPr="00BD215E">
              <w:rPr>
                <w:lang w:val="en-GB"/>
              </w:rPr>
              <w:t>.</w:t>
            </w:r>
            <w:r w:rsidRPr="00BD215E">
              <w:rPr>
                <w:lang w:val="en-GB"/>
              </w:rPr>
              <w:t>00</w:t>
            </w:r>
          </w:p>
        </w:tc>
      </w:tr>
      <w:tr w:rsidR="001038E8" w:rsidRPr="00BD215E" w14:paraId="24967338" w14:textId="77777777" w:rsidTr="00FB5641">
        <w:trPr>
          <w:gridAfter w:val="1"/>
          <w:wAfter w:w="99" w:type="dxa"/>
        </w:trPr>
        <w:tc>
          <w:tcPr>
            <w:tcW w:w="284" w:type="dxa"/>
            <w:tcBorders>
              <w:top w:val="single" w:sz="12" w:space="0" w:color="001D77"/>
              <w:bottom w:val="single" w:sz="12" w:space="0" w:color="001D77"/>
              <w:right w:val="single" w:sz="12" w:space="0" w:color="001D77"/>
            </w:tcBorders>
          </w:tcPr>
          <w:p w14:paraId="4428EE0E" w14:textId="77777777" w:rsidR="001038E8" w:rsidRPr="00BD215E" w:rsidRDefault="001038E8" w:rsidP="00FB5641">
            <w:pPr>
              <w:pStyle w:val="Tablicanotka"/>
              <w:spacing w:before="100" w:beforeAutospacing="1" w:after="100" w:afterAutospacing="1" w:line="240" w:lineRule="auto"/>
              <w:ind w:left="57"/>
              <w:rPr>
                <w:noProof w:val="0"/>
                <w:lang w:val="en-GB"/>
              </w:rPr>
            </w:pPr>
            <w:r w:rsidRPr="00BD215E">
              <w:rPr>
                <w:noProof w:val="0"/>
                <w:lang w:val="en-GB"/>
              </w:rPr>
              <w:t>VII</w:t>
            </w:r>
          </w:p>
        </w:tc>
        <w:tc>
          <w:tcPr>
            <w:tcW w:w="3402" w:type="dxa"/>
            <w:tcBorders>
              <w:top w:val="single" w:sz="12" w:space="0" w:color="001D77"/>
              <w:left w:val="single" w:sz="12" w:space="0" w:color="001D77"/>
              <w:bottom w:val="single" w:sz="12" w:space="0" w:color="001D77"/>
              <w:right w:val="single" w:sz="12" w:space="0" w:color="001D77"/>
            </w:tcBorders>
          </w:tcPr>
          <w:p w14:paraId="71416EC4" w14:textId="77777777" w:rsidR="001038E8" w:rsidRPr="00BD215E" w:rsidRDefault="001038E8" w:rsidP="00FB5641">
            <w:pPr>
              <w:pStyle w:val="Tablicanotka"/>
              <w:suppressAutoHyphens/>
              <w:spacing w:before="100" w:beforeAutospacing="1" w:after="100" w:afterAutospacing="1" w:line="240" w:lineRule="auto"/>
              <w:ind w:left="57" w:right="57"/>
              <w:rPr>
                <w:noProof w:val="0"/>
                <w:lang w:val="en-GB"/>
              </w:rPr>
            </w:pPr>
            <w:r w:rsidRPr="00BD215E">
              <w:rPr>
                <w:noProof w:val="0"/>
                <w:lang w:val="en-GB"/>
              </w:rPr>
              <w:t>Costs included in the financial plan of the Gambling Resolution Fund</w:t>
            </w:r>
          </w:p>
        </w:tc>
        <w:tc>
          <w:tcPr>
            <w:tcW w:w="709" w:type="dxa"/>
            <w:tcBorders>
              <w:top w:val="single" w:sz="12" w:space="0" w:color="001D77"/>
              <w:left w:val="single" w:sz="12" w:space="0" w:color="001D77"/>
              <w:bottom w:val="single" w:sz="12" w:space="0" w:color="001D77"/>
              <w:right w:val="single" w:sz="12" w:space="0" w:color="001D77"/>
            </w:tcBorders>
            <w:vAlign w:val="bottom"/>
          </w:tcPr>
          <w:p w14:paraId="764353AE" w14:textId="77777777" w:rsidR="001038E8" w:rsidRPr="00BD215E" w:rsidRDefault="001038E8" w:rsidP="00FB5641">
            <w:pPr>
              <w:pStyle w:val="Tablicanotka"/>
              <w:suppressAutoHyphens/>
              <w:spacing w:before="100" w:beforeAutospacing="1" w:after="100" w:afterAutospacing="1" w:line="240" w:lineRule="auto"/>
              <w:ind w:right="57"/>
              <w:jc w:val="right"/>
              <w:rPr>
                <w:noProof w:val="0"/>
                <w:lang w:val="en-GB"/>
              </w:rPr>
            </w:pPr>
            <w:r w:rsidRPr="00BD215E">
              <w:rPr>
                <w:noProof w:val="0"/>
                <w:lang w:val="en-GB"/>
              </w:rPr>
              <w:t>12</w:t>
            </w:r>
          </w:p>
        </w:tc>
        <w:tc>
          <w:tcPr>
            <w:tcW w:w="709" w:type="dxa"/>
            <w:tcBorders>
              <w:top w:val="single" w:sz="12" w:space="0" w:color="001D77"/>
              <w:left w:val="single" w:sz="12" w:space="0" w:color="001D77"/>
              <w:bottom w:val="single" w:sz="12" w:space="0" w:color="001D77"/>
              <w:right w:val="single" w:sz="12" w:space="0" w:color="001D77"/>
            </w:tcBorders>
            <w:vAlign w:val="bottom"/>
          </w:tcPr>
          <w:p w14:paraId="0FEE2B6E" w14:textId="77777777" w:rsidR="001038E8" w:rsidRPr="00BD215E" w:rsidRDefault="001038E8" w:rsidP="00FB5641">
            <w:pPr>
              <w:pStyle w:val="Tablicanotka"/>
              <w:spacing w:before="100" w:beforeAutospacing="1" w:after="100" w:afterAutospacing="1" w:line="240" w:lineRule="auto"/>
              <w:ind w:right="57"/>
              <w:jc w:val="right"/>
              <w:rPr>
                <w:noProof w:val="0"/>
                <w:lang w:val="en-GB"/>
              </w:rPr>
            </w:pPr>
            <w:r w:rsidRPr="00BD215E">
              <w:rPr>
                <w:noProof w:val="0"/>
                <w:lang w:val="en-GB"/>
              </w:rPr>
              <w:t>23</w:t>
            </w:r>
          </w:p>
        </w:tc>
        <w:tc>
          <w:tcPr>
            <w:tcW w:w="850" w:type="dxa"/>
            <w:tcBorders>
              <w:top w:val="single" w:sz="12" w:space="0" w:color="001D77"/>
              <w:left w:val="single" w:sz="12" w:space="0" w:color="001D77"/>
              <w:bottom w:val="single" w:sz="12" w:space="0" w:color="001D77"/>
              <w:right w:val="nil"/>
            </w:tcBorders>
            <w:vAlign w:val="bottom"/>
          </w:tcPr>
          <w:p w14:paraId="3F04E01F" w14:textId="1D00C471" w:rsidR="001038E8" w:rsidRPr="00BD215E" w:rsidRDefault="001038E8" w:rsidP="00FB5641">
            <w:pPr>
              <w:pStyle w:val="P68B1DB1-Normalny23"/>
              <w:spacing w:before="100" w:beforeAutospacing="1" w:after="100" w:afterAutospacing="1" w:line="240" w:lineRule="auto"/>
              <w:ind w:right="57"/>
              <w:jc w:val="right"/>
              <w:rPr>
                <w:lang w:val="en-GB"/>
              </w:rPr>
            </w:pPr>
            <w:r w:rsidRPr="00BD215E">
              <w:rPr>
                <w:lang w:val="en-GB"/>
              </w:rPr>
              <w:t xml:space="preserve"> 0</w:t>
            </w:r>
            <w:r w:rsidR="00BC64AE" w:rsidRPr="00BD215E">
              <w:rPr>
                <w:lang w:val="en-GB"/>
              </w:rPr>
              <w:t>.</w:t>
            </w:r>
            <w:r w:rsidRPr="00BD215E">
              <w:rPr>
                <w:lang w:val="en-GB"/>
              </w:rPr>
              <w:t>01</w:t>
            </w:r>
          </w:p>
        </w:tc>
        <w:tc>
          <w:tcPr>
            <w:tcW w:w="709" w:type="dxa"/>
            <w:tcBorders>
              <w:top w:val="single" w:sz="12" w:space="0" w:color="001D77"/>
              <w:left w:val="single" w:sz="12" w:space="0" w:color="001D77"/>
              <w:bottom w:val="single" w:sz="12" w:space="0" w:color="001D77"/>
              <w:right w:val="single" w:sz="12" w:space="0" w:color="001D77"/>
            </w:tcBorders>
            <w:vAlign w:val="bottom"/>
          </w:tcPr>
          <w:p w14:paraId="3916D1D7" w14:textId="77777777" w:rsidR="001038E8" w:rsidRPr="00BD215E" w:rsidRDefault="001038E8" w:rsidP="00FB5641">
            <w:pPr>
              <w:pStyle w:val="Tablicanotka"/>
              <w:spacing w:before="100" w:beforeAutospacing="1" w:after="100" w:afterAutospacing="1" w:line="240" w:lineRule="auto"/>
              <w:ind w:right="57"/>
              <w:jc w:val="right"/>
              <w:rPr>
                <w:noProof w:val="0"/>
                <w:lang w:val="en-GB"/>
              </w:rPr>
            </w:pPr>
            <w:r w:rsidRPr="00BD215E">
              <w:rPr>
                <w:noProof w:val="0"/>
                <w:lang w:val="en-GB"/>
              </w:rPr>
              <w:t>13</w:t>
            </w:r>
          </w:p>
        </w:tc>
        <w:tc>
          <w:tcPr>
            <w:tcW w:w="709" w:type="dxa"/>
            <w:tcBorders>
              <w:top w:val="single" w:sz="12" w:space="0" w:color="001D77"/>
              <w:left w:val="single" w:sz="12" w:space="0" w:color="001D77"/>
              <w:bottom w:val="single" w:sz="12" w:space="0" w:color="001D77"/>
              <w:right w:val="single" w:sz="12" w:space="0" w:color="001D77"/>
            </w:tcBorders>
            <w:vAlign w:val="bottom"/>
          </w:tcPr>
          <w:p w14:paraId="3B7CF102" w14:textId="77777777" w:rsidR="001038E8" w:rsidRPr="00BD215E" w:rsidRDefault="001038E8" w:rsidP="00FB5641">
            <w:pPr>
              <w:pStyle w:val="Tablicanotka"/>
              <w:spacing w:before="100" w:beforeAutospacing="1" w:after="100" w:afterAutospacing="1" w:line="240" w:lineRule="auto"/>
              <w:ind w:right="57"/>
              <w:jc w:val="right"/>
              <w:rPr>
                <w:noProof w:val="0"/>
                <w:lang w:val="en-GB"/>
              </w:rPr>
            </w:pPr>
            <w:r w:rsidRPr="00BD215E">
              <w:rPr>
                <w:noProof w:val="0"/>
                <w:lang w:val="en-GB"/>
              </w:rPr>
              <w:t>11</w:t>
            </w:r>
          </w:p>
        </w:tc>
        <w:tc>
          <w:tcPr>
            <w:tcW w:w="849" w:type="dxa"/>
            <w:tcBorders>
              <w:top w:val="single" w:sz="12" w:space="0" w:color="001D77"/>
              <w:left w:val="single" w:sz="12" w:space="0" w:color="001D77"/>
              <w:bottom w:val="single" w:sz="12" w:space="0" w:color="001D77"/>
              <w:right w:val="nil"/>
            </w:tcBorders>
            <w:vAlign w:val="bottom"/>
          </w:tcPr>
          <w:p w14:paraId="4336B3A4" w14:textId="30C522B3" w:rsidR="001038E8" w:rsidRPr="00BD215E" w:rsidRDefault="001038E8" w:rsidP="00FB5641">
            <w:pPr>
              <w:pStyle w:val="P68B1DB1-Normalny23"/>
              <w:spacing w:before="100" w:beforeAutospacing="1" w:after="100" w:afterAutospacing="1" w:line="240" w:lineRule="auto"/>
              <w:ind w:right="57"/>
              <w:jc w:val="right"/>
              <w:rPr>
                <w:lang w:val="en-GB"/>
              </w:rPr>
            </w:pPr>
            <w:r w:rsidRPr="00BD215E">
              <w:rPr>
                <w:lang w:val="en-GB"/>
              </w:rPr>
              <w:t xml:space="preserve"> 0</w:t>
            </w:r>
            <w:r w:rsidR="00BC64AE" w:rsidRPr="00BD215E">
              <w:rPr>
                <w:lang w:val="en-GB"/>
              </w:rPr>
              <w:t>.</w:t>
            </w:r>
            <w:r w:rsidRPr="00BD215E">
              <w:rPr>
                <w:lang w:val="en-GB"/>
              </w:rPr>
              <w:t>00</w:t>
            </w:r>
          </w:p>
        </w:tc>
      </w:tr>
      <w:tr w:rsidR="001038E8" w:rsidRPr="00BD215E" w14:paraId="35175735" w14:textId="77777777" w:rsidTr="00FB5641">
        <w:trPr>
          <w:gridAfter w:val="1"/>
          <w:wAfter w:w="99" w:type="dxa"/>
        </w:trPr>
        <w:tc>
          <w:tcPr>
            <w:tcW w:w="284" w:type="dxa"/>
            <w:tcBorders>
              <w:top w:val="single" w:sz="12" w:space="0" w:color="001D77"/>
              <w:bottom w:val="single" w:sz="12" w:space="0" w:color="001D77"/>
              <w:right w:val="single" w:sz="12" w:space="0" w:color="001D77"/>
            </w:tcBorders>
          </w:tcPr>
          <w:p w14:paraId="3ACF009D" w14:textId="77777777" w:rsidR="001038E8" w:rsidRPr="00BD215E" w:rsidRDefault="001038E8" w:rsidP="00FB5641">
            <w:pPr>
              <w:pStyle w:val="Tablicanotka"/>
              <w:spacing w:before="100" w:beforeAutospacing="1" w:after="100" w:afterAutospacing="1" w:line="240" w:lineRule="auto"/>
              <w:ind w:left="57"/>
              <w:rPr>
                <w:noProof w:val="0"/>
                <w:lang w:val="en-GB"/>
              </w:rPr>
            </w:pPr>
            <w:r w:rsidRPr="00BD215E">
              <w:rPr>
                <w:noProof w:val="0"/>
                <w:lang w:val="en-GB"/>
              </w:rPr>
              <w:t>VIII</w:t>
            </w:r>
          </w:p>
        </w:tc>
        <w:tc>
          <w:tcPr>
            <w:tcW w:w="3402" w:type="dxa"/>
            <w:tcBorders>
              <w:top w:val="single" w:sz="12" w:space="0" w:color="001D77"/>
              <w:left w:val="single" w:sz="12" w:space="0" w:color="001D77"/>
              <w:bottom w:val="single" w:sz="12" w:space="0" w:color="001D77"/>
              <w:right w:val="single" w:sz="12" w:space="0" w:color="001D77"/>
            </w:tcBorders>
          </w:tcPr>
          <w:p w14:paraId="325755A3" w14:textId="77777777" w:rsidR="001038E8" w:rsidRPr="00BD215E" w:rsidRDefault="001038E8" w:rsidP="00FB5641">
            <w:pPr>
              <w:pStyle w:val="Tablicanotka"/>
              <w:suppressAutoHyphens/>
              <w:spacing w:before="100" w:beforeAutospacing="1" w:after="100" w:afterAutospacing="1" w:line="240" w:lineRule="auto"/>
              <w:ind w:left="57" w:right="57"/>
              <w:rPr>
                <w:noProof w:val="0"/>
                <w:lang w:val="en-GB"/>
              </w:rPr>
            </w:pPr>
            <w:r w:rsidRPr="00BD215E">
              <w:rPr>
                <w:noProof w:val="0"/>
                <w:lang w:val="en-GB"/>
              </w:rPr>
              <w:t>Write-off for the Agency for Health Technology Assessment and Tariffs in question</w:t>
            </w:r>
            <w:r w:rsidRPr="00BD215E">
              <w:rPr>
                <w:noProof w:val="0"/>
                <w:lang w:val="en-GB"/>
              </w:rPr>
              <w:br/>
              <w:t>in Article 31t para. Laws 5-9 included in the Fund’s financial plan</w:t>
            </w:r>
          </w:p>
        </w:tc>
        <w:tc>
          <w:tcPr>
            <w:tcW w:w="709" w:type="dxa"/>
            <w:tcBorders>
              <w:top w:val="single" w:sz="12" w:space="0" w:color="001D77"/>
              <w:left w:val="single" w:sz="12" w:space="0" w:color="001D77"/>
              <w:bottom w:val="single" w:sz="12" w:space="0" w:color="001D77"/>
              <w:right w:val="single" w:sz="12" w:space="0" w:color="001D77"/>
            </w:tcBorders>
            <w:vAlign w:val="bottom"/>
          </w:tcPr>
          <w:p w14:paraId="5B7D1672" w14:textId="77777777" w:rsidR="001038E8" w:rsidRPr="00BD215E" w:rsidRDefault="001038E8" w:rsidP="00FB5641">
            <w:pPr>
              <w:pStyle w:val="Tablicanotka"/>
              <w:suppressAutoHyphens/>
              <w:spacing w:before="100" w:beforeAutospacing="1" w:after="100" w:afterAutospacing="1" w:line="240" w:lineRule="auto"/>
              <w:ind w:right="57"/>
              <w:jc w:val="right"/>
              <w:rPr>
                <w:noProof w:val="0"/>
                <w:lang w:val="en-GB"/>
              </w:rPr>
            </w:pPr>
            <w:r w:rsidRPr="00BD215E">
              <w:rPr>
                <w:noProof w:val="0"/>
                <w:lang w:val="en-GB"/>
              </w:rPr>
              <w:t>82</w:t>
            </w:r>
          </w:p>
        </w:tc>
        <w:tc>
          <w:tcPr>
            <w:tcW w:w="709" w:type="dxa"/>
            <w:tcBorders>
              <w:top w:val="single" w:sz="12" w:space="0" w:color="001D77"/>
              <w:left w:val="single" w:sz="12" w:space="0" w:color="001D77"/>
              <w:bottom w:val="single" w:sz="12" w:space="0" w:color="001D77"/>
              <w:right w:val="single" w:sz="12" w:space="0" w:color="001D77"/>
            </w:tcBorders>
            <w:vAlign w:val="bottom"/>
          </w:tcPr>
          <w:p w14:paraId="68D2F126" w14:textId="77777777" w:rsidR="001038E8" w:rsidRPr="00BD215E" w:rsidRDefault="001038E8" w:rsidP="00FB5641">
            <w:pPr>
              <w:pStyle w:val="Tablicanotka"/>
              <w:spacing w:before="100" w:beforeAutospacing="1" w:after="100" w:afterAutospacing="1" w:line="240" w:lineRule="auto"/>
              <w:ind w:right="57"/>
              <w:jc w:val="right"/>
              <w:rPr>
                <w:noProof w:val="0"/>
                <w:lang w:val="en-GB"/>
              </w:rPr>
            </w:pPr>
            <w:r w:rsidRPr="00BD215E">
              <w:rPr>
                <w:noProof w:val="0"/>
                <w:lang w:val="en-GB"/>
              </w:rPr>
              <w:t>82</w:t>
            </w:r>
          </w:p>
        </w:tc>
        <w:tc>
          <w:tcPr>
            <w:tcW w:w="850" w:type="dxa"/>
            <w:tcBorders>
              <w:top w:val="single" w:sz="12" w:space="0" w:color="001D77"/>
              <w:left w:val="single" w:sz="12" w:space="0" w:color="001D77"/>
              <w:bottom w:val="single" w:sz="12" w:space="0" w:color="001D77"/>
              <w:right w:val="nil"/>
            </w:tcBorders>
            <w:vAlign w:val="bottom"/>
          </w:tcPr>
          <w:p w14:paraId="7F7A218E" w14:textId="6E38DF76" w:rsidR="001038E8" w:rsidRPr="00BD215E" w:rsidRDefault="001038E8" w:rsidP="00FB5641">
            <w:pPr>
              <w:pStyle w:val="P68B1DB1-Normalny23"/>
              <w:spacing w:before="100" w:beforeAutospacing="1" w:after="100" w:afterAutospacing="1" w:line="240" w:lineRule="auto"/>
              <w:ind w:right="57"/>
              <w:jc w:val="right"/>
              <w:rPr>
                <w:lang w:val="en-GB"/>
              </w:rPr>
            </w:pPr>
            <w:r w:rsidRPr="00BD215E">
              <w:rPr>
                <w:lang w:val="en-GB"/>
              </w:rPr>
              <w:t xml:space="preserve"> 0</w:t>
            </w:r>
            <w:r w:rsidR="00BC64AE" w:rsidRPr="00BD215E">
              <w:rPr>
                <w:lang w:val="en-GB"/>
              </w:rPr>
              <w:t>.</w:t>
            </w:r>
            <w:r w:rsidRPr="00BD215E">
              <w:rPr>
                <w:lang w:val="en-GB"/>
              </w:rPr>
              <w:t>04</w:t>
            </w:r>
          </w:p>
        </w:tc>
        <w:tc>
          <w:tcPr>
            <w:tcW w:w="709" w:type="dxa"/>
            <w:tcBorders>
              <w:top w:val="single" w:sz="12" w:space="0" w:color="001D77"/>
              <w:left w:val="single" w:sz="12" w:space="0" w:color="001D77"/>
              <w:bottom w:val="single" w:sz="12" w:space="0" w:color="001D77"/>
              <w:right w:val="single" w:sz="12" w:space="0" w:color="001D77"/>
            </w:tcBorders>
            <w:vAlign w:val="bottom"/>
          </w:tcPr>
          <w:p w14:paraId="0B66543A" w14:textId="77777777" w:rsidR="001038E8" w:rsidRPr="00BD215E" w:rsidRDefault="001038E8" w:rsidP="00FB5641">
            <w:pPr>
              <w:pStyle w:val="Tablicanotka"/>
              <w:spacing w:before="100" w:beforeAutospacing="1" w:after="100" w:afterAutospacing="1" w:line="240" w:lineRule="auto"/>
              <w:ind w:right="57"/>
              <w:jc w:val="right"/>
              <w:rPr>
                <w:noProof w:val="0"/>
                <w:lang w:val="en-GB"/>
              </w:rPr>
            </w:pPr>
            <w:r w:rsidRPr="00BD215E">
              <w:rPr>
                <w:noProof w:val="0"/>
                <w:lang w:val="en-GB"/>
              </w:rPr>
              <w:t>84</w:t>
            </w:r>
          </w:p>
        </w:tc>
        <w:tc>
          <w:tcPr>
            <w:tcW w:w="709" w:type="dxa"/>
            <w:tcBorders>
              <w:top w:val="single" w:sz="12" w:space="0" w:color="001D77"/>
              <w:left w:val="single" w:sz="12" w:space="0" w:color="001D77"/>
              <w:bottom w:val="single" w:sz="12" w:space="0" w:color="001D77"/>
              <w:right w:val="single" w:sz="12" w:space="0" w:color="001D77"/>
            </w:tcBorders>
            <w:vAlign w:val="bottom"/>
          </w:tcPr>
          <w:p w14:paraId="6FB9F07C" w14:textId="77777777" w:rsidR="001038E8" w:rsidRPr="00BD215E" w:rsidRDefault="001038E8" w:rsidP="00FB5641">
            <w:pPr>
              <w:pStyle w:val="Tablicanotka"/>
              <w:spacing w:before="100" w:beforeAutospacing="1" w:after="100" w:afterAutospacing="1" w:line="240" w:lineRule="auto"/>
              <w:ind w:right="57"/>
              <w:jc w:val="right"/>
              <w:rPr>
                <w:noProof w:val="0"/>
                <w:lang w:val="en-GB"/>
              </w:rPr>
            </w:pPr>
            <w:r w:rsidRPr="00BD215E">
              <w:rPr>
                <w:noProof w:val="0"/>
                <w:lang w:val="en-GB"/>
              </w:rPr>
              <w:t>0</w:t>
            </w:r>
          </w:p>
        </w:tc>
        <w:tc>
          <w:tcPr>
            <w:tcW w:w="849" w:type="dxa"/>
            <w:tcBorders>
              <w:top w:val="single" w:sz="12" w:space="0" w:color="001D77"/>
              <w:left w:val="single" w:sz="12" w:space="0" w:color="001D77"/>
              <w:bottom w:val="single" w:sz="12" w:space="0" w:color="001D77"/>
              <w:right w:val="nil"/>
            </w:tcBorders>
            <w:vAlign w:val="bottom"/>
          </w:tcPr>
          <w:p w14:paraId="4B4BC6D3" w14:textId="0C5802F9" w:rsidR="001038E8" w:rsidRPr="00BD215E" w:rsidRDefault="001038E8" w:rsidP="00FB5641">
            <w:pPr>
              <w:pStyle w:val="P68B1DB1-Normalny23"/>
              <w:spacing w:before="100" w:beforeAutospacing="1" w:after="100" w:afterAutospacing="1" w:line="240" w:lineRule="auto"/>
              <w:ind w:right="57"/>
              <w:jc w:val="right"/>
              <w:rPr>
                <w:lang w:val="en-GB"/>
              </w:rPr>
            </w:pPr>
            <w:r w:rsidRPr="00BD215E">
              <w:rPr>
                <w:lang w:val="en-GB"/>
              </w:rPr>
              <w:t xml:space="preserve"> 0</w:t>
            </w:r>
            <w:r w:rsidR="00BC64AE" w:rsidRPr="00BD215E">
              <w:rPr>
                <w:lang w:val="en-GB"/>
              </w:rPr>
              <w:t>.</w:t>
            </w:r>
            <w:r w:rsidRPr="00BD215E">
              <w:rPr>
                <w:lang w:val="en-GB"/>
              </w:rPr>
              <w:t>00</w:t>
            </w:r>
          </w:p>
        </w:tc>
      </w:tr>
      <w:tr w:rsidR="001038E8" w:rsidRPr="00BD215E" w14:paraId="46C79F5D" w14:textId="77777777" w:rsidTr="00FB5641">
        <w:trPr>
          <w:gridAfter w:val="1"/>
          <w:wAfter w:w="99" w:type="dxa"/>
        </w:trPr>
        <w:tc>
          <w:tcPr>
            <w:tcW w:w="284" w:type="dxa"/>
            <w:tcBorders>
              <w:top w:val="single" w:sz="12" w:space="0" w:color="001D77"/>
              <w:bottom w:val="single" w:sz="12" w:space="0" w:color="001D77"/>
              <w:right w:val="single" w:sz="12" w:space="0" w:color="001D77"/>
            </w:tcBorders>
          </w:tcPr>
          <w:p w14:paraId="5B795BD4" w14:textId="77777777" w:rsidR="001038E8" w:rsidRPr="00BD215E" w:rsidRDefault="001038E8" w:rsidP="00FB5641">
            <w:pPr>
              <w:pStyle w:val="Tablicanotka"/>
              <w:spacing w:before="100" w:beforeAutospacing="1" w:after="100" w:afterAutospacing="1" w:line="240" w:lineRule="auto"/>
              <w:ind w:left="57"/>
              <w:rPr>
                <w:noProof w:val="0"/>
                <w:lang w:val="en-GB"/>
              </w:rPr>
            </w:pPr>
            <w:r w:rsidRPr="00BD215E">
              <w:rPr>
                <w:noProof w:val="0"/>
                <w:lang w:val="en-GB"/>
              </w:rPr>
              <w:t>IX</w:t>
            </w:r>
          </w:p>
        </w:tc>
        <w:tc>
          <w:tcPr>
            <w:tcW w:w="3402" w:type="dxa"/>
            <w:tcBorders>
              <w:top w:val="single" w:sz="12" w:space="0" w:color="001D77"/>
              <w:left w:val="single" w:sz="12" w:space="0" w:color="001D77"/>
              <w:bottom w:val="single" w:sz="12" w:space="0" w:color="001D77"/>
              <w:right w:val="single" w:sz="12" w:space="0" w:color="001D77"/>
            </w:tcBorders>
          </w:tcPr>
          <w:p w14:paraId="59C4AA1B" w14:textId="77777777" w:rsidR="001038E8" w:rsidRPr="00BD215E" w:rsidRDefault="001038E8" w:rsidP="00FB5641">
            <w:pPr>
              <w:pStyle w:val="Tablicanotka"/>
              <w:suppressAutoHyphens/>
              <w:spacing w:before="100" w:beforeAutospacing="1" w:after="100" w:afterAutospacing="1" w:line="240" w:lineRule="auto"/>
              <w:ind w:left="57" w:right="57"/>
              <w:rPr>
                <w:noProof w:val="0"/>
                <w:lang w:val="en-GB"/>
              </w:rPr>
            </w:pPr>
            <w:r w:rsidRPr="00BD215E">
              <w:rPr>
                <w:noProof w:val="0"/>
                <w:lang w:val="en-GB"/>
              </w:rPr>
              <w:t xml:space="preserve">Copy for the Medical Research Agency, </w:t>
            </w:r>
            <w:r w:rsidRPr="00BD215E">
              <w:rPr>
                <w:noProof w:val="0"/>
                <w:lang w:val="en-GB"/>
              </w:rPr>
              <w:br/>
              <w:t xml:space="preserve">referred to in Article 97 para. 3e, captured </w:t>
            </w:r>
            <w:r w:rsidRPr="00BD215E">
              <w:rPr>
                <w:noProof w:val="0"/>
                <w:lang w:val="en-GB"/>
              </w:rPr>
              <w:br/>
              <w:t>the Financial Plan of the Fund</w:t>
            </w:r>
          </w:p>
        </w:tc>
        <w:tc>
          <w:tcPr>
            <w:tcW w:w="709" w:type="dxa"/>
            <w:tcBorders>
              <w:top w:val="single" w:sz="12" w:space="0" w:color="001D77"/>
              <w:left w:val="single" w:sz="12" w:space="0" w:color="001D77"/>
              <w:bottom w:val="single" w:sz="12" w:space="0" w:color="001D77"/>
              <w:right w:val="single" w:sz="12" w:space="0" w:color="001D77"/>
            </w:tcBorders>
            <w:vAlign w:val="bottom"/>
          </w:tcPr>
          <w:p w14:paraId="68BEC2B2" w14:textId="77777777" w:rsidR="001038E8" w:rsidRPr="00BD215E" w:rsidRDefault="001038E8" w:rsidP="00FB5641">
            <w:pPr>
              <w:pStyle w:val="Tablicanotka"/>
              <w:suppressAutoHyphens/>
              <w:spacing w:before="100" w:beforeAutospacing="1" w:after="100" w:afterAutospacing="1" w:line="240" w:lineRule="auto"/>
              <w:ind w:right="57"/>
              <w:jc w:val="right"/>
              <w:rPr>
                <w:noProof w:val="0"/>
                <w:lang w:val="en-GB"/>
              </w:rPr>
            </w:pPr>
            <w:r w:rsidRPr="00BD215E">
              <w:rPr>
                <w:noProof w:val="0"/>
                <w:lang w:val="en-GB"/>
              </w:rPr>
              <w:t>460</w:t>
            </w:r>
          </w:p>
        </w:tc>
        <w:tc>
          <w:tcPr>
            <w:tcW w:w="709" w:type="dxa"/>
            <w:tcBorders>
              <w:top w:val="single" w:sz="12" w:space="0" w:color="001D77"/>
              <w:left w:val="single" w:sz="12" w:space="0" w:color="001D77"/>
              <w:bottom w:val="single" w:sz="12" w:space="0" w:color="001D77"/>
              <w:right w:val="single" w:sz="12" w:space="0" w:color="001D77"/>
            </w:tcBorders>
            <w:vAlign w:val="bottom"/>
          </w:tcPr>
          <w:p w14:paraId="79400E49" w14:textId="77777777" w:rsidR="001038E8" w:rsidRPr="00BD215E" w:rsidRDefault="001038E8" w:rsidP="00FB5641">
            <w:pPr>
              <w:pStyle w:val="Tablicanotka"/>
              <w:spacing w:before="100" w:beforeAutospacing="1" w:after="100" w:afterAutospacing="1" w:line="240" w:lineRule="auto"/>
              <w:ind w:right="57"/>
              <w:jc w:val="right"/>
              <w:rPr>
                <w:noProof w:val="0"/>
                <w:lang w:val="en-GB"/>
              </w:rPr>
            </w:pPr>
            <w:r w:rsidRPr="00BD215E">
              <w:rPr>
                <w:noProof w:val="0"/>
                <w:lang w:val="en-GB"/>
              </w:rPr>
              <w:t>460</w:t>
            </w:r>
          </w:p>
        </w:tc>
        <w:tc>
          <w:tcPr>
            <w:tcW w:w="850" w:type="dxa"/>
            <w:tcBorders>
              <w:top w:val="single" w:sz="12" w:space="0" w:color="001D77"/>
              <w:left w:val="single" w:sz="12" w:space="0" w:color="001D77"/>
              <w:bottom w:val="single" w:sz="12" w:space="0" w:color="001D77"/>
              <w:right w:val="nil"/>
            </w:tcBorders>
            <w:vAlign w:val="bottom"/>
          </w:tcPr>
          <w:p w14:paraId="29710EBE" w14:textId="696B25E0" w:rsidR="001038E8" w:rsidRPr="00BD215E" w:rsidRDefault="001038E8" w:rsidP="00FB5641">
            <w:pPr>
              <w:pStyle w:val="P68B1DB1-Normalny23"/>
              <w:spacing w:before="100" w:beforeAutospacing="1" w:after="100" w:afterAutospacing="1" w:line="240" w:lineRule="auto"/>
              <w:ind w:right="57"/>
              <w:jc w:val="right"/>
              <w:rPr>
                <w:lang w:val="en-GB"/>
              </w:rPr>
            </w:pPr>
            <w:r w:rsidRPr="00BD215E">
              <w:rPr>
                <w:lang w:val="en-GB"/>
              </w:rPr>
              <w:t xml:space="preserve"> 0</w:t>
            </w:r>
            <w:r w:rsidR="00BC64AE" w:rsidRPr="00BD215E">
              <w:rPr>
                <w:lang w:val="en-GB"/>
              </w:rPr>
              <w:t>.</w:t>
            </w:r>
            <w:r w:rsidRPr="00BD215E">
              <w:rPr>
                <w:lang w:val="en-GB"/>
              </w:rPr>
              <w:t>22</w:t>
            </w:r>
          </w:p>
        </w:tc>
        <w:tc>
          <w:tcPr>
            <w:tcW w:w="709" w:type="dxa"/>
            <w:tcBorders>
              <w:top w:val="single" w:sz="12" w:space="0" w:color="001D77"/>
              <w:left w:val="single" w:sz="12" w:space="0" w:color="001D77"/>
              <w:bottom w:val="single" w:sz="12" w:space="0" w:color="001D77"/>
              <w:right w:val="single" w:sz="12" w:space="0" w:color="001D77"/>
            </w:tcBorders>
            <w:vAlign w:val="bottom"/>
          </w:tcPr>
          <w:p w14:paraId="714F4B30" w14:textId="77777777" w:rsidR="001038E8" w:rsidRPr="00BD215E" w:rsidRDefault="001038E8" w:rsidP="00FB5641">
            <w:pPr>
              <w:pStyle w:val="Tablicanotka"/>
              <w:spacing w:before="100" w:beforeAutospacing="1" w:after="100" w:afterAutospacing="1" w:line="240" w:lineRule="auto"/>
              <w:ind w:right="57"/>
              <w:jc w:val="right"/>
              <w:rPr>
                <w:noProof w:val="0"/>
                <w:lang w:val="en-GB"/>
              </w:rPr>
            </w:pPr>
            <w:r w:rsidRPr="00BD215E">
              <w:rPr>
                <w:noProof w:val="0"/>
                <w:lang w:val="en-GB"/>
              </w:rPr>
              <w:t>520</w:t>
            </w:r>
          </w:p>
        </w:tc>
        <w:tc>
          <w:tcPr>
            <w:tcW w:w="709" w:type="dxa"/>
            <w:tcBorders>
              <w:top w:val="single" w:sz="12" w:space="0" w:color="001D77"/>
              <w:left w:val="single" w:sz="12" w:space="0" w:color="001D77"/>
              <w:bottom w:val="single" w:sz="12" w:space="0" w:color="001D77"/>
              <w:right w:val="single" w:sz="12" w:space="0" w:color="001D77"/>
            </w:tcBorders>
            <w:vAlign w:val="bottom"/>
          </w:tcPr>
          <w:p w14:paraId="0A046B2C" w14:textId="77777777" w:rsidR="001038E8" w:rsidRPr="00BD215E" w:rsidRDefault="001038E8" w:rsidP="00FB5641">
            <w:pPr>
              <w:pStyle w:val="Tablicanotka"/>
              <w:spacing w:before="100" w:beforeAutospacing="1" w:after="100" w:afterAutospacing="1" w:line="240" w:lineRule="auto"/>
              <w:ind w:right="57"/>
              <w:jc w:val="right"/>
              <w:rPr>
                <w:noProof w:val="0"/>
                <w:lang w:val="en-GB"/>
              </w:rPr>
            </w:pPr>
            <w:r w:rsidRPr="00BD215E">
              <w:rPr>
                <w:noProof w:val="0"/>
                <w:lang w:val="en-GB"/>
              </w:rPr>
              <w:t>520</w:t>
            </w:r>
          </w:p>
        </w:tc>
        <w:tc>
          <w:tcPr>
            <w:tcW w:w="849" w:type="dxa"/>
            <w:tcBorders>
              <w:top w:val="single" w:sz="12" w:space="0" w:color="001D77"/>
              <w:left w:val="single" w:sz="12" w:space="0" w:color="001D77"/>
              <w:bottom w:val="single" w:sz="12" w:space="0" w:color="001D77"/>
              <w:right w:val="nil"/>
            </w:tcBorders>
            <w:vAlign w:val="bottom"/>
          </w:tcPr>
          <w:p w14:paraId="66903ED7" w14:textId="13F38DE2" w:rsidR="001038E8" w:rsidRPr="00BD215E" w:rsidRDefault="001038E8" w:rsidP="00FB5641">
            <w:pPr>
              <w:pStyle w:val="P68B1DB1-Normalny23"/>
              <w:spacing w:before="100" w:beforeAutospacing="1" w:after="100" w:afterAutospacing="1" w:line="240" w:lineRule="auto"/>
              <w:ind w:right="57"/>
              <w:jc w:val="right"/>
              <w:rPr>
                <w:lang w:val="en-GB"/>
              </w:rPr>
            </w:pPr>
            <w:r w:rsidRPr="00BD215E">
              <w:rPr>
                <w:lang w:val="en-GB"/>
              </w:rPr>
              <w:t xml:space="preserve"> 0</w:t>
            </w:r>
            <w:r w:rsidR="00BC64AE" w:rsidRPr="00BD215E">
              <w:rPr>
                <w:lang w:val="en-GB"/>
              </w:rPr>
              <w:t>.</w:t>
            </w:r>
            <w:r w:rsidRPr="00BD215E">
              <w:rPr>
                <w:lang w:val="en-GB"/>
              </w:rPr>
              <w:t>22</w:t>
            </w:r>
          </w:p>
        </w:tc>
      </w:tr>
      <w:tr w:rsidR="001038E8" w:rsidRPr="00BD215E" w14:paraId="434465E6" w14:textId="77777777" w:rsidTr="00FB5641">
        <w:trPr>
          <w:gridAfter w:val="1"/>
          <w:wAfter w:w="99" w:type="dxa"/>
        </w:trPr>
        <w:tc>
          <w:tcPr>
            <w:tcW w:w="284" w:type="dxa"/>
            <w:tcBorders>
              <w:top w:val="single" w:sz="12" w:space="0" w:color="001D77"/>
              <w:bottom w:val="single" w:sz="12" w:space="0" w:color="001D77"/>
              <w:right w:val="single" w:sz="12" w:space="0" w:color="001D77"/>
            </w:tcBorders>
          </w:tcPr>
          <w:p w14:paraId="733983C8" w14:textId="77777777" w:rsidR="001038E8" w:rsidRPr="00BD215E" w:rsidRDefault="001038E8" w:rsidP="00FB5641">
            <w:pPr>
              <w:pStyle w:val="Tablicanotka"/>
              <w:spacing w:before="100" w:beforeAutospacing="1" w:after="100" w:afterAutospacing="1" w:line="240" w:lineRule="auto"/>
              <w:ind w:left="57"/>
              <w:rPr>
                <w:noProof w:val="0"/>
                <w:lang w:val="en-GB"/>
              </w:rPr>
            </w:pPr>
            <w:r w:rsidRPr="00BD215E">
              <w:rPr>
                <w:noProof w:val="0"/>
                <w:lang w:val="en-GB"/>
              </w:rPr>
              <w:t>X</w:t>
            </w:r>
          </w:p>
        </w:tc>
        <w:tc>
          <w:tcPr>
            <w:tcW w:w="3402" w:type="dxa"/>
            <w:tcBorders>
              <w:top w:val="nil"/>
              <w:left w:val="nil"/>
              <w:bottom w:val="single" w:sz="8" w:space="0" w:color="auto"/>
              <w:right w:val="single" w:sz="8" w:space="0" w:color="auto"/>
            </w:tcBorders>
            <w:vAlign w:val="center"/>
          </w:tcPr>
          <w:p w14:paraId="00817710" w14:textId="77777777" w:rsidR="001038E8" w:rsidRPr="00BD215E" w:rsidRDefault="001038E8" w:rsidP="00FB5641">
            <w:pPr>
              <w:pStyle w:val="Tablicanotka"/>
              <w:suppressAutoHyphens/>
              <w:spacing w:before="100" w:beforeAutospacing="1" w:after="100" w:afterAutospacing="1" w:line="240" w:lineRule="auto"/>
              <w:ind w:left="57" w:right="57"/>
              <w:rPr>
                <w:noProof w:val="0"/>
                <w:lang w:val="en-GB"/>
              </w:rPr>
            </w:pPr>
            <w:r w:rsidRPr="00BD215E">
              <w:rPr>
                <w:noProof w:val="0"/>
                <w:lang w:val="en-GB"/>
              </w:rPr>
              <w:t xml:space="preserve">Costs included in the annual financial plan of the Clinical Trials Compensation Fund </w:t>
            </w:r>
          </w:p>
        </w:tc>
        <w:tc>
          <w:tcPr>
            <w:tcW w:w="709" w:type="dxa"/>
            <w:tcBorders>
              <w:top w:val="single" w:sz="12" w:space="0" w:color="001D77"/>
              <w:left w:val="single" w:sz="12" w:space="0" w:color="001D77"/>
              <w:bottom w:val="single" w:sz="12" w:space="0" w:color="001D77"/>
              <w:right w:val="single" w:sz="12" w:space="0" w:color="001D77"/>
            </w:tcBorders>
            <w:vAlign w:val="bottom"/>
          </w:tcPr>
          <w:p w14:paraId="01C14768" w14:textId="77777777" w:rsidR="001038E8" w:rsidRPr="00BD215E" w:rsidRDefault="001038E8" w:rsidP="00FB5641">
            <w:pPr>
              <w:pStyle w:val="Tablicanotka"/>
              <w:suppressAutoHyphens/>
              <w:spacing w:before="100" w:beforeAutospacing="1" w:after="100" w:afterAutospacing="1" w:line="240" w:lineRule="auto"/>
              <w:ind w:right="57"/>
              <w:jc w:val="right"/>
              <w:rPr>
                <w:noProof w:val="0"/>
                <w:lang w:val="en-GB"/>
              </w:rPr>
            </w:pPr>
            <w:r w:rsidRPr="00BD215E">
              <w:rPr>
                <w:noProof w:val="0"/>
                <w:lang w:val="en-GB"/>
              </w:rPr>
              <w:t>7</w:t>
            </w:r>
          </w:p>
        </w:tc>
        <w:tc>
          <w:tcPr>
            <w:tcW w:w="709" w:type="dxa"/>
            <w:tcBorders>
              <w:top w:val="single" w:sz="12" w:space="0" w:color="001D77"/>
              <w:left w:val="single" w:sz="12" w:space="0" w:color="001D77"/>
              <w:bottom w:val="single" w:sz="12" w:space="0" w:color="001D77"/>
              <w:right w:val="single" w:sz="12" w:space="0" w:color="001D77"/>
            </w:tcBorders>
            <w:vAlign w:val="bottom"/>
          </w:tcPr>
          <w:p w14:paraId="6EDD02CC" w14:textId="77777777" w:rsidR="001038E8" w:rsidRPr="00BD215E" w:rsidRDefault="001038E8" w:rsidP="00FB5641">
            <w:pPr>
              <w:pStyle w:val="Tablicanotka"/>
              <w:spacing w:before="100" w:beforeAutospacing="1" w:after="100" w:afterAutospacing="1" w:line="240" w:lineRule="auto"/>
              <w:ind w:right="57"/>
              <w:jc w:val="right"/>
              <w:rPr>
                <w:noProof w:val="0"/>
                <w:lang w:val="en-GB"/>
              </w:rPr>
            </w:pPr>
            <w:r w:rsidRPr="00BD215E">
              <w:rPr>
                <w:noProof w:val="0"/>
                <w:lang w:val="en-GB"/>
              </w:rPr>
              <w:t>7</w:t>
            </w:r>
          </w:p>
        </w:tc>
        <w:tc>
          <w:tcPr>
            <w:tcW w:w="850" w:type="dxa"/>
            <w:tcBorders>
              <w:top w:val="single" w:sz="12" w:space="0" w:color="001D77"/>
              <w:left w:val="single" w:sz="12" w:space="0" w:color="001D77"/>
              <w:bottom w:val="single" w:sz="12" w:space="0" w:color="001D77"/>
              <w:right w:val="nil"/>
            </w:tcBorders>
            <w:vAlign w:val="bottom"/>
          </w:tcPr>
          <w:p w14:paraId="2FC14348" w14:textId="5CFC70D8" w:rsidR="001038E8" w:rsidRPr="00BD215E" w:rsidRDefault="001038E8" w:rsidP="00FB5641">
            <w:pPr>
              <w:pStyle w:val="P68B1DB1-Normalny23"/>
              <w:spacing w:before="100" w:beforeAutospacing="1" w:after="100" w:afterAutospacing="1" w:line="240" w:lineRule="auto"/>
              <w:ind w:right="57"/>
              <w:jc w:val="right"/>
              <w:rPr>
                <w:lang w:val="en-GB"/>
              </w:rPr>
            </w:pPr>
            <w:r w:rsidRPr="00BD215E">
              <w:rPr>
                <w:lang w:val="en-GB"/>
              </w:rPr>
              <w:t xml:space="preserve"> 0</w:t>
            </w:r>
            <w:r w:rsidR="00BC64AE" w:rsidRPr="00BD215E">
              <w:rPr>
                <w:lang w:val="en-GB"/>
              </w:rPr>
              <w:t>.</w:t>
            </w:r>
            <w:r w:rsidRPr="00BD215E">
              <w:rPr>
                <w:lang w:val="en-GB"/>
              </w:rPr>
              <w:t>00</w:t>
            </w:r>
          </w:p>
        </w:tc>
        <w:tc>
          <w:tcPr>
            <w:tcW w:w="709" w:type="dxa"/>
            <w:tcBorders>
              <w:top w:val="single" w:sz="12" w:space="0" w:color="001D77"/>
              <w:left w:val="single" w:sz="12" w:space="0" w:color="001D77"/>
              <w:bottom w:val="single" w:sz="12" w:space="0" w:color="001D77"/>
              <w:right w:val="single" w:sz="12" w:space="0" w:color="001D77"/>
            </w:tcBorders>
            <w:vAlign w:val="bottom"/>
          </w:tcPr>
          <w:p w14:paraId="243EF35B" w14:textId="77777777" w:rsidR="001038E8" w:rsidRPr="00BD215E" w:rsidRDefault="001038E8" w:rsidP="00FB5641">
            <w:pPr>
              <w:pStyle w:val="Tablicanotka"/>
              <w:spacing w:before="100" w:beforeAutospacing="1" w:after="100" w:afterAutospacing="1" w:line="240" w:lineRule="auto"/>
              <w:ind w:right="57"/>
              <w:jc w:val="right"/>
              <w:rPr>
                <w:noProof w:val="0"/>
                <w:lang w:val="en-GB"/>
              </w:rPr>
            </w:pPr>
            <w:r w:rsidRPr="00BD215E">
              <w:rPr>
                <w:noProof w:val="0"/>
                <w:lang w:val="en-GB"/>
              </w:rPr>
              <w:t>7</w:t>
            </w:r>
          </w:p>
        </w:tc>
        <w:tc>
          <w:tcPr>
            <w:tcW w:w="709" w:type="dxa"/>
            <w:tcBorders>
              <w:top w:val="single" w:sz="12" w:space="0" w:color="001D77"/>
              <w:left w:val="single" w:sz="12" w:space="0" w:color="001D77"/>
              <w:bottom w:val="single" w:sz="12" w:space="0" w:color="001D77"/>
              <w:right w:val="single" w:sz="12" w:space="0" w:color="001D77"/>
            </w:tcBorders>
            <w:vAlign w:val="bottom"/>
          </w:tcPr>
          <w:p w14:paraId="1E0AA781" w14:textId="77777777" w:rsidR="001038E8" w:rsidRPr="00BD215E" w:rsidRDefault="001038E8" w:rsidP="00FB5641">
            <w:pPr>
              <w:pStyle w:val="Tablicanotka"/>
              <w:spacing w:before="100" w:beforeAutospacing="1" w:after="100" w:afterAutospacing="1" w:line="240" w:lineRule="auto"/>
              <w:ind w:right="57"/>
              <w:jc w:val="right"/>
              <w:rPr>
                <w:noProof w:val="0"/>
                <w:lang w:val="en-GB"/>
              </w:rPr>
            </w:pPr>
            <w:r w:rsidRPr="00BD215E">
              <w:rPr>
                <w:noProof w:val="0"/>
                <w:lang w:val="en-GB"/>
              </w:rPr>
              <w:t>0</w:t>
            </w:r>
          </w:p>
        </w:tc>
        <w:tc>
          <w:tcPr>
            <w:tcW w:w="849" w:type="dxa"/>
            <w:tcBorders>
              <w:top w:val="single" w:sz="12" w:space="0" w:color="001D77"/>
              <w:left w:val="single" w:sz="12" w:space="0" w:color="001D77"/>
              <w:bottom w:val="single" w:sz="12" w:space="0" w:color="001D77"/>
              <w:right w:val="nil"/>
            </w:tcBorders>
            <w:vAlign w:val="bottom"/>
          </w:tcPr>
          <w:p w14:paraId="19C8B13E" w14:textId="132267B4" w:rsidR="001038E8" w:rsidRPr="00BD215E" w:rsidRDefault="001038E8" w:rsidP="00FB5641">
            <w:pPr>
              <w:pStyle w:val="P68B1DB1-Normalny23"/>
              <w:spacing w:before="100" w:beforeAutospacing="1" w:after="100" w:afterAutospacing="1" w:line="240" w:lineRule="auto"/>
              <w:ind w:right="57"/>
              <w:jc w:val="right"/>
              <w:rPr>
                <w:lang w:val="en-GB"/>
              </w:rPr>
            </w:pPr>
            <w:r w:rsidRPr="00BD215E">
              <w:rPr>
                <w:lang w:val="en-GB"/>
              </w:rPr>
              <w:t xml:space="preserve"> 0</w:t>
            </w:r>
            <w:r w:rsidR="00BC64AE" w:rsidRPr="00BD215E">
              <w:rPr>
                <w:lang w:val="en-GB"/>
              </w:rPr>
              <w:t>.</w:t>
            </w:r>
            <w:r w:rsidRPr="00BD215E">
              <w:rPr>
                <w:lang w:val="en-GB"/>
              </w:rPr>
              <w:t>00</w:t>
            </w:r>
          </w:p>
        </w:tc>
      </w:tr>
      <w:tr w:rsidR="001038E8" w:rsidRPr="00BD215E" w14:paraId="627C6116" w14:textId="77777777" w:rsidTr="00FB5641">
        <w:trPr>
          <w:gridAfter w:val="1"/>
          <w:wAfter w:w="99" w:type="dxa"/>
        </w:trPr>
        <w:tc>
          <w:tcPr>
            <w:tcW w:w="284" w:type="dxa"/>
            <w:tcBorders>
              <w:top w:val="single" w:sz="12" w:space="0" w:color="001D77"/>
              <w:bottom w:val="single" w:sz="12" w:space="0" w:color="001D77"/>
              <w:right w:val="single" w:sz="12" w:space="0" w:color="001D77"/>
            </w:tcBorders>
          </w:tcPr>
          <w:p w14:paraId="3206023F" w14:textId="77777777" w:rsidR="001038E8" w:rsidRPr="00BD215E" w:rsidRDefault="001038E8" w:rsidP="00FB5641">
            <w:pPr>
              <w:pStyle w:val="Tablicanotka"/>
              <w:spacing w:before="100" w:beforeAutospacing="1" w:after="100" w:afterAutospacing="1" w:line="240" w:lineRule="auto"/>
              <w:ind w:left="57"/>
              <w:rPr>
                <w:noProof w:val="0"/>
                <w:lang w:val="en-GB"/>
              </w:rPr>
            </w:pPr>
            <w:r w:rsidRPr="00BD215E">
              <w:rPr>
                <w:noProof w:val="0"/>
                <w:lang w:val="en-GB"/>
              </w:rPr>
              <w:t>XI</w:t>
            </w:r>
          </w:p>
        </w:tc>
        <w:tc>
          <w:tcPr>
            <w:tcW w:w="3402" w:type="dxa"/>
            <w:tcBorders>
              <w:top w:val="nil"/>
              <w:left w:val="nil"/>
              <w:bottom w:val="single" w:sz="8" w:space="0" w:color="auto"/>
              <w:right w:val="single" w:sz="8" w:space="0" w:color="auto"/>
            </w:tcBorders>
            <w:vAlign w:val="center"/>
          </w:tcPr>
          <w:p w14:paraId="2B90EEA0" w14:textId="77777777" w:rsidR="001038E8" w:rsidRPr="00BD215E" w:rsidRDefault="001038E8" w:rsidP="00FB5641">
            <w:pPr>
              <w:pStyle w:val="Tablicanotka"/>
              <w:suppressAutoHyphens/>
              <w:spacing w:before="100" w:beforeAutospacing="1" w:after="100" w:afterAutospacing="1" w:line="240" w:lineRule="auto"/>
              <w:ind w:left="57" w:right="57"/>
              <w:rPr>
                <w:noProof w:val="0"/>
                <w:lang w:val="en-GB"/>
              </w:rPr>
            </w:pPr>
            <w:r w:rsidRPr="00BD215E">
              <w:rPr>
                <w:noProof w:val="0"/>
                <w:lang w:val="en-GB"/>
              </w:rPr>
              <w:t xml:space="preserve">Write-off for the Medical Events Compensation Fund included in the Fund’s financial plan </w:t>
            </w:r>
          </w:p>
        </w:tc>
        <w:tc>
          <w:tcPr>
            <w:tcW w:w="709" w:type="dxa"/>
            <w:tcBorders>
              <w:top w:val="single" w:sz="12" w:space="0" w:color="001D77"/>
              <w:left w:val="single" w:sz="12" w:space="0" w:color="001D77"/>
              <w:bottom w:val="single" w:sz="12" w:space="0" w:color="001D77"/>
              <w:right w:val="single" w:sz="12" w:space="0" w:color="001D77"/>
            </w:tcBorders>
            <w:vAlign w:val="bottom"/>
          </w:tcPr>
          <w:p w14:paraId="721F2B64" w14:textId="77777777" w:rsidR="001038E8" w:rsidRPr="00BD215E" w:rsidRDefault="001038E8" w:rsidP="00FB5641">
            <w:pPr>
              <w:pStyle w:val="Tablicanotka"/>
              <w:suppressAutoHyphens/>
              <w:spacing w:before="100" w:beforeAutospacing="1" w:after="100" w:afterAutospacing="1" w:line="240" w:lineRule="auto"/>
              <w:ind w:right="57"/>
              <w:jc w:val="right"/>
              <w:rPr>
                <w:noProof w:val="0"/>
                <w:lang w:val="en-GB"/>
              </w:rPr>
            </w:pPr>
            <w:r w:rsidRPr="00BD215E">
              <w:rPr>
                <w:noProof w:val="0"/>
                <w:lang w:val="en-GB"/>
              </w:rPr>
              <w:t>0</w:t>
            </w:r>
          </w:p>
        </w:tc>
        <w:tc>
          <w:tcPr>
            <w:tcW w:w="709" w:type="dxa"/>
            <w:tcBorders>
              <w:top w:val="single" w:sz="12" w:space="0" w:color="001D77"/>
              <w:left w:val="single" w:sz="12" w:space="0" w:color="001D77"/>
              <w:bottom w:val="single" w:sz="12" w:space="0" w:color="001D77"/>
              <w:right w:val="single" w:sz="12" w:space="0" w:color="001D77"/>
            </w:tcBorders>
            <w:vAlign w:val="bottom"/>
          </w:tcPr>
          <w:p w14:paraId="30D08F2B" w14:textId="77777777" w:rsidR="001038E8" w:rsidRPr="00BD215E" w:rsidRDefault="001038E8" w:rsidP="00FB5641">
            <w:pPr>
              <w:pStyle w:val="Tablicanotka"/>
              <w:spacing w:before="100" w:beforeAutospacing="1" w:after="100" w:afterAutospacing="1" w:line="240" w:lineRule="auto"/>
              <w:ind w:right="57"/>
              <w:jc w:val="right"/>
              <w:rPr>
                <w:noProof w:val="0"/>
                <w:lang w:val="en-GB"/>
              </w:rPr>
            </w:pPr>
            <w:r w:rsidRPr="00BD215E">
              <w:rPr>
                <w:noProof w:val="0"/>
                <w:lang w:val="en-GB"/>
              </w:rPr>
              <w:t>31</w:t>
            </w:r>
          </w:p>
        </w:tc>
        <w:tc>
          <w:tcPr>
            <w:tcW w:w="850" w:type="dxa"/>
            <w:tcBorders>
              <w:top w:val="single" w:sz="12" w:space="0" w:color="001D77"/>
              <w:left w:val="single" w:sz="12" w:space="0" w:color="001D77"/>
              <w:bottom w:val="single" w:sz="12" w:space="0" w:color="001D77"/>
              <w:right w:val="nil"/>
            </w:tcBorders>
            <w:vAlign w:val="bottom"/>
          </w:tcPr>
          <w:p w14:paraId="4C113791" w14:textId="243533CB" w:rsidR="001038E8" w:rsidRPr="00BD215E" w:rsidRDefault="001038E8" w:rsidP="00FB5641">
            <w:pPr>
              <w:pStyle w:val="P68B1DB1-Normalny23"/>
              <w:spacing w:before="100" w:beforeAutospacing="1" w:after="100" w:afterAutospacing="1" w:line="240" w:lineRule="auto"/>
              <w:ind w:right="57"/>
              <w:jc w:val="right"/>
              <w:rPr>
                <w:lang w:val="en-GB"/>
              </w:rPr>
            </w:pPr>
            <w:r w:rsidRPr="00BD215E">
              <w:rPr>
                <w:lang w:val="en-GB"/>
              </w:rPr>
              <w:t xml:space="preserve"> 0</w:t>
            </w:r>
            <w:r w:rsidR="00BC64AE" w:rsidRPr="00BD215E">
              <w:rPr>
                <w:lang w:val="en-GB"/>
              </w:rPr>
              <w:t>.</w:t>
            </w:r>
            <w:r w:rsidRPr="00BD215E">
              <w:rPr>
                <w:lang w:val="en-GB"/>
              </w:rPr>
              <w:t>01</w:t>
            </w:r>
          </w:p>
        </w:tc>
        <w:tc>
          <w:tcPr>
            <w:tcW w:w="709" w:type="dxa"/>
            <w:tcBorders>
              <w:top w:val="single" w:sz="12" w:space="0" w:color="001D77"/>
              <w:left w:val="single" w:sz="12" w:space="0" w:color="001D77"/>
              <w:bottom w:val="single" w:sz="12" w:space="0" w:color="001D77"/>
              <w:right w:val="single" w:sz="12" w:space="0" w:color="001D77"/>
            </w:tcBorders>
            <w:vAlign w:val="bottom"/>
          </w:tcPr>
          <w:p w14:paraId="4B8D9270" w14:textId="77777777" w:rsidR="001038E8" w:rsidRPr="00BD215E" w:rsidRDefault="001038E8" w:rsidP="00FB5641">
            <w:pPr>
              <w:pStyle w:val="Tablicanotka"/>
              <w:spacing w:before="100" w:beforeAutospacing="1" w:after="100" w:afterAutospacing="1" w:line="240" w:lineRule="auto"/>
              <w:ind w:right="57"/>
              <w:jc w:val="right"/>
              <w:rPr>
                <w:noProof w:val="0"/>
                <w:lang w:val="en-GB"/>
              </w:rPr>
            </w:pPr>
            <w:r w:rsidRPr="00BD215E">
              <w:rPr>
                <w:noProof w:val="0"/>
                <w:lang w:val="en-GB"/>
              </w:rPr>
              <w:t>69</w:t>
            </w:r>
          </w:p>
        </w:tc>
        <w:tc>
          <w:tcPr>
            <w:tcW w:w="709" w:type="dxa"/>
            <w:tcBorders>
              <w:top w:val="single" w:sz="12" w:space="0" w:color="001D77"/>
              <w:left w:val="single" w:sz="12" w:space="0" w:color="001D77"/>
              <w:bottom w:val="single" w:sz="12" w:space="0" w:color="001D77"/>
              <w:right w:val="single" w:sz="12" w:space="0" w:color="001D77"/>
            </w:tcBorders>
            <w:vAlign w:val="bottom"/>
          </w:tcPr>
          <w:p w14:paraId="1137A796" w14:textId="77777777" w:rsidR="001038E8" w:rsidRPr="00BD215E" w:rsidRDefault="001038E8" w:rsidP="00FB5641">
            <w:pPr>
              <w:pStyle w:val="Tablicanotka"/>
              <w:spacing w:before="100" w:beforeAutospacing="1" w:after="100" w:afterAutospacing="1" w:line="240" w:lineRule="auto"/>
              <w:ind w:right="57"/>
              <w:jc w:val="right"/>
              <w:rPr>
                <w:noProof w:val="0"/>
                <w:lang w:val="en-GB"/>
              </w:rPr>
            </w:pPr>
            <w:r w:rsidRPr="00BD215E">
              <w:rPr>
                <w:noProof w:val="0"/>
                <w:lang w:val="en-GB"/>
              </w:rPr>
              <w:t>43</w:t>
            </w:r>
          </w:p>
        </w:tc>
        <w:tc>
          <w:tcPr>
            <w:tcW w:w="849" w:type="dxa"/>
            <w:tcBorders>
              <w:top w:val="single" w:sz="12" w:space="0" w:color="001D77"/>
              <w:left w:val="single" w:sz="12" w:space="0" w:color="001D77"/>
              <w:bottom w:val="single" w:sz="12" w:space="0" w:color="001D77"/>
              <w:right w:val="nil"/>
            </w:tcBorders>
            <w:vAlign w:val="bottom"/>
          </w:tcPr>
          <w:p w14:paraId="1F24D141" w14:textId="24B13458" w:rsidR="001038E8" w:rsidRPr="00BD215E" w:rsidRDefault="001038E8" w:rsidP="00FB5641">
            <w:pPr>
              <w:pStyle w:val="P68B1DB1-Normalny23"/>
              <w:spacing w:before="100" w:beforeAutospacing="1" w:after="100" w:afterAutospacing="1" w:line="240" w:lineRule="auto"/>
              <w:ind w:right="57"/>
              <w:jc w:val="right"/>
              <w:rPr>
                <w:lang w:val="en-GB"/>
              </w:rPr>
            </w:pPr>
            <w:r w:rsidRPr="00BD215E">
              <w:rPr>
                <w:lang w:val="en-GB"/>
              </w:rPr>
              <w:t xml:space="preserve"> 0</w:t>
            </w:r>
            <w:r w:rsidR="00BC64AE" w:rsidRPr="00BD215E">
              <w:rPr>
                <w:lang w:val="en-GB"/>
              </w:rPr>
              <w:t>.</w:t>
            </w:r>
            <w:r w:rsidRPr="00BD215E">
              <w:rPr>
                <w:lang w:val="en-GB"/>
              </w:rPr>
              <w:t>02</w:t>
            </w:r>
          </w:p>
        </w:tc>
      </w:tr>
      <w:tr w:rsidR="001038E8" w:rsidRPr="00BD215E" w14:paraId="60914AD0" w14:textId="77777777" w:rsidTr="00FB5641">
        <w:trPr>
          <w:gridAfter w:val="1"/>
          <w:wAfter w:w="99" w:type="dxa"/>
        </w:trPr>
        <w:tc>
          <w:tcPr>
            <w:tcW w:w="284" w:type="dxa"/>
            <w:tcBorders>
              <w:top w:val="single" w:sz="12" w:space="0" w:color="001D77"/>
              <w:bottom w:val="single" w:sz="12" w:space="0" w:color="001D77"/>
              <w:right w:val="single" w:sz="12" w:space="0" w:color="001D77"/>
            </w:tcBorders>
          </w:tcPr>
          <w:p w14:paraId="58A564DA" w14:textId="77777777" w:rsidR="001038E8" w:rsidRPr="00BD215E" w:rsidRDefault="001038E8" w:rsidP="00FB5641">
            <w:pPr>
              <w:pStyle w:val="Tablicanotka"/>
              <w:spacing w:before="100" w:beforeAutospacing="1" w:after="100" w:afterAutospacing="1" w:line="240" w:lineRule="auto"/>
              <w:ind w:left="57"/>
              <w:rPr>
                <w:noProof w:val="0"/>
                <w:lang w:val="en-GB"/>
              </w:rPr>
            </w:pPr>
            <w:r w:rsidRPr="00BD215E">
              <w:rPr>
                <w:noProof w:val="0"/>
                <w:lang w:val="en-GB"/>
              </w:rPr>
              <w:t>XII</w:t>
            </w:r>
          </w:p>
        </w:tc>
        <w:tc>
          <w:tcPr>
            <w:tcW w:w="3402" w:type="dxa"/>
            <w:tcBorders>
              <w:top w:val="single" w:sz="12" w:space="0" w:color="001D77"/>
              <w:left w:val="single" w:sz="12" w:space="0" w:color="001D77"/>
              <w:bottom w:val="single" w:sz="12" w:space="0" w:color="001D77"/>
              <w:right w:val="single" w:sz="12" w:space="0" w:color="001D77"/>
            </w:tcBorders>
          </w:tcPr>
          <w:p w14:paraId="5C1AF38F" w14:textId="77777777" w:rsidR="001038E8" w:rsidRPr="00BD215E" w:rsidRDefault="001038E8" w:rsidP="00FB5641">
            <w:pPr>
              <w:pStyle w:val="Tablicanotka"/>
              <w:suppressAutoHyphens/>
              <w:spacing w:before="100" w:beforeAutospacing="1" w:after="100" w:afterAutospacing="1" w:line="240" w:lineRule="auto"/>
              <w:ind w:left="57" w:right="57"/>
              <w:rPr>
                <w:noProof w:val="0"/>
                <w:lang w:val="en-GB"/>
              </w:rPr>
            </w:pPr>
            <w:r w:rsidRPr="00BD215E">
              <w:rPr>
                <w:noProof w:val="0"/>
                <w:lang w:val="en-GB"/>
              </w:rPr>
              <w:t xml:space="preserve">Budgetary expenditure in the part of the state budget held by the Patients’ Rights Ombudsman (part 66, division 750) </w:t>
            </w:r>
          </w:p>
        </w:tc>
        <w:tc>
          <w:tcPr>
            <w:tcW w:w="709" w:type="dxa"/>
            <w:tcBorders>
              <w:top w:val="single" w:sz="12" w:space="0" w:color="001D77"/>
              <w:left w:val="single" w:sz="12" w:space="0" w:color="001D77"/>
              <w:bottom w:val="single" w:sz="12" w:space="0" w:color="001D77"/>
              <w:right w:val="single" w:sz="12" w:space="0" w:color="001D77"/>
            </w:tcBorders>
            <w:vAlign w:val="bottom"/>
          </w:tcPr>
          <w:p w14:paraId="10FE922A" w14:textId="77777777" w:rsidR="001038E8" w:rsidRPr="00BD215E" w:rsidRDefault="001038E8" w:rsidP="00FB5641">
            <w:pPr>
              <w:pStyle w:val="Tablicanotka"/>
              <w:suppressAutoHyphens/>
              <w:spacing w:before="100" w:beforeAutospacing="1" w:after="100" w:afterAutospacing="1" w:line="240" w:lineRule="auto"/>
              <w:ind w:right="57"/>
              <w:jc w:val="right"/>
              <w:rPr>
                <w:noProof w:val="0"/>
                <w:lang w:val="en-GB"/>
              </w:rPr>
            </w:pPr>
            <w:r w:rsidRPr="00BD215E">
              <w:rPr>
                <w:noProof w:val="0"/>
                <w:lang w:val="en-GB"/>
              </w:rPr>
              <w:t>27</w:t>
            </w:r>
          </w:p>
        </w:tc>
        <w:tc>
          <w:tcPr>
            <w:tcW w:w="709" w:type="dxa"/>
            <w:tcBorders>
              <w:top w:val="single" w:sz="12" w:space="0" w:color="001D77"/>
              <w:left w:val="single" w:sz="12" w:space="0" w:color="001D77"/>
              <w:bottom w:val="single" w:sz="12" w:space="0" w:color="001D77"/>
              <w:right w:val="single" w:sz="12" w:space="0" w:color="001D77"/>
            </w:tcBorders>
            <w:vAlign w:val="bottom"/>
          </w:tcPr>
          <w:p w14:paraId="113A073D" w14:textId="77777777" w:rsidR="001038E8" w:rsidRPr="00BD215E" w:rsidRDefault="001038E8" w:rsidP="00FB5641">
            <w:pPr>
              <w:pStyle w:val="Tablicanotka"/>
              <w:spacing w:before="100" w:beforeAutospacing="1" w:after="100" w:afterAutospacing="1" w:line="240" w:lineRule="auto"/>
              <w:ind w:right="57"/>
              <w:jc w:val="right"/>
              <w:rPr>
                <w:noProof w:val="0"/>
                <w:lang w:val="en-GB"/>
              </w:rPr>
            </w:pPr>
            <w:r w:rsidRPr="00BD215E">
              <w:rPr>
                <w:noProof w:val="0"/>
                <w:lang w:val="en-GB"/>
              </w:rPr>
              <w:t>27</w:t>
            </w:r>
          </w:p>
        </w:tc>
        <w:tc>
          <w:tcPr>
            <w:tcW w:w="850" w:type="dxa"/>
            <w:tcBorders>
              <w:top w:val="single" w:sz="12" w:space="0" w:color="001D77"/>
              <w:left w:val="single" w:sz="12" w:space="0" w:color="001D77"/>
              <w:bottom w:val="single" w:sz="12" w:space="0" w:color="001D77"/>
              <w:right w:val="nil"/>
            </w:tcBorders>
            <w:vAlign w:val="bottom"/>
          </w:tcPr>
          <w:p w14:paraId="7A34688D" w14:textId="2332B9F5" w:rsidR="001038E8" w:rsidRPr="00BD215E" w:rsidRDefault="001038E8" w:rsidP="00FB5641">
            <w:pPr>
              <w:pStyle w:val="P68B1DB1-Normalny23"/>
              <w:spacing w:before="100" w:beforeAutospacing="1" w:after="100" w:afterAutospacing="1" w:line="240" w:lineRule="auto"/>
              <w:ind w:right="57"/>
              <w:jc w:val="right"/>
              <w:rPr>
                <w:lang w:val="en-GB"/>
              </w:rPr>
            </w:pPr>
            <w:r w:rsidRPr="00BD215E">
              <w:rPr>
                <w:lang w:val="en-GB"/>
              </w:rPr>
              <w:t xml:space="preserve"> 0</w:t>
            </w:r>
            <w:r w:rsidR="00BC64AE" w:rsidRPr="00BD215E">
              <w:rPr>
                <w:lang w:val="en-GB"/>
              </w:rPr>
              <w:t>.</w:t>
            </w:r>
            <w:r w:rsidRPr="00BD215E">
              <w:rPr>
                <w:lang w:val="en-GB"/>
              </w:rPr>
              <w:t>01</w:t>
            </w:r>
          </w:p>
        </w:tc>
        <w:tc>
          <w:tcPr>
            <w:tcW w:w="709" w:type="dxa"/>
            <w:tcBorders>
              <w:top w:val="single" w:sz="12" w:space="0" w:color="001D77"/>
              <w:left w:val="single" w:sz="12" w:space="0" w:color="001D77"/>
              <w:bottom w:val="single" w:sz="12" w:space="0" w:color="001D77"/>
              <w:right w:val="single" w:sz="12" w:space="0" w:color="001D77"/>
            </w:tcBorders>
            <w:vAlign w:val="bottom"/>
          </w:tcPr>
          <w:p w14:paraId="479BEEAB" w14:textId="77777777" w:rsidR="001038E8" w:rsidRPr="00BD215E" w:rsidRDefault="001038E8" w:rsidP="00FB5641">
            <w:pPr>
              <w:pStyle w:val="Tablicanotka"/>
              <w:spacing w:before="100" w:beforeAutospacing="1" w:after="100" w:afterAutospacing="1" w:line="240" w:lineRule="auto"/>
              <w:ind w:right="57"/>
              <w:jc w:val="right"/>
              <w:rPr>
                <w:noProof w:val="0"/>
                <w:lang w:val="en-GB"/>
              </w:rPr>
            </w:pPr>
            <w:r w:rsidRPr="00BD215E">
              <w:rPr>
                <w:noProof w:val="0"/>
                <w:lang w:val="en-GB"/>
              </w:rPr>
              <w:t>38</w:t>
            </w:r>
          </w:p>
        </w:tc>
        <w:tc>
          <w:tcPr>
            <w:tcW w:w="709" w:type="dxa"/>
            <w:tcBorders>
              <w:top w:val="single" w:sz="12" w:space="0" w:color="001D77"/>
              <w:left w:val="single" w:sz="12" w:space="0" w:color="001D77"/>
              <w:bottom w:val="single" w:sz="12" w:space="0" w:color="001D77"/>
              <w:right w:val="single" w:sz="12" w:space="0" w:color="001D77"/>
            </w:tcBorders>
            <w:vAlign w:val="bottom"/>
          </w:tcPr>
          <w:p w14:paraId="4420034B" w14:textId="77777777" w:rsidR="001038E8" w:rsidRPr="00BD215E" w:rsidRDefault="001038E8" w:rsidP="00FB5641">
            <w:pPr>
              <w:pStyle w:val="Tablicanotka"/>
              <w:spacing w:before="100" w:beforeAutospacing="1" w:after="100" w:afterAutospacing="1" w:line="240" w:lineRule="auto"/>
              <w:ind w:right="57"/>
              <w:jc w:val="right"/>
              <w:rPr>
                <w:noProof w:val="0"/>
                <w:lang w:val="en-GB"/>
              </w:rPr>
            </w:pPr>
            <w:r w:rsidRPr="00BD215E">
              <w:rPr>
                <w:noProof w:val="0"/>
                <w:lang w:val="en-GB"/>
              </w:rPr>
              <w:t>35</w:t>
            </w:r>
          </w:p>
        </w:tc>
        <w:tc>
          <w:tcPr>
            <w:tcW w:w="849" w:type="dxa"/>
            <w:tcBorders>
              <w:top w:val="single" w:sz="12" w:space="0" w:color="001D77"/>
              <w:left w:val="single" w:sz="12" w:space="0" w:color="001D77"/>
              <w:bottom w:val="single" w:sz="12" w:space="0" w:color="001D77"/>
              <w:right w:val="nil"/>
            </w:tcBorders>
            <w:vAlign w:val="bottom"/>
          </w:tcPr>
          <w:p w14:paraId="1B2B20AD" w14:textId="3E08B09F" w:rsidR="001038E8" w:rsidRPr="00BD215E" w:rsidRDefault="001038E8" w:rsidP="00FB5641">
            <w:pPr>
              <w:pStyle w:val="P68B1DB1-Normalny23"/>
              <w:spacing w:before="100" w:beforeAutospacing="1" w:after="100" w:afterAutospacing="1" w:line="240" w:lineRule="auto"/>
              <w:ind w:right="57"/>
              <w:jc w:val="right"/>
              <w:rPr>
                <w:lang w:val="en-GB"/>
              </w:rPr>
            </w:pPr>
            <w:r w:rsidRPr="00BD215E">
              <w:rPr>
                <w:lang w:val="en-GB"/>
              </w:rPr>
              <w:t xml:space="preserve"> 0</w:t>
            </w:r>
            <w:r w:rsidR="00BC64AE" w:rsidRPr="00BD215E">
              <w:rPr>
                <w:lang w:val="en-GB"/>
              </w:rPr>
              <w:t>.</w:t>
            </w:r>
            <w:r w:rsidRPr="00BD215E">
              <w:rPr>
                <w:lang w:val="en-GB"/>
              </w:rPr>
              <w:t>02</w:t>
            </w:r>
          </w:p>
        </w:tc>
      </w:tr>
      <w:tr w:rsidR="001038E8" w:rsidRPr="00BD215E" w14:paraId="7452EC51" w14:textId="77777777" w:rsidTr="00FB5641">
        <w:tc>
          <w:tcPr>
            <w:tcW w:w="3686" w:type="dxa"/>
            <w:gridSpan w:val="2"/>
            <w:tcBorders>
              <w:top w:val="single" w:sz="4" w:space="0" w:color="001D77"/>
              <w:bottom w:val="nil"/>
              <w:right w:val="single" w:sz="12" w:space="0" w:color="001D77"/>
            </w:tcBorders>
          </w:tcPr>
          <w:p w14:paraId="40EFEFB8" w14:textId="77777777" w:rsidR="001038E8" w:rsidRPr="00BD215E" w:rsidRDefault="001038E8" w:rsidP="00FB5641">
            <w:pPr>
              <w:pStyle w:val="Tablicanotka"/>
              <w:spacing w:after="100" w:afterAutospacing="1" w:line="240" w:lineRule="auto"/>
              <w:ind w:left="57" w:right="57"/>
              <w:jc w:val="right"/>
              <w:rPr>
                <w:b/>
                <w:bCs/>
                <w:noProof w:val="0"/>
                <w:lang w:val="en-GB"/>
              </w:rPr>
            </w:pPr>
            <w:r w:rsidRPr="00BD215E">
              <w:rPr>
                <w:b/>
                <w:noProof w:val="0"/>
                <w:lang w:val="en-GB"/>
              </w:rPr>
              <w:t>TOTAL</w:t>
            </w:r>
            <w:r w:rsidRPr="00BD215E">
              <w:rPr>
                <w:noProof w:val="0"/>
                <w:vertAlign w:val="superscript"/>
                <w:lang w:val="en-GB"/>
              </w:rPr>
              <w:t xml:space="preserve"> d</w:t>
            </w:r>
          </w:p>
        </w:tc>
        <w:tc>
          <w:tcPr>
            <w:tcW w:w="709" w:type="dxa"/>
            <w:tcBorders>
              <w:top w:val="single" w:sz="4" w:space="0" w:color="001D77"/>
              <w:left w:val="single" w:sz="12" w:space="0" w:color="001D77"/>
              <w:bottom w:val="nil"/>
            </w:tcBorders>
            <w:vAlign w:val="bottom"/>
          </w:tcPr>
          <w:p w14:paraId="4FCC3DBC" w14:textId="77777777" w:rsidR="001038E8" w:rsidRPr="00BD215E" w:rsidRDefault="001038E8" w:rsidP="00FB5641">
            <w:pPr>
              <w:pStyle w:val="P68B1DB1-Normalny7"/>
              <w:spacing w:after="100" w:afterAutospacing="1" w:line="240" w:lineRule="auto"/>
              <w:ind w:right="57"/>
              <w:jc w:val="right"/>
              <w:rPr>
                <w:bCs/>
                <w:strike/>
                <w:lang w:val="en-GB"/>
              </w:rPr>
            </w:pPr>
            <w:r w:rsidRPr="00BD215E">
              <w:rPr>
                <w:lang w:val="en-GB"/>
              </w:rPr>
              <w:t>193 312</w:t>
            </w:r>
          </w:p>
        </w:tc>
        <w:tc>
          <w:tcPr>
            <w:tcW w:w="709" w:type="dxa"/>
            <w:tcBorders>
              <w:top w:val="single" w:sz="4" w:space="0" w:color="001D77"/>
              <w:left w:val="single" w:sz="12" w:space="0" w:color="001D77"/>
              <w:bottom w:val="nil"/>
              <w:right w:val="single" w:sz="12" w:space="0" w:color="001D77"/>
            </w:tcBorders>
            <w:vAlign w:val="bottom"/>
          </w:tcPr>
          <w:p w14:paraId="6969319B" w14:textId="77777777" w:rsidR="001038E8" w:rsidRPr="00BD215E" w:rsidRDefault="001038E8" w:rsidP="00FB5641">
            <w:pPr>
              <w:pStyle w:val="P68B1DB1-Normalny7"/>
              <w:spacing w:after="100" w:afterAutospacing="1" w:line="240" w:lineRule="auto"/>
              <w:ind w:right="57"/>
              <w:jc w:val="right"/>
              <w:rPr>
                <w:bCs/>
                <w:lang w:val="en-GB"/>
              </w:rPr>
            </w:pPr>
            <w:r w:rsidRPr="00BD215E">
              <w:rPr>
                <w:lang w:val="en-GB"/>
              </w:rPr>
              <w:t>210 650</w:t>
            </w:r>
          </w:p>
        </w:tc>
        <w:tc>
          <w:tcPr>
            <w:tcW w:w="850" w:type="dxa"/>
            <w:tcBorders>
              <w:top w:val="single" w:sz="4" w:space="0" w:color="001D77"/>
              <w:left w:val="single" w:sz="12" w:space="0" w:color="001D77"/>
              <w:bottom w:val="nil"/>
            </w:tcBorders>
            <w:vAlign w:val="bottom"/>
          </w:tcPr>
          <w:p w14:paraId="03A0FF1F" w14:textId="77777777" w:rsidR="001038E8" w:rsidRPr="00BD215E" w:rsidRDefault="001038E8" w:rsidP="00FB5641">
            <w:pPr>
              <w:pStyle w:val="P68B1DB1-Normalny7"/>
              <w:spacing w:after="100" w:afterAutospacing="1" w:line="240" w:lineRule="auto"/>
              <w:ind w:right="57"/>
              <w:jc w:val="right"/>
              <w:rPr>
                <w:bCs/>
                <w:lang w:val="en-GB"/>
              </w:rPr>
            </w:pPr>
            <w:r w:rsidRPr="00BD215E">
              <w:rPr>
                <w:lang w:val="en-GB"/>
              </w:rPr>
              <w:t xml:space="preserve"> 100</w:t>
            </w:r>
          </w:p>
        </w:tc>
        <w:tc>
          <w:tcPr>
            <w:tcW w:w="709" w:type="dxa"/>
            <w:tcBorders>
              <w:top w:val="single" w:sz="4" w:space="0" w:color="001D77"/>
              <w:left w:val="single" w:sz="12" w:space="0" w:color="001D77"/>
              <w:bottom w:val="nil"/>
            </w:tcBorders>
            <w:vAlign w:val="bottom"/>
          </w:tcPr>
          <w:p w14:paraId="52680CBF" w14:textId="77777777" w:rsidR="001038E8" w:rsidRPr="00BD215E" w:rsidRDefault="001038E8" w:rsidP="00FB5641">
            <w:pPr>
              <w:pStyle w:val="P68B1DB1-Normalny7"/>
              <w:spacing w:after="100" w:afterAutospacing="1" w:line="240" w:lineRule="auto"/>
              <w:ind w:right="57"/>
              <w:jc w:val="right"/>
              <w:rPr>
                <w:bCs/>
                <w:lang w:val="en-GB"/>
              </w:rPr>
            </w:pPr>
            <w:r w:rsidRPr="00BD215E">
              <w:rPr>
                <w:lang w:val="en-GB"/>
              </w:rPr>
              <w:t>222 295</w:t>
            </w:r>
          </w:p>
        </w:tc>
        <w:tc>
          <w:tcPr>
            <w:tcW w:w="709" w:type="dxa"/>
            <w:tcBorders>
              <w:top w:val="single" w:sz="4" w:space="0" w:color="001D77"/>
              <w:left w:val="single" w:sz="12" w:space="0" w:color="001D77"/>
              <w:bottom w:val="nil"/>
              <w:right w:val="single" w:sz="12" w:space="0" w:color="001D77"/>
            </w:tcBorders>
            <w:vAlign w:val="bottom"/>
          </w:tcPr>
          <w:p w14:paraId="7CBDD5F9" w14:textId="77777777" w:rsidR="001038E8" w:rsidRPr="00BD215E" w:rsidRDefault="001038E8" w:rsidP="00FB5641">
            <w:pPr>
              <w:pStyle w:val="P68B1DB1-Normalny7"/>
              <w:spacing w:after="100" w:afterAutospacing="1" w:line="240" w:lineRule="auto"/>
              <w:ind w:right="57"/>
              <w:jc w:val="right"/>
              <w:rPr>
                <w:bCs/>
                <w:lang w:val="en-GB"/>
              </w:rPr>
            </w:pPr>
            <w:r w:rsidRPr="00BD215E">
              <w:rPr>
                <w:lang w:val="en-GB"/>
              </w:rPr>
              <w:t>232 159</w:t>
            </w:r>
          </w:p>
        </w:tc>
        <w:tc>
          <w:tcPr>
            <w:tcW w:w="948" w:type="dxa"/>
            <w:gridSpan w:val="2"/>
            <w:tcBorders>
              <w:top w:val="single" w:sz="4" w:space="0" w:color="001D77"/>
              <w:left w:val="single" w:sz="12" w:space="0" w:color="001D77"/>
              <w:bottom w:val="nil"/>
            </w:tcBorders>
            <w:vAlign w:val="bottom"/>
          </w:tcPr>
          <w:p w14:paraId="19C6A274" w14:textId="77777777" w:rsidR="001038E8" w:rsidRPr="00BD215E" w:rsidRDefault="001038E8" w:rsidP="00FB5641">
            <w:pPr>
              <w:pStyle w:val="P68B1DB1-Normalny7"/>
              <w:spacing w:after="100" w:afterAutospacing="1" w:line="240" w:lineRule="auto"/>
              <w:ind w:right="113"/>
              <w:jc w:val="right"/>
              <w:rPr>
                <w:bCs/>
                <w:lang w:val="en-GB"/>
              </w:rPr>
            </w:pPr>
            <w:r w:rsidRPr="00BD215E">
              <w:rPr>
                <w:lang w:val="en-GB"/>
              </w:rPr>
              <w:t xml:space="preserve"> 100</w:t>
            </w:r>
          </w:p>
        </w:tc>
      </w:tr>
    </w:tbl>
    <w:p w14:paraId="0B27DBF1" w14:textId="418CCF28" w:rsidR="00B957F6" w:rsidRPr="00BD215E" w:rsidRDefault="00445C4B" w:rsidP="00A263E7">
      <w:pPr>
        <w:spacing w:after="0" w:line="288" w:lineRule="auto"/>
        <w:rPr>
          <w:rFonts w:eastAsiaTheme="minorEastAsia" w:cs="Arial"/>
          <w:color w:val="000000" w:themeColor="text1"/>
          <w:szCs w:val="19"/>
          <w:lang w:val="en-GB"/>
        </w:rPr>
      </w:pPr>
      <w:proofErr w:type="spellStart"/>
      <w:r w:rsidRPr="00BD215E">
        <w:rPr>
          <w:rFonts w:eastAsiaTheme="minorEastAsia" w:cs="Arial"/>
          <w:sz w:val="16"/>
          <w:szCs w:val="16"/>
          <w:vertAlign w:val="superscript"/>
          <w:lang w:val="en-GB"/>
        </w:rPr>
        <w:t>a</w:t>
      </w:r>
      <w:proofErr w:type="spellEnd"/>
      <w:r w:rsidRPr="00BD215E">
        <w:rPr>
          <w:rFonts w:eastAsiaTheme="minorEastAsia" w:cs="Arial"/>
          <w:sz w:val="16"/>
          <w:szCs w:val="16"/>
          <w:vertAlign w:val="superscript"/>
          <w:lang w:val="en-GB"/>
        </w:rPr>
        <w:t xml:space="preserve"> </w:t>
      </w:r>
      <w:r w:rsidRPr="00BD215E">
        <w:rPr>
          <w:rFonts w:eastAsiaTheme="minorEastAsia" w:cs="Arial"/>
          <w:sz w:val="16"/>
          <w:szCs w:val="16"/>
          <w:lang w:val="en-GB"/>
        </w:rPr>
        <w:t>According to the Budget Act.</w:t>
      </w:r>
      <w:r w:rsidRPr="00BD215E">
        <w:rPr>
          <w:rFonts w:eastAsiaTheme="minorEastAsia" w:cs="Arial"/>
          <w:sz w:val="16"/>
          <w:szCs w:val="16"/>
          <w:lang w:val="en-GB"/>
        </w:rPr>
        <w:br/>
      </w:r>
      <w:r w:rsidRPr="00BD215E">
        <w:rPr>
          <w:rFonts w:eastAsiaTheme="minorEastAsia" w:cs="Arial"/>
          <w:sz w:val="16"/>
          <w:szCs w:val="16"/>
          <w:vertAlign w:val="superscript"/>
          <w:lang w:val="en-GB"/>
        </w:rPr>
        <w:t>b</w:t>
      </w:r>
      <w:r w:rsidRPr="00BD215E">
        <w:rPr>
          <w:rFonts w:eastAsiaTheme="minorEastAsia" w:cs="Arial"/>
          <w:sz w:val="16"/>
          <w:szCs w:val="16"/>
          <w:lang w:val="en-GB"/>
        </w:rPr>
        <w:t xml:space="preserve"> Including PLN 747 million from the Aid Fund. </w:t>
      </w:r>
      <w:r w:rsidRPr="00BD215E">
        <w:rPr>
          <w:rFonts w:eastAsiaTheme="minorEastAsia" w:cs="Arial"/>
          <w:sz w:val="16"/>
          <w:szCs w:val="16"/>
          <w:lang w:val="en-GB"/>
        </w:rPr>
        <w:br/>
      </w:r>
      <w:r w:rsidRPr="00BD215E">
        <w:rPr>
          <w:rFonts w:eastAsiaTheme="minorEastAsia" w:cs="Arial"/>
          <w:sz w:val="16"/>
          <w:szCs w:val="16"/>
          <w:vertAlign w:val="superscript"/>
          <w:lang w:val="en-GB"/>
        </w:rPr>
        <w:t xml:space="preserve">c </w:t>
      </w:r>
      <w:r w:rsidRPr="00BD215E">
        <w:rPr>
          <w:rFonts w:eastAsiaTheme="minorEastAsia" w:cs="Arial"/>
          <w:sz w:val="16"/>
          <w:szCs w:val="16"/>
          <w:lang w:val="en-GB"/>
        </w:rPr>
        <w:t>Including PLN 765 million from the Aid Fund.</w:t>
      </w:r>
      <w:r w:rsidRPr="00BD215E">
        <w:rPr>
          <w:sz w:val="16"/>
          <w:szCs w:val="16"/>
          <w:lang w:val="en-GB"/>
        </w:rPr>
        <w:t xml:space="preserve"> </w:t>
      </w:r>
      <w:r w:rsidRPr="00BD215E">
        <w:rPr>
          <w:sz w:val="16"/>
          <w:szCs w:val="16"/>
          <w:lang w:val="en-GB"/>
        </w:rPr>
        <w:br/>
      </w:r>
      <w:r w:rsidRPr="00BD215E">
        <w:rPr>
          <w:sz w:val="16"/>
          <w:szCs w:val="16"/>
          <w:vertAlign w:val="superscript"/>
          <w:lang w:val="en-GB"/>
        </w:rPr>
        <w:t>d</w:t>
      </w:r>
      <w:r w:rsidRPr="00BD215E">
        <w:rPr>
          <w:sz w:val="16"/>
          <w:szCs w:val="16"/>
          <w:lang w:val="en-GB"/>
        </w:rPr>
        <w:t xml:space="preserve"> The totals in the columns are calculated on rounded values.</w:t>
      </w:r>
      <w:r w:rsidR="001038E8" w:rsidRPr="00BD215E">
        <w:rPr>
          <w:rFonts w:eastAsiaTheme="minorEastAsia" w:cs="Arial"/>
          <w:color w:val="000000" w:themeColor="text1"/>
          <w:szCs w:val="19"/>
          <w:lang w:val="en-GB"/>
        </w:rPr>
        <w:br/>
        <w:t xml:space="preserve"> </w:t>
      </w:r>
      <w:r w:rsidR="001038E8" w:rsidRPr="00BD215E">
        <w:rPr>
          <w:rFonts w:eastAsiaTheme="minorEastAsia" w:cs="Arial"/>
          <w:color w:val="000000" w:themeColor="text1"/>
          <w:szCs w:val="19"/>
          <w:lang w:val="en-GB"/>
        </w:rPr>
        <w:br/>
        <w:t xml:space="preserve">The third largest item among public expenditures on health protection indicated in the Act were budget expenditures falling within the competence of holders other than the minister </w:t>
      </w:r>
      <w:r w:rsidR="001038E8" w:rsidRPr="00BD215E">
        <w:rPr>
          <w:rFonts w:eastAsiaTheme="minorEastAsia" w:cs="Arial"/>
          <w:color w:val="000000" w:themeColor="text1"/>
          <w:szCs w:val="19"/>
          <w:lang w:val="en-GB"/>
        </w:rPr>
        <w:lastRenderedPageBreak/>
        <w:t xml:space="preserve">competent for health (e.g. the minister competent for internal affairs or the minister competent for national defence). Such expenditure accounted for 2.6% of public health expenditure.  </w:t>
      </w:r>
    </w:p>
    <w:p w14:paraId="0F47EE7F" w14:textId="6094678B" w:rsidR="008F3110" w:rsidRPr="00BD215E" w:rsidRDefault="008771D4" w:rsidP="00A263E7">
      <w:pPr>
        <w:autoSpaceDE w:val="0"/>
        <w:autoSpaceDN w:val="0"/>
        <w:spacing w:before="360" w:after="240" w:line="240" w:lineRule="auto"/>
        <w:rPr>
          <w:rFonts w:eastAsiaTheme="minorEastAsia" w:cs="Arial"/>
          <w:b/>
          <w:szCs w:val="19"/>
          <w:lang w:val="en-GB"/>
        </w:rPr>
      </w:pPr>
      <w:r w:rsidRPr="00BD215E">
        <w:rPr>
          <w:rFonts w:eastAsiaTheme="minorEastAsia" w:cs="Arial"/>
          <w:b/>
          <w:szCs w:val="19"/>
          <w:lang w:val="en-GB"/>
        </w:rPr>
        <w:t>Chart</w:t>
      </w:r>
      <w:r w:rsidR="001038E8" w:rsidRPr="00BD215E">
        <w:rPr>
          <w:rFonts w:eastAsiaTheme="minorEastAsia" w:cs="Arial"/>
          <w:b/>
          <w:szCs w:val="19"/>
          <w:lang w:val="en-GB"/>
        </w:rPr>
        <w:t xml:space="preserve"> 6. </w:t>
      </w:r>
      <w:r w:rsidR="00A263E7">
        <w:rPr>
          <w:rFonts w:eastAsiaTheme="minorEastAsia" w:cs="Arial"/>
          <w:b/>
          <w:szCs w:val="19"/>
          <w:lang w:val="en-GB"/>
        </w:rPr>
        <w:t xml:space="preserve">Structure </w:t>
      </w:r>
      <w:r w:rsidR="008F3110" w:rsidRPr="00BD215E">
        <w:rPr>
          <w:rFonts w:eastAsiaTheme="minorEastAsia" w:cs="Arial"/>
          <w:b/>
          <w:szCs w:val="19"/>
          <w:lang w:val="en-GB"/>
        </w:rPr>
        <w:t>of outlays in health care expenditures by categories resulting from the Act</w:t>
      </w:r>
    </w:p>
    <w:p w14:paraId="4EA222E3" w14:textId="254EB66A" w:rsidR="001038E8" w:rsidRPr="00BD215E" w:rsidRDefault="008F3110" w:rsidP="001038E8">
      <w:pPr>
        <w:keepNext/>
        <w:spacing w:after="0" w:line="288" w:lineRule="auto"/>
        <w:rPr>
          <w:rFonts w:ascii="Fira Sans SemiBold" w:eastAsia="Times New Roman" w:hAnsi="Fira Sans SemiBold" w:cs="Times New Roman"/>
          <w:bCs/>
          <w:color w:val="001D77"/>
          <w:szCs w:val="24"/>
          <w:lang w:val="en-GB"/>
        </w:rPr>
      </w:pPr>
      <w:r w:rsidRPr="00BD215E">
        <w:rPr>
          <w:rFonts w:ascii="Fira Sans SemiBold" w:eastAsia="Times New Roman" w:hAnsi="Fira Sans SemiBold" w:cs="Times New Roman"/>
          <w:bCs/>
          <w:noProof/>
          <w:color w:val="001D77"/>
          <w:szCs w:val="24"/>
          <w:lang w:val="en-GB"/>
        </w:rPr>
        <w:drawing>
          <wp:inline distT="0" distB="0" distL="0" distR="0" wp14:anchorId="57B8CAE9" wp14:editId="7B53DAE6">
            <wp:extent cx="4810125" cy="2177585"/>
            <wp:effectExtent l="0" t="0" r="0" b="0"/>
            <wp:docPr id="19" name="Obraz 19" descr="Chart 6. The share of outlays in health care expenditures by categories resulting from the Act in 2025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4810814" cy="2177897"/>
                    </a:xfrm>
                    <a:prstGeom prst="rect">
                      <a:avLst/>
                    </a:prstGeom>
                  </pic:spPr>
                </pic:pic>
              </a:graphicData>
            </a:graphic>
          </wp:inline>
        </w:drawing>
      </w:r>
    </w:p>
    <w:p w14:paraId="3D215082" w14:textId="6ADE5C6C" w:rsidR="001038E8" w:rsidRPr="00BD215E" w:rsidRDefault="001038E8" w:rsidP="00A263E7">
      <w:pPr>
        <w:pStyle w:val="P68B1DB1-Normalny24"/>
        <w:suppressAutoHyphens/>
        <w:spacing w:before="360" w:line="288" w:lineRule="auto"/>
        <w:rPr>
          <w:rFonts w:eastAsiaTheme="minorEastAsia" w:cs="Arial"/>
          <w:color w:val="000000" w:themeColor="text1"/>
          <w:szCs w:val="19"/>
          <w:lang w:val="en-GB"/>
        </w:rPr>
      </w:pPr>
      <w:r w:rsidRPr="00BD215E">
        <w:rPr>
          <w:rFonts w:ascii="Fira Sans SemiBold" w:eastAsia="Times New Roman" w:hAnsi="Fira Sans SemiBold" w:cs="Times New Roman"/>
          <w:noProof/>
          <w:szCs w:val="24"/>
          <w:lang w:val="en-GB"/>
        </w:rPr>
        <mc:AlternateContent>
          <mc:Choice Requires="wps">
            <w:drawing>
              <wp:anchor distT="45720" distB="45720" distL="114300" distR="114300" simplePos="0" relativeHeight="251779072" behindDoc="0" locked="0" layoutInCell="1" allowOverlap="1" wp14:anchorId="77D10BF7" wp14:editId="673CCD53">
                <wp:simplePos x="0" y="0"/>
                <wp:positionH relativeFrom="column">
                  <wp:posOffset>5244465</wp:posOffset>
                </wp:positionH>
                <wp:positionV relativeFrom="paragraph">
                  <wp:posOffset>2380615</wp:posOffset>
                </wp:positionV>
                <wp:extent cx="1858645" cy="1426210"/>
                <wp:effectExtent l="0" t="0" r="0" b="2540"/>
                <wp:wrapSquare wrapText="bothSides"/>
                <wp:docPr id="18" name="Text field 2" descr="There has been a steady increase in health spending between 2015 and 20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8645" cy="1426210"/>
                        </a:xfrm>
                        <a:prstGeom prst="rect">
                          <a:avLst/>
                        </a:prstGeom>
                        <a:noFill/>
                        <a:ln w="9525">
                          <a:noFill/>
                          <a:miter lim="800000"/>
                          <a:headEnd/>
                          <a:tailEnd/>
                        </a:ln>
                      </wps:spPr>
                      <wps:txbx>
                        <w:txbxContent>
                          <w:p w14:paraId="6E57AB3E" w14:textId="125517D4" w:rsidR="0001348A" w:rsidRDefault="0001348A" w:rsidP="00657586">
                            <w:pPr>
                              <w:pStyle w:val="P68B1DB1-Normalny22"/>
                              <w:suppressAutoHyphens/>
                              <w:rPr>
                                <w:bCs/>
                              </w:rPr>
                            </w:pPr>
                            <w:r>
                              <w:t>There has been a steady increase in health spending between 2015 and 2025</w:t>
                            </w:r>
                            <w:r w:rsidR="00907CE3">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7D10BF7" id="_x0000_s1035" type="#_x0000_t202" alt="There has been a steady increase in health spending between 2015 and 2025" style="position:absolute;margin-left:412.95pt;margin-top:187.45pt;width:146.35pt;height:112.3pt;z-index:2517790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" filled="f" stroked="f">
                <v:textbox>
                  <w:txbxContent>
                    <w:p w14:paraId="6E57AB3E" w14:textId="125517D4" w:rsidR="0001348A" w:rsidRDefault="0001348A" w:rsidP="00657586">
                      <w:pPr>
                        <w:pStyle w:val="P68B1DB1-Normalny22"/>
                        <w:suppressAutoHyphens/>
                        <w:rPr>
                          <w:bCs/>
                        </w:rPr>
                      </w:pPr>
                      <w:r>
                        <w:t>There has been a steady increase in health spending between 2015 and 2025</w:t>
                      </w:r>
                      <w:r w:rsidR="00907CE3">
                        <w:t>.</w:t>
                      </w:r>
                    </w:p>
                  </w:txbxContent>
                </v:textbox>
                <w10:wrap type="square"/>
              </v:shape>
            </w:pict>
          </mc:Fallback>
        </mc:AlternateContent>
      </w:r>
      <w:r w:rsidRPr="00BD215E">
        <w:rPr>
          <w:rFonts w:ascii="Fira Sans SemiBold" w:eastAsia="Times New Roman" w:hAnsi="Fira Sans SemiBold" w:cs="Times New Roman"/>
          <w:szCs w:val="24"/>
          <w:lang w:val="en-GB"/>
        </w:rPr>
        <w:t>Public health expenditure 2015-2025</w:t>
      </w:r>
    </w:p>
    <w:p w14:paraId="421A503C" w14:textId="2165A119" w:rsidR="001038E8" w:rsidRPr="00BD215E" w:rsidRDefault="001038E8" w:rsidP="00A263E7">
      <w:pPr>
        <w:spacing w:after="0" w:line="288" w:lineRule="auto"/>
        <w:rPr>
          <w:color w:val="000000" w:themeColor="text1"/>
          <w:lang w:val="en-GB"/>
        </w:rPr>
      </w:pPr>
      <w:r w:rsidRPr="00BD215E">
        <w:rPr>
          <w:color w:val="000000" w:themeColor="text1"/>
          <w:lang w:val="en-GB"/>
        </w:rPr>
        <w:t>There</w:t>
      </w:r>
      <w:r w:rsidRPr="00BD215E">
        <w:rPr>
          <w:lang w:val="en-GB"/>
        </w:rPr>
        <w:t xml:space="preserve"> has been a steady increase in health spending between 2015 and 2025. This applies both to annual expenditure plans </w:t>
      </w:r>
      <w:r w:rsidRPr="00A263E7">
        <w:rPr>
          <w:rFonts w:eastAsiaTheme="minorEastAsia" w:cs="Arial"/>
          <w:color w:val="000000" w:themeColor="text1"/>
          <w:szCs w:val="19"/>
          <w:lang w:val="en-GB"/>
        </w:rPr>
        <w:t>under</w:t>
      </w:r>
      <w:r w:rsidRPr="00BD215E">
        <w:rPr>
          <w:lang w:val="en-GB"/>
        </w:rPr>
        <w:t xml:space="preserve"> the Act and to their implementation, which has almost always been greater than the plan. Between 2015 and 2025, health expenditures as planned increased by 197.6%, while implementation increased by 200.8%. The largest annual increase in health expenditure by implementation was recorded in 2023, by 22.4%.</w:t>
      </w:r>
    </w:p>
    <w:p w14:paraId="0684F2CE" w14:textId="3CA8C1A0" w:rsidR="001038E8" w:rsidRPr="00BD215E" w:rsidRDefault="008771D4" w:rsidP="001038E8">
      <w:pPr>
        <w:pStyle w:val="P68B1DB1-Normalny16"/>
        <w:spacing w:before="240" w:line="288" w:lineRule="auto"/>
        <w:rPr>
          <w:b/>
          <w:lang w:val="en-GB"/>
        </w:rPr>
      </w:pPr>
      <w:r w:rsidRPr="00BD215E">
        <w:rPr>
          <w:b/>
          <w:lang w:val="en-GB"/>
        </w:rPr>
        <w:t xml:space="preserve"> Chart </w:t>
      </w:r>
      <w:r w:rsidR="001038E8" w:rsidRPr="00BD215E">
        <w:rPr>
          <w:b/>
          <w:lang w:val="en-GB"/>
        </w:rPr>
        <w:t xml:space="preserve">7. Public expenditure on health care </w:t>
      </w:r>
    </w:p>
    <w:p w14:paraId="3118DA90" w14:textId="7590EA11" w:rsidR="00657586" w:rsidRPr="00BD215E" w:rsidRDefault="00657586" w:rsidP="001038E8">
      <w:pPr>
        <w:pStyle w:val="P68B1DB1-Normalny16"/>
        <w:spacing w:before="240" w:line="288" w:lineRule="auto"/>
        <w:rPr>
          <w:b/>
          <w:lang w:val="en-GB"/>
        </w:rPr>
      </w:pPr>
      <w:r w:rsidRPr="00BD215E">
        <w:rPr>
          <w:b/>
          <w:noProof/>
          <w:lang w:val="en-GB"/>
        </w:rPr>
        <w:drawing>
          <wp:inline distT="0" distB="0" distL="0" distR="0" wp14:anchorId="53708C47" wp14:editId="19805A32">
            <wp:extent cx="5038725" cy="2559650"/>
            <wp:effectExtent l="0" t="0" r="0" b="0"/>
            <wp:docPr id="1" name="Obraz 1" descr=" Chart 7. Public expenditure on health car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041842" cy="2561233"/>
                    </a:xfrm>
                    <a:prstGeom prst="rect">
                      <a:avLst/>
                    </a:prstGeom>
                  </pic:spPr>
                </pic:pic>
              </a:graphicData>
            </a:graphic>
          </wp:inline>
        </w:drawing>
      </w:r>
    </w:p>
    <w:p w14:paraId="5E25BD0B" w14:textId="77777777" w:rsidR="001038E8" w:rsidRPr="00BD215E" w:rsidRDefault="001038E8" w:rsidP="00665DAF">
      <w:pPr>
        <w:pStyle w:val="P68B1DB1-Normalny25"/>
        <w:spacing w:before="360" w:line="259" w:lineRule="auto"/>
        <w:rPr>
          <w:rFonts w:eastAsiaTheme="minorEastAsia" w:cs="Arial"/>
          <w:color w:val="000000" w:themeColor="text1"/>
          <w:lang w:val="en-GB"/>
        </w:rPr>
      </w:pPr>
      <w:r w:rsidRPr="00BD215E">
        <w:rPr>
          <w:lang w:val="en-GB"/>
        </w:rPr>
        <w:t>Summary</w:t>
      </w:r>
    </w:p>
    <w:p w14:paraId="38CCA9F7" w14:textId="77777777" w:rsidR="003F7AC2" w:rsidRDefault="001038E8" w:rsidP="00A263E7">
      <w:pPr>
        <w:spacing w:after="0" w:line="288" w:lineRule="auto"/>
        <w:rPr>
          <w:lang w:val="en-GB"/>
        </w:rPr>
      </w:pPr>
      <w:r w:rsidRPr="00BD215E">
        <w:rPr>
          <w:lang w:val="en-GB"/>
        </w:rPr>
        <w:t xml:space="preserve">Regardless of the broader or narrower scope of the analysis – according to national current expenditure included in the National Health Account or only in the scope of public expenditure listed in Article 131c of the Act on health care services financed from public funds – there has been a continuous and </w:t>
      </w:r>
      <w:r w:rsidR="003F7AC2">
        <w:rPr>
          <w:lang w:val="en-GB"/>
        </w:rPr>
        <w:t>relatively</w:t>
      </w:r>
      <w:r w:rsidRPr="00BD215E">
        <w:rPr>
          <w:lang w:val="en-GB"/>
        </w:rPr>
        <w:t xml:space="preserve"> large increase in health care expenditure over the last dozen or so years. </w:t>
      </w:r>
    </w:p>
    <w:p w14:paraId="68D239FE" w14:textId="1368DC00" w:rsidR="001038E8" w:rsidRPr="00BD215E" w:rsidRDefault="001038E8" w:rsidP="00A263E7">
      <w:pPr>
        <w:spacing w:after="0" w:line="288" w:lineRule="auto"/>
        <w:rPr>
          <w:rFonts w:eastAsiaTheme="minorEastAsia" w:cs="Arial"/>
          <w:lang w:val="en-GB"/>
        </w:rPr>
      </w:pPr>
      <w:r w:rsidRPr="00BD215E">
        <w:rPr>
          <w:lang w:val="en-GB"/>
        </w:rPr>
        <w:lastRenderedPageBreak/>
        <w:t>The time series of national current health expenditures (public and private) showed an increase of more than 202% between 2015 and 2025, and these public health expenditures increased by more than 200% over the same period.</w:t>
      </w:r>
      <w:r w:rsidRPr="00BD215E">
        <w:rPr>
          <w:rFonts w:eastAsiaTheme="minorEastAsia" w:cs="Arial"/>
          <w:lang w:val="en-GB"/>
        </w:rPr>
        <w:t xml:space="preserve"> </w:t>
      </w:r>
    </w:p>
    <w:p w14:paraId="2925B152" w14:textId="360D864A" w:rsidR="007C5FE5" w:rsidRDefault="007C5FE5" w:rsidP="00EB125A">
      <w:pPr>
        <w:spacing w:after="0" w:line="288" w:lineRule="auto"/>
        <w:rPr>
          <w:lang w:val="en-GB"/>
        </w:rPr>
      </w:pPr>
      <w:r w:rsidRPr="007C5FE5">
        <w:rPr>
          <w:szCs w:val="19"/>
          <w:lang w:val="en-GB"/>
        </w:rPr>
        <w:t>The increase in public spending on healthcare as a percentage of GDP was driven by the indicators set out in the law, which were supposed to gradually rise by 1.64 percentage points over the last six years, starting in 2019 from 4.86</w:t>
      </w:r>
      <w:r w:rsidRPr="00150CA7">
        <w:rPr>
          <w:szCs w:val="19"/>
          <w:lang w:val="en-GB"/>
        </w:rPr>
        <w:t>% of GDP</w:t>
      </w:r>
      <w:r w:rsidRPr="00150CA7">
        <w:rPr>
          <w:rStyle w:val="Odwoanieprzypisudolnego"/>
          <w:rFonts w:eastAsia="Times New Roman" w:cs="Times New Roman"/>
          <w:noProof/>
          <w:szCs w:val="19"/>
          <w:lang w:eastAsia="pl-PL"/>
        </w:rPr>
        <w:footnoteReference w:id="13"/>
      </w:r>
      <w:r w:rsidRPr="00150CA7">
        <w:rPr>
          <w:szCs w:val="19"/>
          <w:lang w:val="en-GB"/>
        </w:rPr>
        <w:t>. The target set in the law for 2025 of 6.50% of GDP was more than met, reaching 6.81%,</w:t>
      </w:r>
      <w:r w:rsidR="00E00B9F" w:rsidRPr="00150CA7">
        <w:rPr>
          <w:rStyle w:val="Odwoanieprzypisudolnego"/>
          <w:rFonts w:eastAsia="Times New Roman" w:cs="Times New Roman"/>
          <w:szCs w:val="19"/>
          <w:lang w:val="en-GB"/>
        </w:rPr>
        <w:footnoteReference w:id="14"/>
      </w:r>
      <w:r w:rsidRPr="00150CA7">
        <w:rPr>
          <w:szCs w:val="19"/>
          <w:lang w:val="en-GB"/>
        </w:rPr>
        <w:t xml:space="preserve"> </w:t>
      </w:r>
      <w:r w:rsidR="00E00B9F" w:rsidRPr="00150CA7">
        <w:rPr>
          <w:szCs w:val="19"/>
          <w:lang w:val="en-GB"/>
        </w:rPr>
        <w:t xml:space="preserve">as </w:t>
      </w:r>
      <w:r w:rsidRPr="00150CA7">
        <w:rPr>
          <w:szCs w:val="19"/>
          <w:lang w:val="en-GB"/>
        </w:rPr>
        <w:t>the</w:t>
      </w:r>
      <w:r w:rsidRPr="007C5FE5">
        <w:rPr>
          <w:szCs w:val="19"/>
          <w:lang w:val="en-GB"/>
        </w:rPr>
        <w:t xml:space="preserve"> actual costs of the public healthcare system turned out to be higher than planned, once again.</w:t>
      </w:r>
    </w:p>
    <w:p w14:paraId="0B893F30" w14:textId="690E2C7B" w:rsidR="00E00B9F" w:rsidRDefault="00E00B9F" w:rsidP="00EB125A">
      <w:pPr>
        <w:spacing w:after="0" w:line="288" w:lineRule="auto"/>
        <w:rPr>
          <w:szCs w:val="19"/>
          <w:lang w:val="en-GB"/>
        </w:rPr>
      </w:pPr>
      <w:r w:rsidRPr="00E00B9F">
        <w:rPr>
          <w:szCs w:val="19"/>
          <w:lang w:val="en-GB"/>
        </w:rPr>
        <w:t>At the same time, in 2025, the total current spending on healthcare (both public and private) reached – according to the estimated data of the National Health Account – 348 billion PLN, which corresponded to 8.9% of GDP.</w:t>
      </w:r>
      <w:r w:rsidRPr="00E00B9F">
        <w:rPr>
          <w:rStyle w:val="Odwoanieprzypisudolnego"/>
          <w:rFonts w:eastAsia="Times New Roman" w:cs="Times New Roman"/>
          <w:szCs w:val="19"/>
          <w:lang w:val="en-GB"/>
        </w:rPr>
        <w:t xml:space="preserve"> </w:t>
      </w:r>
      <w:r w:rsidRPr="00BD215E">
        <w:rPr>
          <w:rStyle w:val="Odwoanieprzypisudolnego"/>
          <w:rFonts w:eastAsia="Times New Roman" w:cs="Times New Roman"/>
          <w:szCs w:val="19"/>
          <w:lang w:val="en-GB"/>
        </w:rPr>
        <w:footnoteReference w:id="15"/>
      </w:r>
      <w:r w:rsidRPr="00E00B9F">
        <w:rPr>
          <w:szCs w:val="19"/>
          <w:lang w:val="en-GB"/>
        </w:rPr>
        <w:t xml:space="preserve"> A significant increase in this indicator was noted: over the past 3 years, it went up by 2.3 percentage points.</w:t>
      </w:r>
    </w:p>
    <w:p w14:paraId="73DCDE66" w14:textId="77777777" w:rsidR="00E00B9F" w:rsidRDefault="00E00B9F" w:rsidP="00EB125A">
      <w:pPr>
        <w:spacing w:after="0" w:line="288" w:lineRule="auto"/>
        <w:rPr>
          <w:szCs w:val="19"/>
          <w:lang w:val="en-GB"/>
        </w:rPr>
      </w:pPr>
      <w:r w:rsidRPr="00E00B9F">
        <w:rPr>
          <w:szCs w:val="19"/>
          <w:lang w:val="en-GB"/>
        </w:rPr>
        <w:t>If the preliminary data and estimates for 2024 and 2025 hold true, it would mean that current spending on healthcare as a share of GDP in Poland would be only 0.5 percentage points lower than the average for European OECD countries, and at the same time, the value of medical services and products consumed in Poland relative to GDP would be close to the level seen in countries like the Czech Republic, Spain, or Italy.</w:t>
      </w:r>
    </w:p>
    <w:p w14:paraId="15A353DD" w14:textId="77777777" w:rsidR="001038E8" w:rsidRPr="00BD215E" w:rsidRDefault="001038E8" w:rsidP="001038E8">
      <w:pPr>
        <w:suppressAutoHyphens/>
        <w:spacing w:line="288" w:lineRule="auto"/>
        <w:rPr>
          <w:rFonts w:ascii="Fira Sans SemiBold" w:eastAsia="Times New Roman" w:hAnsi="Fira Sans SemiBold" w:cs="Times New Roman"/>
          <w:bCs/>
          <w:color w:val="001D77"/>
          <w:sz w:val="28"/>
          <w:szCs w:val="28"/>
          <w:lang w:val="en-GB"/>
        </w:rPr>
      </w:pPr>
    </w:p>
    <w:p w14:paraId="35D4F637" w14:textId="77777777" w:rsidR="001038E8" w:rsidRPr="00BD215E" w:rsidRDefault="001038E8" w:rsidP="001038E8">
      <w:pPr>
        <w:pStyle w:val="P68B1DB1-Normalny25"/>
        <w:suppressAutoHyphens/>
        <w:spacing w:line="288" w:lineRule="auto"/>
        <w:rPr>
          <w:rFonts w:eastAsiaTheme="minorEastAsia" w:cs="Arial"/>
          <w:color w:val="000000" w:themeColor="text1"/>
          <w:lang w:val="en-GB"/>
        </w:rPr>
      </w:pPr>
      <w:r w:rsidRPr="00BD215E">
        <w:rPr>
          <w:lang w:val="en-GB"/>
        </w:rPr>
        <w:t>Methodological notes</w:t>
      </w:r>
    </w:p>
    <w:p w14:paraId="45F666E9" w14:textId="77777777" w:rsidR="001038E8" w:rsidRPr="00BD215E" w:rsidRDefault="001038E8" w:rsidP="001038E8">
      <w:pPr>
        <w:pStyle w:val="P68B1DB1-Normalny26"/>
        <w:suppressAutoHyphens/>
        <w:spacing w:line="288" w:lineRule="auto"/>
        <w:contextualSpacing/>
        <w:rPr>
          <w:rFonts w:eastAsiaTheme="minorEastAsia" w:cs="Arial"/>
          <w:szCs w:val="19"/>
          <w:lang w:val="en-GB"/>
        </w:rPr>
      </w:pPr>
      <w:r w:rsidRPr="00BD215E">
        <w:rPr>
          <w:lang w:val="en-GB"/>
        </w:rPr>
        <w:t xml:space="preserve">Method of estimating the National Health Account </w:t>
      </w:r>
    </w:p>
    <w:p w14:paraId="18D6C4B3" w14:textId="0DA2C75A" w:rsidR="001038E8" w:rsidRPr="00BD215E" w:rsidRDefault="001038E8" w:rsidP="00EB125A">
      <w:pPr>
        <w:spacing w:after="0" w:line="288" w:lineRule="auto"/>
        <w:rPr>
          <w:lang w:val="en-GB"/>
        </w:rPr>
      </w:pPr>
      <w:r w:rsidRPr="00BD215E">
        <w:rPr>
          <w:lang w:val="en-GB"/>
        </w:rPr>
        <w:t>The results of selected indicators of the National Health Account (N</w:t>
      </w:r>
      <w:r w:rsidR="007A5FD2">
        <w:rPr>
          <w:lang w:val="en-GB"/>
        </w:rPr>
        <w:t>HA</w:t>
      </w:r>
      <w:r w:rsidRPr="00BD215E">
        <w:rPr>
          <w:lang w:val="en-GB"/>
        </w:rPr>
        <w:t>) presented in this signal information were developed in accordance with the international standard for the collection and analysis of health care expenditures known as the System of Health Accounts (SHA 2011). The aim is a comprehensive and internationally comparable analysis of the value and financial flows associated with the consumption of health care goods and services. Due to the lengthy, multi-month process of preparing and verifying the final data, they are preceded by preliminary data and even earlier preliminary estimates, which, when published, are accompanied by appropriate warnings about significant corrections that may still take place</w:t>
      </w:r>
      <w:r w:rsidRPr="00BD215E">
        <w:rPr>
          <w:rStyle w:val="Odwoanieprzypisudolnego"/>
          <w:rFonts w:eastAsia="Times New Roman" w:cs="Times New Roman"/>
          <w:szCs w:val="19"/>
          <w:lang w:val="en-GB"/>
        </w:rPr>
        <w:footnoteReference w:id="16"/>
      </w:r>
      <w:r w:rsidRPr="00BD215E">
        <w:rPr>
          <w:lang w:val="en-GB"/>
        </w:rPr>
        <w:t xml:space="preserve">. It is also worth emphasizing that even after obtaining the status of final data, the results may be subject to further updates resulting from changes in the methodology (so-called revisions). </w:t>
      </w:r>
    </w:p>
    <w:p w14:paraId="0244C885" w14:textId="1119A039" w:rsidR="001038E8" w:rsidRPr="00BD215E" w:rsidRDefault="007A5FD2" w:rsidP="00EB125A">
      <w:pPr>
        <w:spacing w:after="0" w:line="288" w:lineRule="auto"/>
        <w:rPr>
          <w:lang w:val="en-GB"/>
        </w:rPr>
      </w:pPr>
      <w:r>
        <w:rPr>
          <w:lang w:val="en-GB"/>
        </w:rPr>
        <w:t>S</w:t>
      </w:r>
      <w:r w:rsidR="001038E8" w:rsidRPr="00BD215E">
        <w:rPr>
          <w:lang w:val="en-GB"/>
        </w:rPr>
        <w:t>tatistic</w:t>
      </w:r>
      <w:r>
        <w:rPr>
          <w:lang w:val="en-GB"/>
        </w:rPr>
        <w:t>s Poland</w:t>
      </w:r>
      <w:r w:rsidR="001038E8" w:rsidRPr="00BD215E">
        <w:rPr>
          <w:lang w:val="en-GB"/>
        </w:rPr>
        <w:t xml:space="preserve"> </w:t>
      </w:r>
      <w:r>
        <w:rPr>
          <w:lang w:val="en-GB"/>
        </w:rPr>
        <w:t xml:space="preserve">(GUS) </w:t>
      </w:r>
      <w:r w:rsidR="001038E8" w:rsidRPr="00BD215E">
        <w:rPr>
          <w:lang w:val="en-GB"/>
        </w:rPr>
        <w:t>prepared the National Health Account for the first time in 2015 with data covering also 2014 and 2013.</w:t>
      </w:r>
    </w:p>
    <w:p w14:paraId="23CD405A" w14:textId="100D1C6F" w:rsidR="001038E8" w:rsidRPr="00BD215E" w:rsidRDefault="007A5FD2" w:rsidP="00EB125A">
      <w:pPr>
        <w:spacing w:after="0" w:line="288" w:lineRule="auto"/>
        <w:rPr>
          <w:lang w:val="en-GB"/>
        </w:rPr>
      </w:pPr>
      <w:r>
        <w:rPr>
          <w:lang w:val="en-GB"/>
        </w:rPr>
        <w:t>NHA</w:t>
      </w:r>
      <w:r w:rsidR="001038E8" w:rsidRPr="00BD215E">
        <w:rPr>
          <w:lang w:val="en-GB"/>
        </w:rPr>
        <w:t xml:space="preserve"> is compiled according to the International Classification for Health Accounts (ICHA) and included in four tables (</w:t>
      </w:r>
      <w:proofErr w:type="spellStart"/>
      <w:r w:rsidR="001038E8" w:rsidRPr="00BD215E">
        <w:rPr>
          <w:lang w:val="en-GB"/>
        </w:rPr>
        <w:t>HCxHF</w:t>
      </w:r>
      <w:proofErr w:type="spellEnd"/>
      <w:r w:rsidR="001038E8" w:rsidRPr="00BD215E">
        <w:rPr>
          <w:lang w:val="en-GB"/>
        </w:rPr>
        <w:t xml:space="preserve">, </w:t>
      </w:r>
      <w:proofErr w:type="spellStart"/>
      <w:r w:rsidR="001038E8" w:rsidRPr="00BD215E">
        <w:rPr>
          <w:lang w:val="en-GB"/>
        </w:rPr>
        <w:t>HPxHF</w:t>
      </w:r>
      <w:proofErr w:type="spellEnd"/>
      <w:r w:rsidR="001038E8" w:rsidRPr="00BD215E">
        <w:rPr>
          <w:lang w:val="en-GB"/>
        </w:rPr>
        <w:t xml:space="preserve">, </w:t>
      </w:r>
      <w:proofErr w:type="spellStart"/>
      <w:r w:rsidR="001038E8" w:rsidRPr="00BD215E">
        <w:rPr>
          <w:lang w:val="en-GB"/>
        </w:rPr>
        <w:t>HCxHP</w:t>
      </w:r>
      <w:proofErr w:type="spellEnd"/>
      <w:r w:rsidR="001038E8" w:rsidRPr="00BD215E">
        <w:rPr>
          <w:lang w:val="en-GB"/>
        </w:rPr>
        <w:t xml:space="preserve"> and </w:t>
      </w:r>
      <w:proofErr w:type="spellStart"/>
      <w:r w:rsidR="001038E8" w:rsidRPr="00BD215E">
        <w:rPr>
          <w:lang w:val="en-GB"/>
        </w:rPr>
        <w:t>HFxFS</w:t>
      </w:r>
      <w:proofErr w:type="spellEnd"/>
      <w:r w:rsidR="001038E8" w:rsidRPr="00BD215E">
        <w:rPr>
          <w:lang w:val="en-GB"/>
        </w:rPr>
        <w:t>), which are transmitted, including preliminary estimates and methodological notes, to the OECD, Eurostat and WHO in the form of</w:t>
      </w:r>
      <w:r w:rsidR="001038E8" w:rsidRPr="00BD215E">
        <w:rPr>
          <w:szCs w:val="20"/>
          <w:lang w:val="en-GB"/>
        </w:rPr>
        <w:t xml:space="preserve"> a Joint Health Accounts Questionnaire.</w:t>
      </w:r>
      <w:r w:rsidR="001038E8" w:rsidRPr="00BD215E">
        <w:rPr>
          <w:lang w:val="en-GB"/>
        </w:rPr>
        <w:t xml:space="preserve"> </w:t>
      </w:r>
    </w:p>
    <w:p w14:paraId="142A92B8" w14:textId="77777777" w:rsidR="001038E8" w:rsidRPr="00BD215E" w:rsidRDefault="001038E8" w:rsidP="00EB125A">
      <w:pPr>
        <w:spacing w:after="0" w:line="288" w:lineRule="auto"/>
        <w:rPr>
          <w:strike/>
          <w:lang w:val="en-GB"/>
        </w:rPr>
      </w:pPr>
      <w:r w:rsidRPr="00BD215E">
        <w:rPr>
          <w:lang w:val="en-GB"/>
        </w:rPr>
        <w:lastRenderedPageBreak/>
        <w:t>Health expenditure is classified according to the following breakdowns: HF – funding schemes, HC – health functions and HP – health care providers. An additional cross-section of the FS describes the types of revenues under funding schemes.</w:t>
      </w:r>
    </w:p>
    <w:p w14:paraId="404B550A" w14:textId="7CB01866" w:rsidR="001038E8" w:rsidRPr="00BD215E" w:rsidRDefault="001038E8" w:rsidP="00EB125A">
      <w:pPr>
        <w:spacing w:after="0" w:line="288" w:lineRule="auto"/>
        <w:rPr>
          <w:lang w:val="en-GB"/>
        </w:rPr>
      </w:pPr>
      <w:r w:rsidRPr="00BD215E">
        <w:rPr>
          <w:lang w:val="en-GB"/>
        </w:rPr>
        <w:t xml:space="preserve">The sources of information for </w:t>
      </w:r>
      <w:r w:rsidR="007A5FD2">
        <w:rPr>
          <w:lang w:val="en-GB"/>
        </w:rPr>
        <w:t>NHA</w:t>
      </w:r>
      <w:r w:rsidRPr="00BD215E">
        <w:rPr>
          <w:lang w:val="en-GB"/>
        </w:rPr>
        <w:t xml:space="preserve"> in the field of public expenditure (HF.1), consisting of government and compulsory contributory health insurance systems, are mainly administrative systems of institutions (FA - financing agents, i.e. payers), which collect data on health care expenditure. These are the Ministry of Health, the National Health Fund, the Social Insurance Institution, the Agricultural Social Insurance Fund, the Ministry of the Interior and Administration, the Ministry of National Defence, the Ministry of Justice, the Ministry of Family, Labour and Social Policy and the State Fund for the Rehabilitation of the Disabled. Data from the Financial Supervision Commission, the National Health Fund, the Social Insurance Institution and the Agricultural Social Insurance Fund, as well as the results of other surveys carried out within the framework of the programme of statistical surveys of official statistics, such as surveys of enterprises, non-commercial entities and surveys of household budgets and other available sources of information, are used to estimate non-public expenditure, including expenditure incurred by private sector operators (HF.2) and households (HF.3).</w:t>
      </w:r>
    </w:p>
    <w:p w14:paraId="250A4351" w14:textId="75B2A3CB" w:rsidR="001038E8" w:rsidRPr="00BD215E" w:rsidRDefault="001038E8" w:rsidP="00EB125A">
      <w:pPr>
        <w:spacing w:after="0" w:line="288" w:lineRule="auto"/>
        <w:rPr>
          <w:lang w:val="en-GB"/>
        </w:rPr>
      </w:pPr>
      <w:r w:rsidRPr="00BD215E">
        <w:rPr>
          <w:lang w:val="en-GB"/>
        </w:rPr>
        <w:t>As health systems around the world evolve, their organisational structures and funding systems are changing.</w:t>
      </w:r>
      <w:r w:rsidRPr="00BD215E">
        <w:rPr>
          <w:rFonts w:ascii="MyriadPro-Regular" w:hAnsi="MyriadPro-Regular" w:cs="MyriadPro-Regular"/>
          <w:lang w:val="en-GB"/>
        </w:rPr>
        <w:t xml:space="preserve"> </w:t>
      </w:r>
      <w:r w:rsidRPr="00BD215E">
        <w:rPr>
          <w:lang w:val="en-GB"/>
        </w:rPr>
        <w:t xml:space="preserve"> makes it necessary to constantly adapt the methodology of health accounts, both at international level (subsequent revisions of the SHA), as well as to adapt this methodology to national conditions (</w:t>
      </w:r>
      <w:r w:rsidR="007A5FD2">
        <w:rPr>
          <w:lang w:val="en-GB"/>
        </w:rPr>
        <w:t>NHA</w:t>
      </w:r>
      <w:r w:rsidRPr="00BD215E">
        <w:rPr>
          <w:lang w:val="en-GB"/>
        </w:rPr>
        <w:t>). Internationally, the substantive supervision over the modernization of the methodology is carried out by a team of experts composed of</w:t>
      </w:r>
      <w:r w:rsidRPr="00BD215E">
        <w:rPr>
          <w:sz w:val="16"/>
          <w:szCs w:val="16"/>
          <w:lang w:val="en-GB"/>
        </w:rPr>
        <w:t> </w:t>
      </w:r>
      <w:r w:rsidRPr="00BD215E">
        <w:rPr>
          <w:lang w:val="en-GB"/>
        </w:rPr>
        <w:t xml:space="preserve">representatives of: Eurostat, OECD and WHO – IHAT (International Health Account Team). </w:t>
      </w:r>
    </w:p>
    <w:p w14:paraId="15C5365F" w14:textId="26A4D840" w:rsidR="001038E8" w:rsidRPr="00BD215E" w:rsidRDefault="001038E8" w:rsidP="00EB125A">
      <w:pPr>
        <w:spacing w:after="0" w:line="288" w:lineRule="auto"/>
        <w:rPr>
          <w:lang w:val="en-GB"/>
        </w:rPr>
      </w:pPr>
      <w:r w:rsidRPr="00BD215E">
        <w:rPr>
          <w:lang w:val="en-GB"/>
        </w:rPr>
        <w:t xml:space="preserve">The National Health Account shall be drawn up each year for the year T-2. In addition, </w:t>
      </w:r>
      <w:r w:rsidR="007A5FD2">
        <w:rPr>
          <w:lang w:val="en-GB"/>
        </w:rPr>
        <w:t>GUS</w:t>
      </w:r>
      <w:r w:rsidRPr="00BD215E">
        <w:rPr>
          <w:lang w:val="en-GB"/>
        </w:rPr>
        <w:t xml:space="preserve"> is also preparing preliminary estimates for the previous year (T-1). In the current edition of the National Health Account, the forecasting method based on the trend model was used for the first time to estimate expenditure for the previous year. The expenditure forecast for 2025 is based on data from 2013-2024. </w:t>
      </w:r>
    </w:p>
    <w:p w14:paraId="49C399FA" w14:textId="07F14AE3" w:rsidR="001038E8" w:rsidRPr="00BD215E" w:rsidRDefault="001038E8" w:rsidP="00EB125A">
      <w:pPr>
        <w:spacing w:after="0" w:line="288" w:lineRule="auto"/>
        <w:rPr>
          <w:lang w:val="en-GB"/>
        </w:rPr>
      </w:pPr>
      <w:r w:rsidRPr="00BD215E">
        <w:rPr>
          <w:lang w:val="en-GB"/>
        </w:rPr>
        <w:t>Statistic</w:t>
      </w:r>
      <w:r w:rsidR="007A5FD2">
        <w:rPr>
          <w:lang w:val="en-GB"/>
        </w:rPr>
        <w:t>s</w:t>
      </w:r>
      <w:r w:rsidRPr="00BD215E">
        <w:rPr>
          <w:lang w:val="en-GB"/>
        </w:rPr>
        <w:t xml:space="preserve"> </w:t>
      </w:r>
      <w:r w:rsidR="007A5FD2">
        <w:rPr>
          <w:lang w:val="en-GB"/>
        </w:rPr>
        <w:t>Poland</w:t>
      </w:r>
      <w:r w:rsidRPr="00BD215E">
        <w:rPr>
          <w:lang w:val="en-GB"/>
        </w:rPr>
        <w:t xml:space="preserve"> submits preliminary data for the year T-1 for verification by the international team, and only after all doubts have been clarified, preliminary data for that year can be published as preliminary data. The data will become final in the following year, i.e. after the completion of fundamental GDP adjustments and in the accounting of the budgets of the main institutions financing health expenditure. </w:t>
      </w:r>
    </w:p>
    <w:p w14:paraId="6FF6DFE3" w14:textId="77777777" w:rsidR="001038E8" w:rsidRPr="00BD215E" w:rsidRDefault="001038E8" w:rsidP="00EB125A">
      <w:pPr>
        <w:spacing w:after="0" w:line="288" w:lineRule="auto"/>
        <w:rPr>
          <w:lang w:val="en-GB"/>
        </w:rPr>
      </w:pPr>
      <w:r w:rsidRPr="00BD215E">
        <w:rPr>
          <w:lang w:val="en-GB"/>
        </w:rPr>
        <w:t>Current expenditure on health care, refers to the current data on the</w:t>
      </w:r>
      <w:r w:rsidRPr="00BD215E">
        <w:rPr>
          <w:sz w:val="16"/>
          <w:szCs w:val="16"/>
          <w:lang w:val="en-GB"/>
        </w:rPr>
        <w:t> </w:t>
      </w:r>
      <w:r w:rsidRPr="00BD215E">
        <w:rPr>
          <w:lang w:val="en-GB"/>
        </w:rPr>
        <w:t>value of GDP generated</w:t>
      </w:r>
      <w:r w:rsidRPr="00BD215E">
        <w:rPr>
          <w:lang w:val="en-GB"/>
        </w:rPr>
        <w:footnoteReference w:id="17"/>
      </w:r>
      <w:r w:rsidRPr="00BD215E">
        <w:rPr>
          <w:lang w:val="en-GB"/>
        </w:rPr>
        <w:t xml:space="preserve"> at the date of preparation of this signal information and</w:t>
      </w:r>
      <w:r w:rsidRPr="00BD215E">
        <w:rPr>
          <w:sz w:val="16"/>
          <w:szCs w:val="16"/>
          <w:lang w:val="en-GB"/>
        </w:rPr>
        <w:t> </w:t>
      </w:r>
      <w:r w:rsidRPr="00BD215E">
        <w:rPr>
          <w:lang w:val="en-GB"/>
        </w:rPr>
        <w:t>refers to the value of GDP for the same year.</w:t>
      </w:r>
    </w:p>
    <w:p w14:paraId="6CF80006" w14:textId="77777777" w:rsidR="001038E8" w:rsidRPr="00BD215E" w:rsidRDefault="001038E8" w:rsidP="00EB125A">
      <w:pPr>
        <w:spacing w:after="0" w:line="288" w:lineRule="auto"/>
        <w:rPr>
          <w:rFonts w:ascii="Fira Sans SemiBold" w:eastAsia="Times New Roman" w:hAnsi="Fira Sans SemiBold" w:cs="Times New Roman"/>
          <w:bCs/>
          <w:szCs w:val="24"/>
          <w:lang w:val="en-GB" w:eastAsia="pl-PL"/>
        </w:rPr>
      </w:pPr>
      <w:r w:rsidRPr="00BD215E">
        <w:rPr>
          <w:rFonts w:ascii="Fira Sans SemiBold" w:eastAsia="Times New Roman" w:hAnsi="Fira Sans SemiBold" w:cs="Times New Roman"/>
          <w:bCs/>
          <w:szCs w:val="24"/>
          <w:lang w:val="en-GB" w:eastAsia="pl-PL"/>
        </w:rPr>
        <w:t xml:space="preserve">Methodology for compiling data presented in Public Expenditure on Health in 2025 </w:t>
      </w:r>
    </w:p>
    <w:p w14:paraId="0125CA10" w14:textId="77777777" w:rsidR="001038E8" w:rsidRPr="00BD215E" w:rsidRDefault="001038E8" w:rsidP="00EB125A">
      <w:pPr>
        <w:spacing w:after="0" w:line="288" w:lineRule="auto"/>
        <w:rPr>
          <w:lang w:val="en-GB"/>
        </w:rPr>
      </w:pPr>
      <w:r w:rsidRPr="00BD215E">
        <w:rPr>
          <w:lang w:val="en-GB"/>
        </w:rPr>
        <w:t xml:space="preserve">The methodology for calculating expenditure on health care is set out in Article 131c </w:t>
      </w:r>
      <w:bookmarkStart w:id="16" w:name="_Hlk236193751"/>
      <w:r w:rsidRPr="00BD215E">
        <w:rPr>
          <w:lang w:val="en-GB"/>
        </w:rPr>
        <w:t>of the Act of 27 August 2004 on health care</w:t>
      </w:r>
      <w:r w:rsidRPr="00BD215E">
        <w:rPr>
          <w:sz w:val="16"/>
          <w:szCs w:val="16"/>
          <w:lang w:val="en-GB"/>
        </w:rPr>
        <w:t> </w:t>
      </w:r>
      <w:r w:rsidRPr="00BD215E">
        <w:rPr>
          <w:lang w:val="en-GB"/>
        </w:rPr>
        <w:t>services financed from public funds</w:t>
      </w:r>
      <w:bookmarkEnd w:id="16"/>
      <w:r w:rsidRPr="00BD215E">
        <w:rPr>
          <w:lang w:val="en-GB"/>
        </w:rPr>
        <w:t xml:space="preserve"> (consolidated</w:t>
      </w:r>
      <w:r w:rsidRPr="00BD215E">
        <w:rPr>
          <w:rFonts w:eastAsiaTheme="minorEastAsia" w:cs="Arial"/>
          <w:szCs w:val="19"/>
          <w:lang w:val="en-GB"/>
        </w:rPr>
        <w:t xml:space="preserve"> text: </w:t>
      </w:r>
      <w:r w:rsidRPr="00BD215E">
        <w:rPr>
          <w:lang w:val="en-GB"/>
        </w:rPr>
        <w:t xml:space="preserve">Journal of Laws of 2004, No. Journal of Laws of 2025, item 1461, as amended) and is not related to the SHA 2011 methodology, according to which the National Health Account is being compiled. </w:t>
      </w:r>
    </w:p>
    <w:p w14:paraId="21C5803C" w14:textId="77777777" w:rsidR="001038E8" w:rsidRPr="00BD215E" w:rsidRDefault="001038E8" w:rsidP="00EB125A">
      <w:pPr>
        <w:spacing w:after="0" w:line="288" w:lineRule="auto"/>
        <w:rPr>
          <w:color w:val="000000" w:themeColor="text1"/>
          <w:lang w:val="en-GB"/>
        </w:rPr>
      </w:pPr>
      <w:bookmarkStart w:id="17" w:name="_Hlk203722107"/>
      <w:r w:rsidRPr="00BD215E">
        <w:rPr>
          <w:lang w:val="en-GB"/>
        </w:rPr>
        <w:t xml:space="preserve">In accordance with </w:t>
      </w:r>
      <w:r w:rsidRPr="00BD215E">
        <w:rPr>
          <w:color w:val="000000" w:themeColor="text1"/>
          <w:lang w:val="en-GB"/>
        </w:rPr>
        <w:t xml:space="preserve">the provisions of the Act, financial resources of not less than 7% of GDP are allocated </w:t>
      </w:r>
      <w:r w:rsidRPr="00EB125A">
        <w:rPr>
          <w:lang w:val="en-GB"/>
        </w:rPr>
        <w:t>annually</w:t>
      </w:r>
      <w:r w:rsidRPr="00BD215E">
        <w:rPr>
          <w:color w:val="000000" w:themeColor="text1"/>
          <w:lang w:val="en-GB"/>
        </w:rPr>
        <w:t xml:space="preserve"> to financing health care, with the proviso that the amount of public expenditure allocated to financing health care in</w:t>
      </w:r>
      <w:r w:rsidRPr="00BD215E">
        <w:rPr>
          <w:sz w:val="16"/>
          <w:szCs w:val="16"/>
          <w:lang w:val="en-GB"/>
        </w:rPr>
        <w:t> </w:t>
      </w:r>
      <w:r w:rsidRPr="00BD215E">
        <w:rPr>
          <w:color w:val="000000" w:themeColor="text1"/>
          <w:lang w:val="en-GB"/>
        </w:rPr>
        <w:t>2018-2026</w:t>
      </w:r>
      <w:r w:rsidRPr="00BD215E">
        <w:rPr>
          <w:lang w:val="en-GB"/>
        </w:rPr>
        <w:t xml:space="preserve">  </w:t>
      </w:r>
      <w:r w:rsidRPr="00BD215E">
        <w:rPr>
          <w:color w:val="000000" w:themeColor="text1"/>
          <w:lang w:val="en-GB"/>
        </w:rPr>
        <w:t>may not be lower than:</w:t>
      </w:r>
    </w:p>
    <w:p w14:paraId="30D54F06" w14:textId="77777777" w:rsidR="001038E8" w:rsidRPr="00BD215E" w:rsidRDefault="001038E8" w:rsidP="00EB125A">
      <w:pPr>
        <w:spacing w:before="60" w:after="0"/>
        <w:rPr>
          <w:lang w:val="en-GB"/>
        </w:rPr>
      </w:pPr>
      <w:r w:rsidRPr="00BD215E">
        <w:rPr>
          <w:rFonts w:eastAsiaTheme="minorEastAsia" w:cs="Arial"/>
          <w:szCs w:val="19"/>
          <w:lang w:val="en-GB"/>
        </w:rPr>
        <w:t>1) 4.86%</w:t>
      </w:r>
      <w:r w:rsidRPr="00BD215E">
        <w:rPr>
          <w:lang w:val="en-GB"/>
        </w:rPr>
        <w:t>of gross domestic product in 2019</w:t>
      </w:r>
    </w:p>
    <w:p w14:paraId="02455444" w14:textId="77777777" w:rsidR="001038E8" w:rsidRPr="00BD215E" w:rsidRDefault="001038E8" w:rsidP="00EB125A">
      <w:pPr>
        <w:spacing w:before="60" w:after="0"/>
        <w:rPr>
          <w:lang w:val="en-GB"/>
        </w:rPr>
      </w:pPr>
      <w:r w:rsidRPr="00BD215E">
        <w:rPr>
          <w:rFonts w:eastAsiaTheme="minorEastAsia" w:cs="Arial"/>
          <w:szCs w:val="19"/>
          <w:lang w:val="en-GB"/>
        </w:rPr>
        <w:t>2</w:t>
      </w:r>
      <w:r w:rsidRPr="00BD215E">
        <w:rPr>
          <w:lang w:val="en-GB"/>
        </w:rPr>
        <w:t>) 5.03% of gross domestic product in 2020</w:t>
      </w:r>
    </w:p>
    <w:p w14:paraId="38BE5D94" w14:textId="77777777" w:rsidR="001038E8" w:rsidRPr="00BD215E" w:rsidRDefault="001038E8" w:rsidP="00EB125A">
      <w:pPr>
        <w:spacing w:before="60" w:after="0"/>
        <w:rPr>
          <w:lang w:val="en-GB"/>
        </w:rPr>
      </w:pPr>
      <w:r w:rsidRPr="00BD215E">
        <w:rPr>
          <w:rFonts w:eastAsiaTheme="minorEastAsia" w:cs="Arial"/>
          <w:szCs w:val="19"/>
          <w:lang w:val="en-GB"/>
        </w:rPr>
        <w:lastRenderedPageBreak/>
        <w:t>3.)</w:t>
      </w:r>
      <w:r w:rsidRPr="00BD215E">
        <w:rPr>
          <w:lang w:val="en-GB"/>
        </w:rPr>
        <w:t xml:space="preserve"> 5.30% of gross domestic product in 2021</w:t>
      </w:r>
    </w:p>
    <w:p w14:paraId="7A18C0AE" w14:textId="77777777" w:rsidR="001038E8" w:rsidRPr="00BD215E" w:rsidRDefault="001038E8" w:rsidP="00EB125A">
      <w:pPr>
        <w:spacing w:before="60" w:after="0"/>
        <w:rPr>
          <w:lang w:val="en-GB"/>
        </w:rPr>
      </w:pPr>
      <w:r w:rsidRPr="00BD215E">
        <w:rPr>
          <w:rFonts w:eastAsiaTheme="minorEastAsia" w:cs="Arial"/>
          <w:szCs w:val="19"/>
          <w:lang w:val="en-GB"/>
        </w:rPr>
        <w:t>4</w:t>
      </w:r>
      <w:r w:rsidRPr="00BD215E">
        <w:rPr>
          <w:lang w:val="en-GB"/>
        </w:rPr>
        <w:t>) 5.75% of gross domestic product in 2022.</w:t>
      </w:r>
    </w:p>
    <w:p w14:paraId="22A4DE6E" w14:textId="77777777" w:rsidR="001038E8" w:rsidRPr="00BD215E" w:rsidRDefault="001038E8" w:rsidP="00EB125A">
      <w:pPr>
        <w:spacing w:before="60" w:after="0"/>
        <w:rPr>
          <w:lang w:val="en-GB"/>
        </w:rPr>
      </w:pPr>
      <w:r w:rsidRPr="00BD215E">
        <w:rPr>
          <w:rFonts w:eastAsiaTheme="minorEastAsia" w:cs="Arial"/>
          <w:szCs w:val="19"/>
          <w:lang w:val="en-GB"/>
        </w:rPr>
        <w:t>5</w:t>
      </w:r>
      <w:r w:rsidRPr="00BD215E">
        <w:rPr>
          <w:lang w:val="en-GB"/>
        </w:rPr>
        <w:t>) 6.00% of gross domestic product in 2023.</w:t>
      </w:r>
    </w:p>
    <w:p w14:paraId="29F5E852" w14:textId="77777777" w:rsidR="001038E8" w:rsidRPr="00BD215E" w:rsidRDefault="001038E8" w:rsidP="00EB125A">
      <w:pPr>
        <w:spacing w:before="60" w:after="0"/>
        <w:rPr>
          <w:lang w:val="en-GB"/>
        </w:rPr>
      </w:pPr>
      <w:r w:rsidRPr="00BD215E">
        <w:rPr>
          <w:rFonts w:eastAsiaTheme="minorEastAsia" w:cs="Arial"/>
          <w:szCs w:val="19"/>
          <w:lang w:val="en-GB"/>
        </w:rPr>
        <w:t>6</w:t>
      </w:r>
      <w:r w:rsidRPr="00BD215E">
        <w:rPr>
          <w:lang w:val="en-GB"/>
        </w:rPr>
        <w:t>) 6.20% of gross domestic product in 2024.</w:t>
      </w:r>
    </w:p>
    <w:p w14:paraId="59DE5AC5" w14:textId="35840067" w:rsidR="001038E8" w:rsidRPr="00BD215E" w:rsidRDefault="00A10FA7" w:rsidP="00EB125A">
      <w:pPr>
        <w:spacing w:before="60" w:after="0"/>
        <w:rPr>
          <w:lang w:val="en-GB"/>
        </w:rPr>
      </w:pPr>
      <w:r>
        <w:rPr>
          <w:rFonts w:eastAsiaTheme="minorEastAsia" w:cs="Arial"/>
          <w:szCs w:val="19"/>
          <w:lang w:val="en-GB"/>
        </w:rPr>
        <w:t>7</w:t>
      </w:r>
      <w:r w:rsidR="001038E8" w:rsidRPr="00BD215E">
        <w:rPr>
          <w:rFonts w:eastAsiaTheme="minorEastAsia" w:cs="Arial"/>
          <w:szCs w:val="19"/>
          <w:lang w:val="en-GB"/>
        </w:rPr>
        <w:t>)</w:t>
      </w:r>
      <w:r w:rsidR="001038E8" w:rsidRPr="00BD215E">
        <w:rPr>
          <w:lang w:val="en-GB"/>
        </w:rPr>
        <w:t xml:space="preserve"> 6.50% of gross domestic product in 2025.</w:t>
      </w:r>
    </w:p>
    <w:p w14:paraId="424D0E42" w14:textId="77777777" w:rsidR="001038E8" w:rsidRPr="00BD215E" w:rsidRDefault="001038E8" w:rsidP="00EB125A">
      <w:pPr>
        <w:spacing w:before="60" w:after="0"/>
        <w:rPr>
          <w:lang w:val="en-GB"/>
        </w:rPr>
      </w:pPr>
      <w:r w:rsidRPr="00BD215E">
        <w:rPr>
          <w:rFonts w:eastAsiaTheme="minorEastAsia" w:cs="Arial"/>
          <w:szCs w:val="19"/>
          <w:lang w:val="en-GB"/>
        </w:rPr>
        <w:t>8</w:t>
      </w:r>
      <w:r w:rsidRPr="00BD215E">
        <w:rPr>
          <w:lang w:val="en-GB"/>
        </w:rPr>
        <w:t>) 6.80% of gross domestic product in 2026.</w:t>
      </w:r>
    </w:p>
    <w:p w14:paraId="2128D9E3" w14:textId="77777777" w:rsidR="001038E8" w:rsidRPr="00BD215E" w:rsidRDefault="001038E8" w:rsidP="00EB125A">
      <w:pPr>
        <w:spacing w:after="0" w:line="288" w:lineRule="auto"/>
        <w:rPr>
          <w:color w:val="000000" w:themeColor="text1"/>
          <w:lang w:val="en-GB"/>
        </w:rPr>
      </w:pPr>
      <w:r w:rsidRPr="00BD215E">
        <w:rPr>
          <w:color w:val="000000" w:themeColor="text1"/>
          <w:lang w:val="en-GB"/>
        </w:rPr>
        <w:t>The above limits, in accordance with paragraph. 4 Article 131c of this Act shall be taken into account by the Council of Ministers in</w:t>
      </w:r>
      <w:r w:rsidRPr="00BD215E">
        <w:rPr>
          <w:sz w:val="16"/>
          <w:szCs w:val="16"/>
          <w:lang w:val="en-GB"/>
        </w:rPr>
        <w:t> </w:t>
      </w:r>
      <w:r w:rsidRPr="00BD215E">
        <w:rPr>
          <w:color w:val="000000" w:themeColor="text1"/>
          <w:lang w:val="en-GB"/>
        </w:rPr>
        <w:t>draft budget laws or draft provisional budget laws.</w:t>
      </w:r>
    </w:p>
    <w:bookmarkEnd w:id="17"/>
    <w:p w14:paraId="373BA020" w14:textId="25EBDC1F" w:rsidR="001038E8" w:rsidRPr="00BD215E" w:rsidRDefault="001038E8" w:rsidP="00EB125A">
      <w:pPr>
        <w:spacing w:after="0" w:line="288" w:lineRule="auto"/>
        <w:rPr>
          <w:color w:val="000000" w:themeColor="text1"/>
          <w:lang w:val="en-GB"/>
        </w:rPr>
      </w:pPr>
      <w:r w:rsidRPr="00BD215E">
        <w:rPr>
          <w:color w:val="000000" w:themeColor="text1"/>
          <w:lang w:val="en-GB"/>
        </w:rPr>
        <w:t xml:space="preserve">The method of calculating the percentage of the value of public expenditure on health care in relation to the value of gross domestic product is indicated in Art. 2 of the Act, according to which the value of GDP specified in the </w:t>
      </w:r>
      <w:r w:rsidRPr="00BD215E">
        <w:rPr>
          <w:lang w:val="en-GB"/>
        </w:rPr>
        <w:t>notice of the President of the Statistic</w:t>
      </w:r>
      <w:r w:rsidR="007A5FD2">
        <w:rPr>
          <w:lang w:val="en-GB"/>
        </w:rPr>
        <w:t>s</w:t>
      </w:r>
      <w:r w:rsidRPr="00BD215E">
        <w:rPr>
          <w:lang w:val="en-GB"/>
        </w:rPr>
        <w:t xml:space="preserve"> </w:t>
      </w:r>
      <w:r w:rsidR="007A5FD2">
        <w:rPr>
          <w:lang w:val="en-GB"/>
        </w:rPr>
        <w:t>Poland</w:t>
      </w:r>
      <w:r w:rsidRPr="00BD215E">
        <w:rPr>
          <w:lang w:val="en-GB"/>
        </w:rPr>
        <w:t xml:space="preserve"> </w:t>
      </w:r>
      <w:r w:rsidR="007A5FD2">
        <w:rPr>
          <w:lang w:val="en-GB"/>
        </w:rPr>
        <w:br/>
      </w:r>
      <w:r w:rsidRPr="00BD215E">
        <w:rPr>
          <w:lang w:val="en-GB"/>
        </w:rPr>
        <w:t>issued pursuant to Article 5 of the Act of 26 October 2000 on the method of calculating the value of annual gross domestic product, as at 31 August</w:t>
      </w:r>
      <w:r w:rsidRPr="00BD215E">
        <w:rPr>
          <w:color w:val="000000" w:themeColor="text1"/>
          <w:lang w:val="en-GB"/>
        </w:rPr>
        <w:t xml:space="preserve">, is used to calculate this indicator. This notice shall be issued by 15 May of the relevant year for the previous year. Thus, when planning expenditure on health care for the following year, in accordance with the Act, the Council of Ministers in draft budget laws or draft budget provisional acts prepared for year N takes into account the value of GDP that is available for year N-2. </w:t>
      </w:r>
    </w:p>
    <w:p w14:paraId="057AAA1E" w14:textId="77777777" w:rsidR="001038E8" w:rsidRPr="00BD215E" w:rsidRDefault="001038E8" w:rsidP="00EB125A">
      <w:pPr>
        <w:spacing w:after="0" w:line="288" w:lineRule="auto"/>
        <w:rPr>
          <w:lang w:val="en-GB"/>
        </w:rPr>
      </w:pPr>
      <w:r w:rsidRPr="00BD215E">
        <w:rPr>
          <w:lang w:val="en-GB"/>
        </w:rPr>
        <w:t>The Act on Publicly Funded Healthcare Benefits (Article 131c, para. 3), defines a strict catalogue of expenses or costs that are included in public expenditure on health care. This catalogue includes:</w:t>
      </w:r>
    </w:p>
    <w:p w14:paraId="4DDD071B" w14:textId="77777777" w:rsidR="001038E8" w:rsidRPr="00BD215E" w:rsidRDefault="001038E8" w:rsidP="00657586">
      <w:pPr>
        <w:rPr>
          <w:lang w:val="en-GB"/>
        </w:rPr>
      </w:pPr>
      <w:r w:rsidRPr="00BD215E">
        <w:rPr>
          <w:lang w:val="en-GB"/>
        </w:rPr>
        <w:t>1) budget expenditures in the part of the state budget held by the minister competent for health;</w:t>
      </w:r>
    </w:p>
    <w:p w14:paraId="33667837" w14:textId="77777777" w:rsidR="001038E8" w:rsidRPr="00BD215E" w:rsidRDefault="001038E8" w:rsidP="00657586">
      <w:pPr>
        <w:rPr>
          <w:lang w:val="en-GB"/>
        </w:rPr>
      </w:pPr>
      <w:r w:rsidRPr="00BD215E">
        <w:rPr>
          <w:lang w:val="en-GB"/>
        </w:rPr>
        <w:t>2) budgetary expenditure under the heading "health care" in other parts of the state budget;</w:t>
      </w:r>
    </w:p>
    <w:p w14:paraId="7D1EB4E9" w14:textId="77777777" w:rsidR="001038E8" w:rsidRPr="00BD215E" w:rsidRDefault="001038E8" w:rsidP="00657586">
      <w:pPr>
        <w:rPr>
          <w:lang w:val="en-GB"/>
        </w:rPr>
      </w:pPr>
      <w:r w:rsidRPr="00BD215E">
        <w:rPr>
          <w:lang w:val="en-GB"/>
        </w:rPr>
        <w:t>3) costs of the National Health Fund included in the financial plan of the Fund, excluding funds from the Medical Fund transferred to the Fund;</w:t>
      </w:r>
    </w:p>
    <w:p w14:paraId="1E0F542B" w14:textId="77777777" w:rsidR="001038E8" w:rsidRPr="00BD215E" w:rsidRDefault="001038E8" w:rsidP="00657586">
      <w:pPr>
        <w:rPr>
          <w:lang w:val="en-GB"/>
        </w:rPr>
      </w:pPr>
      <w:r w:rsidRPr="00BD215E">
        <w:rPr>
          <w:color w:val="000000" w:themeColor="text1"/>
          <w:lang w:val="en-GB"/>
        </w:rPr>
        <w:t xml:space="preserve">4) a copy for the Agency for Health Technology Assessment and Tariffs referred to in Article 31t </w:t>
      </w:r>
      <w:r w:rsidRPr="00BD215E">
        <w:rPr>
          <w:lang w:val="en-GB"/>
        </w:rPr>
        <w:t>para. 5-9, included in the financial plan of the Fund;</w:t>
      </w:r>
    </w:p>
    <w:p w14:paraId="4D1CC379" w14:textId="77777777" w:rsidR="001038E8" w:rsidRPr="00BD215E" w:rsidRDefault="001038E8" w:rsidP="00657586">
      <w:pPr>
        <w:rPr>
          <w:lang w:val="en-GB"/>
        </w:rPr>
      </w:pPr>
      <w:r w:rsidRPr="00BD215E">
        <w:rPr>
          <w:lang w:val="en-GB"/>
        </w:rPr>
        <w:t xml:space="preserve">5) the costs of the Medical Studies Credit Fund included in the financial plan of this </w:t>
      </w:r>
      <w:r w:rsidRPr="00BD215E">
        <w:rPr>
          <w:lang w:val="en-GB"/>
        </w:rPr>
        <w:br/>
        <w:t>the Fund;</w:t>
      </w:r>
    </w:p>
    <w:p w14:paraId="6383C83B" w14:textId="77777777" w:rsidR="001038E8" w:rsidRPr="00BD215E" w:rsidRDefault="001038E8" w:rsidP="00657586">
      <w:pPr>
        <w:rPr>
          <w:lang w:val="en-GB"/>
        </w:rPr>
      </w:pPr>
      <w:r w:rsidRPr="00BD215E">
        <w:rPr>
          <w:lang w:val="en-GB"/>
        </w:rPr>
        <w:t>6) costs included in the financial plan of the Gambling Resolution Fund referred</w:t>
      </w:r>
      <w:r w:rsidRPr="00BD215E">
        <w:rPr>
          <w:sz w:val="16"/>
          <w:szCs w:val="16"/>
          <w:lang w:val="en-GB"/>
        </w:rPr>
        <w:t> </w:t>
      </w:r>
      <w:r w:rsidRPr="00BD215E">
        <w:rPr>
          <w:lang w:val="en-GB"/>
        </w:rPr>
        <w:t>to in Article 88 of the Gambling Act of 19 November 2009;</w:t>
      </w:r>
    </w:p>
    <w:p w14:paraId="51A56004" w14:textId="77777777" w:rsidR="001038E8" w:rsidRPr="00BD215E" w:rsidRDefault="001038E8" w:rsidP="00657586">
      <w:pPr>
        <w:rPr>
          <w:lang w:val="en-GB"/>
        </w:rPr>
      </w:pPr>
      <w:r w:rsidRPr="00BD215E">
        <w:rPr>
          <w:lang w:val="en-GB"/>
        </w:rPr>
        <w:t xml:space="preserve">7) a copy for the Medical Research Agency referred to in Art. 3e, included in the plan </w:t>
      </w:r>
      <w:r w:rsidRPr="00BD215E">
        <w:rPr>
          <w:lang w:val="en-GB"/>
        </w:rPr>
        <w:br/>
        <w:t>the financial strength of the Fund;</w:t>
      </w:r>
    </w:p>
    <w:p w14:paraId="50615876" w14:textId="77777777" w:rsidR="001038E8" w:rsidRPr="00BD215E" w:rsidRDefault="001038E8" w:rsidP="00657586">
      <w:pPr>
        <w:rPr>
          <w:lang w:val="en-GB"/>
        </w:rPr>
      </w:pPr>
      <w:r w:rsidRPr="00BD215E">
        <w:rPr>
          <w:lang w:val="en-GB"/>
        </w:rPr>
        <w:t>8) costs included in the financial plan of the Immunisation Compensation Fund referred</w:t>
      </w:r>
      <w:r w:rsidRPr="00BD215E">
        <w:rPr>
          <w:sz w:val="16"/>
          <w:szCs w:val="16"/>
          <w:lang w:val="en-GB"/>
        </w:rPr>
        <w:t> </w:t>
      </w:r>
      <w:r w:rsidRPr="00BD215E">
        <w:rPr>
          <w:lang w:val="en-GB"/>
        </w:rPr>
        <w:t>to in </w:t>
      </w:r>
      <w:hyperlink r:id="rId20" w:history="1">
        <w:r w:rsidRPr="00BD215E">
          <w:rPr>
            <w:lang w:val="en-GB"/>
          </w:rPr>
          <w:t>Art. 1</w:t>
        </w:r>
      </w:hyperlink>
      <w:r w:rsidRPr="00BD215E">
        <w:rPr>
          <w:lang w:val="en-GB"/>
        </w:rPr>
        <w:t> of the Act of 5 December 2008 on the prevention and control of infections and infectious diseases in humans;</w:t>
      </w:r>
    </w:p>
    <w:p w14:paraId="418B8CFF" w14:textId="77777777" w:rsidR="001038E8" w:rsidRPr="00BD215E" w:rsidRDefault="001038E8" w:rsidP="00657586">
      <w:pPr>
        <w:rPr>
          <w:lang w:val="en-GB"/>
        </w:rPr>
      </w:pPr>
      <w:r w:rsidRPr="00BD215E">
        <w:rPr>
          <w:lang w:val="en-GB"/>
        </w:rPr>
        <w:t>9) costs included in the annual financial plan of the Clinical Trials Compensation Fund referred to in </w:t>
      </w:r>
      <w:hyperlink r:id="rId21" w:history="1">
        <w:r w:rsidRPr="00BD215E">
          <w:rPr>
            <w:lang w:val="en-GB"/>
          </w:rPr>
          <w:t>Art. 5 of the</w:t>
        </w:r>
      </w:hyperlink>
      <w:r w:rsidRPr="00BD215E">
        <w:rPr>
          <w:lang w:val="en-GB"/>
        </w:rPr>
        <w:t> Act of 9 March 2023 on clinical trials on medicinal products for human use (Journal of Laws, </w:t>
      </w:r>
      <w:hyperlink r:id="rId22" w:history="1">
        <w:r w:rsidRPr="00BD215E">
          <w:rPr>
            <w:lang w:val="en-GB"/>
          </w:rPr>
          <w:t>item 605</w:t>
        </w:r>
      </w:hyperlink>
      <w:r w:rsidRPr="00BD215E">
        <w:rPr>
          <w:lang w:val="en-GB"/>
        </w:rPr>
        <w:t xml:space="preserve">); </w:t>
      </w:r>
    </w:p>
    <w:p w14:paraId="21ACDC38" w14:textId="77777777" w:rsidR="001038E8" w:rsidRPr="00BD215E" w:rsidRDefault="001038E8" w:rsidP="00657586">
      <w:pPr>
        <w:rPr>
          <w:lang w:val="en-GB"/>
        </w:rPr>
      </w:pPr>
      <w:r w:rsidRPr="00BD215E">
        <w:rPr>
          <w:lang w:val="en-GB"/>
        </w:rPr>
        <w:t>10) write-off for the Compensation Fund referred to in </w:t>
      </w:r>
      <w:hyperlink r:id="rId23" w:history="1">
        <w:r w:rsidRPr="00BD215E">
          <w:rPr>
            <w:lang w:val="en-GB"/>
          </w:rPr>
          <w:t>Article 97 para. 3i and 3j</w:t>
        </w:r>
      </w:hyperlink>
      <w:bookmarkStart w:id="18" w:name="mip71730586"/>
      <w:bookmarkEnd w:id="18"/>
      <w:r w:rsidRPr="00BD215E">
        <w:rPr>
          <w:lang w:val="en-GB"/>
        </w:rPr>
        <w:t>;</w:t>
      </w:r>
    </w:p>
    <w:p w14:paraId="7F89120D" w14:textId="77777777" w:rsidR="001038E8" w:rsidRPr="00BD215E" w:rsidRDefault="001038E8" w:rsidP="00657586">
      <w:pPr>
        <w:rPr>
          <w:lang w:val="en-GB"/>
        </w:rPr>
      </w:pPr>
      <w:r w:rsidRPr="00BD215E">
        <w:rPr>
          <w:lang w:val="en-GB"/>
        </w:rPr>
        <w:t>11) budget expenditures in the part of the state budget held by the Patients' Rights Ombudsman</w:t>
      </w:r>
    </w:p>
    <w:p w14:paraId="48868864" w14:textId="77777777" w:rsidR="001038E8" w:rsidRPr="00BD215E" w:rsidRDefault="001038E8" w:rsidP="00657586">
      <w:pPr>
        <w:rPr>
          <w:lang w:val="en-GB"/>
        </w:rPr>
      </w:pPr>
      <w:r w:rsidRPr="00BD215E">
        <w:rPr>
          <w:lang w:val="en-GB"/>
        </w:rPr>
        <w:t>– after excluding planned transfers of funds received from the sources</w:t>
      </w:r>
      <w:r w:rsidRPr="00BD215E">
        <w:rPr>
          <w:sz w:val="16"/>
          <w:szCs w:val="16"/>
          <w:lang w:val="en-GB"/>
        </w:rPr>
        <w:t> </w:t>
      </w:r>
      <w:r w:rsidRPr="00BD215E">
        <w:rPr>
          <w:lang w:val="en-GB"/>
        </w:rPr>
        <w:t>referred to in points 1 to 11.</w:t>
      </w:r>
    </w:p>
    <w:p w14:paraId="720D0595" w14:textId="112EBEE5" w:rsidR="001038E8" w:rsidRPr="00BD215E" w:rsidRDefault="001038E8" w:rsidP="00657586">
      <w:pPr>
        <w:rPr>
          <w:lang w:val="en-GB"/>
        </w:rPr>
      </w:pPr>
    </w:p>
    <w:p w14:paraId="51BC80A7" w14:textId="657FE77F" w:rsidR="001038E8" w:rsidRPr="00BD215E" w:rsidRDefault="000F7F17" w:rsidP="00907CE3">
      <w:pPr>
        <w:rPr>
          <w:rFonts w:eastAsia="Times New Roman" w:cs="Times New Roman"/>
          <w:szCs w:val="19"/>
          <w:lang w:val="en-GB" w:eastAsia="pl-PL"/>
        </w:rPr>
      </w:pPr>
      <w:r w:rsidRPr="00BD215E">
        <w:rPr>
          <w:lang w:val="en-GB"/>
        </w:rPr>
        <w:t xml:space="preserve">When quoting Statistics Poland data, please provide the information: “Source of data: Statistics Poland”, and when publishing calculations made on data published by Statistics  Poland, please include the following disclaimer: “Own study based on </w:t>
      </w:r>
      <w:r w:rsidR="00100F92" w:rsidRPr="00BD215E">
        <w:rPr>
          <w:lang w:val="en-GB"/>
        </w:rPr>
        <w:t>Chart</w:t>
      </w:r>
      <w:r w:rsidRPr="00BD215E">
        <w:rPr>
          <w:lang w:val="en-GB"/>
        </w:rPr>
        <w:t>s from Statistics Poland”.</w:t>
      </w:r>
    </w:p>
    <w:p w14:paraId="3C222B0C" w14:textId="4095E69A" w:rsidR="001038E8" w:rsidRPr="00BD215E" w:rsidRDefault="001038E8" w:rsidP="00180E0E">
      <w:pPr>
        <w:spacing w:line="288" w:lineRule="auto"/>
        <w:rPr>
          <w:rFonts w:eastAsia="Times New Roman" w:cs="Times New Roman"/>
          <w:szCs w:val="19"/>
          <w:lang w:val="en-GB" w:eastAsia="pl-PL"/>
        </w:rPr>
        <w:sectPr w:rsidR="001038E8" w:rsidRPr="00BD215E" w:rsidSect="003B18B6">
          <w:headerReference w:type="default" r:id="rId24"/>
          <w:footerReference w:type="default" r:id="rId25"/>
          <w:headerReference w:type="first" r:id="rId26"/>
          <w:footerReference w:type="first" r:id="rId27"/>
          <w:pgSz w:w="11906" w:h="16838"/>
          <w:pgMar w:top="720" w:right="3119" w:bottom="720" w:left="720" w:header="284" w:footer="283" w:gutter="0"/>
          <w:cols w:space="708"/>
          <w:titlePg/>
          <w:docGrid w:linePitch="360"/>
        </w:sectPr>
      </w:pPr>
    </w:p>
    <w:tbl>
      <w:tblPr>
        <w:tblStyle w:val="Tabela-Siatka"/>
        <w:tblW w:w="9853"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gridCol w:w="4927"/>
      </w:tblGrid>
      <w:tr w:rsidR="00DE2400" w:rsidRPr="00407A30" w14:paraId="196D0BDA" w14:textId="77777777" w:rsidTr="009E7D31">
        <w:trPr>
          <w:trHeight w:val="1626"/>
        </w:trPr>
        <w:tc>
          <w:tcPr>
            <w:tcW w:w="4926" w:type="dxa"/>
          </w:tcPr>
          <w:p w14:paraId="05DA311F" w14:textId="094CF4F7" w:rsidR="00DE2400" w:rsidRPr="00BD215E" w:rsidRDefault="00C60504" w:rsidP="00DE2400">
            <w:pPr>
              <w:spacing w:before="0" w:after="0" w:line="276" w:lineRule="auto"/>
              <w:rPr>
                <w:rFonts w:cs="Arial"/>
                <w:sz w:val="20"/>
                <w:lang w:val="en-GB"/>
              </w:rPr>
            </w:pPr>
            <w:r w:rsidRPr="00BD215E">
              <w:rPr>
                <w:rFonts w:cs="Arial"/>
                <w:sz w:val="20"/>
                <w:lang w:val="en-GB"/>
              </w:rPr>
              <w:lastRenderedPageBreak/>
              <w:t>Prepared by</w:t>
            </w:r>
            <w:r w:rsidR="00DE2400" w:rsidRPr="00BD215E">
              <w:rPr>
                <w:rFonts w:cs="Arial"/>
                <w:sz w:val="20"/>
                <w:lang w:val="en-GB"/>
              </w:rPr>
              <w:t>:</w:t>
            </w:r>
          </w:p>
          <w:p w14:paraId="69AF4FAA" w14:textId="77777777" w:rsidR="00072592" w:rsidRPr="00BD215E" w:rsidRDefault="00072592" w:rsidP="00FB5641">
            <w:pPr>
              <w:spacing w:before="0" w:after="0" w:line="276" w:lineRule="auto"/>
              <w:rPr>
                <w:rFonts w:cs="Arial"/>
                <w:b/>
                <w:color w:val="000000" w:themeColor="text1"/>
                <w:sz w:val="20"/>
                <w:lang w:val="en-GB" w:eastAsia="pl-PL"/>
              </w:rPr>
            </w:pPr>
            <w:r w:rsidRPr="00BD215E">
              <w:rPr>
                <w:rFonts w:cs="Arial"/>
                <w:b/>
                <w:color w:val="000000" w:themeColor="text1"/>
                <w:sz w:val="20"/>
                <w:lang w:val="en-GB" w:eastAsia="pl-PL"/>
              </w:rPr>
              <w:t xml:space="preserve">Social Research Department </w:t>
            </w:r>
          </w:p>
          <w:p w14:paraId="06255609" w14:textId="77777777" w:rsidR="00072592" w:rsidRPr="00BD215E" w:rsidRDefault="00072592" w:rsidP="00FB5641">
            <w:pPr>
              <w:spacing w:before="0" w:after="0" w:line="276" w:lineRule="auto"/>
              <w:rPr>
                <w:b/>
                <w:sz w:val="20"/>
                <w:szCs w:val="20"/>
                <w:lang w:val="en-GB"/>
              </w:rPr>
            </w:pPr>
          </w:p>
          <w:p w14:paraId="41A1AE38" w14:textId="416F5D1F" w:rsidR="00DE2400" w:rsidRPr="00BD215E" w:rsidRDefault="00DE2400" w:rsidP="00FB5641">
            <w:pPr>
              <w:spacing w:before="0" w:after="0" w:line="276" w:lineRule="auto"/>
              <w:rPr>
                <w:b/>
                <w:sz w:val="20"/>
                <w:szCs w:val="20"/>
                <w:lang w:val="en-GB"/>
              </w:rPr>
            </w:pPr>
            <w:r w:rsidRPr="00BD215E">
              <w:rPr>
                <w:b/>
                <w:sz w:val="20"/>
                <w:szCs w:val="20"/>
                <w:lang w:val="en-GB"/>
              </w:rPr>
              <w:t>D</w:t>
            </w:r>
            <w:r w:rsidR="006C197A" w:rsidRPr="00BD215E">
              <w:rPr>
                <w:b/>
                <w:sz w:val="20"/>
                <w:szCs w:val="20"/>
                <w:lang w:val="en-GB"/>
              </w:rPr>
              <w:t>irec</w:t>
            </w:r>
            <w:r w:rsidRPr="00BD215E">
              <w:rPr>
                <w:b/>
                <w:sz w:val="20"/>
                <w:szCs w:val="20"/>
                <w:lang w:val="en-GB"/>
              </w:rPr>
              <w:t xml:space="preserve">tor </w:t>
            </w:r>
          </w:p>
          <w:p w14:paraId="2AC7A739" w14:textId="77777777" w:rsidR="00072592" w:rsidRPr="00BD215E" w:rsidRDefault="00072592" w:rsidP="00072592">
            <w:pPr>
              <w:pStyle w:val="P68B1DB1-Normalny30"/>
              <w:spacing w:before="0" w:after="0" w:line="276" w:lineRule="auto"/>
              <w:rPr>
                <w:szCs w:val="22"/>
                <w:lang w:val="en-GB" w:eastAsia="en-US"/>
              </w:rPr>
            </w:pPr>
            <w:r w:rsidRPr="00BD215E">
              <w:rPr>
                <w:szCs w:val="22"/>
                <w:lang w:val="en-GB" w:eastAsia="en-US"/>
              </w:rPr>
              <w:t>Izabela Grabowska, PhD</w:t>
            </w:r>
          </w:p>
          <w:p w14:paraId="5425F0B4" w14:textId="4BA8EE38" w:rsidR="00DE2400" w:rsidRPr="00BD215E" w:rsidRDefault="00072592" w:rsidP="00072592">
            <w:pPr>
              <w:pStyle w:val="P68B1DB1-Normalny30"/>
              <w:spacing w:before="0" w:after="0" w:line="276" w:lineRule="auto"/>
              <w:rPr>
                <w:rFonts w:cs="Arial"/>
                <w:color w:val="000000" w:themeColor="text1"/>
                <w:lang w:val="en-GB"/>
              </w:rPr>
            </w:pPr>
            <w:r w:rsidRPr="00BD215E">
              <w:rPr>
                <w:b w:val="0"/>
                <w:szCs w:val="22"/>
                <w:lang w:val="en-GB" w:eastAsia="en-US"/>
              </w:rPr>
              <w:t>Tel: 22 608 31 22</w:t>
            </w:r>
          </w:p>
        </w:tc>
        <w:tc>
          <w:tcPr>
            <w:tcW w:w="4927" w:type="dxa"/>
          </w:tcPr>
          <w:p w14:paraId="1C9C3DF0" w14:textId="77777777" w:rsidR="00CF7C09" w:rsidRPr="00BD215E" w:rsidRDefault="006C197A" w:rsidP="00CF7C09">
            <w:pPr>
              <w:rPr>
                <w:b/>
                <w:lang w:val="en-GB"/>
              </w:rPr>
            </w:pPr>
            <w:r w:rsidRPr="00BD215E">
              <w:rPr>
                <w:rFonts w:cs="Arial"/>
                <w:sz w:val="20"/>
                <w:lang w:val="en-GB"/>
              </w:rPr>
              <w:t>Issued by</w:t>
            </w:r>
            <w:r w:rsidR="00DE2400" w:rsidRPr="00BD215E">
              <w:rPr>
                <w:rFonts w:cs="Arial"/>
                <w:sz w:val="20"/>
                <w:lang w:val="en-GB"/>
              </w:rPr>
              <w:t>:</w:t>
            </w:r>
            <w:r w:rsidR="00DE2400" w:rsidRPr="00BD215E">
              <w:rPr>
                <w:rFonts w:cs="Arial"/>
                <w:sz w:val="20"/>
                <w:lang w:val="en-GB"/>
              </w:rPr>
              <w:br/>
            </w:r>
            <w:r w:rsidR="00CF7C09" w:rsidRPr="00BD215E">
              <w:rPr>
                <w:b/>
                <w:lang w:val="en-GB"/>
              </w:rPr>
              <w:t>Press Office</w:t>
            </w:r>
          </w:p>
          <w:p w14:paraId="3100D96F" w14:textId="1D167774" w:rsidR="00CF7C09" w:rsidRPr="00BD215E" w:rsidRDefault="00CF7C09" w:rsidP="00CF7C09">
            <w:pPr>
              <w:rPr>
                <w:sz w:val="20"/>
                <w:lang w:val="en-GB"/>
              </w:rPr>
            </w:pPr>
            <w:r w:rsidRPr="00BD215E">
              <w:rPr>
                <w:sz w:val="20"/>
                <w:lang w:val="en-GB"/>
              </w:rPr>
              <w:t>Mobile</w:t>
            </w:r>
            <w:r w:rsidR="00146339" w:rsidRPr="00BD215E">
              <w:rPr>
                <w:sz w:val="20"/>
                <w:lang w:val="en-GB"/>
              </w:rPr>
              <w:t>:</w:t>
            </w:r>
            <w:r w:rsidRPr="00BD215E">
              <w:rPr>
                <w:sz w:val="20"/>
                <w:lang w:val="en-GB"/>
              </w:rPr>
              <w:t xml:space="preserve"> </w:t>
            </w:r>
            <w:r w:rsidR="006B5653" w:rsidRPr="00BD215E">
              <w:rPr>
                <w:sz w:val="20"/>
                <w:lang w:val="en-GB"/>
              </w:rPr>
              <w:t>(</w:t>
            </w:r>
            <w:r w:rsidRPr="00BD215E">
              <w:rPr>
                <w:sz w:val="20"/>
                <w:lang w:val="en-GB"/>
              </w:rPr>
              <w:t>+48</w:t>
            </w:r>
            <w:r w:rsidR="006B5653" w:rsidRPr="00BD215E">
              <w:rPr>
                <w:sz w:val="20"/>
                <w:lang w:val="en-GB"/>
              </w:rPr>
              <w:t>)</w:t>
            </w:r>
            <w:r w:rsidRPr="00BD215E">
              <w:rPr>
                <w:sz w:val="20"/>
                <w:lang w:val="en-GB"/>
              </w:rPr>
              <w:t xml:space="preserve"> 695 255 032</w:t>
            </w:r>
          </w:p>
          <w:p w14:paraId="08A2487A" w14:textId="14A261EA" w:rsidR="00CF7C09" w:rsidRPr="00BD215E" w:rsidRDefault="00CF7C09" w:rsidP="00CF7C09">
            <w:pPr>
              <w:spacing w:after="0"/>
              <w:rPr>
                <w:sz w:val="20"/>
                <w:lang w:val="en-GB"/>
              </w:rPr>
            </w:pPr>
            <w:r w:rsidRPr="00BD215E">
              <w:rPr>
                <w:sz w:val="20"/>
                <w:lang w:val="en-GB"/>
              </w:rPr>
              <w:t>Phone</w:t>
            </w:r>
            <w:r w:rsidR="00146339" w:rsidRPr="00BD215E">
              <w:rPr>
                <w:sz w:val="20"/>
                <w:lang w:val="en-GB"/>
              </w:rPr>
              <w:t>:</w:t>
            </w:r>
            <w:r w:rsidRPr="00BD215E">
              <w:rPr>
                <w:sz w:val="20"/>
                <w:lang w:val="en-GB"/>
              </w:rPr>
              <w:t xml:space="preserve"> </w:t>
            </w:r>
            <w:r w:rsidR="006B5653" w:rsidRPr="00BD215E">
              <w:rPr>
                <w:sz w:val="20"/>
                <w:lang w:val="en-GB"/>
              </w:rPr>
              <w:t>(</w:t>
            </w:r>
            <w:r w:rsidRPr="00BD215E">
              <w:rPr>
                <w:sz w:val="20"/>
                <w:lang w:val="en-GB"/>
              </w:rPr>
              <w:t>+48 22</w:t>
            </w:r>
            <w:r w:rsidR="006B5653" w:rsidRPr="00BD215E">
              <w:rPr>
                <w:sz w:val="20"/>
                <w:lang w:val="en-GB"/>
              </w:rPr>
              <w:t>)</w:t>
            </w:r>
            <w:r w:rsidRPr="00BD215E">
              <w:rPr>
                <w:sz w:val="20"/>
                <w:lang w:val="en-GB"/>
              </w:rPr>
              <w:t xml:space="preserve"> 608 38 04, </w:t>
            </w:r>
            <w:r w:rsidR="006B5653" w:rsidRPr="00BD215E">
              <w:rPr>
                <w:sz w:val="20"/>
                <w:lang w:val="en-GB"/>
              </w:rPr>
              <w:t>(</w:t>
            </w:r>
            <w:r w:rsidRPr="00BD215E">
              <w:rPr>
                <w:sz w:val="20"/>
                <w:lang w:val="en-GB"/>
              </w:rPr>
              <w:t>+48 22</w:t>
            </w:r>
            <w:r w:rsidR="006B5653" w:rsidRPr="00BD215E">
              <w:rPr>
                <w:sz w:val="20"/>
                <w:lang w:val="en-GB"/>
              </w:rPr>
              <w:t>)</w:t>
            </w:r>
            <w:r w:rsidRPr="00BD215E">
              <w:rPr>
                <w:sz w:val="20"/>
                <w:lang w:val="en-GB"/>
              </w:rPr>
              <w:t xml:space="preserve"> 449 41 45, </w:t>
            </w:r>
          </w:p>
          <w:p w14:paraId="54C318EE" w14:textId="07703AEE" w:rsidR="00CF7C09" w:rsidRPr="00BD215E" w:rsidRDefault="00146339" w:rsidP="00CF7C09">
            <w:pPr>
              <w:spacing w:before="0"/>
              <w:rPr>
                <w:sz w:val="20"/>
                <w:lang w:val="en-GB"/>
              </w:rPr>
            </w:pPr>
            <w:r w:rsidRPr="00BD215E">
              <w:rPr>
                <w:sz w:val="20"/>
                <w:lang w:val="en-GB"/>
              </w:rPr>
              <w:t xml:space="preserve">             </w:t>
            </w:r>
            <w:r w:rsidR="006B5653" w:rsidRPr="00BD215E">
              <w:rPr>
                <w:sz w:val="20"/>
                <w:lang w:val="en-GB"/>
              </w:rPr>
              <w:t>(</w:t>
            </w:r>
            <w:r w:rsidR="00CF7C09" w:rsidRPr="00BD215E">
              <w:rPr>
                <w:sz w:val="20"/>
                <w:lang w:val="en-GB"/>
              </w:rPr>
              <w:t>+48 22</w:t>
            </w:r>
            <w:r w:rsidR="006B5653" w:rsidRPr="00BD215E">
              <w:rPr>
                <w:sz w:val="20"/>
                <w:lang w:val="en-GB"/>
              </w:rPr>
              <w:t>)</w:t>
            </w:r>
            <w:r w:rsidR="00CF7C09" w:rsidRPr="00BD215E">
              <w:rPr>
                <w:sz w:val="20"/>
                <w:lang w:val="en-GB"/>
              </w:rPr>
              <w:t xml:space="preserve"> 608 30 09</w:t>
            </w:r>
          </w:p>
          <w:p w14:paraId="59C02E89" w14:textId="5BA04D88" w:rsidR="00DE2400" w:rsidRPr="00BD215E" w:rsidRDefault="00CF7C09" w:rsidP="00CF7C09">
            <w:pPr>
              <w:pStyle w:val="Nagwek3"/>
              <w:spacing w:before="0" w:after="120" w:line="276" w:lineRule="auto"/>
              <w:outlineLvl w:val="2"/>
              <w:rPr>
                <w:rFonts w:ascii="Fira Sans" w:hAnsi="Fira Sans" w:cs="Arial"/>
                <w:color w:val="000000" w:themeColor="text1"/>
                <w:sz w:val="20"/>
                <w:lang w:val="en-GB"/>
              </w:rPr>
            </w:pPr>
            <w:r w:rsidRPr="00BD215E">
              <w:rPr>
                <w:b/>
                <w:sz w:val="20"/>
                <w:lang w:val="en-GB"/>
              </w:rPr>
              <w:t>e-mail:</w:t>
            </w:r>
            <w:r w:rsidRPr="00BD215E">
              <w:rPr>
                <w:sz w:val="20"/>
                <w:lang w:val="en-GB"/>
              </w:rPr>
              <w:t xml:space="preserve"> </w:t>
            </w:r>
            <w:hyperlink r:id="rId28" w:history="1">
              <w:r w:rsidRPr="00BD215E">
                <w:rPr>
                  <w:rStyle w:val="Hipercze"/>
                  <w:rFonts w:cs="Arial"/>
                  <w:b/>
                  <w:color w:val="auto"/>
                  <w:sz w:val="20"/>
                  <w:szCs w:val="20"/>
                  <w:lang w:val="en-GB"/>
                </w:rPr>
                <w:t>obslugaprasowa@stat.gov.pl</w:t>
              </w:r>
            </w:hyperlink>
          </w:p>
          <w:p w14:paraId="3CC62B04" w14:textId="77777777" w:rsidR="00DE2400" w:rsidRPr="00BD215E" w:rsidRDefault="00DE2400" w:rsidP="00FB5641">
            <w:pPr>
              <w:rPr>
                <w:sz w:val="18"/>
                <w:lang w:val="en-GB"/>
              </w:rPr>
            </w:pPr>
          </w:p>
        </w:tc>
      </w:tr>
      <w:tr w:rsidR="00DE2400" w:rsidRPr="00BD215E" w14:paraId="28647E7C" w14:textId="77777777" w:rsidTr="009E7D31">
        <w:trPr>
          <w:trHeight w:val="418"/>
        </w:trPr>
        <w:tc>
          <w:tcPr>
            <w:tcW w:w="4926" w:type="dxa"/>
            <w:vMerge w:val="restart"/>
          </w:tcPr>
          <w:p w14:paraId="07C73DA1" w14:textId="2FCB49E7" w:rsidR="00DE2400" w:rsidRPr="00BD215E" w:rsidRDefault="00DE2400" w:rsidP="00FB5641">
            <w:pPr>
              <w:rPr>
                <w:sz w:val="18"/>
                <w:lang w:val="en-GB"/>
              </w:rPr>
            </w:pPr>
          </w:p>
        </w:tc>
        <w:tc>
          <w:tcPr>
            <w:tcW w:w="4927" w:type="dxa"/>
            <w:vAlign w:val="center"/>
          </w:tcPr>
          <w:p w14:paraId="01941133" w14:textId="12CAEFD6" w:rsidR="00DE2400" w:rsidRPr="00BD215E" w:rsidRDefault="00DE2400" w:rsidP="00FB5641">
            <w:pPr>
              <w:ind w:firstLine="680"/>
              <w:rPr>
                <w:sz w:val="18"/>
                <w:lang w:val="en-GB"/>
              </w:rPr>
            </w:pPr>
            <w:r w:rsidRPr="00BD215E">
              <w:rPr>
                <w:noProof/>
                <w:sz w:val="20"/>
                <w:lang w:val="en-GB" w:eastAsia="pl-PL"/>
              </w:rPr>
              <w:drawing>
                <wp:anchor distT="0" distB="0" distL="114300" distR="114300" simplePos="0" relativeHeight="251744256" behindDoc="0" locked="0" layoutInCell="1" allowOverlap="1" wp14:anchorId="5018E5AE" wp14:editId="01A3229C">
                  <wp:simplePos x="0" y="0"/>
                  <wp:positionH relativeFrom="column">
                    <wp:posOffset>78740</wp:posOffset>
                  </wp:positionH>
                  <wp:positionV relativeFrom="paragraph">
                    <wp:posOffset>21590</wp:posOffset>
                  </wp:positionV>
                  <wp:extent cx="251460" cy="251460"/>
                  <wp:effectExtent l="0" t="0" r="0" b="0"/>
                  <wp:wrapNone/>
                  <wp:docPr id="21" name="Obraz 21" descr="Websit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30" w:history="1">
              <w:r w:rsidRPr="00BD215E">
                <w:rPr>
                  <w:rStyle w:val="Hipercze"/>
                  <w:rFonts w:cstheme="minorBidi"/>
                  <w:sz w:val="20"/>
                  <w:lang w:val="en-GB"/>
                </w:rPr>
                <w:t>stat.gov.pl</w:t>
              </w:r>
              <w:r w:rsidR="002021A6" w:rsidRPr="00BD215E">
                <w:rPr>
                  <w:rStyle w:val="Hipercze"/>
                  <w:rFonts w:cstheme="minorBidi"/>
                  <w:sz w:val="20"/>
                  <w:lang w:val="en-GB"/>
                </w:rPr>
                <w:t>/</w:t>
              </w:r>
              <w:proofErr w:type="spellStart"/>
              <w:r w:rsidR="002021A6" w:rsidRPr="00BD215E">
                <w:rPr>
                  <w:rStyle w:val="Hipercze"/>
                  <w:rFonts w:cstheme="minorBidi"/>
                  <w:sz w:val="20"/>
                  <w:lang w:val="en-GB"/>
                </w:rPr>
                <w:t>en</w:t>
              </w:r>
              <w:proofErr w:type="spellEnd"/>
              <w:r w:rsidR="002021A6" w:rsidRPr="00BD215E">
                <w:rPr>
                  <w:rStyle w:val="Hipercze"/>
                  <w:rFonts w:cstheme="minorBidi"/>
                  <w:sz w:val="20"/>
                  <w:lang w:val="en-GB"/>
                </w:rPr>
                <w:t>/</w:t>
              </w:r>
              <w:r w:rsidRPr="00BD215E">
                <w:rPr>
                  <w:rStyle w:val="Hipercze"/>
                  <w:rFonts w:cstheme="minorBidi"/>
                  <w:sz w:val="18"/>
                  <w:lang w:val="en-GB"/>
                </w:rPr>
                <w:t xml:space="preserve">    </w:t>
              </w:r>
            </w:hyperlink>
            <w:r w:rsidRPr="00BD215E">
              <w:rPr>
                <w:sz w:val="18"/>
                <w:lang w:val="en-GB"/>
              </w:rPr>
              <w:t xml:space="preserve"> </w:t>
            </w:r>
          </w:p>
        </w:tc>
      </w:tr>
      <w:tr w:rsidR="00DE1D0A" w:rsidRPr="00BD215E" w14:paraId="36A99721" w14:textId="77777777" w:rsidTr="009E7D31">
        <w:trPr>
          <w:trHeight w:val="418"/>
        </w:trPr>
        <w:tc>
          <w:tcPr>
            <w:tcW w:w="4926" w:type="dxa"/>
            <w:vMerge/>
          </w:tcPr>
          <w:p w14:paraId="3255344A" w14:textId="77777777" w:rsidR="00DE1D0A" w:rsidRPr="00BD215E" w:rsidRDefault="00DE1D0A" w:rsidP="00DE1D0A">
            <w:pPr>
              <w:rPr>
                <w:b/>
                <w:sz w:val="20"/>
                <w:lang w:val="en-GB"/>
              </w:rPr>
            </w:pPr>
          </w:p>
        </w:tc>
        <w:tc>
          <w:tcPr>
            <w:tcW w:w="4927" w:type="dxa"/>
            <w:vAlign w:val="center"/>
          </w:tcPr>
          <w:p w14:paraId="09C3C6AD" w14:textId="770239FD" w:rsidR="00DE1D0A" w:rsidRPr="00BD215E" w:rsidRDefault="00DE1D0A" w:rsidP="00DE1D0A">
            <w:pPr>
              <w:ind w:firstLine="680"/>
              <w:rPr>
                <w:sz w:val="18"/>
                <w:lang w:val="en-GB"/>
              </w:rPr>
            </w:pPr>
            <w:r w:rsidRPr="00BD215E">
              <w:rPr>
                <w:noProof/>
                <w:sz w:val="20"/>
                <w:lang w:val="en-GB" w:eastAsia="pl-PL"/>
              </w:rPr>
              <w:drawing>
                <wp:anchor distT="0" distB="0" distL="114300" distR="114300" simplePos="0" relativeHeight="251753472" behindDoc="0" locked="0" layoutInCell="1" allowOverlap="1" wp14:anchorId="2A52F6BA" wp14:editId="2C867560">
                  <wp:simplePos x="0" y="0"/>
                  <wp:positionH relativeFrom="column">
                    <wp:posOffset>76200</wp:posOffset>
                  </wp:positionH>
                  <wp:positionV relativeFrom="paragraph">
                    <wp:posOffset>21590</wp:posOffset>
                  </wp:positionV>
                  <wp:extent cx="251460" cy="251460"/>
                  <wp:effectExtent l="0" t="0" r="0" b="0"/>
                  <wp:wrapNone/>
                  <wp:docPr id="22" name="Obraz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32" w:history="1">
              <w:r w:rsidRPr="00BD215E">
                <w:rPr>
                  <w:rStyle w:val="Hipercze"/>
                  <w:rFonts w:cstheme="minorBidi"/>
                  <w:sz w:val="20"/>
                  <w:lang w:val="en-GB"/>
                </w:rPr>
                <w:t>@</w:t>
              </w:r>
              <w:proofErr w:type="spellStart"/>
              <w:r w:rsidRPr="00BD215E">
                <w:rPr>
                  <w:rStyle w:val="Hipercze"/>
                  <w:rFonts w:cstheme="minorBidi"/>
                  <w:sz w:val="20"/>
                  <w:lang w:val="en-GB" w:eastAsia="pl-PL"/>
                </w:rPr>
                <w:t>StatPoland</w:t>
              </w:r>
              <w:proofErr w:type="spellEnd"/>
            </w:hyperlink>
          </w:p>
        </w:tc>
      </w:tr>
      <w:tr w:rsidR="00DE1D0A" w:rsidRPr="00BD215E" w14:paraId="549C3B1C" w14:textId="77777777" w:rsidTr="009E7D31">
        <w:trPr>
          <w:trHeight w:val="480"/>
        </w:trPr>
        <w:tc>
          <w:tcPr>
            <w:tcW w:w="4926" w:type="dxa"/>
            <w:vMerge/>
          </w:tcPr>
          <w:p w14:paraId="231798A1" w14:textId="77777777" w:rsidR="00DE1D0A" w:rsidRPr="00BD215E" w:rsidRDefault="00DE1D0A" w:rsidP="00DE1D0A">
            <w:pPr>
              <w:rPr>
                <w:b/>
                <w:sz w:val="20"/>
                <w:lang w:val="en-GB"/>
              </w:rPr>
            </w:pPr>
          </w:p>
        </w:tc>
        <w:tc>
          <w:tcPr>
            <w:tcW w:w="4927" w:type="dxa"/>
          </w:tcPr>
          <w:p w14:paraId="5B472D28" w14:textId="61D75822" w:rsidR="00DE1D0A" w:rsidRPr="00BD215E" w:rsidRDefault="00DE1D0A" w:rsidP="00DE1D0A">
            <w:pPr>
              <w:ind w:firstLine="680"/>
              <w:rPr>
                <w:sz w:val="18"/>
                <w:lang w:val="en-GB"/>
              </w:rPr>
            </w:pPr>
            <w:r w:rsidRPr="00BD215E">
              <w:rPr>
                <w:noProof/>
                <w:sz w:val="20"/>
                <w:lang w:val="en-GB" w:eastAsia="pl-PL"/>
              </w:rPr>
              <w:drawing>
                <wp:anchor distT="0" distB="0" distL="114300" distR="114300" simplePos="0" relativeHeight="251754496" behindDoc="0" locked="0" layoutInCell="1" allowOverlap="1" wp14:anchorId="3EE52BA3" wp14:editId="56497573">
                  <wp:simplePos x="0" y="0"/>
                  <wp:positionH relativeFrom="column">
                    <wp:posOffset>80645</wp:posOffset>
                  </wp:positionH>
                  <wp:positionV relativeFrom="paragraph">
                    <wp:posOffset>13970</wp:posOffset>
                  </wp:positionV>
                  <wp:extent cx="251460" cy="251460"/>
                  <wp:effectExtent l="0" t="0" r="0" b="0"/>
                  <wp:wrapNone/>
                  <wp:docPr id="23" name="Obraz 23" descr="Facebook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33"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34" w:history="1">
              <w:r w:rsidR="00F7264C" w:rsidRPr="00BD215E">
                <w:rPr>
                  <w:rStyle w:val="Hipercze"/>
                  <w:rFonts w:cstheme="minorBidi"/>
                  <w:sz w:val="20"/>
                  <w:lang w:val="en-GB"/>
                </w:rPr>
                <w:t>@</w:t>
              </w:r>
              <w:proofErr w:type="spellStart"/>
              <w:r w:rsidR="00F7264C" w:rsidRPr="00BD215E">
                <w:rPr>
                  <w:rStyle w:val="Hipercze"/>
                  <w:rFonts w:cstheme="minorBidi"/>
                  <w:sz w:val="20"/>
                  <w:lang w:val="en-GB"/>
                </w:rPr>
                <w:t>GlownyUrzadStatystyczny</w:t>
              </w:r>
              <w:proofErr w:type="spellEnd"/>
            </w:hyperlink>
            <w:r w:rsidRPr="00BD215E">
              <w:rPr>
                <w:sz w:val="20"/>
                <w:lang w:val="en-GB" w:eastAsia="pl-PL"/>
              </w:rPr>
              <w:t xml:space="preserve"> </w:t>
            </w:r>
          </w:p>
        </w:tc>
      </w:tr>
      <w:tr w:rsidR="00DE1D0A" w:rsidRPr="00BD215E" w14:paraId="06D97269" w14:textId="77777777" w:rsidTr="009E7D31">
        <w:trPr>
          <w:trHeight w:val="480"/>
        </w:trPr>
        <w:tc>
          <w:tcPr>
            <w:tcW w:w="4926" w:type="dxa"/>
          </w:tcPr>
          <w:p w14:paraId="0DD5A4BE" w14:textId="77777777" w:rsidR="00DE1D0A" w:rsidRPr="00BD215E" w:rsidRDefault="00DE1D0A" w:rsidP="00DE1D0A">
            <w:pPr>
              <w:rPr>
                <w:b/>
                <w:sz w:val="20"/>
                <w:lang w:val="en-GB"/>
              </w:rPr>
            </w:pPr>
          </w:p>
        </w:tc>
        <w:tc>
          <w:tcPr>
            <w:tcW w:w="4927" w:type="dxa"/>
          </w:tcPr>
          <w:p w14:paraId="581DB5EF" w14:textId="5DC5FA20" w:rsidR="00DE1D0A" w:rsidRPr="00BD215E" w:rsidRDefault="00DE1D0A" w:rsidP="00DE1D0A">
            <w:pPr>
              <w:ind w:firstLine="680"/>
              <w:rPr>
                <w:sz w:val="20"/>
                <w:lang w:val="en-GB"/>
              </w:rPr>
            </w:pPr>
            <w:r w:rsidRPr="00BD215E">
              <w:rPr>
                <w:noProof/>
                <w:sz w:val="20"/>
                <w:lang w:val="en-GB" w:eastAsia="pl-PL"/>
              </w:rPr>
              <w:drawing>
                <wp:anchor distT="0" distB="0" distL="114300" distR="114300" simplePos="0" relativeHeight="251755520" behindDoc="0" locked="0" layoutInCell="1" allowOverlap="1" wp14:anchorId="3FB8FF36" wp14:editId="5E0746E2">
                  <wp:simplePos x="0" y="0"/>
                  <wp:positionH relativeFrom="column">
                    <wp:posOffset>82550</wp:posOffset>
                  </wp:positionH>
                  <wp:positionV relativeFrom="paragraph">
                    <wp:posOffset>12700</wp:posOffset>
                  </wp:positionV>
                  <wp:extent cx="251460" cy="251460"/>
                  <wp:effectExtent l="0" t="0" r="0" b="0"/>
                  <wp:wrapNone/>
                  <wp:docPr id="5" name="Obraz 5" descr="Instagram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35"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36" w:history="1">
              <w:r w:rsidR="00F7264C" w:rsidRPr="00BD215E">
                <w:rPr>
                  <w:rStyle w:val="Hipercze"/>
                  <w:rFonts w:cstheme="minorBidi"/>
                  <w:sz w:val="20"/>
                  <w:lang w:val="en-GB"/>
                </w:rPr>
                <w:t>@</w:t>
              </w:r>
              <w:proofErr w:type="spellStart"/>
              <w:r w:rsidR="00F7264C" w:rsidRPr="00BD215E">
                <w:rPr>
                  <w:rStyle w:val="Hipercze"/>
                  <w:rFonts w:cstheme="minorBidi"/>
                  <w:sz w:val="20"/>
                  <w:lang w:val="en-GB"/>
                </w:rPr>
                <w:t>gus_stat</w:t>
              </w:r>
              <w:proofErr w:type="spellEnd"/>
            </w:hyperlink>
          </w:p>
        </w:tc>
      </w:tr>
      <w:tr w:rsidR="00DE1D0A" w:rsidRPr="00BD215E" w14:paraId="2B34FEF8" w14:textId="77777777" w:rsidTr="009E7D31">
        <w:trPr>
          <w:trHeight w:val="480"/>
        </w:trPr>
        <w:tc>
          <w:tcPr>
            <w:tcW w:w="4926" w:type="dxa"/>
          </w:tcPr>
          <w:p w14:paraId="327B582C" w14:textId="77777777" w:rsidR="00DE1D0A" w:rsidRPr="00BD215E" w:rsidRDefault="00DE1D0A" w:rsidP="00DE1D0A">
            <w:pPr>
              <w:rPr>
                <w:b/>
                <w:sz w:val="20"/>
                <w:lang w:val="en-GB"/>
              </w:rPr>
            </w:pPr>
          </w:p>
        </w:tc>
        <w:tc>
          <w:tcPr>
            <w:tcW w:w="4927" w:type="dxa"/>
          </w:tcPr>
          <w:p w14:paraId="40F251B2" w14:textId="11A31C9B" w:rsidR="00DE1D0A" w:rsidRPr="00BD215E" w:rsidRDefault="00DE1D0A" w:rsidP="00DE1D0A">
            <w:pPr>
              <w:ind w:firstLine="680"/>
              <w:rPr>
                <w:sz w:val="20"/>
                <w:lang w:val="en-GB"/>
              </w:rPr>
            </w:pPr>
            <w:r w:rsidRPr="00BD215E">
              <w:rPr>
                <w:noProof/>
                <w:sz w:val="20"/>
                <w:lang w:val="en-GB" w:eastAsia="pl-PL"/>
              </w:rPr>
              <w:drawing>
                <wp:anchor distT="0" distB="0" distL="114300" distR="114300" simplePos="0" relativeHeight="251756544" behindDoc="0" locked="0" layoutInCell="1" allowOverlap="1" wp14:anchorId="1947C968" wp14:editId="7AD70266">
                  <wp:simplePos x="0" y="0"/>
                  <wp:positionH relativeFrom="column">
                    <wp:posOffset>82550</wp:posOffset>
                  </wp:positionH>
                  <wp:positionV relativeFrom="paragraph">
                    <wp:posOffset>13970</wp:posOffset>
                  </wp:positionV>
                  <wp:extent cx="251460" cy="251460"/>
                  <wp:effectExtent l="0" t="0" r="0" b="0"/>
                  <wp:wrapNone/>
                  <wp:docPr id="11" name="Obraz 11" descr="Youtub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37"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38" w:history="1">
              <w:r w:rsidR="00F7264C" w:rsidRPr="00BD215E">
                <w:rPr>
                  <w:rStyle w:val="Hipercze"/>
                  <w:rFonts w:cstheme="minorBidi"/>
                  <w:sz w:val="20"/>
                  <w:lang w:val="en-GB"/>
                </w:rPr>
                <w:t>@</w:t>
              </w:r>
              <w:proofErr w:type="spellStart"/>
              <w:r w:rsidR="00F7264C" w:rsidRPr="00BD215E">
                <w:rPr>
                  <w:rStyle w:val="Hipercze"/>
                  <w:rFonts w:cstheme="minorBidi"/>
                  <w:sz w:val="20"/>
                  <w:lang w:val="en-GB"/>
                </w:rPr>
                <w:t>GłównyUrządStatystycznyGUS</w:t>
              </w:r>
              <w:proofErr w:type="spellEnd"/>
            </w:hyperlink>
          </w:p>
        </w:tc>
      </w:tr>
      <w:tr w:rsidR="00DE1D0A" w:rsidRPr="00BD215E" w14:paraId="16A5698A" w14:textId="77777777" w:rsidTr="009E7D31">
        <w:trPr>
          <w:trHeight w:val="953"/>
        </w:trPr>
        <w:tc>
          <w:tcPr>
            <w:tcW w:w="4926" w:type="dxa"/>
          </w:tcPr>
          <w:p w14:paraId="3605F212" w14:textId="77777777" w:rsidR="00DE1D0A" w:rsidRPr="00BD215E" w:rsidRDefault="00DE1D0A" w:rsidP="00DE1D0A">
            <w:pPr>
              <w:rPr>
                <w:b/>
                <w:sz w:val="20"/>
                <w:lang w:val="en-GB"/>
              </w:rPr>
            </w:pPr>
          </w:p>
        </w:tc>
        <w:tc>
          <w:tcPr>
            <w:tcW w:w="4927" w:type="dxa"/>
          </w:tcPr>
          <w:p w14:paraId="1D245A35" w14:textId="2862AE4C" w:rsidR="00DE1D0A" w:rsidRPr="00BD215E" w:rsidRDefault="00407A30" w:rsidP="00DE1D0A">
            <w:pPr>
              <w:ind w:firstLine="680"/>
              <w:rPr>
                <w:sz w:val="20"/>
                <w:lang w:val="en-GB"/>
              </w:rPr>
            </w:pPr>
            <w:hyperlink r:id="rId39" w:history="1">
              <w:r w:rsidR="00F7264C" w:rsidRPr="00BD215E">
                <w:rPr>
                  <w:rStyle w:val="Hipercze"/>
                  <w:rFonts w:cstheme="minorBidi"/>
                  <w:sz w:val="20"/>
                  <w:lang w:val="en-GB" w:eastAsia="pl-PL"/>
                </w:rPr>
                <w:t>@</w:t>
              </w:r>
              <w:proofErr w:type="spellStart"/>
              <w:r w:rsidR="00F7264C" w:rsidRPr="00BD215E">
                <w:rPr>
                  <w:rStyle w:val="Hipercze"/>
                  <w:rFonts w:cstheme="minorBidi"/>
                  <w:sz w:val="20"/>
                  <w:lang w:val="en-GB" w:eastAsia="pl-PL"/>
                </w:rPr>
                <w:t>G</w:t>
              </w:r>
              <w:r w:rsidR="00DE1D0A" w:rsidRPr="00BD215E">
                <w:rPr>
                  <w:rStyle w:val="Hipercze"/>
                  <w:rFonts w:cstheme="minorBidi"/>
                  <w:sz w:val="20"/>
                  <w:lang w:val="en-GB" w:eastAsia="pl-PL"/>
                </w:rPr>
                <w:t>l</w:t>
              </w:r>
              <w:r w:rsidR="00F7264C" w:rsidRPr="00BD215E">
                <w:rPr>
                  <w:rStyle w:val="Hipercze"/>
                  <w:rFonts w:cstheme="minorBidi"/>
                  <w:sz w:val="20"/>
                  <w:lang w:val="en-GB" w:eastAsia="pl-PL"/>
                </w:rPr>
                <w:t>ó</w:t>
              </w:r>
              <w:r w:rsidR="00DE1D0A" w:rsidRPr="00BD215E">
                <w:rPr>
                  <w:rStyle w:val="Hipercze"/>
                  <w:rFonts w:cstheme="minorBidi"/>
                  <w:sz w:val="20"/>
                  <w:lang w:val="en-GB" w:eastAsia="pl-PL"/>
                </w:rPr>
                <w:t>wny</w:t>
              </w:r>
              <w:proofErr w:type="spellEnd"/>
              <w:r w:rsidR="00F7264C" w:rsidRPr="00BD215E">
                <w:rPr>
                  <w:rStyle w:val="Hipercze"/>
                  <w:rFonts w:cstheme="minorBidi"/>
                  <w:sz w:val="20"/>
                  <w:lang w:val="en-GB" w:eastAsia="pl-PL"/>
                </w:rPr>
                <w:t xml:space="preserve"> </w:t>
              </w:r>
              <w:proofErr w:type="spellStart"/>
              <w:r w:rsidR="00F7264C" w:rsidRPr="00BD215E">
                <w:rPr>
                  <w:rStyle w:val="Hipercze"/>
                  <w:rFonts w:cstheme="minorBidi"/>
                  <w:sz w:val="20"/>
                  <w:lang w:val="en-GB" w:eastAsia="pl-PL"/>
                </w:rPr>
                <w:t>U</w:t>
              </w:r>
              <w:r w:rsidR="00DE1D0A" w:rsidRPr="00BD215E">
                <w:rPr>
                  <w:rStyle w:val="Hipercze"/>
                  <w:rFonts w:cstheme="minorBidi"/>
                  <w:sz w:val="20"/>
                  <w:lang w:val="en-GB" w:eastAsia="pl-PL"/>
                </w:rPr>
                <w:t>rz</w:t>
              </w:r>
              <w:r w:rsidR="00F7264C" w:rsidRPr="00BD215E">
                <w:rPr>
                  <w:rStyle w:val="Hipercze"/>
                  <w:rFonts w:cstheme="minorBidi"/>
                  <w:sz w:val="20"/>
                  <w:lang w:val="en-GB" w:eastAsia="pl-PL"/>
                </w:rPr>
                <w:t>ą</w:t>
              </w:r>
              <w:r w:rsidR="00DE1D0A" w:rsidRPr="00BD215E">
                <w:rPr>
                  <w:rStyle w:val="Hipercze"/>
                  <w:rFonts w:cstheme="minorBidi"/>
                  <w:sz w:val="20"/>
                  <w:lang w:val="en-GB" w:eastAsia="pl-PL"/>
                </w:rPr>
                <w:t>d</w:t>
              </w:r>
              <w:proofErr w:type="spellEnd"/>
              <w:r w:rsidR="00F7264C" w:rsidRPr="00BD215E">
                <w:rPr>
                  <w:rStyle w:val="Hipercze"/>
                  <w:rFonts w:cstheme="minorBidi"/>
                  <w:sz w:val="20"/>
                  <w:lang w:val="en-GB" w:eastAsia="pl-PL"/>
                </w:rPr>
                <w:t xml:space="preserve"> </w:t>
              </w:r>
              <w:proofErr w:type="spellStart"/>
              <w:r w:rsidR="00F7264C" w:rsidRPr="00BD215E">
                <w:rPr>
                  <w:rStyle w:val="Hipercze"/>
                  <w:rFonts w:cstheme="minorBidi"/>
                  <w:sz w:val="20"/>
                  <w:lang w:val="en-GB" w:eastAsia="pl-PL"/>
                </w:rPr>
                <w:t>S</w:t>
              </w:r>
              <w:r w:rsidR="00DE1D0A" w:rsidRPr="00BD215E">
                <w:rPr>
                  <w:rStyle w:val="Hipercze"/>
                  <w:rFonts w:cstheme="minorBidi"/>
                  <w:sz w:val="20"/>
                  <w:lang w:val="en-GB" w:eastAsia="pl-PL"/>
                </w:rPr>
                <w:t>tatystyczny</w:t>
              </w:r>
              <w:proofErr w:type="spellEnd"/>
            </w:hyperlink>
            <w:r w:rsidR="00DE1D0A" w:rsidRPr="00BD215E">
              <w:rPr>
                <w:noProof/>
                <w:sz w:val="20"/>
                <w:lang w:val="en-GB" w:eastAsia="pl-PL"/>
              </w:rPr>
              <w:drawing>
                <wp:anchor distT="0" distB="0" distL="114300" distR="114300" simplePos="0" relativeHeight="251757568" behindDoc="0" locked="0" layoutInCell="1" allowOverlap="1" wp14:anchorId="4CE9A62A" wp14:editId="5FD5664F">
                  <wp:simplePos x="0" y="0"/>
                  <wp:positionH relativeFrom="column">
                    <wp:posOffset>82550</wp:posOffset>
                  </wp:positionH>
                  <wp:positionV relativeFrom="paragraph">
                    <wp:posOffset>15240</wp:posOffset>
                  </wp:positionV>
                  <wp:extent cx="251460" cy="251460"/>
                  <wp:effectExtent l="0" t="0" r="0" b="0"/>
                  <wp:wrapNone/>
                  <wp:docPr id="14" name="Obraz 14" descr="Linkedin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40"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DE2400" w:rsidRPr="00407A30" w14:paraId="385E56CC" w14:textId="77777777" w:rsidTr="009E7D31">
        <w:trPr>
          <w:trHeight w:val="4114"/>
        </w:trPr>
        <w:tc>
          <w:tcPr>
            <w:tcW w:w="9853" w:type="dxa"/>
            <w:gridSpan w:val="2"/>
            <w:shd w:val="clear" w:color="auto" w:fill="D9D9D9" w:themeFill="background1" w:themeFillShade="D9"/>
          </w:tcPr>
          <w:p w14:paraId="6B042223" w14:textId="5E2018EE" w:rsidR="0037583B" w:rsidRPr="00BD215E" w:rsidRDefault="0037583B" w:rsidP="0037583B">
            <w:pPr>
              <w:pStyle w:val="P68B1DB1-Normalny20"/>
              <w:shd w:val="clear" w:color="auto" w:fill="D9D9D9" w:themeFill="background1" w:themeFillShade="D9"/>
              <w:rPr>
                <w:lang w:val="en-GB"/>
              </w:rPr>
            </w:pPr>
            <w:r w:rsidRPr="00BD215E">
              <w:rPr>
                <w:lang w:val="en-GB"/>
              </w:rPr>
              <w:t xml:space="preserve">Related </w:t>
            </w:r>
            <w:r w:rsidR="00AC52F5" w:rsidRPr="00BD215E">
              <w:rPr>
                <w:lang w:val="en-GB"/>
              </w:rPr>
              <w:t>information</w:t>
            </w:r>
          </w:p>
          <w:p w14:paraId="189E7C4C" w14:textId="77777777" w:rsidR="0037583B" w:rsidRPr="00BD215E" w:rsidRDefault="00407A30" w:rsidP="0037583B">
            <w:pPr>
              <w:pStyle w:val="P68B1DB1-TableParagraph33"/>
              <w:spacing w:before="120" w:after="120" w:line="240" w:lineRule="exact"/>
              <w:rPr>
                <w:szCs w:val="19"/>
                <w:lang w:val="en-GB"/>
              </w:rPr>
            </w:pPr>
            <w:hyperlink r:id="rId41" w:tooltip="Zdrowie i ochrona zdrowia w 2024 r.">
              <w:r w:rsidR="0037583B" w:rsidRPr="00BD215E">
                <w:rPr>
                  <w:lang w:val="en-GB"/>
                </w:rPr>
                <w:t>Health and healthcare in 2024</w:t>
              </w:r>
            </w:hyperlink>
          </w:p>
          <w:p w14:paraId="13133286" w14:textId="19EAC42C" w:rsidR="0037583B" w:rsidRPr="00BD215E" w:rsidRDefault="00407A30" w:rsidP="0037583B">
            <w:pPr>
              <w:pStyle w:val="P68B1DB1-TableParagraph33"/>
              <w:spacing w:before="120" w:after="120" w:line="240" w:lineRule="exact"/>
              <w:rPr>
                <w:szCs w:val="19"/>
                <w:lang w:val="en-GB"/>
              </w:rPr>
            </w:pPr>
            <w:hyperlink r:id="rId42" w:tooltip="Obwieszczenie Prezesa GUS w sprawie NRZ za 2023 r.">
              <w:r w:rsidR="0037583B" w:rsidRPr="00BD215E">
                <w:rPr>
                  <w:lang w:val="en-GB"/>
                </w:rPr>
                <w:t xml:space="preserve">Announcement of the President of </w:t>
              </w:r>
              <w:r w:rsidR="007A5FD2">
                <w:rPr>
                  <w:lang w:val="en-GB"/>
                </w:rPr>
                <w:t>Statistic Poland</w:t>
              </w:r>
              <w:r w:rsidR="0037583B" w:rsidRPr="00BD215E">
                <w:rPr>
                  <w:lang w:val="en-GB"/>
                </w:rPr>
                <w:t xml:space="preserve"> on the N</w:t>
              </w:r>
              <w:r w:rsidR="007A5FD2">
                <w:rPr>
                  <w:lang w:val="en-GB"/>
                </w:rPr>
                <w:t>HA</w:t>
              </w:r>
              <w:r w:rsidR="0037583B" w:rsidRPr="00BD215E">
                <w:rPr>
                  <w:lang w:val="en-GB"/>
                </w:rPr>
                <w:t xml:space="preserve"> for 2023</w:t>
              </w:r>
            </w:hyperlink>
          </w:p>
          <w:p w14:paraId="6285FA05" w14:textId="77777777" w:rsidR="0037583B" w:rsidRPr="00BD215E" w:rsidRDefault="00407A30" w:rsidP="0037583B">
            <w:pPr>
              <w:pStyle w:val="P68B1DB1-TableParagraph34"/>
              <w:spacing w:before="120" w:after="120" w:line="240" w:lineRule="exact"/>
              <w:rPr>
                <w:rStyle w:val="Hipercze"/>
                <w:rFonts w:cs="Fira Sans"/>
                <w:u w:color="0000FF"/>
                <w:lang w:val="en-GB"/>
              </w:rPr>
            </w:pPr>
            <w:hyperlink r:id="rId43" w:tooltip="Podręcznik SHA2011" w:history="1">
              <w:hyperlink r:id="rId44" w:tooltip="Podręcznik SHA2011">
                <w:r w:rsidR="0037583B" w:rsidRPr="00BD215E">
                  <w:rPr>
                    <w:u w:color="0000FF"/>
                    <w:lang w:val="en-GB"/>
                  </w:rPr>
                  <w:t>SHA Manual 2011</w:t>
                </w:r>
              </w:hyperlink>
            </w:hyperlink>
          </w:p>
          <w:p w14:paraId="48D58CA0" w14:textId="77777777" w:rsidR="0037583B" w:rsidRPr="00BD215E" w:rsidRDefault="00407A30" w:rsidP="0037583B">
            <w:pPr>
              <w:pStyle w:val="P68B1DB1-TableParagraph35"/>
              <w:spacing w:before="120" w:after="120" w:line="240" w:lineRule="exact"/>
              <w:rPr>
                <w:lang w:val="en-GB"/>
              </w:rPr>
            </w:pPr>
            <w:hyperlink r:id="rId45" w:tooltip="Rozporządzenie Komisji (UE) 2021/1901" w:history="1">
              <w:r w:rsidR="0037583B" w:rsidRPr="00BD215E">
                <w:rPr>
                  <w:lang w:val="en-GB"/>
                </w:rPr>
                <w:t>Commission Regulation (EU) 2021/1901</w:t>
              </w:r>
            </w:hyperlink>
          </w:p>
          <w:p w14:paraId="4380A4CD" w14:textId="163128D1" w:rsidR="0037583B" w:rsidRPr="00BD215E" w:rsidRDefault="00AC52F5" w:rsidP="0037583B">
            <w:pPr>
              <w:pStyle w:val="P68B1DB1-Normalny36"/>
              <w:shd w:val="clear" w:color="auto" w:fill="D9D9D9" w:themeFill="background1" w:themeFillShade="D9"/>
              <w:spacing w:before="360"/>
              <w:rPr>
                <w:lang w:val="en-GB"/>
              </w:rPr>
            </w:pPr>
            <w:r w:rsidRPr="00BD215E">
              <w:rPr>
                <w:lang w:val="en-GB"/>
              </w:rPr>
              <w:t>Data</w:t>
            </w:r>
            <w:r w:rsidR="0037583B" w:rsidRPr="00BD215E">
              <w:rPr>
                <w:lang w:val="en-GB"/>
              </w:rPr>
              <w:t xml:space="preserve"> available in databases</w:t>
            </w:r>
          </w:p>
          <w:p w14:paraId="393F1BAC" w14:textId="77777777" w:rsidR="0037583B" w:rsidRPr="00BD215E" w:rsidRDefault="00407A30" w:rsidP="0037583B">
            <w:pPr>
              <w:rPr>
                <w:color w:val="0000FF"/>
                <w:u w:val="single"/>
                <w:lang w:val="en-GB"/>
              </w:rPr>
            </w:pPr>
            <w:hyperlink r:id="rId46" w:tooltip="Baza danych OECD" w:history="1">
              <w:r w:rsidR="0037583B" w:rsidRPr="00BD215E">
                <w:rPr>
                  <w:rStyle w:val="Hipercze"/>
                  <w:rFonts w:cstheme="minorBidi"/>
                  <w:lang w:val="en-GB"/>
                </w:rPr>
                <w:t>OECD database</w:t>
              </w:r>
            </w:hyperlink>
            <w:r w:rsidR="0037583B" w:rsidRPr="00BD215E">
              <w:rPr>
                <w:color w:val="0000FF"/>
                <w:u w:val="single"/>
                <w:lang w:val="en-GB"/>
              </w:rPr>
              <w:t xml:space="preserve"> </w:t>
            </w:r>
          </w:p>
          <w:p w14:paraId="45156F19" w14:textId="11755B22" w:rsidR="0037583B" w:rsidRPr="00BD215E" w:rsidRDefault="0037583B" w:rsidP="0037583B">
            <w:pPr>
              <w:pStyle w:val="P68B1DB1-Normalny36"/>
              <w:shd w:val="clear" w:color="auto" w:fill="D9D9D9" w:themeFill="background1" w:themeFillShade="D9"/>
              <w:spacing w:before="360"/>
              <w:rPr>
                <w:lang w:val="en-GB"/>
              </w:rPr>
            </w:pPr>
            <w:r w:rsidRPr="00BD215E">
              <w:rPr>
                <w:lang w:val="en-GB"/>
              </w:rPr>
              <w:t xml:space="preserve">Terms </w:t>
            </w:r>
            <w:r w:rsidR="00AC52F5" w:rsidRPr="00BD215E">
              <w:rPr>
                <w:lang w:val="en-GB"/>
              </w:rPr>
              <w:t xml:space="preserve">used in official statistics </w:t>
            </w:r>
          </w:p>
          <w:p w14:paraId="6253F536" w14:textId="77777777" w:rsidR="0037583B" w:rsidRPr="00BD215E" w:rsidRDefault="00407A30" w:rsidP="0037583B">
            <w:pPr>
              <w:pStyle w:val="P68B1DB1-TableParagraph37"/>
              <w:spacing w:before="120" w:after="120" w:line="240" w:lineRule="exact"/>
              <w:rPr>
                <w:lang w:val="en-GB"/>
              </w:rPr>
            </w:pPr>
            <w:hyperlink r:id="rId47" w:tooltip="Stacjonarna opieka zdrowotna">
              <w:r w:rsidR="0037583B" w:rsidRPr="00BD215E">
                <w:rPr>
                  <w:u w:val="single" w:color="0000FF"/>
                  <w:lang w:val="en-GB"/>
                </w:rPr>
                <w:t>Inpatient health care</w:t>
              </w:r>
            </w:hyperlink>
            <w:r w:rsidR="0037583B" w:rsidRPr="00BD215E">
              <w:rPr>
                <w:lang w:val="en-GB"/>
              </w:rPr>
              <w:t xml:space="preserve"> </w:t>
            </w:r>
          </w:p>
          <w:p w14:paraId="49F2FE5F" w14:textId="41454715" w:rsidR="0037583B" w:rsidRPr="00BD215E" w:rsidRDefault="00407A30" w:rsidP="0037583B">
            <w:pPr>
              <w:pStyle w:val="P68B1DB1-TableParagraph33"/>
              <w:spacing w:before="120" w:after="120" w:line="240" w:lineRule="exact"/>
              <w:rPr>
                <w:lang w:val="en-GB"/>
              </w:rPr>
            </w:pPr>
            <w:hyperlink r:id="rId48" w:tooltip="Szpital">
              <w:r w:rsidR="0037583B" w:rsidRPr="00BD215E">
                <w:rPr>
                  <w:lang w:val="en-GB"/>
                </w:rPr>
                <w:t>Hospital</w:t>
              </w:r>
            </w:hyperlink>
          </w:p>
          <w:p w14:paraId="19C4B80A" w14:textId="2AD50F15" w:rsidR="0037583B" w:rsidRPr="00BD215E" w:rsidRDefault="00407A30" w:rsidP="0037583B">
            <w:pPr>
              <w:pStyle w:val="P68B1DB1-TableParagraph33"/>
              <w:spacing w:before="120" w:after="120" w:line="240" w:lineRule="exact"/>
              <w:rPr>
                <w:lang w:val="en-GB"/>
              </w:rPr>
            </w:pPr>
            <w:hyperlink r:id="rId49" w:tooltip="Zdrowie">
              <w:r w:rsidR="0037583B" w:rsidRPr="00BD215E">
                <w:rPr>
                  <w:lang w:val="en-GB"/>
                </w:rPr>
                <w:t>Health</w:t>
              </w:r>
            </w:hyperlink>
          </w:p>
          <w:p w14:paraId="0A154F9E" w14:textId="77777777" w:rsidR="0037583B" w:rsidRPr="00BD215E" w:rsidRDefault="00407A30" w:rsidP="0037583B">
            <w:pPr>
              <w:pStyle w:val="P68B1DB1-TableParagraph33"/>
              <w:spacing w:before="120" w:after="120" w:line="240" w:lineRule="exact"/>
              <w:rPr>
                <w:lang w:val="en-GB"/>
              </w:rPr>
            </w:pPr>
            <w:hyperlink r:id="rId50" w:tooltip="Zakład opieki zdrowotnej">
              <w:r w:rsidR="0037583B" w:rsidRPr="00BD215E">
                <w:rPr>
                  <w:lang w:val="en-GB"/>
                </w:rPr>
                <w:t>Healthcare facility</w:t>
              </w:r>
            </w:hyperlink>
          </w:p>
          <w:p w14:paraId="734C8732" w14:textId="77777777" w:rsidR="00DE2400" w:rsidRPr="00BD215E" w:rsidRDefault="00DE2400" w:rsidP="00FB5641">
            <w:pPr>
              <w:rPr>
                <w:b/>
                <w:color w:val="000000" w:themeColor="text1"/>
                <w:szCs w:val="24"/>
                <w:lang w:val="en-GB"/>
              </w:rPr>
            </w:pPr>
          </w:p>
          <w:p w14:paraId="59EB7117" w14:textId="77777777" w:rsidR="00DE2400" w:rsidRPr="00BD215E" w:rsidRDefault="00DE2400" w:rsidP="00FB5641">
            <w:pPr>
              <w:rPr>
                <w:b/>
                <w:color w:val="000000" w:themeColor="text1"/>
                <w:szCs w:val="24"/>
                <w:lang w:val="en-GB"/>
              </w:rPr>
            </w:pPr>
          </w:p>
        </w:tc>
      </w:tr>
    </w:tbl>
    <w:p w14:paraId="1634A8FA" w14:textId="77777777" w:rsidR="000470AA" w:rsidRPr="00BD215E" w:rsidRDefault="000470AA" w:rsidP="000470AA">
      <w:pPr>
        <w:rPr>
          <w:sz w:val="18"/>
          <w:lang w:val="en-GB"/>
        </w:rPr>
      </w:pPr>
    </w:p>
    <w:tbl>
      <w:tblPr>
        <w:tblpPr w:leftFromText="141" w:rightFromText="141" w:vertAnchor="text" w:horzAnchor="margin" w:tblpXSpec="center" w:tblpY="-47"/>
        <w:tblW w:w="0" w:type="auto"/>
        <w:tblLook w:val="04A0" w:firstRow="1" w:lastRow="0" w:firstColumn="1" w:lastColumn="0" w:noHBand="0" w:noVBand="1"/>
      </w:tblPr>
      <w:tblGrid>
        <w:gridCol w:w="4245"/>
        <w:gridCol w:w="3822"/>
      </w:tblGrid>
      <w:tr w:rsidR="000470AA" w:rsidRPr="00407A30" w14:paraId="366352B6" w14:textId="77777777" w:rsidTr="00E23337">
        <w:trPr>
          <w:trHeight w:val="1912"/>
        </w:trPr>
        <w:tc>
          <w:tcPr>
            <w:tcW w:w="4379" w:type="dxa"/>
          </w:tcPr>
          <w:p w14:paraId="7D4342A1" w14:textId="77777777" w:rsidR="000470AA" w:rsidRPr="00BD215E" w:rsidRDefault="000470AA" w:rsidP="00D00796">
            <w:pPr>
              <w:pStyle w:val="Nagwek3"/>
              <w:spacing w:before="0" w:line="240" w:lineRule="auto"/>
              <w:rPr>
                <w:rFonts w:ascii="Fira Sans" w:hAnsi="Fira Sans"/>
                <w:color w:val="auto"/>
                <w:lang w:val="en-GB"/>
              </w:rPr>
            </w:pPr>
          </w:p>
        </w:tc>
        <w:tc>
          <w:tcPr>
            <w:tcW w:w="3942" w:type="dxa"/>
          </w:tcPr>
          <w:p w14:paraId="18600317" w14:textId="77777777" w:rsidR="000470AA" w:rsidRPr="00BD215E" w:rsidRDefault="000470AA" w:rsidP="00D00796">
            <w:pPr>
              <w:pStyle w:val="Nagwek3"/>
              <w:spacing w:before="0" w:line="240" w:lineRule="auto"/>
              <w:rPr>
                <w:rFonts w:ascii="Fira Sans" w:hAnsi="Fira Sans" w:cs="Arial"/>
                <w:color w:val="auto"/>
                <w:sz w:val="20"/>
                <w:szCs w:val="20"/>
                <w:lang w:val="en-GB"/>
              </w:rPr>
            </w:pPr>
          </w:p>
        </w:tc>
      </w:tr>
    </w:tbl>
    <w:p w14:paraId="1B68E34A" w14:textId="77777777" w:rsidR="000470AA" w:rsidRPr="00BD215E" w:rsidRDefault="000470AA" w:rsidP="000470AA">
      <w:pPr>
        <w:rPr>
          <w:sz w:val="20"/>
          <w:lang w:val="en-GB"/>
        </w:rPr>
      </w:pPr>
    </w:p>
    <w:p w14:paraId="21E45930" w14:textId="77777777" w:rsidR="000470AA" w:rsidRPr="00BD215E" w:rsidRDefault="000470AA" w:rsidP="000470AA">
      <w:pPr>
        <w:rPr>
          <w:sz w:val="18"/>
          <w:lang w:val="en-GB"/>
        </w:rPr>
      </w:pPr>
    </w:p>
    <w:p w14:paraId="7C19EFAE" w14:textId="102614BD" w:rsidR="00D261A2" w:rsidRPr="00BD215E" w:rsidRDefault="00D261A2" w:rsidP="00AD0E56">
      <w:pPr>
        <w:rPr>
          <w:sz w:val="18"/>
          <w:lang w:val="en-GB"/>
        </w:rPr>
      </w:pPr>
    </w:p>
    <w:sectPr w:rsidR="00D261A2" w:rsidRPr="00BD215E" w:rsidSect="003B18B6">
      <w:headerReference w:type="default" r:id="rId51"/>
      <w:footerReference w:type="default" r:id="rId52"/>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4349EC3" w14:textId="77777777" w:rsidR="0001348A" w:rsidRDefault="0001348A" w:rsidP="000662E2">
      <w:pPr>
        <w:spacing w:after="0" w:line="240" w:lineRule="auto"/>
      </w:pPr>
      <w:r>
        <w:separator/>
      </w:r>
    </w:p>
  </w:endnote>
  <w:endnote w:type="continuationSeparator" w:id="0">
    <w:p w14:paraId="4E42B1B4" w14:textId="77777777" w:rsidR="0001348A" w:rsidRDefault="0001348A"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w:panose1 w:val="020B0503050000020004"/>
    <w:charset w:val="EE"/>
    <w:family w:val="swiss"/>
    <w:pitch w:val="variable"/>
    <w:sig w:usb0="600002FF" w:usb1="02000001" w:usb2="00000000" w:usb3="00000000" w:csb0="0000019F" w:csb1="00000000"/>
    <w:embedRegular r:id="rId1" w:fontKey="{D531EA26-0F0E-448D-B9C1-804BDF444061}"/>
    <w:embedBold r:id="rId2" w:fontKey="{B5D08B88-9AC5-45DF-B452-74B884CD5163}"/>
  </w:font>
  <w:font w:name="Fira Sans Light">
    <w:panose1 w:val="020B0403050000020004"/>
    <w:charset w:val="EE"/>
    <w:family w:val="swiss"/>
    <w:pitch w:val="variable"/>
    <w:sig w:usb0="600002FF" w:usb1="02000001" w:usb2="00000000" w:usb3="00000000" w:csb0="0000019F" w:csb1="00000000"/>
    <w:embedRegular r:id="rId3" w:fontKey="{1381DD01-3E47-4B93-8285-4CB99E03C744}"/>
    <w:embedBold r:id="rId4" w:fontKey="{87E54D15-74DD-4E2A-BC0B-E3CAF1BD59E3}"/>
  </w:font>
  <w:font w:name="Fira Sans SemiBold">
    <w:panose1 w:val="020B0603050000020004"/>
    <w:charset w:val="EE"/>
    <w:family w:val="swiss"/>
    <w:pitch w:val="variable"/>
    <w:sig w:usb0="600002FF" w:usb1="02000001" w:usb2="00000000" w:usb3="00000000" w:csb0="0000019F" w:csb1="00000000"/>
    <w:embedRegular r:id="rId5" w:fontKey="{4574393E-2EA8-4E3B-BE30-71AFB64471F8}"/>
    <w:embedBold r:id="rId6" w:fontKey="{52982230-A665-4A1F-873B-08EB101F51D6}"/>
  </w:font>
  <w:font w:name="Fira Sans Medium">
    <w:panose1 w:val="020B0603050000020004"/>
    <w:charset w:val="EE"/>
    <w:family w:val="swiss"/>
    <w:pitch w:val="variable"/>
    <w:sig w:usb0="600002FF" w:usb1="02000001" w:usb2="00000000" w:usb3="00000000" w:csb0="0000019F" w:csb1="00000000"/>
    <w:embedRegular r:id="rId7" w:fontKey="{4B2E4642-B8FB-4A6B-8C77-05BAB386C955}"/>
    <w:embedBold r:id="rId8" w:fontKey="{C1191830-9A84-4B90-8C8D-C8F357C855F7}"/>
    <w:embedItalic r:id="rId9" w:fontKey="{C72CC771-8FF6-4BC3-8CD2-4F3C161CBE12}"/>
  </w:font>
  <w:font w:name="Segoe UI">
    <w:panose1 w:val="020B0502040204020203"/>
    <w:charset w:val="EE"/>
    <w:family w:val="swiss"/>
    <w:pitch w:val="variable"/>
    <w:sig w:usb0="E4002EFF" w:usb1="C000E47F" w:usb2="00000009" w:usb3="00000000" w:csb0="000001FF" w:csb1="00000000"/>
    <w:embedRegular r:id="rId10" w:fontKey="{3CB50C8F-11DC-4BD8-9822-618D3484ED71}"/>
  </w:font>
  <w:font w:name="Fira Sans Extra Condensed SemiB">
    <w:panose1 w:val="020B0603050000020004"/>
    <w:charset w:val="EE"/>
    <w:family w:val="swiss"/>
    <w:pitch w:val="variable"/>
    <w:sig w:usb0="600002FF" w:usb1="00000001" w:usb2="00000000" w:usb3="00000000" w:csb0="0000019F" w:csb1="00000000"/>
    <w:embedRegular r:id="rId11" w:fontKey="{E0D1248C-9044-4DD6-91AF-319A56B75E63}"/>
    <w:embedBold r:id="rId12" w:fontKey="{EDA85EB2-2426-4064-989B-FCD5B4B0B5D4}"/>
  </w:font>
  <w:font w:name="Calibri">
    <w:panose1 w:val="020F0502020204030204"/>
    <w:charset w:val="EE"/>
    <w:family w:val="swiss"/>
    <w:pitch w:val="variable"/>
    <w:sig w:usb0="E4002EFF" w:usb1="C200247B" w:usb2="00000009" w:usb3="00000000" w:csb0="000001FF" w:csb1="00000000"/>
    <w:embedRegular r:id="rId13" w:fontKey="{62D8FE35-536D-4FEC-BF57-971FCAE9A8F7}"/>
  </w:font>
  <w:font w:name="Arial">
    <w:panose1 w:val="020B0604020202020204"/>
    <w:charset w:val="00"/>
    <w:family w:val="swiss"/>
    <w:pitch w:val="variable"/>
    <w:sig w:usb0="E0002EFF" w:usb1="C000785B" w:usb2="00000009" w:usb3="00000000" w:csb0="000001FF" w:csb1="00000000"/>
  </w:font>
  <w:font w:name="MyriadPro-Regular">
    <w:altName w:val="Times New Roman"/>
    <w:panose1 w:val="00000000000000000000"/>
    <w:charset w:val="EE"/>
    <w:family w:val="swiss"/>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10575277"/>
      <w:docPartObj>
        <w:docPartGallery w:val="Page Numbers (Bottom of Page)"/>
        <w:docPartUnique/>
      </w:docPartObj>
    </w:sdtPr>
    <w:sdtEndPr/>
    <w:sdtContent>
      <w:p w14:paraId="6E91F2FF" w14:textId="77777777" w:rsidR="0001348A" w:rsidRDefault="0001348A" w:rsidP="003B18B6">
        <w:pPr>
          <w:pStyle w:val="Stopka"/>
          <w:jc w:val="center"/>
        </w:pPr>
        <w:r>
          <w:fldChar w:fldCharType="begin"/>
        </w:r>
        <w:r>
          <w:instrText>PAGE   \* MERGEFORMAT</w:instrText>
        </w:r>
        <w:r>
          <w:fldChar w:fldCharType="separate"/>
        </w:r>
        <w:r>
          <w:rPr>
            <w:noProof/>
          </w:rPr>
          <w:t>5</w:t>
        </w:r>
        <w:r>
          <w:fldChar w:fldCharType="end"/>
        </w:r>
      </w:p>
    </w:sdtContent>
  </w:sdt>
  <w:p w14:paraId="206F42C3" w14:textId="77777777" w:rsidR="0001348A" w:rsidRDefault="0001348A"/>
  <w:p w14:paraId="0665B181" w14:textId="77777777" w:rsidR="0001348A" w:rsidRDefault="0001348A"/>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41836088"/>
      <w:docPartObj>
        <w:docPartGallery w:val="Page Numbers (Bottom of Page)"/>
        <w:docPartUnique/>
      </w:docPartObj>
    </w:sdtPr>
    <w:sdtEndPr/>
    <w:sdtContent>
      <w:p w14:paraId="7A63DCE2" w14:textId="77777777" w:rsidR="0001348A" w:rsidRDefault="0001348A" w:rsidP="003B18B6">
        <w:pPr>
          <w:pStyle w:val="Stopka"/>
          <w:jc w:val="center"/>
        </w:pPr>
        <w:r>
          <w:fldChar w:fldCharType="begin"/>
        </w:r>
        <w:r>
          <w:instrText>PAGE   \* MERGEFORMAT</w:instrText>
        </w:r>
        <w:r>
          <w:fldChar w:fldCharType="separate"/>
        </w:r>
        <w:r>
          <w:rPr>
            <w:noProof/>
          </w:rPr>
          <w:t>1</w:t>
        </w:r>
        <w:r>
          <w:fldChar w:fldCharType="end"/>
        </w:r>
      </w:p>
    </w:sdtContent>
  </w:sdt>
  <w:p w14:paraId="21C22A21" w14:textId="77777777" w:rsidR="0001348A" w:rsidRDefault="0001348A"/>
  <w:p w14:paraId="4ED88065" w14:textId="77777777" w:rsidR="0001348A" w:rsidRDefault="0001348A"/>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45636839"/>
      <w:docPartObj>
        <w:docPartGallery w:val="Page Numbers (Bottom of Page)"/>
        <w:docPartUnique/>
      </w:docPartObj>
    </w:sdtPr>
    <w:sdtEndPr/>
    <w:sdtContent>
      <w:p w14:paraId="535B31BF" w14:textId="77777777" w:rsidR="0001348A" w:rsidRDefault="0001348A" w:rsidP="003B18B6">
        <w:pPr>
          <w:pStyle w:val="Stopka"/>
          <w:jc w:val="center"/>
        </w:pPr>
        <w:r>
          <w:fldChar w:fldCharType="begin"/>
        </w:r>
        <w:r>
          <w:instrText>PAGE   \* MERGEFORMAT</w:instrText>
        </w:r>
        <w:r>
          <w:fldChar w:fldCharType="separate"/>
        </w:r>
        <w:r>
          <w:rPr>
            <w:noProof/>
          </w:rPr>
          <w:t>7</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3808ADE" w14:textId="77777777" w:rsidR="0001348A" w:rsidRDefault="0001348A" w:rsidP="000662E2">
      <w:pPr>
        <w:spacing w:after="0" w:line="240" w:lineRule="auto"/>
      </w:pPr>
      <w:r>
        <w:separator/>
      </w:r>
    </w:p>
  </w:footnote>
  <w:footnote w:type="continuationSeparator" w:id="0">
    <w:p w14:paraId="3F9E6785" w14:textId="77777777" w:rsidR="0001348A" w:rsidRDefault="0001348A" w:rsidP="000662E2">
      <w:pPr>
        <w:spacing w:after="0" w:line="240" w:lineRule="auto"/>
      </w:pPr>
      <w:r>
        <w:continuationSeparator/>
      </w:r>
    </w:p>
  </w:footnote>
  <w:footnote w:id="1">
    <w:p w14:paraId="110BEB8B" w14:textId="7E85CB12" w:rsidR="0001348A" w:rsidRPr="007701B0" w:rsidRDefault="0001348A" w:rsidP="00CF53D1">
      <w:pPr>
        <w:pStyle w:val="Przypis"/>
        <w:spacing w:before="0"/>
        <w:rPr>
          <w:sz w:val="18"/>
          <w:szCs w:val="18"/>
        </w:rPr>
      </w:pPr>
      <w:r w:rsidRPr="007701B0">
        <w:rPr>
          <w:rStyle w:val="Odwoanieprzypisudolnego"/>
          <w:sz w:val="18"/>
          <w:szCs w:val="18"/>
        </w:rPr>
        <w:footnoteRef/>
      </w:r>
      <w:r w:rsidRPr="007701B0">
        <w:rPr>
          <w:sz w:val="18"/>
          <w:szCs w:val="18"/>
        </w:rPr>
        <w:t xml:space="preserve"> OECD, Eurostat and World Health Organization (2017), A System of Health Accounts 2011: Revised edition, OECD Publishing, Paris. </w:t>
      </w:r>
      <w:hyperlink r:id="rId1" w:history="1">
        <w:r w:rsidRPr="00F97CD6">
          <w:rPr>
            <w:rStyle w:val="Hipercze"/>
            <w:rFonts w:cstheme="minorBidi"/>
            <w:sz w:val="18"/>
            <w:szCs w:val="18"/>
          </w:rPr>
          <w:t>http://dx.doi.org/10.1787/9789264270985-en</w:t>
        </w:r>
      </w:hyperlink>
    </w:p>
  </w:footnote>
  <w:footnote w:id="2">
    <w:p w14:paraId="1157E46D" w14:textId="5D650513" w:rsidR="0001348A" w:rsidRPr="007701B0" w:rsidRDefault="0001348A" w:rsidP="006C59CC">
      <w:pPr>
        <w:pStyle w:val="Przypis"/>
        <w:spacing w:before="60"/>
        <w:rPr>
          <w:sz w:val="18"/>
          <w:szCs w:val="18"/>
        </w:rPr>
      </w:pPr>
      <w:r w:rsidRPr="007701B0">
        <w:rPr>
          <w:rStyle w:val="Odwoanieprzypisudolnego"/>
          <w:sz w:val="18"/>
          <w:szCs w:val="18"/>
        </w:rPr>
        <w:footnoteRef/>
      </w:r>
      <w:r w:rsidRPr="007701B0">
        <w:rPr>
          <w:sz w:val="18"/>
          <w:szCs w:val="18"/>
        </w:rPr>
        <w:t xml:space="preserve"> Types of public expenditure listed in Article 131c of the Act of 27.08. 2004 on health care services financed from public funds (Journal of Laws of 2025, item 1461, as amended) are described in the Methodological Notes at the end of th</w:t>
      </w:r>
      <w:r w:rsidR="00150CA7">
        <w:rPr>
          <w:sz w:val="18"/>
          <w:szCs w:val="18"/>
        </w:rPr>
        <w:t>e text</w:t>
      </w:r>
      <w:r w:rsidRPr="007701B0">
        <w:rPr>
          <w:sz w:val="18"/>
          <w:szCs w:val="18"/>
        </w:rPr>
        <w:t>.</w:t>
      </w:r>
    </w:p>
  </w:footnote>
  <w:footnote w:id="3">
    <w:p w14:paraId="78CC1EC0" w14:textId="77777777" w:rsidR="0001348A" w:rsidRPr="007701B0" w:rsidRDefault="0001348A" w:rsidP="006C59CC">
      <w:pPr>
        <w:pStyle w:val="Przypis"/>
        <w:spacing w:before="60"/>
        <w:rPr>
          <w:sz w:val="18"/>
          <w:szCs w:val="18"/>
        </w:rPr>
      </w:pPr>
      <w:r w:rsidRPr="007701B0">
        <w:rPr>
          <w:rStyle w:val="Odwoanieprzypisudolnego"/>
          <w:sz w:val="18"/>
          <w:szCs w:val="18"/>
        </w:rPr>
        <w:footnoteRef/>
      </w:r>
      <w:r w:rsidRPr="007701B0">
        <w:rPr>
          <w:rStyle w:val="Odwoanieprzypisudolnego"/>
          <w:sz w:val="18"/>
          <w:szCs w:val="18"/>
        </w:rPr>
        <w:t xml:space="preserve"> </w:t>
      </w:r>
      <w:r w:rsidRPr="007701B0">
        <w:rPr>
          <w:sz w:val="18"/>
          <w:szCs w:val="18"/>
        </w:rPr>
        <w:t xml:space="preserve">Source: </w:t>
      </w:r>
      <w:hyperlink r:id="rId2" w:history="1">
        <w:r w:rsidRPr="007701B0">
          <w:rPr>
            <w:rStyle w:val="Hipercze"/>
            <w:sz w:val="18"/>
            <w:szCs w:val="18"/>
          </w:rPr>
          <w:t>https://stat.gov.pl/macroeconomic indicators/</w:t>
        </w:r>
      </w:hyperlink>
      <w:r w:rsidRPr="007701B0">
        <w:rPr>
          <w:sz w:val="18"/>
          <w:szCs w:val="18"/>
        </w:rPr>
        <w:t>; Update 17.04.2026</w:t>
      </w:r>
    </w:p>
  </w:footnote>
  <w:footnote w:id="4">
    <w:p w14:paraId="1ABB30FC" w14:textId="77777777" w:rsidR="0001348A" w:rsidRPr="007701B0" w:rsidRDefault="0001348A" w:rsidP="006C59CC">
      <w:pPr>
        <w:pStyle w:val="Przypis"/>
        <w:spacing w:before="60"/>
        <w:rPr>
          <w:sz w:val="18"/>
          <w:szCs w:val="18"/>
        </w:rPr>
      </w:pPr>
      <w:r w:rsidRPr="007701B0">
        <w:rPr>
          <w:rStyle w:val="Odwoanieprzypisudolnego"/>
          <w:sz w:val="18"/>
          <w:szCs w:val="18"/>
        </w:rPr>
        <w:footnoteRef/>
      </w:r>
      <w:r w:rsidRPr="007701B0">
        <w:rPr>
          <w:sz w:val="18"/>
          <w:szCs w:val="18"/>
        </w:rPr>
        <w:t xml:space="preserve"> The preliminary results of the National Health Account for 2024 (the</w:t>
      </w:r>
      <w:bookmarkStart w:id="1" w:name="_Hlk204676246"/>
      <w:r w:rsidRPr="007701B0">
        <w:rPr>
          <w:sz w:val="18"/>
          <w:szCs w:val="18"/>
        </w:rPr>
        <w:t xml:space="preserve"> final results will be</w:t>
      </w:r>
      <w:bookmarkEnd w:id="1"/>
      <w:r w:rsidRPr="007701B0">
        <w:rPr>
          <w:sz w:val="18"/>
          <w:szCs w:val="18"/>
        </w:rPr>
        <w:t xml:space="preserve"> published on 30 September 2026  in the form of a Notice of the President of the Central Statistical Office) correspond to the data provided to Eurostat, OECD and WHO under the Joint Health Accounts Questionnaire.</w:t>
      </w:r>
    </w:p>
  </w:footnote>
  <w:footnote w:id="5">
    <w:p w14:paraId="3A1E9145" w14:textId="642B54E7" w:rsidR="0001348A" w:rsidRPr="007701B0" w:rsidRDefault="0001348A" w:rsidP="009D101F">
      <w:pPr>
        <w:pStyle w:val="Przypis"/>
        <w:spacing w:before="0"/>
        <w:rPr>
          <w:sz w:val="18"/>
          <w:szCs w:val="18"/>
        </w:rPr>
      </w:pPr>
      <w:r w:rsidRPr="007701B0">
        <w:rPr>
          <w:rStyle w:val="Odwoanieprzypisudolnego"/>
          <w:sz w:val="18"/>
          <w:szCs w:val="18"/>
        </w:rPr>
        <w:footnoteRef/>
      </w:r>
      <w:r w:rsidRPr="007701B0">
        <w:rPr>
          <w:sz w:val="18"/>
          <w:szCs w:val="18"/>
        </w:rPr>
        <w:t xml:space="preserve"> </w:t>
      </w:r>
      <w:r w:rsidR="0051512F">
        <w:rPr>
          <w:sz w:val="18"/>
          <w:szCs w:val="18"/>
        </w:rPr>
        <w:t>Stat.gov.pl</w:t>
      </w:r>
      <w:r w:rsidRPr="007701B0">
        <w:rPr>
          <w:sz w:val="18"/>
          <w:szCs w:val="18"/>
        </w:rPr>
        <w:t xml:space="preserve"> - Thematic areas - Prices. Trade - Price indices - Consumer price indices (pot. inflation) - Annual consumer price indices since 1950 (</w:t>
      </w:r>
      <w:hyperlink r:id="rId3" w:history="1">
        <w:r w:rsidRPr="009D101F">
          <w:rPr>
            <w:rStyle w:val="Hipercze"/>
            <w:rFonts w:cstheme="minorBidi"/>
            <w:sz w:val="18"/>
            <w:szCs w:val="18"/>
          </w:rPr>
          <w:t>https://stat.gov.pl/thematic areas/price-trade/price-indicators/price-indicators-of-goods-and-consumer-services-pot-inflation-/annual-price-indicators-of-goods-and-consumer-services/</w:t>
        </w:r>
      </w:hyperlink>
      <w:r w:rsidRPr="007701B0">
        <w:rPr>
          <w:sz w:val="18"/>
          <w:szCs w:val="18"/>
        </w:rPr>
        <w:t>)</w:t>
      </w:r>
    </w:p>
  </w:footnote>
  <w:footnote w:id="6">
    <w:p w14:paraId="7CA9081B" w14:textId="1CEEAE61" w:rsidR="0001348A" w:rsidRPr="007701B0" w:rsidRDefault="0001348A" w:rsidP="00665DAF">
      <w:pPr>
        <w:pStyle w:val="Przypis"/>
        <w:spacing w:before="0"/>
        <w:rPr>
          <w:sz w:val="18"/>
          <w:szCs w:val="18"/>
        </w:rPr>
      </w:pPr>
      <w:r w:rsidRPr="007701B0">
        <w:rPr>
          <w:rStyle w:val="Odwoanieprzypisudolnego"/>
          <w:sz w:val="18"/>
          <w:szCs w:val="18"/>
        </w:rPr>
        <w:footnoteRef/>
      </w:r>
      <w:r w:rsidRPr="007701B0">
        <w:rPr>
          <w:sz w:val="18"/>
          <w:szCs w:val="18"/>
        </w:rPr>
        <w:t xml:space="preserve"> Due to the preliminary nature of the estimates for 2025, a comparison of the composition of expenditure is presented for 2023-2024.</w:t>
      </w:r>
    </w:p>
  </w:footnote>
  <w:footnote w:id="7">
    <w:p w14:paraId="13B2B5B5" w14:textId="2B745017" w:rsidR="0001348A" w:rsidRPr="007701B0" w:rsidRDefault="0001348A" w:rsidP="00AD59C3">
      <w:pPr>
        <w:pStyle w:val="Przypis"/>
        <w:rPr>
          <w:sz w:val="18"/>
          <w:szCs w:val="18"/>
        </w:rPr>
      </w:pPr>
      <w:r w:rsidRPr="007701B0">
        <w:rPr>
          <w:rStyle w:val="Odwoanieprzypisudolnego"/>
          <w:sz w:val="18"/>
          <w:szCs w:val="18"/>
        </w:rPr>
        <w:footnoteRef/>
      </w:r>
      <w:r w:rsidRPr="007701B0">
        <w:rPr>
          <w:sz w:val="18"/>
          <w:szCs w:val="18"/>
        </w:rPr>
        <w:t xml:space="preserve"> Chapter developed by the Ministry of Health in cooperation with the Statistic</w:t>
      </w:r>
      <w:r w:rsidR="007A5FD2">
        <w:rPr>
          <w:sz w:val="18"/>
          <w:szCs w:val="18"/>
        </w:rPr>
        <w:t>s</w:t>
      </w:r>
      <w:r w:rsidRPr="007701B0">
        <w:rPr>
          <w:sz w:val="18"/>
          <w:szCs w:val="18"/>
        </w:rPr>
        <w:t xml:space="preserve"> </w:t>
      </w:r>
      <w:r w:rsidR="007A5FD2">
        <w:rPr>
          <w:sz w:val="18"/>
          <w:szCs w:val="18"/>
        </w:rPr>
        <w:t>Poland</w:t>
      </w:r>
      <w:r w:rsidRPr="007701B0">
        <w:rPr>
          <w:sz w:val="18"/>
          <w:szCs w:val="18"/>
        </w:rPr>
        <w:t xml:space="preserve"> on the </w:t>
      </w:r>
      <w:r w:rsidR="007A5FD2">
        <w:rPr>
          <w:sz w:val="18"/>
          <w:szCs w:val="18"/>
        </w:rPr>
        <w:br/>
      </w:r>
      <w:r w:rsidRPr="007701B0">
        <w:rPr>
          <w:sz w:val="18"/>
          <w:szCs w:val="18"/>
        </w:rPr>
        <w:t>basis of data from the Ministry of Health.</w:t>
      </w:r>
    </w:p>
  </w:footnote>
  <w:footnote w:id="8">
    <w:p w14:paraId="49F194FB" w14:textId="7212DB6F" w:rsidR="0001348A" w:rsidRPr="007701B0" w:rsidRDefault="0001348A" w:rsidP="00AD59C3">
      <w:pPr>
        <w:pStyle w:val="Przypis"/>
        <w:rPr>
          <w:color w:val="FF0000"/>
          <w:sz w:val="18"/>
          <w:szCs w:val="18"/>
        </w:rPr>
      </w:pPr>
      <w:r w:rsidRPr="007701B0">
        <w:rPr>
          <w:sz w:val="18"/>
          <w:szCs w:val="18"/>
          <w:vertAlign w:val="superscript"/>
        </w:rPr>
        <w:footnoteRef/>
      </w:r>
      <w:r w:rsidRPr="007701B0">
        <w:rPr>
          <w:sz w:val="18"/>
          <w:szCs w:val="18"/>
        </w:rPr>
        <w:t xml:space="preserve"> The catalogue of </w:t>
      </w:r>
      <w:r w:rsidR="00074ECA">
        <w:rPr>
          <w:sz w:val="18"/>
          <w:szCs w:val="18"/>
        </w:rPr>
        <w:t xml:space="preserve">types of </w:t>
      </w:r>
      <w:r w:rsidRPr="007701B0">
        <w:rPr>
          <w:sz w:val="18"/>
          <w:szCs w:val="18"/>
        </w:rPr>
        <w:t xml:space="preserve">public expenditure is set out in Article 131c para. 3 of the Act on </w:t>
      </w:r>
      <w:r w:rsidR="00074ECA">
        <w:rPr>
          <w:sz w:val="18"/>
          <w:szCs w:val="18"/>
        </w:rPr>
        <w:br/>
      </w:r>
      <w:r w:rsidRPr="007701B0">
        <w:rPr>
          <w:sz w:val="18"/>
          <w:szCs w:val="18"/>
        </w:rPr>
        <w:t>Publicly Funded Health Care Benefits (Journal of Laws No. Journal of Laws of 2025, item 1461, as amended).</w:t>
      </w:r>
    </w:p>
  </w:footnote>
  <w:footnote w:id="9">
    <w:p w14:paraId="53ED2BD0" w14:textId="7A9A0BA1" w:rsidR="0001348A" w:rsidRPr="007701B0" w:rsidRDefault="0001348A" w:rsidP="00AD59C3">
      <w:pPr>
        <w:pStyle w:val="Przypis"/>
        <w:rPr>
          <w:sz w:val="18"/>
          <w:szCs w:val="18"/>
        </w:rPr>
      </w:pPr>
      <w:r w:rsidRPr="007701B0">
        <w:rPr>
          <w:sz w:val="18"/>
          <w:szCs w:val="18"/>
          <w:vertAlign w:val="superscript"/>
        </w:rPr>
        <w:footnoteRef/>
      </w:r>
      <w:r w:rsidRPr="007701B0">
        <w:rPr>
          <w:sz w:val="18"/>
          <w:szCs w:val="18"/>
          <w:vertAlign w:val="superscript"/>
        </w:rPr>
        <w:t xml:space="preserve"> </w:t>
      </w:r>
      <w:bookmarkStart w:id="12" w:name="_Hlk234847826"/>
      <w:r w:rsidRPr="007701B0">
        <w:rPr>
          <w:sz w:val="18"/>
          <w:szCs w:val="18"/>
        </w:rPr>
        <w:t xml:space="preserve">The value specified in the </w:t>
      </w:r>
      <w:r w:rsidRPr="007701B0">
        <w:rPr>
          <w:rFonts w:cs="Times New Roman"/>
          <w:sz w:val="18"/>
          <w:szCs w:val="18"/>
        </w:rPr>
        <w:t>announcement of the President of the Statisti</w:t>
      </w:r>
      <w:r w:rsidR="007A5FD2">
        <w:rPr>
          <w:rFonts w:cs="Times New Roman"/>
          <w:sz w:val="18"/>
          <w:szCs w:val="18"/>
        </w:rPr>
        <w:t>cs</w:t>
      </w:r>
      <w:r w:rsidRPr="007701B0">
        <w:rPr>
          <w:rFonts w:cs="Times New Roman"/>
          <w:sz w:val="18"/>
          <w:szCs w:val="18"/>
        </w:rPr>
        <w:t xml:space="preserve"> </w:t>
      </w:r>
      <w:r w:rsidR="007A5FD2">
        <w:rPr>
          <w:rFonts w:cs="Times New Roman"/>
          <w:sz w:val="18"/>
          <w:szCs w:val="18"/>
        </w:rPr>
        <w:t>Poland</w:t>
      </w:r>
      <w:r w:rsidRPr="007701B0">
        <w:rPr>
          <w:rFonts w:cs="Times New Roman"/>
          <w:sz w:val="18"/>
          <w:szCs w:val="18"/>
        </w:rPr>
        <w:t xml:space="preserve"> of 12 May 2026 on the first estimate of the value of gross domestic product in 2025. </w:t>
      </w:r>
      <w:bookmarkEnd w:id="12"/>
    </w:p>
  </w:footnote>
  <w:footnote w:id="10">
    <w:p w14:paraId="60B46D3A" w14:textId="77777777" w:rsidR="0001348A" w:rsidRPr="007701B0" w:rsidRDefault="0001348A" w:rsidP="00AD59C3">
      <w:pPr>
        <w:pStyle w:val="Przypis"/>
        <w:rPr>
          <w:sz w:val="18"/>
          <w:szCs w:val="18"/>
        </w:rPr>
      </w:pPr>
      <w:r w:rsidRPr="007701B0">
        <w:rPr>
          <w:rStyle w:val="Odwoanieprzypisudolnego"/>
          <w:sz w:val="18"/>
          <w:szCs w:val="18"/>
        </w:rPr>
        <w:footnoteRef/>
      </w:r>
      <w:r w:rsidRPr="007701B0">
        <w:rPr>
          <w:sz w:val="18"/>
          <w:szCs w:val="18"/>
        </w:rPr>
        <w:t xml:space="preserve"> The letter N indicates the current year, and N-2 indicates the year two years earlier. In accordance with Art. 2 of the Publicly Funded Healthcare Benefits Act, for 2024 expenditure the reference point is GDP in 2022 and for 2025 GDP in 2023.</w:t>
      </w:r>
    </w:p>
  </w:footnote>
  <w:footnote w:id="11">
    <w:p w14:paraId="04CF2CC1" w14:textId="23E3FDE9" w:rsidR="0001348A" w:rsidRPr="007701B0" w:rsidRDefault="0001348A" w:rsidP="00AD59C3">
      <w:pPr>
        <w:pStyle w:val="Przypis"/>
        <w:rPr>
          <w:sz w:val="18"/>
          <w:szCs w:val="18"/>
        </w:rPr>
      </w:pPr>
      <w:r w:rsidRPr="007701B0">
        <w:rPr>
          <w:rStyle w:val="Odwoanieprzypisudolnego"/>
          <w:sz w:val="18"/>
          <w:szCs w:val="18"/>
        </w:rPr>
        <w:footnoteRef/>
      </w:r>
      <w:r w:rsidRPr="007701B0">
        <w:rPr>
          <w:sz w:val="18"/>
          <w:szCs w:val="18"/>
        </w:rPr>
        <w:t xml:space="preserve"> Amounts after the amendment of the 2024 budget law.</w:t>
      </w:r>
    </w:p>
  </w:footnote>
  <w:footnote w:id="12">
    <w:p w14:paraId="7B480DE2" w14:textId="753A80AA" w:rsidR="0001348A" w:rsidRPr="007701B0" w:rsidRDefault="0001348A" w:rsidP="001038E8">
      <w:pPr>
        <w:pStyle w:val="Tekstprzypisudolnego"/>
        <w:rPr>
          <w:sz w:val="18"/>
          <w:szCs w:val="18"/>
          <w:lang w:val="en-GB"/>
        </w:rPr>
      </w:pPr>
      <w:r w:rsidRPr="007701B0">
        <w:rPr>
          <w:rStyle w:val="Odwoanieprzypisudolnego"/>
          <w:sz w:val="18"/>
          <w:szCs w:val="18"/>
        </w:rPr>
        <w:footnoteRef/>
      </w:r>
      <w:r w:rsidRPr="007701B0">
        <w:rPr>
          <w:sz w:val="18"/>
          <w:szCs w:val="18"/>
          <w:lang w:val="en-GB"/>
        </w:rPr>
        <w:t xml:space="preserve"> Amounts after the amendment of the 2024 budget law. </w:t>
      </w:r>
    </w:p>
  </w:footnote>
  <w:footnote w:id="13">
    <w:p w14:paraId="16C86F8C" w14:textId="61D2A0AE" w:rsidR="007C5FE5" w:rsidRPr="00E00B9F" w:rsidRDefault="007C5FE5" w:rsidP="007C5FE5">
      <w:pPr>
        <w:pStyle w:val="Tekstprzypisudolnego"/>
        <w:rPr>
          <w:lang w:val="en-GB"/>
        </w:rPr>
      </w:pPr>
      <w:r>
        <w:rPr>
          <w:rStyle w:val="Odwoanieprzypisudolnego"/>
        </w:rPr>
        <w:footnoteRef/>
      </w:r>
      <w:r w:rsidRPr="00E00B9F">
        <w:rPr>
          <w:lang w:val="en-GB"/>
        </w:rPr>
        <w:t xml:space="preserve"> </w:t>
      </w:r>
      <w:r w:rsidR="00E00B9F" w:rsidRPr="00E00B9F">
        <w:rPr>
          <w:sz w:val="18"/>
          <w:szCs w:val="18"/>
          <w:lang w:val="en-GB"/>
        </w:rPr>
        <w:t>Art. 131c sec. 4 of the Act on Health Care Services Funded from Public Funds (Journal of Laws of 2025, item 1461, as amended).</w:t>
      </w:r>
    </w:p>
  </w:footnote>
  <w:footnote w:id="14">
    <w:p w14:paraId="3FE585C6" w14:textId="77777777" w:rsidR="00E00B9F" w:rsidRPr="007701B0" w:rsidRDefault="00E00B9F" w:rsidP="00E00B9F">
      <w:pPr>
        <w:pStyle w:val="Tekstprzypisudolnego"/>
        <w:rPr>
          <w:sz w:val="18"/>
          <w:szCs w:val="18"/>
          <w:lang w:val="en-GB"/>
        </w:rPr>
      </w:pPr>
      <w:r w:rsidRPr="007701B0">
        <w:rPr>
          <w:rStyle w:val="Odwoanieprzypisudolnego"/>
          <w:sz w:val="18"/>
          <w:szCs w:val="18"/>
        </w:rPr>
        <w:footnoteRef/>
      </w:r>
      <w:r w:rsidRPr="007701B0">
        <w:rPr>
          <w:sz w:val="18"/>
          <w:szCs w:val="18"/>
          <w:lang w:val="en-GB"/>
        </w:rPr>
        <w:t xml:space="preserve"> This indicator shows the public expenditure listed in Art. 3 of the Publicly Funded Healthcare Benefits Act in relation to GDP for the year N-2, where N is the year for which expenditure was calculated.</w:t>
      </w:r>
    </w:p>
  </w:footnote>
  <w:footnote w:id="15">
    <w:p w14:paraId="5B8DC6BD" w14:textId="77777777" w:rsidR="00E00B9F" w:rsidRPr="007701B0" w:rsidRDefault="00E00B9F" w:rsidP="00E00B9F">
      <w:pPr>
        <w:pStyle w:val="Tekstprzypisudolnego"/>
        <w:rPr>
          <w:sz w:val="18"/>
          <w:szCs w:val="18"/>
          <w:lang w:val="en-GB"/>
        </w:rPr>
      </w:pPr>
      <w:r w:rsidRPr="007701B0">
        <w:rPr>
          <w:rStyle w:val="Odwoanieprzypisudolnego"/>
          <w:sz w:val="18"/>
          <w:szCs w:val="18"/>
        </w:rPr>
        <w:footnoteRef/>
      </w:r>
      <w:r w:rsidRPr="007701B0">
        <w:rPr>
          <w:sz w:val="18"/>
          <w:szCs w:val="18"/>
          <w:lang w:val="en-GB"/>
        </w:rPr>
        <w:t xml:space="preserve"> </w:t>
      </w:r>
      <w:r>
        <w:rPr>
          <w:sz w:val="18"/>
          <w:szCs w:val="18"/>
          <w:lang w:val="en-GB"/>
        </w:rPr>
        <w:t>NHA</w:t>
      </w:r>
      <w:r w:rsidRPr="007701B0">
        <w:rPr>
          <w:sz w:val="18"/>
          <w:szCs w:val="18"/>
          <w:lang w:val="en-GB"/>
        </w:rPr>
        <w:t xml:space="preserve"> calculates a percentage of the value of current expenditure on health care in relation to the value of GDP, both of which relate to the same year.</w:t>
      </w:r>
    </w:p>
  </w:footnote>
  <w:footnote w:id="16">
    <w:p w14:paraId="2841E872" w14:textId="77777777" w:rsidR="008E425E" w:rsidRPr="007A5FD2" w:rsidRDefault="008E425E">
      <w:pPr>
        <w:rPr>
          <w:sz w:val="18"/>
          <w:szCs w:val="18"/>
          <w:lang w:val="en-GB"/>
        </w:rPr>
      </w:pPr>
    </w:p>
    <w:p w14:paraId="34AA1E63" w14:textId="77777777" w:rsidR="0001348A" w:rsidRPr="007701B0" w:rsidRDefault="0001348A" w:rsidP="001038E8">
      <w:pPr>
        <w:rPr>
          <w:sz w:val="18"/>
          <w:szCs w:val="18"/>
          <w:lang w:val="en-GB"/>
        </w:rPr>
      </w:pPr>
    </w:p>
  </w:footnote>
  <w:footnote w:id="17">
    <w:p w14:paraId="7D5C78E1" w14:textId="77777777" w:rsidR="0001348A" w:rsidRPr="007701B0" w:rsidRDefault="0001348A" w:rsidP="001038E8">
      <w:pPr>
        <w:pStyle w:val="Przypis"/>
        <w:rPr>
          <w:sz w:val="18"/>
          <w:szCs w:val="18"/>
        </w:rPr>
      </w:pPr>
      <w:r w:rsidRPr="007701B0">
        <w:rPr>
          <w:rStyle w:val="Odwoanieprzypisudolnego"/>
          <w:sz w:val="18"/>
          <w:szCs w:val="18"/>
        </w:rPr>
        <w:footnoteRef/>
      </w:r>
      <w:r w:rsidRPr="007701B0">
        <w:rPr>
          <w:sz w:val="18"/>
          <w:szCs w:val="18"/>
        </w:rPr>
        <w:t xml:space="preserve"> Data on the value of GDP are subject to change in accordance with the revision policy applied in national accounts.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9C3910" w14:textId="3431BE43" w:rsidR="0001348A" w:rsidRDefault="0001348A" w:rsidP="008D6303">
    <w:pPr>
      <w:pStyle w:val="Nagwek"/>
    </w:pPr>
    <w:r>
      <w:rPr>
        <w:noProof/>
        <w:lang w:eastAsia="pl-PL"/>
      </w:rPr>
      <mc:AlternateContent>
        <mc:Choice Requires="wps">
          <w:drawing>
            <wp:anchor distT="0" distB="0" distL="114300" distR="114300" simplePos="0" relativeHeight="251673600" behindDoc="1" locked="0" layoutInCell="1" allowOverlap="1" wp14:anchorId="2E1D93D8" wp14:editId="7A3166C2">
              <wp:simplePos x="0" y="0"/>
              <wp:positionH relativeFrom="column">
                <wp:posOffset>5222240</wp:posOffset>
              </wp:positionH>
              <wp:positionV relativeFrom="paragraph">
                <wp:posOffset>-4100195</wp:posOffset>
              </wp:positionV>
              <wp:extent cx="1871980" cy="22905085"/>
              <wp:effectExtent l="0" t="0" r="0" b="0"/>
              <wp:wrapTight wrapText="bothSides">
                <wp:wrapPolygon edited="0">
                  <wp:start x="0" y="0"/>
                  <wp:lineTo x="0" y="21575"/>
                  <wp:lineTo x="21322" y="21575"/>
                  <wp:lineTo x="21322" y="0"/>
                  <wp:lineTo x="0" y="0"/>
                </wp:wrapPolygon>
              </wp:wrapTight>
              <wp:docPr id="12" name="Prostokąt 12"/>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57BC9A8" id="Prostokąt 12" o:spid="_x0000_s1026" style="position:absolute;margin-left:411.2pt;margin-top:-322.85pt;width:147.4pt;height:1803.5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pUS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" fillcolor="#f2f2f2" stroked="f" strokeweight="1pt">
              <w10:wrap type="tight"/>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F34D8C" w14:textId="533A339B" w:rsidR="0001348A" w:rsidRDefault="0001348A">
    <w:pPr>
      <w:pStyle w:val="Nagwek"/>
      <w:rPr>
        <w:noProof/>
        <w:lang w:eastAsia="pl-PL"/>
      </w:rPr>
    </w:pPr>
    <w:r>
      <w:rPr>
        <w:noProof/>
        <w:shd w:val="clear" w:color="auto" w:fill="FFFFFF"/>
        <w:lang w:eastAsia="pl-PL"/>
      </w:rPr>
      <w:drawing>
        <wp:anchor distT="0" distB="0" distL="114300" distR="114300" simplePos="0" relativeHeight="251671552" behindDoc="0" locked="0" layoutInCell="1" allowOverlap="1" wp14:anchorId="601A7CD8" wp14:editId="6D156491">
          <wp:simplePos x="0" y="0"/>
          <wp:positionH relativeFrom="column">
            <wp:posOffset>8890</wp:posOffset>
          </wp:positionH>
          <wp:positionV relativeFrom="paragraph">
            <wp:posOffset>42545</wp:posOffset>
          </wp:positionV>
          <wp:extent cx="1838325" cy="696595"/>
          <wp:effectExtent l="0" t="0" r="9525" b="0"/>
          <wp:wrapSquare wrapText="bothSides"/>
          <wp:docPr id="200" name="Obraz 200" descr="Statistics Poland logoty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ogoNSP_color.jpg"/>
                  <pic:cNvPicPr/>
                </pic:nvPicPr>
                <pic:blipFill>
                  <a:blip r:embed="rId1">
                    <a:extLst>
                      <a:ext uri="{28A0092B-C50C-407E-A947-70E740481C1C}">
                        <a14:useLocalDpi xmlns:a14="http://schemas.microsoft.com/office/drawing/2010/main" val="0"/>
                      </a:ext>
                    </a:extLst>
                  </a:blip>
                  <a:stretch>
                    <a:fillRect/>
                  </a:stretch>
                </pic:blipFill>
                <pic:spPr bwMode="auto">
                  <a:xfrm>
                    <a:off x="0" y="0"/>
                    <a:ext cx="1838325" cy="69659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F37172">
      <w:rPr>
        <w:noProof/>
        <w:lang w:eastAsia="pl-PL"/>
      </w:rPr>
      <mc:AlternateContent>
        <mc:Choice Requires="wps">
          <w:drawing>
            <wp:anchor distT="0" distB="0" distL="114300" distR="114300" simplePos="0" relativeHeight="251668480" behindDoc="0" locked="0" layoutInCell="1" allowOverlap="1" wp14:anchorId="39BCBEE3" wp14:editId="5C6AB42B">
              <wp:simplePos x="0" y="0"/>
              <wp:positionH relativeFrom="column">
                <wp:posOffset>5036820</wp:posOffset>
              </wp:positionH>
              <wp:positionV relativeFrom="paragraph">
                <wp:posOffset>198755</wp:posOffset>
              </wp:positionV>
              <wp:extent cx="2060575" cy="357505"/>
              <wp:effectExtent l="0" t="0" r="0" b="4445"/>
              <wp:wrapNone/>
              <wp:docPr id="9" name="Schemat blokowy: opóźnienie 6" descr="News releases"/>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2915D9C" w14:textId="207DEFBE" w:rsidR="0001348A" w:rsidRPr="003C6C8D" w:rsidRDefault="0001348A" w:rsidP="00156F04">
                          <w:pPr>
                            <w:spacing w:before="0" w:after="0" w:line="240" w:lineRule="auto"/>
                            <w:ind w:left="227"/>
                            <w:jc w:val="center"/>
                            <w:rPr>
                              <w:rFonts w:ascii="Fira Sans SemiBold" w:hAnsi="Fira Sans SemiBold"/>
                            </w:rPr>
                          </w:pPr>
                          <w:r w:rsidRPr="00962B00">
                            <w:rPr>
                              <w:rFonts w:ascii="Fira Sans SemiBold" w:hAnsi="Fira Sans SemiBold"/>
                            </w:rPr>
                            <w:t>NEWS RELEASES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BCBEE3" id="Schemat blokowy: opóźnienie 6" o:spid="_x0000_s1036" alt="News releases" style="position:absolute;margin-left:396.6pt;margin-top:15.65pt;width:162.25pt;height:28.15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14:paraId="62915D9C" w14:textId="207DEFBE" w:rsidR="0001348A" w:rsidRPr="003C6C8D" w:rsidRDefault="0001348A" w:rsidP="00156F04">
                    <w:pPr>
                      <w:spacing w:before="0" w:after="0" w:line="240" w:lineRule="auto"/>
                      <w:ind w:left="227"/>
                      <w:jc w:val="center"/>
                      <w:rPr>
                        <w:rFonts w:ascii="Fira Sans SemiBold" w:hAnsi="Fira Sans SemiBold"/>
                      </w:rPr>
                    </w:pPr>
                    <w:r w:rsidRPr="00962B00">
                      <w:rPr>
                        <w:rFonts w:ascii="Fira Sans SemiBold" w:hAnsi="Fira Sans SemiBold"/>
                      </w:rPr>
                      <w:t>NEWS RELEASES</w:t>
                    </w:r>
                  </w:p>
                </w:txbxContent>
              </v:textbox>
            </v:shape>
          </w:pict>
        </mc:Fallback>
      </mc:AlternateContent>
    </w:r>
    <w:r>
      <w:rPr>
        <w:noProof/>
        <w:lang w:eastAsia="pl-PL"/>
      </w:rPr>
      <mc:AlternateContent>
        <mc:Choice Requires="wps">
          <w:drawing>
            <wp:anchor distT="0" distB="0" distL="114300" distR="114300" simplePos="0" relativeHeight="251666432" behindDoc="1" locked="0" layoutInCell="1" allowOverlap="1" wp14:anchorId="5CAA771D" wp14:editId="12A8801C">
              <wp:simplePos x="0" y="0"/>
              <wp:positionH relativeFrom="column">
                <wp:posOffset>5219065</wp:posOffset>
              </wp:positionH>
              <wp:positionV relativeFrom="paragraph">
                <wp:posOffset>511810</wp:posOffset>
              </wp:positionV>
              <wp:extent cx="1871980" cy="22905085"/>
              <wp:effectExtent l="0" t="0" r="0" b="0"/>
              <wp:wrapTight wrapText="bothSides">
                <wp:wrapPolygon edited="0">
                  <wp:start x="0" y="0"/>
                  <wp:lineTo x="0" y="21575"/>
                  <wp:lineTo x="21322" y="21575"/>
                  <wp:lineTo x="21322" y="0"/>
                  <wp:lineTo x="0" y="0"/>
                </wp:wrapPolygon>
              </wp:wrapTight>
              <wp:docPr id="10" name="Prostokąt 10"/>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DDC5CBE" id="Prostokąt 10" o:spid="_x0000_s1026" style="position:absolute;margin-left:410.95pt;margin-top:40.3pt;width:147.4pt;height:1803.5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Is6E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" fillcolor="#f2f2f2" stroked="f" strokeweight="1pt">
              <w10:wrap type="tight"/>
            </v:rect>
          </w:pict>
        </mc:Fallback>
      </mc:AlternateContent>
    </w:r>
    <w:r>
      <w:rPr>
        <w:noProof/>
        <w:lang w:eastAsia="pl-PL"/>
      </w:rPr>
      <w:t xml:space="preserve"> </w:t>
    </w:r>
    <w:r w:rsidRPr="00540C5C">
      <w:rPr>
        <w:noProof/>
      </w:rPr>
      <w:t xml:space="preserve"> </w:t>
    </w:r>
  </w:p>
  <w:p w14:paraId="5DF2C6CE" w14:textId="57EF9372" w:rsidR="0001348A" w:rsidRDefault="0001348A">
    <w:pPr>
      <w:pStyle w:val="Nagwek"/>
      <w:rPr>
        <w:noProof/>
        <w:lang w:eastAsia="pl-PL"/>
      </w:rPr>
    </w:pPr>
  </w:p>
  <w:p w14:paraId="45C1A999" w14:textId="77777777" w:rsidR="0001348A" w:rsidRDefault="0001348A">
    <w:pPr>
      <w:pStyle w:val="Nagwek"/>
      <w:rPr>
        <w:noProof/>
        <w:lang w:eastAsia="pl-PL"/>
      </w:rPr>
    </w:pPr>
  </w:p>
  <w:p w14:paraId="3194277A" w14:textId="5E6F66AE" w:rsidR="0001348A" w:rsidRDefault="0001348A">
    <w:pPr>
      <w:pStyle w:val="Nagwek"/>
      <w:rPr>
        <w:noProof/>
        <w:lang w:eastAsia="pl-PL"/>
      </w:rPr>
    </w:pPr>
    <w:r w:rsidRPr="00F37172">
      <w:rPr>
        <w:noProof/>
        <w:lang w:eastAsia="pl-PL"/>
      </w:rPr>
      <mc:AlternateContent>
        <mc:Choice Requires="wps">
          <w:drawing>
            <wp:anchor distT="45720" distB="45720" distL="114300" distR="114300" simplePos="0" relativeHeight="251669504" behindDoc="0" locked="0" layoutInCell="1" allowOverlap="1" wp14:anchorId="65476D37" wp14:editId="1FD51FDC">
              <wp:simplePos x="0" y="0"/>
              <wp:positionH relativeFrom="column">
                <wp:posOffset>5287976</wp:posOffset>
              </wp:positionH>
              <wp:positionV relativeFrom="paragraph">
                <wp:posOffset>266065</wp:posOffset>
              </wp:positionV>
              <wp:extent cx="1432293" cy="336589"/>
              <wp:effectExtent l="0" t="0" r="0" b="6350"/>
              <wp:wrapNone/>
              <wp:docPr id="8" name="Pole tekstowe 2" descr="Publication Data"/>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293" cy="336589"/>
                      </a:xfrm>
                      <a:prstGeom prst="rect">
                        <a:avLst/>
                      </a:prstGeom>
                      <a:noFill/>
                      <a:ln w="9525">
                        <a:noFill/>
                        <a:miter lim="800000"/>
                        <a:headEnd/>
                        <a:tailEnd/>
                      </a:ln>
                    </wps:spPr>
                    <wps:txbx>
                      <w:txbxContent>
                        <w:p w14:paraId="71967FEA" w14:textId="18F1FA12" w:rsidR="0001348A" w:rsidRPr="00A01B40" w:rsidRDefault="0001348A" w:rsidP="00F049AB">
                          <w:pPr>
                            <w:pStyle w:val="Datainformacjisygnalnej"/>
                          </w:pPr>
                          <w:r>
                            <w:t>30.07.2026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5476D37" id="_x0000_t202" coordsize="21600,21600" o:spt="202" path="m,l,21600r21600,l21600,xe">
              <v:stroke joinstyle="miter"/>
              <v:path gradientshapeok="t" o:connecttype="rect"/>
            </v:shapetype>
            <v:shape id="_x0000_s1037" type="#_x0000_t202" alt="Publication Data" style="position:absolute;margin-left:416.4pt;margin-top:20.95pt;width:112.8pt;height:26.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" filled="f" stroked="f">
              <v:textbox>
                <w:txbxContent>
                  <w:p w14:paraId="71967FEA" w14:textId="18F1FA12" w:rsidR="0001348A" w:rsidRPr="00A01B40" w:rsidRDefault="0001348A" w:rsidP="00F049AB">
                    <w:pPr>
                      <w:pStyle w:val="Datainformacjisygnalnej"/>
                    </w:pPr>
                    <w:r>
                      <w:t>30.07.2026</w:t>
                    </w:r>
                  </w:p>
                </w:txbxContent>
              </v:textbox>
            </v:shape>
          </w:pict>
        </mc:Fallback>
      </mc:AlternateContent>
    </w:r>
  </w:p>
  <w:p w14:paraId="3D7CD056" w14:textId="77777777" w:rsidR="0001348A" w:rsidRDefault="0001348A"/>
  <w:p w14:paraId="5A1E5401" w14:textId="77777777" w:rsidR="0001348A" w:rsidRDefault="0001348A"/>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3480AA" w14:textId="77777777" w:rsidR="0001348A" w:rsidRDefault="0001348A">
    <w:pPr>
      <w:pStyle w:val="Nagwek"/>
    </w:pPr>
  </w:p>
  <w:p w14:paraId="0738E4E9" w14:textId="77777777" w:rsidR="0001348A" w:rsidRDefault="0001348A">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23.15pt;height:125.05pt;visibility:visible" o:bullet="t">
        <v:imagedata r:id="rId1" o:title=""/>
      </v:shape>
    </w:pict>
  </w:numPicBullet>
  <w:numPicBullet w:numPicBulletId="1">
    <w:pict>
      <v:shape id="_x0000_i1027" type="#_x0000_t75" style="width:124.1pt;height:125.05pt;visibility:visible" o:bullet="t">
        <v:imagedata r:id="rId2" o:title=""/>
      </v:shape>
    </w:pict>
  </w:numPicBullet>
  <w:numPicBullet w:numPicBulletId="2">
    <w:pict>
      <v:shape id="_x0000_i1028" type="#_x0000_t75" style="width:15.8pt;height:23.05pt;visibility:visible" o:bullet="t">
        <v:imagedata r:id="rId3" o:title=""/>
      </v:shape>
    </w:pict>
  </w:numPicBullet>
  <w:abstractNum w:abstractNumId="0" w15:restartNumberingAfterBreak="0">
    <w:nsid w:val="05193E46"/>
    <w:multiLevelType w:val="hybridMultilevel"/>
    <w:tmpl w:val="23F62028"/>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 w15:restartNumberingAfterBreak="0">
    <w:nsid w:val="09814555"/>
    <w:multiLevelType w:val="hybridMultilevel"/>
    <w:tmpl w:val="183E75B4"/>
    <w:lvl w:ilvl="0" w:tplc="04150001">
      <w:start w:val="1"/>
      <w:numFmt w:val="bullet"/>
      <w:lvlText w:val=""/>
      <w:lvlJc w:val="left"/>
      <w:pPr>
        <w:ind w:left="1713" w:hanging="360"/>
      </w:pPr>
      <w:rPr>
        <w:rFonts w:ascii="Symbol" w:hAnsi="Symbol" w:hint="default"/>
      </w:rPr>
    </w:lvl>
    <w:lvl w:ilvl="1" w:tplc="04150003">
      <w:start w:val="1"/>
      <w:numFmt w:val="bullet"/>
      <w:lvlText w:val="o"/>
      <w:lvlJc w:val="left"/>
      <w:pPr>
        <w:ind w:left="2433" w:hanging="360"/>
      </w:pPr>
      <w:rPr>
        <w:rFonts w:ascii="Courier New" w:hAnsi="Courier New" w:cs="Courier New" w:hint="default"/>
      </w:rPr>
    </w:lvl>
    <w:lvl w:ilvl="2" w:tplc="04150005">
      <w:start w:val="1"/>
      <w:numFmt w:val="bullet"/>
      <w:lvlText w:val=""/>
      <w:lvlJc w:val="left"/>
      <w:pPr>
        <w:ind w:left="3153" w:hanging="360"/>
      </w:pPr>
      <w:rPr>
        <w:rFonts w:ascii="Wingdings" w:hAnsi="Wingdings" w:hint="default"/>
      </w:rPr>
    </w:lvl>
    <w:lvl w:ilvl="3" w:tplc="04150001">
      <w:start w:val="1"/>
      <w:numFmt w:val="bullet"/>
      <w:lvlText w:val=""/>
      <w:lvlJc w:val="left"/>
      <w:pPr>
        <w:ind w:left="3873" w:hanging="360"/>
      </w:pPr>
      <w:rPr>
        <w:rFonts w:ascii="Symbol" w:hAnsi="Symbol" w:hint="default"/>
      </w:rPr>
    </w:lvl>
    <w:lvl w:ilvl="4" w:tplc="04150003">
      <w:start w:val="1"/>
      <w:numFmt w:val="bullet"/>
      <w:lvlText w:val="o"/>
      <w:lvlJc w:val="left"/>
      <w:pPr>
        <w:ind w:left="4593" w:hanging="360"/>
      </w:pPr>
      <w:rPr>
        <w:rFonts w:ascii="Courier New" w:hAnsi="Courier New" w:cs="Courier New" w:hint="default"/>
      </w:rPr>
    </w:lvl>
    <w:lvl w:ilvl="5" w:tplc="04150005">
      <w:start w:val="1"/>
      <w:numFmt w:val="bullet"/>
      <w:lvlText w:val=""/>
      <w:lvlJc w:val="left"/>
      <w:pPr>
        <w:ind w:left="5313" w:hanging="360"/>
      </w:pPr>
      <w:rPr>
        <w:rFonts w:ascii="Wingdings" w:hAnsi="Wingdings" w:hint="default"/>
      </w:rPr>
    </w:lvl>
    <w:lvl w:ilvl="6" w:tplc="04150001">
      <w:start w:val="1"/>
      <w:numFmt w:val="bullet"/>
      <w:lvlText w:val=""/>
      <w:lvlJc w:val="left"/>
      <w:pPr>
        <w:ind w:left="6033" w:hanging="360"/>
      </w:pPr>
      <w:rPr>
        <w:rFonts w:ascii="Symbol" w:hAnsi="Symbol" w:hint="default"/>
      </w:rPr>
    </w:lvl>
    <w:lvl w:ilvl="7" w:tplc="04150003">
      <w:start w:val="1"/>
      <w:numFmt w:val="bullet"/>
      <w:lvlText w:val="o"/>
      <w:lvlJc w:val="left"/>
      <w:pPr>
        <w:ind w:left="6753" w:hanging="360"/>
      </w:pPr>
      <w:rPr>
        <w:rFonts w:ascii="Courier New" w:hAnsi="Courier New" w:cs="Courier New" w:hint="default"/>
      </w:rPr>
    </w:lvl>
    <w:lvl w:ilvl="8" w:tplc="04150005">
      <w:start w:val="1"/>
      <w:numFmt w:val="bullet"/>
      <w:lvlText w:val=""/>
      <w:lvlJc w:val="left"/>
      <w:pPr>
        <w:ind w:left="7473" w:hanging="360"/>
      </w:pPr>
      <w:rPr>
        <w:rFonts w:ascii="Wingdings" w:hAnsi="Wingdings" w:hint="default"/>
      </w:rPr>
    </w:lvl>
  </w:abstractNum>
  <w:abstractNum w:abstractNumId="2"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167F332C"/>
    <w:multiLevelType w:val="hybridMultilevel"/>
    <w:tmpl w:val="9670BE8C"/>
    <w:lvl w:ilvl="0" w:tplc="B218E378">
      <w:start w:val="1"/>
      <w:numFmt w:val="bullet"/>
      <w:lvlText w:val=""/>
      <w:lvlPicBulletId w:val="1"/>
      <w:lvlJc w:val="left"/>
      <w:pPr>
        <w:tabs>
          <w:tab w:val="num" w:pos="720"/>
        </w:tabs>
        <w:ind w:left="720" w:hanging="360"/>
      </w:pPr>
      <w:rPr>
        <w:rFonts w:ascii="Symbol" w:hAnsi="Symbol" w:hint="default"/>
      </w:rPr>
    </w:lvl>
    <w:lvl w:ilvl="1" w:tplc="294E243E" w:tentative="1">
      <w:start w:val="1"/>
      <w:numFmt w:val="bullet"/>
      <w:lvlText w:val=""/>
      <w:lvlJc w:val="left"/>
      <w:pPr>
        <w:tabs>
          <w:tab w:val="num" w:pos="1440"/>
        </w:tabs>
        <w:ind w:left="1440" w:hanging="360"/>
      </w:pPr>
      <w:rPr>
        <w:rFonts w:ascii="Symbol" w:hAnsi="Symbol" w:hint="default"/>
      </w:rPr>
    </w:lvl>
    <w:lvl w:ilvl="2" w:tplc="DA1CF354" w:tentative="1">
      <w:start w:val="1"/>
      <w:numFmt w:val="bullet"/>
      <w:lvlText w:val=""/>
      <w:lvlJc w:val="left"/>
      <w:pPr>
        <w:tabs>
          <w:tab w:val="num" w:pos="2160"/>
        </w:tabs>
        <w:ind w:left="2160" w:hanging="360"/>
      </w:pPr>
      <w:rPr>
        <w:rFonts w:ascii="Symbol" w:hAnsi="Symbol" w:hint="default"/>
      </w:rPr>
    </w:lvl>
    <w:lvl w:ilvl="3" w:tplc="987EB006" w:tentative="1">
      <w:start w:val="1"/>
      <w:numFmt w:val="bullet"/>
      <w:lvlText w:val=""/>
      <w:lvlJc w:val="left"/>
      <w:pPr>
        <w:tabs>
          <w:tab w:val="num" w:pos="2880"/>
        </w:tabs>
        <w:ind w:left="2880" w:hanging="360"/>
      </w:pPr>
      <w:rPr>
        <w:rFonts w:ascii="Symbol" w:hAnsi="Symbol" w:hint="default"/>
      </w:rPr>
    </w:lvl>
    <w:lvl w:ilvl="4" w:tplc="7D324380" w:tentative="1">
      <w:start w:val="1"/>
      <w:numFmt w:val="bullet"/>
      <w:lvlText w:val=""/>
      <w:lvlJc w:val="left"/>
      <w:pPr>
        <w:tabs>
          <w:tab w:val="num" w:pos="3600"/>
        </w:tabs>
        <w:ind w:left="3600" w:hanging="360"/>
      </w:pPr>
      <w:rPr>
        <w:rFonts w:ascii="Symbol" w:hAnsi="Symbol" w:hint="default"/>
      </w:rPr>
    </w:lvl>
    <w:lvl w:ilvl="5" w:tplc="FA4E130E" w:tentative="1">
      <w:start w:val="1"/>
      <w:numFmt w:val="bullet"/>
      <w:lvlText w:val=""/>
      <w:lvlJc w:val="left"/>
      <w:pPr>
        <w:tabs>
          <w:tab w:val="num" w:pos="4320"/>
        </w:tabs>
        <w:ind w:left="4320" w:hanging="360"/>
      </w:pPr>
      <w:rPr>
        <w:rFonts w:ascii="Symbol" w:hAnsi="Symbol" w:hint="default"/>
      </w:rPr>
    </w:lvl>
    <w:lvl w:ilvl="6" w:tplc="51E07B18" w:tentative="1">
      <w:start w:val="1"/>
      <w:numFmt w:val="bullet"/>
      <w:lvlText w:val=""/>
      <w:lvlJc w:val="left"/>
      <w:pPr>
        <w:tabs>
          <w:tab w:val="num" w:pos="5040"/>
        </w:tabs>
        <w:ind w:left="5040" w:hanging="360"/>
      </w:pPr>
      <w:rPr>
        <w:rFonts w:ascii="Symbol" w:hAnsi="Symbol" w:hint="default"/>
      </w:rPr>
    </w:lvl>
    <w:lvl w:ilvl="7" w:tplc="E522109A" w:tentative="1">
      <w:start w:val="1"/>
      <w:numFmt w:val="bullet"/>
      <w:lvlText w:val=""/>
      <w:lvlJc w:val="left"/>
      <w:pPr>
        <w:tabs>
          <w:tab w:val="num" w:pos="5760"/>
        </w:tabs>
        <w:ind w:left="5760" w:hanging="360"/>
      </w:pPr>
      <w:rPr>
        <w:rFonts w:ascii="Symbol" w:hAnsi="Symbol" w:hint="default"/>
      </w:rPr>
    </w:lvl>
    <w:lvl w:ilvl="8" w:tplc="5650A066"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20657F34"/>
    <w:multiLevelType w:val="hybridMultilevel"/>
    <w:tmpl w:val="74B007D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26A66F3E"/>
    <w:multiLevelType w:val="multilevel"/>
    <w:tmpl w:val="209A0748"/>
    <w:lvl w:ilvl="0">
      <w:start w:val="1"/>
      <w:numFmt w:val="decimal"/>
      <w:lvlText w:val="%1."/>
      <w:lvlJc w:val="left"/>
      <w:pPr>
        <w:ind w:left="1637" w:hanging="360"/>
      </w:pPr>
      <w:rPr>
        <w:rFonts w:ascii="Fira Sans" w:hAnsi="Fira Sans" w:hint="default"/>
        <w:b w:val="0"/>
        <w:sz w:val="19"/>
      </w:rPr>
    </w:lvl>
    <w:lvl w:ilvl="1">
      <w:start w:val="1"/>
      <w:numFmt w:val="bullet"/>
      <w:pStyle w:val="Tekstwypunktowania"/>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6"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7" w15:restartNumberingAfterBreak="0">
    <w:nsid w:val="3B6C5356"/>
    <w:multiLevelType w:val="multilevel"/>
    <w:tmpl w:val="C38C8C98"/>
    <w:lvl w:ilvl="0">
      <w:start w:val="104"/>
      <w:numFmt w:val="decimal"/>
      <w:lvlText w:val="%1."/>
      <w:lvlJc w:val="left"/>
      <w:pPr>
        <w:ind w:left="1637" w:hanging="360"/>
      </w:pPr>
      <w:rPr>
        <w:rFonts w:ascii="Fira Sans" w:hAnsi="Fira Sans" w:hint="default"/>
        <w:b w:val="0"/>
        <w:sz w:val="19"/>
      </w:rPr>
    </w:lvl>
    <w:lvl w:ilvl="1">
      <w:start w:val="1"/>
      <w:numFmt w:val="bullet"/>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num w:numId="1">
    <w:abstractNumId w:val="6"/>
  </w:num>
  <w:num w:numId="2">
    <w:abstractNumId w:val="2"/>
  </w:num>
  <w:num w:numId="3">
    <w:abstractNumId w:val="3"/>
  </w:num>
  <w:num w:numId="4">
    <w:abstractNumId w:val="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lvlOverride w:ilvl="0">
      <w:startOverride w:val="104"/>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num>
  <w:num w:numId="7">
    <w:abstractNumId w:val="4"/>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90"/>
  <w:embedTrueTypeFonts/>
  <w:proofState w:spelling="clean"/>
  <w:defaultTabStop w:val="708"/>
  <w:autoHyphenation/>
  <w:hyphenationZone w:val="425"/>
  <w:drawingGridHorizontalSpacing w:val="57"/>
  <w:drawingGridVerticalSpacing w:val="5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0D87"/>
    <w:rsid w:val="000011F1"/>
    <w:rsid w:val="00001862"/>
    <w:rsid w:val="00001C5B"/>
    <w:rsid w:val="00003437"/>
    <w:rsid w:val="00005BFE"/>
    <w:rsid w:val="0000709F"/>
    <w:rsid w:val="000108B8"/>
    <w:rsid w:val="0001348A"/>
    <w:rsid w:val="000152F5"/>
    <w:rsid w:val="00021CD0"/>
    <w:rsid w:val="0003470D"/>
    <w:rsid w:val="0004582E"/>
    <w:rsid w:val="000470AA"/>
    <w:rsid w:val="00052349"/>
    <w:rsid w:val="00057CA1"/>
    <w:rsid w:val="00062824"/>
    <w:rsid w:val="000647A9"/>
    <w:rsid w:val="000662E2"/>
    <w:rsid w:val="00066883"/>
    <w:rsid w:val="00071B39"/>
    <w:rsid w:val="00072592"/>
    <w:rsid w:val="00074DD8"/>
    <w:rsid w:val="00074ECA"/>
    <w:rsid w:val="00075759"/>
    <w:rsid w:val="000778DC"/>
    <w:rsid w:val="000806F7"/>
    <w:rsid w:val="000818B4"/>
    <w:rsid w:val="00097840"/>
    <w:rsid w:val="00097F3B"/>
    <w:rsid w:val="000A4168"/>
    <w:rsid w:val="000B0727"/>
    <w:rsid w:val="000C135D"/>
    <w:rsid w:val="000D1D43"/>
    <w:rsid w:val="000D225C"/>
    <w:rsid w:val="000D2A5C"/>
    <w:rsid w:val="000D39F0"/>
    <w:rsid w:val="000D3E42"/>
    <w:rsid w:val="000E0918"/>
    <w:rsid w:val="000E79A9"/>
    <w:rsid w:val="000F3803"/>
    <w:rsid w:val="000F569C"/>
    <w:rsid w:val="000F7F17"/>
    <w:rsid w:val="00100F92"/>
    <w:rsid w:val="001011C3"/>
    <w:rsid w:val="001038E8"/>
    <w:rsid w:val="00106DA3"/>
    <w:rsid w:val="00110214"/>
    <w:rsid w:val="00110D87"/>
    <w:rsid w:val="00112399"/>
    <w:rsid w:val="00114DB9"/>
    <w:rsid w:val="00116087"/>
    <w:rsid w:val="00117711"/>
    <w:rsid w:val="00130296"/>
    <w:rsid w:val="00130DA4"/>
    <w:rsid w:val="00130E95"/>
    <w:rsid w:val="00134145"/>
    <w:rsid w:val="00136736"/>
    <w:rsid w:val="00136740"/>
    <w:rsid w:val="00136D67"/>
    <w:rsid w:val="001423B6"/>
    <w:rsid w:val="001448A7"/>
    <w:rsid w:val="00146339"/>
    <w:rsid w:val="00146621"/>
    <w:rsid w:val="00150CA7"/>
    <w:rsid w:val="00156F04"/>
    <w:rsid w:val="001570A4"/>
    <w:rsid w:val="001617E3"/>
    <w:rsid w:val="00162325"/>
    <w:rsid w:val="00180E0E"/>
    <w:rsid w:val="001951DA"/>
    <w:rsid w:val="001A6F4F"/>
    <w:rsid w:val="001B053D"/>
    <w:rsid w:val="001B24E8"/>
    <w:rsid w:val="001C3269"/>
    <w:rsid w:val="001C6019"/>
    <w:rsid w:val="001D19B6"/>
    <w:rsid w:val="001D1DB4"/>
    <w:rsid w:val="001D23F1"/>
    <w:rsid w:val="001D25F9"/>
    <w:rsid w:val="001D61ED"/>
    <w:rsid w:val="001E5B2D"/>
    <w:rsid w:val="001E670A"/>
    <w:rsid w:val="001E6AC6"/>
    <w:rsid w:val="001F044F"/>
    <w:rsid w:val="001F274E"/>
    <w:rsid w:val="0020156C"/>
    <w:rsid w:val="002021A6"/>
    <w:rsid w:val="002042BE"/>
    <w:rsid w:val="00216634"/>
    <w:rsid w:val="00242D31"/>
    <w:rsid w:val="0025481E"/>
    <w:rsid w:val="002574F9"/>
    <w:rsid w:val="00260911"/>
    <w:rsid w:val="00260F7D"/>
    <w:rsid w:val="00262B61"/>
    <w:rsid w:val="00262CC6"/>
    <w:rsid w:val="00263E08"/>
    <w:rsid w:val="0027575B"/>
    <w:rsid w:val="00276811"/>
    <w:rsid w:val="00282699"/>
    <w:rsid w:val="00285F89"/>
    <w:rsid w:val="002926DF"/>
    <w:rsid w:val="00296697"/>
    <w:rsid w:val="002A364D"/>
    <w:rsid w:val="002B0472"/>
    <w:rsid w:val="002B5073"/>
    <w:rsid w:val="002B6B12"/>
    <w:rsid w:val="002C21F0"/>
    <w:rsid w:val="002C5628"/>
    <w:rsid w:val="002D01DF"/>
    <w:rsid w:val="002E2973"/>
    <w:rsid w:val="002E3EB3"/>
    <w:rsid w:val="002E6140"/>
    <w:rsid w:val="002E6985"/>
    <w:rsid w:val="002E71B6"/>
    <w:rsid w:val="002F18C1"/>
    <w:rsid w:val="002F35F6"/>
    <w:rsid w:val="002F77C8"/>
    <w:rsid w:val="00300BBC"/>
    <w:rsid w:val="003028F6"/>
    <w:rsid w:val="00304F22"/>
    <w:rsid w:val="00306C7C"/>
    <w:rsid w:val="00314F86"/>
    <w:rsid w:val="00317F4D"/>
    <w:rsid w:val="00320A07"/>
    <w:rsid w:val="00322EDD"/>
    <w:rsid w:val="003309FA"/>
    <w:rsid w:val="00332320"/>
    <w:rsid w:val="0034588E"/>
    <w:rsid w:val="00347D72"/>
    <w:rsid w:val="00353F45"/>
    <w:rsid w:val="00357611"/>
    <w:rsid w:val="0036432A"/>
    <w:rsid w:val="00364AF9"/>
    <w:rsid w:val="00367237"/>
    <w:rsid w:val="0037077F"/>
    <w:rsid w:val="00372411"/>
    <w:rsid w:val="00373882"/>
    <w:rsid w:val="0037583B"/>
    <w:rsid w:val="003764AC"/>
    <w:rsid w:val="003843DB"/>
    <w:rsid w:val="00393761"/>
    <w:rsid w:val="00394E26"/>
    <w:rsid w:val="00396691"/>
    <w:rsid w:val="00397D18"/>
    <w:rsid w:val="003A1B36"/>
    <w:rsid w:val="003B1454"/>
    <w:rsid w:val="003B18B6"/>
    <w:rsid w:val="003C161B"/>
    <w:rsid w:val="003C59E0"/>
    <w:rsid w:val="003C6C8D"/>
    <w:rsid w:val="003D2656"/>
    <w:rsid w:val="003D4F95"/>
    <w:rsid w:val="003D5F42"/>
    <w:rsid w:val="003D60A9"/>
    <w:rsid w:val="003F294B"/>
    <w:rsid w:val="003F4C97"/>
    <w:rsid w:val="003F666D"/>
    <w:rsid w:val="003F7AC2"/>
    <w:rsid w:val="003F7FE6"/>
    <w:rsid w:val="00400193"/>
    <w:rsid w:val="00400F16"/>
    <w:rsid w:val="00407A30"/>
    <w:rsid w:val="004168DC"/>
    <w:rsid w:val="00416EAF"/>
    <w:rsid w:val="004212E7"/>
    <w:rsid w:val="00423C88"/>
    <w:rsid w:val="0042446D"/>
    <w:rsid w:val="00427BF8"/>
    <w:rsid w:val="00431C02"/>
    <w:rsid w:val="00436EF5"/>
    <w:rsid w:val="00437395"/>
    <w:rsid w:val="004407C6"/>
    <w:rsid w:val="0044126A"/>
    <w:rsid w:val="00445047"/>
    <w:rsid w:val="00445C4B"/>
    <w:rsid w:val="00446749"/>
    <w:rsid w:val="00453EB7"/>
    <w:rsid w:val="00454DA0"/>
    <w:rsid w:val="00463E39"/>
    <w:rsid w:val="004657FC"/>
    <w:rsid w:val="004733F6"/>
    <w:rsid w:val="00473B93"/>
    <w:rsid w:val="00474E69"/>
    <w:rsid w:val="0048046A"/>
    <w:rsid w:val="00483E9F"/>
    <w:rsid w:val="00485A2C"/>
    <w:rsid w:val="004867DA"/>
    <w:rsid w:val="0049621B"/>
    <w:rsid w:val="004A1D19"/>
    <w:rsid w:val="004A43EF"/>
    <w:rsid w:val="004B6993"/>
    <w:rsid w:val="004B758D"/>
    <w:rsid w:val="004C1895"/>
    <w:rsid w:val="004C6D40"/>
    <w:rsid w:val="004E6AA8"/>
    <w:rsid w:val="004E7AEC"/>
    <w:rsid w:val="004F0C3C"/>
    <w:rsid w:val="004F2280"/>
    <w:rsid w:val="004F23BB"/>
    <w:rsid w:val="004F63FC"/>
    <w:rsid w:val="00505A92"/>
    <w:rsid w:val="0051512F"/>
    <w:rsid w:val="005203F1"/>
    <w:rsid w:val="00521BC3"/>
    <w:rsid w:val="00533632"/>
    <w:rsid w:val="00534013"/>
    <w:rsid w:val="00537642"/>
    <w:rsid w:val="00540C5C"/>
    <w:rsid w:val="00541E6E"/>
    <w:rsid w:val="0054251F"/>
    <w:rsid w:val="0055005F"/>
    <w:rsid w:val="005520D8"/>
    <w:rsid w:val="00552136"/>
    <w:rsid w:val="00555CFB"/>
    <w:rsid w:val="00556CF1"/>
    <w:rsid w:val="00557967"/>
    <w:rsid w:val="005630EA"/>
    <w:rsid w:val="005712F2"/>
    <w:rsid w:val="00574EB0"/>
    <w:rsid w:val="005762A7"/>
    <w:rsid w:val="00577ABD"/>
    <w:rsid w:val="00587CEE"/>
    <w:rsid w:val="005916D7"/>
    <w:rsid w:val="0059427F"/>
    <w:rsid w:val="005A053E"/>
    <w:rsid w:val="005A698C"/>
    <w:rsid w:val="005C0CAC"/>
    <w:rsid w:val="005C5C75"/>
    <w:rsid w:val="005D062E"/>
    <w:rsid w:val="005E0799"/>
    <w:rsid w:val="005E10F9"/>
    <w:rsid w:val="005E1200"/>
    <w:rsid w:val="005E6E68"/>
    <w:rsid w:val="005F0842"/>
    <w:rsid w:val="005F45EE"/>
    <w:rsid w:val="005F5A80"/>
    <w:rsid w:val="006044FF"/>
    <w:rsid w:val="00607CC5"/>
    <w:rsid w:val="0061179B"/>
    <w:rsid w:val="006125F9"/>
    <w:rsid w:val="00633014"/>
    <w:rsid w:val="0063437B"/>
    <w:rsid w:val="0064017E"/>
    <w:rsid w:val="00653DC3"/>
    <w:rsid w:val="00654BB6"/>
    <w:rsid w:val="00657586"/>
    <w:rsid w:val="00665DAF"/>
    <w:rsid w:val="006673CA"/>
    <w:rsid w:val="00671862"/>
    <w:rsid w:val="00673C26"/>
    <w:rsid w:val="00674DE5"/>
    <w:rsid w:val="00677ACA"/>
    <w:rsid w:val="00680119"/>
    <w:rsid w:val="006812AF"/>
    <w:rsid w:val="0068327D"/>
    <w:rsid w:val="00691278"/>
    <w:rsid w:val="00691534"/>
    <w:rsid w:val="00693880"/>
    <w:rsid w:val="00694AF0"/>
    <w:rsid w:val="00697278"/>
    <w:rsid w:val="006A4686"/>
    <w:rsid w:val="006B0E9E"/>
    <w:rsid w:val="006B486D"/>
    <w:rsid w:val="006B5653"/>
    <w:rsid w:val="006B5AE4"/>
    <w:rsid w:val="006B75E3"/>
    <w:rsid w:val="006C197A"/>
    <w:rsid w:val="006C59CC"/>
    <w:rsid w:val="006D1507"/>
    <w:rsid w:val="006D20F0"/>
    <w:rsid w:val="006D3751"/>
    <w:rsid w:val="006D4054"/>
    <w:rsid w:val="006E02EC"/>
    <w:rsid w:val="006E3C4F"/>
    <w:rsid w:val="006E6F41"/>
    <w:rsid w:val="006E73E6"/>
    <w:rsid w:val="00710BF3"/>
    <w:rsid w:val="007211B1"/>
    <w:rsid w:val="007267B0"/>
    <w:rsid w:val="007277DA"/>
    <w:rsid w:val="00731D27"/>
    <w:rsid w:val="00746187"/>
    <w:rsid w:val="00752DAB"/>
    <w:rsid w:val="0076254F"/>
    <w:rsid w:val="007701B0"/>
    <w:rsid w:val="007801F5"/>
    <w:rsid w:val="00783CA4"/>
    <w:rsid w:val="007842FB"/>
    <w:rsid w:val="00786124"/>
    <w:rsid w:val="007929F4"/>
    <w:rsid w:val="0079514B"/>
    <w:rsid w:val="00795252"/>
    <w:rsid w:val="007A2DC1"/>
    <w:rsid w:val="007A5FD2"/>
    <w:rsid w:val="007C5FE5"/>
    <w:rsid w:val="007D0869"/>
    <w:rsid w:val="007D14C4"/>
    <w:rsid w:val="007D3319"/>
    <w:rsid w:val="007D335D"/>
    <w:rsid w:val="007D605C"/>
    <w:rsid w:val="007E3314"/>
    <w:rsid w:val="007E3514"/>
    <w:rsid w:val="007E43BE"/>
    <w:rsid w:val="007E4B03"/>
    <w:rsid w:val="007F324B"/>
    <w:rsid w:val="007F4523"/>
    <w:rsid w:val="008016C6"/>
    <w:rsid w:val="00803031"/>
    <w:rsid w:val="0080553C"/>
    <w:rsid w:val="00805B46"/>
    <w:rsid w:val="00805DB4"/>
    <w:rsid w:val="008146FC"/>
    <w:rsid w:val="00821A94"/>
    <w:rsid w:val="00823593"/>
    <w:rsid w:val="00825DC2"/>
    <w:rsid w:val="00834AD3"/>
    <w:rsid w:val="00843795"/>
    <w:rsid w:val="00846FDE"/>
    <w:rsid w:val="00847F0F"/>
    <w:rsid w:val="00850B7B"/>
    <w:rsid w:val="00852448"/>
    <w:rsid w:val="00853E6F"/>
    <w:rsid w:val="008567BB"/>
    <w:rsid w:val="00863978"/>
    <w:rsid w:val="008771D4"/>
    <w:rsid w:val="00877F6C"/>
    <w:rsid w:val="0088258A"/>
    <w:rsid w:val="00886332"/>
    <w:rsid w:val="008925F0"/>
    <w:rsid w:val="0089448A"/>
    <w:rsid w:val="00894C23"/>
    <w:rsid w:val="00897877"/>
    <w:rsid w:val="008A26D9"/>
    <w:rsid w:val="008A7B5B"/>
    <w:rsid w:val="008B12D2"/>
    <w:rsid w:val="008C0C29"/>
    <w:rsid w:val="008D02DA"/>
    <w:rsid w:val="008D6303"/>
    <w:rsid w:val="008D76BC"/>
    <w:rsid w:val="008E425E"/>
    <w:rsid w:val="008E7DBA"/>
    <w:rsid w:val="008F0829"/>
    <w:rsid w:val="008F3110"/>
    <w:rsid w:val="008F3638"/>
    <w:rsid w:val="008F4441"/>
    <w:rsid w:val="008F6B20"/>
    <w:rsid w:val="008F6F31"/>
    <w:rsid w:val="008F74DF"/>
    <w:rsid w:val="00902274"/>
    <w:rsid w:val="00907CE3"/>
    <w:rsid w:val="009127BA"/>
    <w:rsid w:val="00916882"/>
    <w:rsid w:val="00920AAE"/>
    <w:rsid w:val="009227A6"/>
    <w:rsid w:val="00923BE9"/>
    <w:rsid w:val="00933EC1"/>
    <w:rsid w:val="009446AD"/>
    <w:rsid w:val="009530DB"/>
    <w:rsid w:val="00953676"/>
    <w:rsid w:val="00955CEA"/>
    <w:rsid w:val="00956F30"/>
    <w:rsid w:val="00962B00"/>
    <w:rsid w:val="00966C9A"/>
    <w:rsid w:val="009705EE"/>
    <w:rsid w:val="00977927"/>
    <w:rsid w:val="0098135C"/>
    <w:rsid w:val="0098156A"/>
    <w:rsid w:val="00991BAC"/>
    <w:rsid w:val="00993AA9"/>
    <w:rsid w:val="00994554"/>
    <w:rsid w:val="00996B9B"/>
    <w:rsid w:val="009A3DA8"/>
    <w:rsid w:val="009A6EA0"/>
    <w:rsid w:val="009B1141"/>
    <w:rsid w:val="009B2BBB"/>
    <w:rsid w:val="009C072A"/>
    <w:rsid w:val="009C1335"/>
    <w:rsid w:val="009C1AB2"/>
    <w:rsid w:val="009C4A6E"/>
    <w:rsid w:val="009C7251"/>
    <w:rsid w:val="009D101F"/>
    <w:rsid w:val="009E2E91"/>
    <w:rsid w:val="009E7D31"/>
    <w:rsid w:val="009F39A4"/>
    <w:rsid w:val="00A01B40"/>
    <w:rsid w:val="00A05330"/>
    <w:rsid w:val="00A10FA7"/>
    <w:rsid w:val="00A139F5"/>
    <w:rsid w:val="00A15286"/>
    <w:rsid w:val="00A263E7"/>
    <w:rsid w:val="00A32E16"/>
    <w:rsid w:val="00A365F4"/>
    <w:rsid w:val="00A42CAE"/>
    <w:rsid w:val="00A47D80"/>
    <w:rsid w:val="00A53132"/>
    <w:rsid w:val="00A54192"/>
    <w:rsid w:val="00A54EDE"/>
    <w:rsid w:val="00A563F2"/>
    <w:rsid w:val="00A566E8"/>
    <w:rsid w:val="00A6386A"/>
    <w:rsid w:val="00A66347"/>
    <w:rsid w:val="00A7392B"/>
    <w:rsid w:val="00A810F9"/>
    <w:rsid w:val="00A82D31"/>
    <w:rsid w:val="00A85E7E"/>
    <w:rsid w:val="00A86ECC"/>
    <w:rsid w:val="00A86FCC"/>
    <w:rsid w:val="00A90A6D"/>
    <w:rsid w:val="00A93C3E"/>
    <w:rsid w:val="00A971E5"/>
    <w:rsid w:val="00AA710D"/>
    <w:rsid w:val="00AB64F3"/>
    <w:rsid w:val="00AB6D25"/>
    <w:rsid w:val="00AC52F5"/>
    <w:rsid w:val="00AD0E56"/>
    <w:rsid w:val="00AD249F"/>
    <w:rsid w:val="00AD59C3"/>
    <w:rsid w:val="00AD5A32"/>
    <w:rsid w:val="00AE229B"/>
    <w:rsid w:val="00AE2597"/>
    <w:rsid w:val="00AE26DF"/>
    <w:rsid w:val="00AE2D4B"/>
    <w:rsid w:val="00AE4F99"/>
    <w:rsid w:val="00AE54DC"/>
    <w:rsid w:val="00B05988"/>
    <w:rsid w:val="00B11B69"/>
    <w:rsid w:val="00B14952"/>
    <w:rsid w:val="00B16871"/>
    <w:rsid w:val="00B21068"/>
    <w:rsid w:val="00B2286D"/>
    <w:rsid w:val="00B25B45"/>
    <w:rsid w:val="00B31E5A"/>
    <w:rsid w:val="00B3508A"/>
    <w:rsid w:val="00B47359"/>
    <w:rsid w:val="00B55151"/>
    <w:rsid w:val="00B57474"/>
    <w:rsid w:val="00B653AB"/>
    <w:rsid w:val="00B65F9E"/>
    <w:rsid w:val="00B66B19"/>
    <w:rsid w:val="00B72AD1"/>
    <w:rsid w:val="00B914E9"/>
    <w:rsid w:val="00B956EE"/>
    <w:rsid w:val="00B957F6"/>
    <w:rsid w:val="00BA2BA1"/>
    <w:rsid w:val="00BA3447"/>
    <w:rsid w:val="00BA3562"/>
    <w:rsid w:val="00BB23A9"/>
    <w:rsid w:val="00BB4F09"/>
    <w:rsid w:val="00BB54B5"/>
    <w:rsid w:val="00BC245E"/>
    <w:rsid w:val="00BC64AE"/>
    <w:rsid w:val="00BD215E"/>
    <w:rsid w:val="00BD4E33"/>
    <w:rsid w:val="00BD65D1"/>
    <w:rsid w:val="00BE1A9D"/>
    <w:rsid w:val="00BE6D51"/>
    <w:rsid w:val="00BF58C4"/>
    <w:rsid w:val="00C030DE"/>
    <w:rsid w:val="00C051A8"/>
    <w:rsid w:val="00C1466E"/>
    <w:rsid w:val="00C22105"/>
    <w:rsid w:val="00C244B6"/>
    <w:rsid w:val="00C27BF1"/>
    <w:rsid w:val="00C31167"/>
    <w:rsid w:val="00C3702F"/>
    <w:rsid w:val="00C4500A"/>
    <w:rsid w:val="00C60504"/>
    <w:rsid w:val="00C62238"/>
    <w:rsid w:val="00C64A37"/>
    <w:rsid w:val="00C66259"/>
    <w:rsid w:val="00C7158E"/>
    <w:rsid w:val="00C7250B"/>
    <w:rsid w:val="00C7346B"/>
    <w:rsid w:val="00C77C0E"/>
    <w:rsid w:val="00C91687"/>
    <w:rsid w:val="00C924A8"/>
    <w:rsid w:val="00C945FE"/>
    <w:rsid w:val="00C9626F"/>
    <w:rsid w:val="00C96FAA"/>
    <w:rsid w:val="00C97A04"/>
    <w:rsid w:val="00CA107B"/>
    <w:rsid w:val="00CA484D"/>
    <w:rsid w:val="00CA4FB6"/>
    <w:rsid w:val="00CA4FCB"/>
    <w:rsid w:val="00CA784C"/>
    <w:rsid w:val="00CA79BB"/>
    <w:rsid w:val="00CB2F90"/>
    <w:rsid w:val="00CB6AD4"/>
    <w:rsid w:val="00CC63DE"/>
    <w:rsid w:val="00CC739E"/>
    <w:rsid w:val="00CD1EBB"/>
    <w:rsid w:val="00CD28CF"/>
    <w:rsid w:val="00CD58B7"/>
    <w:rsid w:val="00CD7967"/>
    <w:rsid w:val="00CE20A2"/>
    <w:rsid w:val="00CF18EE"/>
    <w:rsid w:val="00CF30BD"/>
    <w:rsid w:val="00CF4099"/>
    <w:rsid w:val="00CF53D1"/>
    <w:rsid w:val="00CF7C09"/>
    <w:rsid w:val="00D00796"/>
    <w:rsid w:val="00D15D5D"/>
    <w:rsid w:val="00D261A2"/>
    <w:rsid w:val="00D26766"/>
    <w:rsid w:val="00D616D2"/>
    <w:rsid w:val="00D63B5F"/>
    <w:rsid w:val="00D70EF7"/>
    <w:rsid w:val="00D82FEA"/>
    <w:rsid w:val="00D8397C"/>
    <w:rsid w:val="00D94EED"/>
    <w:rsid w:val="00D96026"/>
    <w:rsid w:val="00D972F6"/>
    <w:rsid w:val="00DA331D"/>
    <w:rsid w:val="00DA77AD"/>
    <w:rsid w:val="00DA7C1C"/>
    <w:rsid w:val="00DB147A"/>
    <w:rsid w:val="00DB15A4"/>
    <w:rsid w:val="00DB1B7A"/>
    <w:rsid w:val="00DB706E"/>
    <w:rsid w:val="00DC6708"/>
    <w:rsid w:val="00DD011A"/>
    <w:rsid w:val="00DD7DCE"/>
    <w:rsid w:val="00DE1D0A"/>
    <w:rsid w:val="00DE2400"/>
    <w:rsid w:val="00DE58F1"/>
    <w:rsid w:val="00DE6B58"/>
    <w:rsid w:val="00DF5E32"/>
    <w:rsid w:val="00DF5FA1"/>
    <w:rsid w:val="00E00B9F"/>
    <w:rsid w:val="00E01436"/>
    <w:rsid w:val="00E03D5D"/>
    <w:rsid w:val="00E03E79"/>
    <w:rsid w:val="00E045BD"/>
    <w:rsid w:val="00E04D6C"/>
    <w:rsid w:val="00E0579A"/>
    <w:rsid w:val="00E0756D"/>
    <w:rsid w:val="00E119F8"/>
    <w:rsid w:val="00E1437E"/>
    <w:rsid w:val="00E17B77"/>
    <w:rsid w:val="00E231AB"/>
    <w:rsid w:val="00E23337"/>
    <w:rsid w:val="00E25593"/>
    <w:rsid w:val="00E259EA"/>
    <w:rsid w:val="00E25D33"/>
    <w:rsid w:val="00E32061"/>
    <w:rsid w:val="00E33F48"/>
    <w:rsid w:val="00E358E1"/>
    <w:rsid w:val="00E42FF9"/>
    <w:rsid w:val="00E44790"/>
    <w:rsid w:val="00E4714C"/>
    <w:rsid w:val="00E5178D"/>
    <w:rsid w:val="00E51AEB"/>
    <w:rsid w:val="00E522A7"/>
    <w:rsid w:val="00E5349E"/>
    <w:rsid w:val="00E54452"/>
    <w:rsid w:val="00E63B0C"/>
    <w:rsid w:val="00E664C5"/>
    <w:rsid w:val="00E671A2"/>
    <w:rsid w:val="00E74800"/>
    <w:rsid w:val="00E76D26"/>
    <w:rsid w:val="00E76EE5"/>
    <w:rsid w:val="00E84E3C"/>
    <w:rsid w:val="00E853E9"/>
    <w:rsid w:val="00E95036"/>
    <w:rsid w:val="00E95A15"/>
    <w:rsid w:val="00E95B8E"/>
    <w:rsid w:val="00EB125A"/>
    <w:rsid w:val="00EB1390"/>
    <w:rsid w:val="00EB2C71"/>
    <w:rsid w:val="00EB3333"/>
    <w:rsid w:val="00EB4340"/>
    <w:rsid w:val="00EB556D"/>
    <w:rsid w:val="00EB5A7D"/>
    <w:rsid w:val="00EC13ED"/>
    <w:rsid w:val="00EC18CF"/>
    <w:rsid w:val="00EC1EAB"/>
    <w:rsid w:val="00ED55C0"/>
    <w:rsid w:val="00ED682B"/>
    <w:rsid w:val="00EE10C9"/>
    <w:rsid w:val="00EE41D5"/>
    <w:rsid w:val="00F0166F"/>
    <w:rsid w:val="00F037A4"/>
    <w:rsid w:val="00F049AB"/>
    <w:rsid w:val="00F142DB"/>
    <w:rsid w:val="00F245D3"/>
    <w:rsid w:val="00F27C8F"/>
    <w:rsid w:val="00F3185D"/>
    <w:rsid w:val="00F32749"/>
    <w:rsid w:val="00F37172"/>
    <w:rsid w:val="00F4477E"/>
    <w:rsid w:val="00F46269"/>
    <w:rsid w:val="00F60BA8"/>
    <w:rsid w:val="00F66178"/>
    <w:rsid w:val="00F67D8F"/>
    <w:rsid w:val="00F724B4"/>
    <w:rsid w:val="00F7264C"/>
    <w:rsid w:val="00F77A7C"/>
    <w:rsid w:val="00F802BE"/>
    <w:rsid w:val="00F80E93"/>
    <w:rsid w:val="00F84069"/>
    <w:rsid w:val="00F86024"/>
    <w:rsid w:val="00F8611A"/>
    <w:rsid w:val="00F97CD6"/>
    <w:rsid w:val="00FA40EC"/>
    <w:rsid w:val="00FA4D6D"/>
    <w:rsid w:val="00FA5128"/>
    <w:rsid w:val="00FB42D4"/>
    <w:rsid w:val="00FB5641"/>
    <w:rsid w:val="00FB5906"/>
    <w:rsid w:val="00FB762F"/>
    <w:rsid w:val="00FC2AED"/>
    <w:rsid w:val="00FD088C"/>
    <w:rsid w:val="00FD5EA7"/>
    <w:rsid w:val="00FE36CF"/>
    <w:rsid w:val="00FF024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27E5C18"/>
  <w15:chartTrackingRefBased/>
  <w15:docId w15:val="{B5ECFC0A-9A8E-48A8-8912-792FA7C3AE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aliases w:val="Tekst informacji"/>
    <w:qFormat/>
    <w:rsid w:val="00074DD8"/>
    <w:pPr>
      <w:spacing w:before="120" w:after="120" w:line="240" w:lineRule="exact"/>
    </w:pPr>
    <w:rPr>
      <w:rFonts w:ascii="Fira Sans" w:hAnsi="Fira Sans"/>
      <w:sz w:val="19"/>
    </w:rPr>
  </w:style>
  <w:style w:type="paragraph" w:styleId="Nagwek1">
    <w:name w:val="heading 1"/>
    <w:aliases w:val="tytuł podrozdziału"/>
    <w:basedOn w:val="Normalny"/>
    <w:next w:val="Normalny"/>
    <w:link w:val="Nagwek1Znak"/>
    <w:qFormat/>
    <w:rsid w:val="00CD1EBB"/>
    <w:pPr>
      <w:keepNext/>
      <w:spacing w:before="36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CD1EBB"/>
    <w:rPr>
      <w:rFonts w:ascii="Fira Sans SemiBold" w:eastAsia="Times New Roman" w:hAnsi="Fira Sans SemiBold" w:cs="Times New Roman"/>
      <w:bCs/>
      <w:color w:val="001D77"/>
      <w:sz w:val="19"/>
      <w:szCs w:val="24"/>
      <w:lang w:eastAsia="pl-PL"/>
    </w:rPr>
  </w:style>
  <w:style w:type="paragraph" w:customStyle="1" w:styleId="LID">
    <w:name w:val="LID"/>
    <w:basedOn w:val="Normalny"/>
    <w:link w:val="LIDZnak"/>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styleId="Tabelasiatki1jasnaakcent1">
    <w:name w:val="Grid Table 1 Light Accent 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Siatkatabelijasna">
    <w:name w:val="Grid Table Light"/>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link w:val="AkapitzlistZnak"/>
    <w:uiPriority w:val="34"/>
    <w:qFormat/>
    <w:rsid w:val="00933EC1"/>
    <w:pPr>
      <w:ind w:left="720"/>
      <w:contextualSpacing/>
    </w:pPr>
  </w:style>
  <w:style w:type="paragraph" w:styleId="Tekstprzypisudolnego">
    <w:name w:val="footnote text"/>
    <w:basedOn w:val="Normalny"/>
    <w:link w:val="TekstprzypisudolnegoZnak"/>
    <w:uiPriority w:val="99"/>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rsid w:val="001448A7"/>
    <w:rPr>
      <w:sz w:val="20"/>
      <w:szCs w:val="20"/>
    </w:rPr>
  </w:style>
  <w:style w:type="character" w:styleId="Odwoanieprzypisudolnego">
    <w:name w:val="footnote reference"/>
    <w:aliases w:val="Odwołanie przypisu"/>
    <w:basedOn w:val="Domylnaczcionkaakapitu"/>
    <w:uiPriority w:val="99"/>
    <w:unhideWhenUsed/>
    <w:rsid w:val="001448A7"/>
    <w:rPr>
      <w:vertAlign w:val="superscript"/>
    </w:rPr>
  </w:style>
  <w:style w:type="paragraph" w:customStyle="1" w:styleId="tytuinformacji">
    <w:name w:val="tytuł informacji"/>
    <w:basedOn w:val="Normalny"/>
    <w:link w:val="tytuinformacjiZnak"/>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link w:val="tekstnaniebieskimtleZnak"/>
    <w:qFormat/>
    <w:rsid w:val="00074DD8"/>
    <w:pPr>
      <w:spacing w:before="0" w:after="0" w:line="240" w:lineRule="auto"/>
    </w:pPr>
    <w:rPr>
      <w:sz w:val="20"/>
    </w:rPr>
  </w:style>
  <w:style w:type="character" w:customStyle="1" w:styleId="tytuinformacjiZnak">
    <w:name w:val="tytuł informacji Znak"/>
    <w:basedOn w:val="Domylnaczcionkaakapitu"/>
    <w:link w:val="tytuinformacji"/>
    <w:rsid w:val="007D605C"/>
    <w:rPr>
      <w:rFonts w:ascii="Fira Sans Extra Condensed SemiB" w:hAnsi="Fira Sans Extra Condensed SemiB"/>
      <w:color w:val="000000" w:themeColor="text1"/>
      <w:sz w:val="40"/>
      <w:szCs w:val="26"/>
    </w:rPr>
  </w:style>
  <w:style w:type="paragraph" w:styleId="Tekstkomentarza">
    <w:name w:val="annotation text"/>
    <w:basedOn w:val="Normalny"/>
    <w:link w:val="TekstkomentarzaZnak"/>
    <w:uiPriority w:val="99"/>
    <w:semiHidden/>
    <w:unhideWhenUsed/>
    <w:rsid w:val="00E95B8E"/>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E95B8E"/>
    <w:rPr>
      <w:rFonts w:ascii="Fira Sans" w:hAnsi="Fira Sans"/>
      <w:sz w:val="20"/>
      <w:szCs w:val="20"/>
    </w:rPr>
  </w:style>
  <w:style w:type="character" w:styleId="Odwoaniedokomentarza">
    <w:name w:val="annotation reference"/>
    <w:basedOn w:val="Domylnaczcionkaakapitu"/>
    <w:uiPriority w:val="99"/>
    <w:semiHidden/>
    <w:unhideWhenUsed/>
    <w:rsid w:val="00E95B8E"/>
    <w:rPr>
      <w:sz w:val="16"/>
      <w:szCs w:val="16"/>
    </w:rPr>
  </w:style>
  <w:style w:type="paragraph" w:styleId="Tematkomentarza">
    <w:name w:val="annotation subject"/>
    <w:basedOn w:val="Tekstkomentarza"/>
    <w:next w:val="Tekstkomentarza"/>
    <w:link w:val="TematkomentarzaZnak"/>
    <w:uiPriority w:val="99"/>
    <w:semiHidden/>
    <w:unhideWhenUsed/>
    <w:rsid w:val="00DE2400"/>
    <w:rPr>
      <w:b/>
      <w:bCs/>
    </w:rPr>
  </w:style>
  <w:style w:type="character" w:customStyle="1" w:styleId="TematkomentarzaZnak">
    <w:name w:val="Temat komentarza Znak"/>
    <w:basedOn w:val="TekstkomentarzaZnak"/>
    <w:link w:val="Tematkomentarza"/>
    <w:uiPriority w:val="99"/>
    <w:semiHidden/>
    <w:rsid w:val="00DE2400"/>
    <w:rPr>
      <w:rFonts w:ascii="Fira Sans" w:hAnsi="Fira Sans"/>
      <w:b/>
      <w:bCs/>
      <w:sz w:val="20"/>
      <w:szCs w:val="20"/>
    </w:rPr>
  </w:style>
  <w:style w:type="character" w:styleId="Nierozpoznanawzmianka">
    <w:name w:val="Unresolved Mention"/>
    <w:basedOn w:val="Domylnaczcionkaakapitu"/>
    <w:uiPriority w:val="99"/>
    <w:semiHidden/>
    <w:unhideWhenUsed/>
    <w:rsid w:val="00F049AB"/>
    <w:rPr>
      <w:color w:val="605E5C"/>
      <w:shd w:val="clear" w:color="auto" w:fill="E1DFDD"/>
    </w:rPr>
  </w:style>
  <w:style w:type="paragraph" w:customStyle="1" w:styleId="Tytuinfomacjisygnalnej">
    <w:name w:val="Tytuł infomacji sygnalnej"/>
    <w:basedOn w:val="tytuinformacji"/>
    <w:link w:val="TytuinfomacjisygnalnejZnak"/>
    <w:qFormat/>
    <w:rsid w:val="00F049AB"/>
    <w:pPr>
      <w:suppressAutoHyphens/>
      <w:spacing w:after="600"/>
    </w:pPr>
    <w:rPr>
      <w:shd w:val="clear" w:color="auto" w:fill="FFFFFF"/>
    </w:rPr>
  </w:style>
  <w:style w:type="paragraph" w:customStyle="1" w:styleId="Ikonawskanika">
    <w:name w:val="Ikona wskaźnika"/>
    <w:basedOn w:val="Normalny"/>
    <w:link w:val="IkonawskanikaZnak"/>
    <w:qFormat/>
    <w:rsid w:val="00F049AB"/>
    <w:pPr>
      <w:autoSpaceDE w:val="0"/>
      <w:autoSpaceDN w:val="0"/>
      <w:adjustRightInd w:val="0"/>
      <w:spacing w:before="0" w:after="0" w:line="240" w:lineRule="auto"/>
    </w:pPr>
    <w:rPr>
      <w:rFonts w:ascii="Fira Sans SemiBold" w:hAnsi="Fira Sans SemiBold"/>
      <w:color w:val="66AFDE"/>
      <w:sz w:val="60"/>
      <w:szCs w:val="60"/>
    </w:rPr>
  </w:style>
  <w:style w:type="character" w:customStyle="1" w:styleId="TytuinfomacjisygnalnejZnak">
    <w:name w:val="Tytuł infomacji sygnalnej Znak"/>
    <w:basedOn w:val="tytuinformacjiZnak"/>
    <w:link w:val="Tytuinfomacjisygnalnej"/>
    <w:rsid w:val="00F049AB"/>
    <w:rPr>
      <w:rFonts w:ascii="Fira Sans Extra Condensed SemiB" w:hAnsi="Fira Sans Extra Condensed SemiB"/>
      <w:color w:val="000000" w:themeColor="text1"/>
      <w:sz w:val="40"/>
      <w:szCs w:val="26"/>
    </w:rPr>
  </w:style>
  <w:style w:type="paragraph" w:customStyle="1" w:styleId="Wartowskanika">
    <w:name w:val="Wartość wskaźnika"/>
    <w:basedOn w:val="Normalny"/>
    <w:link w:val="WartowskanikaZnak"/>
    <w:qFormat/>
    <w:rsid w:val="00F049AB"/>
    <w:pPr>
      <w:autoSpaceDE w:val="0"/>
      <w:autoSpaceDN w:val="0"/>
      <w:adjustRightInd w:val="0"/>
      <w:spacing w:before="0" w:after="0" w:line="240" w:lineRule="auto"/>
    </w:pPr>
    <w:rPr>
      <w:rFonts w:ascii="Fira Sans SemiBold" w:hAnsi="Fira Sans SemiBold"/>
      <w:color w:val="FFFFFF" w:themeColor="background1"/>
      <w:sz w:val="40"/>
      <w:szCs w:val="56"/>
    </w:rPr>
  </w:style>
  <w:style w:type="character" w:customStyle="1" w:styleId="IkonawskanikaZnak">
    <w:name w:val="Ikona wskaźnika Znak"/>
    <w:basedOn w:val="Domylnaczcionkaakapitu"/>
    <w:link w:val="Ikonawskanika"/>
    <w:rsid w:val="00F049AB"/>
    <w:rPr>
      <w:rFonts w:ascii="Fira Sans SemiBold" w:hAnsi="Fira Sans SemiBold"/>
      <w:color w:val="66AFDE"/>
      <w:sz w:val="60"/>
      <w:szCs w:val="60"/>
    </w:rPr>
  </w:style>
  <w:style w:type="paragraph" w:customStyle="1" w:styleId="Opiswskanika">
    <w:name w:val="Opis wskaźnika"/>
    <w:basedOn w:val="tekstnaniebieskimtle"/>
    <w:link w:val="OpiswskanikaZnak"/>
    <w:qFormat/>
    <w:rsid w:val="00F049AB"/>
    <w:rPr>
      <w:color w:val="FFFFFF" w:themeColor="background1"/>
    </w:rPr>
  </w:style>
  <w:style w:type="character" w:customStyle="1" w:styleId="WartowskanikaZnak">
    <w:name w:val="Wartość wskaźnika Znak"/>
    <w:basedOn w:val="Domylnaczcionkaakapitu"/>
    <w:link w:val="Wartowskanika"/>
    <w:rsid w:val="00F049AB"/>
    <w:rPr>
      <w:rFonts w:ascii="Fira Sans SemiBold" w:hAnsi="Fira Sans SemiBold"/>
      <w:color w:val="FFFFFF" w:themeColor="background1"/>
      <w:sz w:val="40"/>
      <w:szCs w:val="56"/>
    </w:rPr>
  </w:style>
  <w:style w:type="paragraph" w:customStyle="1" w:styleId="Lead">
    <w:name w:val="Lead"/>
    <w:basedOn w:val="LID"/>
    <w:link w:val="LeadZnak"/>
    <w:qFormat/>
    <w:rsid w:val="00F049AB"/>
    <w:pPr>
      <w:spacing w:before="360"/>
    </w:pPr>
  </w:style>
  <w:style w:type="character" w:customStyle="1" w:styleId="tekstnaniebieskimtleZnak">
    <w:name w:val="tekst na niebieskim tle Znak"/>
    <w:basedOn w:val="Domylnaczcionkaakapitu"/>
    <w:link w:val="tekstnaniebieskimtle"/>
    <w:rsid w:val="00F049AB"/>
    <w:rPr>
      <w:rFonts w:ascii="Fira Sans" w:hAnsi="Fira Sans"/>
      <w:sz w:val="20"/>
    </w:rPr>
  </w:style>
  <w:style w:type="character" w:customStyle="1" w:styleId="OpiswskanikaZnak">
    <w:name w:val="Opis wskaźnika Znak"/>
    <w:basedOn w:val="tekstnaniebieskimtleZnak"/>
    <w:link w:val="Opiswskanika"/>
    <w:rsid w:val="00F049AB"/>
    <w:rPr>
      <w:rFonts w:ascii="Fira Sans" w:hAnsi="Fira Sans"/>
      <w:color w:val="FFFFFF" w:themeColor="background1"/>
      <w:sz w:val="20"/>
    </w:rPr>
  </w:style>
  <w:style w:type="paragraph" w:customStyle="1" w:styleId="Datainformacjisygnalnej">
    <w:name w:val="Data informacji sygnalnej"/>
    <w:basedOn w:val="Normalny"/>
    <w:link w:val="DatainformacjisygnalnejZnak"/>
    <w:qFormat/>
    <w:rsid w:val="00F049AB"/>
    <w:pPr>
      <w:jc w:val="both"/>
    </w:pPr>
    <w:rPr>
      <w:rFonts w:ascii="Fira Sans SemiBold" w:hAnsi="Fira Sans SemiBold"/>
      <w:color w:val="001D77"/>
      <w:sz w:val="20"/>
      <w:szCs w:val="20"/>
    </w:rPr>
  </w:style>
  <w:style w:type="character" w:customStyle="1" w:styleId="LIDZnak">
    <w:name w:val="LID Znak"/>
    <w:basedOn w:val="Domylnaczcionkaakapitu"/>
    <w:link w:val="LID"/>
    <w:rsid w:val="00F049AB"/>
    <w:rPr>
      <w:rFonts w:ascii="Fira Sans" w:hAnsi="Fira Sans"/>
      <w:b/>
      <w:noProof/>
      <w:sz w:val="19"/>
      <w:szCs w:val="19"/>
      <w:lang w:eastAsia="pl-PL"/>
    </w:rPr>
  </w:style>
  <w:style w:type="character" w:customStyle="1" w:styleId="LeadZnak">
    <w:name w:val="Lead Znak"/>
    <w:basedOn w:val="LIDZnak"/>
    <w:link w:val="Lead"/>
    <w:rsid w:val="00F049AB"/>
    <w:rPr>
      <w:rFonts w:ascii="Fira Sans" w:hAnsi="Fira Sans"/>
      <w:b/>
      <w:noProof/>
      <w:sz w:val="19"/>
      <w:szCs w:val="19"/>
      <w:lang w:eastAsia="pl-PL"/>
    </w:rPr>
  </w:style>
  <w:style w:type="paragraph" w:customStyle="1" w:styleId="Tytutablicy">
    <w:name w:val="Tytuł tablicy"/>
    <w:basedOn w:val="Nagwek1"/>
    <w:link w:val="TytutablicyZnak"/>
    <w:qFormat/>
    <w:rsid w:val="00CD1EBB"/>
    <w:rPr>
      <w:rFonts w:ascii="Fira Sans" w:hAnsi="Fira Sans"/>
      <w:b/>
      <w:color w:val="000000" w:themeColor="text1"/>
      <w:szCs w:val="19"/>
    </w:rPr>
  </w:style>
  <w:style w:type="character" w:customStyle="1" w:styleId="DatainformacjisygnalnejZnak">
    <w:name w:val="Data informacji sygnalnej Znak"/>
    <w:basedOn w:val="Domylnaczcionkaakapitu"/>
    <w:link w:val="Datainformacjisygnalnej"/>
    <w:rsid w:val="00F049AB"/>
    <w:rPr>
      <w:rFonts w:ascii="Fira Sans SemiBold" w:hAnsi="Fira Sans SemiBold"/>
      <w:color w:val="001D77"/>
      <w:sz w:val="20"/>
      <w:szCs w:val="20"/>
    </w:rPr>
  </w:style>
  <w:style w:type="paragraph" w:customStyle="1" w:styleId="Tablicagwka">
    <w:name w:val="Tablica główka"/>
    <w:basedOn w:val="Akapitzlist"/>
    <w:link w:val="TablicagwkaZnak"/>
    <w:qFormat/>
    <w:rsid w:val="00F049AB"/>
    <w:rPr>
      <w:rFonts w:eastAsia="Times New Roman" w:cs="Calibri"/>
      <w:szCs w:val="19"/>
      <w:lang w:eastAsia="pl-PL"/>
    </w:rPr>
  </w:style>
  <w:style w:type="character" w:customStyle="1" w:styleId="TytutablicyZnak">
    <w:name w:val="Tytuł tablicy Znak"/>
    <w:basedOn w:val="Nagwek1Znak"/>
    <w:link w:val="Tytutablicy"/>
    <w:rsid w:val="00CD1EBB"/>
    <w:rPr>
      <w:rFonts w:ascii="Fira Sans" w:eastAsia="Times New Roman" w:hAnsi="Fira Sans" w:cs="Times New Roman"/>
      <w:b/>
      <w:bCs/>
      <w:color w:val="000000" w:themeColor="text1"/>
      <w:sz w:val="19"/>
      <w:szCs w:val="19"/>
      <w:lang w:eastAsia="pl-PL"/>
    </w:rPr>
  </w:style>
  <w:style w:type="paragraph" w:customStyle="1" w:styleId="Tablicagwkarodek">
    <w:name w:val="Tablica główka środek"/>
    <w:basedOn w:val="Normalny"/>
    <w:link w:val="TablicagwkarodekZnak"/>
    <w:qFormat/>
    <w:rsid w:val="00F049AB"/>
    <w:pPr>
      <w:jc w:val="center"/>
    </w:pPr>
    <w:rPr>
      <w:rFonts w:eastAsia="Times New Roman" w:cs="Calibri"/>
      <w:szCs w:val="19"/>
      <w:lang w:eastAsia="pl-PL"/>
    </w:rPr>
  </w:style>
  <w:style w:type="character" w:customStyle="1" w:styleId="AkapitzlistZnak">
    <w:name w:val="Akapit z listą Znak"/>
    <w:basedOn w:val="Domylnaczcionkaakapitu"/>
    <w:link w:val="Akapitzlist"/>
    <w:uiPriority w:val="34"/>
    <w:rsid w:val="00F049AB"/>
    <w:rPr>
      <w:rFonts w:ascii="Fira Sans" w:hAnsi="Fira Sans"/>
      <w:sz w:val="19"/>
    </w:rPr>
  </w:style>
  <w:style w:type="character" w:customStyle="1" w:styleId="TablicagwkaZnak">
    <w:name w:val="Tablica główka Znak"/>
    <w:basedOn w:val="AkapitzlistZnak"/>
    <w:link w:val="Tablicagwka"/>
    <w:rsid w:val="00F049AB"/>
    <w:rPr>
      <w:rFonts w:ascii="Fira Sans" w:eastAsia="Times New Roman" w:hAnsi="Fira Sans" w:cs="Calibri"/>
      <w:sz w:val="19"/>
      <w:szCs w:val="19"/>
      <w:lang w:eastAsia="pl-PL"/>
    </w:rPr>
  </w:style>
  <w:style w:type="paragraph" w:customStyle="1" w:styleId="Tablicadanerodek">
    <w:name w:val="Tablica dane środek"/>
    <w:basedOn w:val="Normalny"/>
    <w:link w:val="TablicadanerodekZnak"/>
    <w:qFormat/>
    <w:rsid w:val="00966C9A"/>
    <w:pPr>
      <w:jc w:val="right"/>
    </w:pPr>
    <w:rPr>
      <w:rFonts w:eastAsia="Times New Roman" w:cs="Calibri"/>
      <w:szCs w:val="19"/>
      <w:lang w:eastAsia="pl-PL"/>
    </w:rPr>
  </w:style>
  <w:style w:type="character" w:customStyle="1" w:styleId="TablicagwkarodekZnak">
    <w:name w:val="Tablica główka środek Znak"/>
    <w:basedOn w:val="Domylnaczcionkaakapitu"/>
    <w:link w:val="Tablicagwkarodek"/>
    <w:rsid w:val="00F049AB"/>
    <w:rPr>
      <w:rFonts w:ascii="Fira Sans" w:eastAsia="Times New Roman" w:hAnsi="Fira Sans" w:cs="Calibri"/>
      <w:sz w:val="19"/>
      <w:szCs w:val="19"/>
      <w:lang w:eastAsia="pl-PL"/>
    </w:rPr>
  </w:style>
  <w:style w:type="paragraph" w:customStyle="1" w:styleId="Tablicaboczek">
    <w:name w:val="Tablica boczek"/>
    <w:basedOn w:val="Normalny"/>
    <w:link w:val="TablicaboczekZnak"/>
    <w:qFormat/>
    <w:rsid w:val="00966C9A"/>
    <w:rPr>
      <w:rFonts w:eastAsia="Times New Roman" w:cs="Calibri"/>
      <w:szCs w:val="19"/>
      <w:lang w:eastAsia="pl-PL"/>
    </w:rPr>
  </w:style>
  <w:style w:type="character" w:customStyle="1" w:styleId="TablicadanerodekZnak">
    <w:name w:val="Tablica dane środek Znak"/>
    <w:basedOn w:val="Domylnaczcionkaakapitu"/>
    <w:link w:val="Tablicadanerodek"/>
    <w:rsid w:val="00966C9A"/>
    <w:rPr>
      <w:rFonts w:ascii="Fira Sans" w:eastAsia="Times New Roman" w:hAnsi="Fira Sans" w:cs="Calibri"/>
      <w:sz w:val="19"/>
      <w:szCs w:val="19"/>
      <w:lang w:eastAsia="pl-PL"/>
    </w:rPr>
  </w:style>
  <w:style w:type="paragraph" w:customStyle="1" w:styleId="Tablicaboczekwcicie1">
    <w:name w:val="Tablica boczek wcięcie 1"/>
    <w:basedOn w:val="Normalny"/>
    <w:link w:val="Tablicaboczekwcicie1Znak"/>
    <w:qFormat/>
    <w:rsid w:val="00966C9A"/>
    <w:pPr>
      <w:ind w:firstLine="176"/>
    </w:pPr>
    <w:rPr>
      <w:szCs w:val="19"/>
    </w:rPr>
  </w:style>
  <w:style w:type="character" w:customStyle="1" w:styleId="TablicaboczekZnak">
    <w:name w:val="Tablica boczek Znak"/>
    <w:basedOn w:val="Domylnaczcionkaakapitu"/>
    <w:link w:val="Tablicaboczek"/>
    <w:rsid w:val="00966C9A"/>
    <w:rPr>
      <w:rFonts w:ascii="Fira Sans" w:eastAsia="Times New Roman" w:hAnsi="Fira Sans" w:cs="Calibri"/>
      <w:sz w:val="19"/>
      <w:szCs w:val="19"/>
      <w:lang w:eastAsia="pl-PL"/>
    </w:rPr>
  </w:style>
  <w:style w:type="paragraph" w:customStyle="1" w:styleId="Tablicaboczekwcicie2">
    <w:name w:val="Tablica boczek wcięcie 2"/>
    <w:basedOn w:val="Normalny"/>
    <w:link w:val="Tablicaboczekwcicie2Znak"/>
    <w:qFormat/>
    <w:rsid w:val="00966C9A"/>
    <w:pPr>
      <w:ind w:left="318"/>
    </w:pPr>
    <w:rPr>
      <w:szCs w:val="19"/>
    </w:rPr>
  </w:style>
  <w:style w:type="character" w:customStyle="1" w:styleId="Tablicaboczekwcicie1Znak">
    <w:name w:val="Tablica boczek wcięcie 1 Znak"/>
    <w:basedOn w:val="Domylnaczcionkaakapitu"/>
    <w:link w:val="Tablicaboczekwcicie1"/>
    <w:rsid w:val="00966C9A"/>
    <w:rPr>
      <w:rFonts w:ascii="Fira Sans" w:hAnsi="Fira Sans"/>
      <w:sz w:val="19"/>
      <w:szCs w:val="19"/>
    </w:rPr>
  </w:style>
  <w:style w:type="paragraph" w:customStyle="1" w:styleId="Tablicanotka">
    <w:name w:val="Tablica notka"/>
    <w:basedOn w:val="Normalny"/>
    <w:link w:val="TablicanotkaZnak"/>
    <w:qFormat/>
    <w:rsid w:val="00966C9A"/>
    <w:rPr>
      <w:noProof/>
      <w:spacing w:val="-2"/>
      <w:sz w:val="16"/>
      <w:szCs w:val="16"/>
    </w:rPr>
  </w:style>
  <w:style w:type="character" w:customStyle="1" w:styleId="Tablicaboczekwcicie2Znak">
    <w:name w:val="Tablica boczek wcięcie 2 Znak"/>
    <w:basedOn w:val="Domylnaczcionkaakapitu"/>
    <w:link w:val="Tablicaboczekwcicie2"/>
    <w:rsid w:val="00966C9A"/>
    <w:rPr>
      <w:rFonts w:ascii="Fira Sans" w:hAnsi="Fira Sans"/>
      <w:sz w:val="19"/>
      <w:szCs w:val="19"/>
    </w:rPr>
  </w:style>
  <w:style w:type="paragraph" w:customStyle="1" w:styleId="Przypis">
    <w:name w:val="Przypis"/>
    <w:basedOn w:val="Tekstprzypisudolnego"/>
    <w:link w:val="PrzypisZnak"/>
    <w:qFormat/>
    <w:rsid w:val="00966C9A"/>
    <w:rPr>
      <w:sz w:val="19"/>
      <w:szCs w:val="19"/>
      <w:shd w:val="clear" w:color="auto" w:fill="FFFFFF"/>
      <w:lang w:val="en-GB"/>
    </w:rPr>
  </w:style>
  <w:style w:type="character" w:customStyle="1" w:styleId="TablicanotkaZnak">
    <w:name w:val="Tablica notka Znak"/>
    <w:basedOn w:val="Domylnaczcionkaakapitu"/>
    <w:link w:val="Tablicanotka"/>
    <w:rsid w:val="00966C9A"/>
    <w:rPr>
      <w:rFonts w:ascii="Fira Sans" w:hAnsi="Fira Sans"/>
      <w:noProof/>
      <w:spacing w:val="-2"/>
      <w:sz w:val="16"/>
      <w:szCs w:val="16"/>
    </w:rPr>
  </w:style>
  <w:style w:type="paragraph" w:customStyle="1" w:styleId="Tekstwypunktowania">
    <w:name w:val="Tekst wypunktowania"/>
    <w:basedOn w:val="Normalny"/>
    <w:link w:val="TekstwypunktowaniaZnak"/>
    <w:qFormat/>
    <w:rsid w:val="00966C9A"/>
    <w:pPr>
      <w:numPr>
        <w:ilvl w:val="1"/>
        <w:numId w:val="4"/>
      </w:numPr>
      <w:spacing w:after="0" w:line="276" w:lineRule="auto"/>
      <w:ind w:left="425" w:hanging="425"/>
    </w:pPr>
    <w:rPr>
      <w:shd w:val="clear" w:color="auto" w:fill="FFFFFF"/>
      <w:lang w:val="en-GB"/>
    </w:rPr>
  </w:style>
  <w:style w:type="character" w:customStyle="1" w:styleId="PrzypisZnak">
    <w:name w:val="Przypis Znak"/>
    <w:basedOn w:val="TekstprzypisudolnegoZnak"/>
    <w:link w:val="Przypis"/>
    <w:rsid w:val="00966C9A"/>
    <w:rPr>
      <w:rFonts w:ascii="Fira Sans" w:hAnsi="Fira Sans"/>
      <w:sz w:val="19"/>
      <w:szCs w:val="19"/>
      <w:lang w:val="en-GB"/>
    </w:rPr>
  </w:style>
  <w:style w:type="paragraph" w:customStyle="1" w:styleId="Tytuwykresu0">
    <w:name w:val="Tytuł wykresu"/>
    <w:basedOn w:val="Nagwek1"/>
    <w:link w:val="TytuwykresuZnak"/>
    <w:qFormat/>
    <w:rsid w:val="00966C9A"/>
    <w:rPr>
      <w:b/>
      <w:noProof/>
      <w:color w:val="auto"/>
    </w:rPr>
  </w:style>
  <w:style w:type="character" w:customStyle="1" w:styleId="TekstwypunktowaniaZnak">
    <w:name w:val="Tekst wypunktowania Znak"/>
    <w:basedOn w:val="Domylnaczcionkaakapitu"/>
    <w:link w:val="Tekstwypunktowania"/>
    <w:rsid w:val="00966C9A"/>
    <w:rPr>
      <w:rFonts w:ascii="Fira Sans" w:hAnsi="Fira Sans"/>
      <w:sz w:val="19"/>
      <w:lang w:val="en-GB"/>
    </w:rPr>
  </w:style>
  <w:style w:type="character" w:customStyle="1" w:styleId="TytuwykresuZnak">
    <w:name w:val="Tytuł wykresu Znak"/>
    <w:basedOn w:val="Nagwek1Znak"/>
    <w:link w:val="Tytuwykresu0"/>
    <w:rsid w:val="00966C9A"/>
    <w:rPr>
      <w:rFonts w:ascii="Fira Sans SemiBold" w:eastAsia="Times New Roman" w:hAnsi="Fira Sans SemiBold" w:cs="Times New Roman"/>
      <w:b/>
      <w:bCs/>
      <w:noProof/>
      <w:color w:val="001D77"/>
      <w:sz w:val="19"/>
      <w:szCs w:val="24"/>
      <w:lang w:eastAsia="pl-PL"/>
    </w:rPr>
  </w:style>
  <w:style w:type="paragraph" w:customStyle="1" w:styleId="P68B1DB1-Bezodstpw1">
    <w:name w:val="P68B1DB1-Bezodstpw1"/>
    <w:basedOn w:val="Bezodstpw"/>
    <w:rsid w:val="00E95A15"/>
    <w:rPr>
      <w:rFonts w:ascii="Fira Sans Extra Condensed SemiB" w:eastAsiaTheme="minorEastAsia" w:hAnsi="Fira Sans Extra Condensed SemiB" w:cs="Arial"/>
      <w:sz w:val="40"/>
      <w:szCs w:val="40"/>
      <w:lang w:val="en" w:eastAsia="pl-PL"/>
    </w:rPr>
  </w:style>
  <w:style w:type="paragraph" w:styleId="Bezodstpw">
    <w:name w:val="No Spacing"/>
    <w:link w:val="BezodstpwZnak"/>
    <w:uiPriority w:val="1"/>
    <w:qFormat/>
    <w:rsid w:val="00E95A15"/>
    <w:pPr>
      <w:spacing w:after="0" w:line="240" w:lineRule="auto"/>
    </w:pPr>
    <w:rPr>
      <w:rFonts w:ascii="Fira Sans" w:hAnsi="Fira Sans"/>
      <w:sz w:val="19"/>
    </w:rPr>
  </w:style>
  <w:style w:type="character" w:customStyle="1" w:styleId="BezodstpwZnak">
    <w:name w:val="Bez odstępów Znak"/>
    <w:basedOn w:val="Domylnaczcionkaakapitu"/>
    <w:link w:val="Bezodstpw"/>
    <w:uiPriority w:val="1"/>
    <w:rsid w:val="00454DA0"/>
    <w:rPr>
      <w:rFonts w:ascii="Fira Sans" w:hAnsi="Fira Sans"/>
      <w:sz w:val="19"/>
    </w:rPr>
  </w:style>
  <w:style w:type="paragraph" w:customStyle="1" w:styleId="P68B1DB1-Bezodstpw2">
    <w:name w:val="P68B1DB1-Bezodstpw2"/>
    <w:basedOn w:val="Bezodstpw"/>
    <w:rsid w:val="00454DA0"/>
    <w:rPr>
      <w:rFonts w:eastAsia="Times New Roman" w:cs="Times New Roman"/>
      <w:szCs w:val="19"/>
      <w:lang w:val="en" w:eastAsia="pl-PL"/>
    </w:rPr>
  </w:style>
  <w:style w:type="paragraph" w:customStyle="1" w:styleId="P68B1DB1-Normalny3">
    <w:name w:val="P68B1DB1-Normalny3"/>
    <w:basedOn w:val="Normalny"/>
    <w:rsid w:val="0055005F"/>
    <w:rPr>
      <w:rFonts w:eastAsia="Times New Roman" w:cs="Times New Roman"/>
      <w:color w:val="FFFFFF" w:themeColor="background1"/>
      <w:sz w:val="20"/>
      <w:szCs w:val="20"/>
      <w:lang w:val="en" w:eastAsia="pl-PL"/>
    </w:rPr>
  </w:style>
  <w:style w:type="paragraph" w:customStyle="1" w:styleId="P68B1DB1-Normalny4">
    <w:name w:val="P68B1DB1-Normalny4"/>
    <w:basedOn w:val="Normalny"/>
    <w:rsid w:val="00320A07"/>
    <w:rPr>
      <w:rFonts w:cs="Arial"/>
      <w:b/>
      <w:sz w:val="20"/>
      <w:szCs w:val="20"/>
      <w:lang w:val="en" w:eastAsia="pl-PL"/>
    </w:rPr>
  </w:style>
  <w:style w:type="paragraph" w:customStyle="1" w:styleId="P68B1DB1-Normalny5">
    <w:name w:val="P68B1DB1-Normalny5"/>
    <w:basedOn w:val="Normalny"/>
    <w:rsid w:val="000818B4"/>
    <w:rPr>
      <w:rFonts w:ascii="Fira Sans SemiBold" w:eastAsia="Times New Roman" w:hAnsi="Fira Sans SemiBold" w:cs="Times New Roman"/>
      <w:color w:val="001D77"/>
      <w:szCs w:val="24"/>
      <w:lang w:val="en" w:eastAsia="pl-PL"/>
    </w:rPr>
  </w:style>
  <w:style w:type="paragraph" w:customStyle="1" w:styleId="P68B1DB1-tekstzboku6">
    <w:name w:val="P68B1DB1-tekstzboku6"/>
    <w:basedOn w:val="tekstzboku"/>
    <w:rsid w:val="000818B4"/>
    <w:rPr>
      <w:rFonts w:eastAsiaTheme="minorEastAsia" w:cs="Arial"/>
      <w:szCs w:val="19"/>
      <w:lang w:val="en"/>
    </w:rPr>
  </w:style>
  <w:style w:type="table" w:customStyle="1" w:styleId="Tabela-Siatka1">
    <w:name w:val="Tabela - Siatka1"/>
    <w:basedOn w:val="Standardowy"/>
    <w:next w:val="Tabela-Siatka"/>
    <w:uiPriority w:val="59"/>
    <w:rsid w:val="004E7AEC"/>
    <w:pPr>
      <w:spacing w:after="0" w:line="240" w:lineRule="auto"/>
    </w:pPr>
    <w:rPr>
      <w:lang w:val="en"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ny"/>
    <w:uiPriority w:val="1"/>
    <w:qFormat/>
    <w:rsid w:val="004E7AEC"/>
    <w:pPr>
      <w:widowControl w:val="0"/>
      <w:autoSpaceDE w:val="0"/>
      <w:autoSpaceDN w:val="0"/>
      <w:spacing w:before="0" w:after="0" w:line="240" w:lineRule="auto"/>
    </w:pPr>
    <w:rPr>
      <w:rFonts w:eastAsia="Fira Sans" w:cs="Fira Sans"/>
      <w:sz w:val="22"/>
      <w:lang w:val="en" w:eastAsia="pl-PL"/>
    </w:rPr>
  </w:style>
  <w:style w:type="paragraph" w:customStyle="1" w:styleId="P68B1DB1-Normalny7">
    <w:name w:val="P68B1DB1-Normalny7"/>
    <w:basedOn w:val="Normalny"/>
    <w:rsid w:val="004E7AEC"/>
    <w:rPr>
      <w:b/>
      <w:sz w:val="16"/>
      <w:szCs w:val="16"/>
      <w:lang w:val="en" w:eastAsia="pl-PL"/>
    </w:rPr>
  </w:style>
  <w:style w:type="paragraph" w:customStyle="1" w:styleId="P68B1DB1-Normalny8">
    <w:name w:val="P68B1DB1-Normalny8"/>
    <w:basedOn w:val="Normalny"/>
    <w:rsid w:val="004E7AEC"/>
    <w:rPr>
      <w:b/>
      <w:sz w:val="16"/>
      <w:lang w:val="en" w:eastAsia="pl-PL"/>
    </w:rPr>
  </w:style>
  <w:style w:type="paragraph" w:customStyle="1" w:styleId="P68B1DB1-Normalny9">
    <w:name w:val="P68B1DB1-Normalny9"/>
    <w:basedOn w:val="Normalny"/>
    <w:rsid w:val="004E7AEC"/>
    <w:rPr>
      <w:sz w:val="16"/>
      <w:lang w:val="en" w:eastAsia="pl-PL"/>
    </w:rPr>
  </w:style>
  <w:style w:type="paragraph" w:customStyle="1" w:styleId="P68B1DB1-Normalny10">
    <w:name w:val="P68B1DB1-Normalny10"/>
    <w:basedOn w:val="Normalny"/>
    <w:rsid w:val="004E7AEC"/>
    <w:rPr>
      <w:rFonts w:cs="Arial"/>
      <w:color w:val="000000" w:themeColor="text1"/>
      <w:sz w:val="16"/>
      <w:szCs w:val="16"/>
      <w:lang w:val="en" w:eastAsia="pl-PL"/>
    </w:rPr>
  </w:style>
  <w:style w:type="paragraph" w:customStyle="1" w:styleId="P68B1DB1-tekstzboku11">
    <w:name w:val="P68B1DB1-tekstzboku11"/>
    <w:basedOn w:val="tekstzboku"/>
    <w:rsid w:val="004E7AEC"/>
    <w:rPr>
      <w:color w:val="1F4E79" w:themeColor="accent1" w:themeShade="80"/>
      <w:lang w:val="en"/>
    </w:rPr>
  </w:style>
  <w:style w:type="paragraph" w:customStyle="1" w:styleId="P68B1DB1-Normalny12">
    <w:name w:val="P68B1DB1-Normalny12"/>
    <w:basedOn w:val="Normalny"/>
    <w:rsid w:val="001038E8"/>
    <w:rPr>
      <w:color w:val="000000" w:themeColor="text1"/>
      <w:szCs w:val="19"/>
      <w:lang w:val="en" w:eastAsia="pl-PL"/>
    </w:rPr>
  </w:style>
  <w:style w:type="paragraph" w:customStyle="1" w:styleId="P68B1DB1-Normalny13">
    <w:name w:val="P68B1DB1-Normalny13"/>
    <w:basedOn w:val="Normalny"/>
    <w:rsid w:val="001038E8"/>
    <w:rPr>
      <w:rFonts w:cs="Arial"/>
      <w:b/>
      <w:szCs w:val="19"/>
      <w:lang w:val="en" w:eastAsia="pl-PL"/>
    </w:rPr>
  </w:style>
  <w:style w:type="paragraph" w:customStyle="1" w:styleId="P68B1DB1-Normalny14">
    <w:name w:val="P68B1DB1-Normalny14"/>
    <w:basedOn w:val="Normalny"/>
    <w:rsid w:val="001038E8"/>
    <w:rPr>
      <w:rFonts w:cs="Arial"/>
      <w:color w:val="000000" w:themeColor="text1"/>
      <w:szCs w:val="19"/>
      <w:lang w:val="en" w:eastAsia="pl-PL"/>
    </w:rPr>
  </w:style>
  <w:style w:type="paragraph" w:customStyle="1" w:styleId="P68B1DB1-Normalny15">
    <w:name w:val="P68B1DB1-Normalny15"/>
    <w:basedOn w:val="Normalny"/>
    <w:rsid w:val="001038E8"/>
    <w:rPr>
      <w:szCs w:val="19"/>
      <w:lang w:val="en" w:eastAsia="pl-PL"/>
    </w:rPr>
  </w:style>
  <w:style w:type="paragraph" w:customStyle="1" w:styleId="P68B1DB1-Normalny16">
    <w:name w:val="P68B1DB1-Normalny16"/>
    <w:basedOn w:val="Normalny"/>
    <w:rsid w:val="001038E8"/>
    <w:rPr>
      <w:rFonts w:eastAsiaTheme="minorEastAsia" w:cs="Arial"/>
      <w:szCs w:val="19"/>
      <w:lang w:val="en" w:eastAsia="pl-PL"/>
    </w:rPr>
  </w:style>
  <w:style w:type="paragraph" w:customStyle="1" w:styleId="P68B1DB1-Normalny17">
    <w:name w:val="P68B1DB1-Normalny17"/>
    <w:basedOn w:val="Normalny"/>
    <w:rsid w:val="001038E8"/>
    <w:rPr>
      <w:rFonts w:ascii="Fira Sans Extra Condensed SemiB" w:hAnsi="Fira Sans Extra Condensed SemiB" w:cs="Arial"/>
      <w:sz w:val="38"/>
      <w:szCs w:val="38"/>
      <w:lang w:val="en" w:eastAsia="pl-PL"/>
    </w:rPr>
  </w:style>
  <w:style w:type="paragraph" w:customStyle="1" w:styleId="P68B1DB1-Normalny18">
    <w:name w:val="P68B1DB1-Normalny18"/>
    <w:basedOn w:val="Normalny"/>
    <w:rsid w:val="001038E8"/>
    <w:rPr>
      <w:rFonts w:ascii="Fira Sans Extra Condensed SemiB" w:hAnsi="Fira Sans Extra Condensed SemiB"/>
      <w:sz w:val="40"/>
      <w:lang w:val="en" w:eastAsia="pl-PL"/>
    </w:rPr>
  </w:style>
  <w:style w:type="paragraph" w:customStyle="1" w:styleId="P68B1DB1-Normalny19">
    <w:name w:val="P68B1DB1-Normalny19"/>
    <w:basedOn w:val="Normalny"/>
    <w:rsid w:val="001038E8"/>
    <w:rPr>
      <w:color w:val="FFFFFF" w:themeColor="background1"/>
      <w:lang w:val="en" w:eastAsia="pl-PL"/>
    </w:rPr>
  </w:style>
  <w:style w:type="paragraph" w:customStyle="1" w:styleId="P68B1DB1-Tekstprzypisudolnego38">
    <w:name w:val="P68B1DB1-Tekstprzypisudolnego38"/>
    <w:basedOn w:val="Tekstprzypisudolnego"/>
    <w:rsid w:val="001038E8"/>
    <w:rPr>
      <w:sz w:val="16"/>
      <w:szCs w:val="16"/>
      <w:lang w:val="en" w:eastAsia="pl-PL"/>
    </w:rPr>
  </w:style>
  <w:style w:type="paragraph" w:customStyle="1" w:styleId="P68B1DB1-Przypis39">
    <w:name w:val="P68B1DB1-Przypis39"/>
    <w:basedOn w:val="Przypis"/>
    <w:rsid w:val="001038E8"/>
    <w:rPr>
      <w:sz w:val="16"/>
      <w:szCs w:val="16"/>
      <w:lang w:val="en" w:eastAsia="pl-PL"/>
    </w:rPr>
  </w:style>
  <w:style w:type="table" w:customStyle="1" w:styleId="Tabela-Siatka2">
    <w:name w:val="Tabela - Siatka2"/>
    <w:basedOn w:val="Standardowy"/>
    <w:next w:val="Tabela-Siatka"/>
    <w:uiPriority w:val="59"/>
    <w:rsid w:val="001038E8"/>
    <w:pPr>
      <w:spacing w:after="0" w:line="240" w:lineRule="auto"/>
    </w:pPr>
    <w:rPr>
      <w:lang w:val="en"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68B1DB1-Normalny20">
    <w:name w:val="P68B1DB1-Normalny20"/>
    <w:basedOn w:val="Normalny"/>
    <w:rsid w:val="001038E8"/>
    <w:rPr>
      <w:b/>
      <w:lang w:val="en" w:eastAsia="pl-PL"/>
    </w:rPr>
  </w:style>
  <w:style w:type="paragraph" w:customStyle="1" w:styleId="P68B1DB1-Normalny21">
    <w:name w:val="P68B1DB1-Normalny21"/>
    <w:basedOn w:val="Normalny"/>
    <w:rsid w:val="001038E8"/>
    <w:rPr>
      <w:rFonts w:eastAsiaTheme="minorEastAsia" w:cs="Arial"/>
      <w:sz w:val="16"/>
      <w:szCs w:val="16"/>
      <w:lang w:val="en" w:eastAsia="pl-PL"/>
    </w:rPr>
  </w:style>
  <w:style w:type="table" w:customStyle="1" w:styleId="Tabela-Siatka21">
    <w:name w:val="Tabela - Siatka21"/>
    <w:basedOn w:val="Standardowy"/>
    <w:next w:val="Tabela-Siatka"/>
    <w:uiPriority w:val="59"/>
    <w:rsid w:val="001038E8"/>
    <w:pPr>
      <w:spacing w:after="0" w:line="240" w:lineRule="auto"/>
    </w:pPr>
    <w:rPr>
      <w:lang w:val="en"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68B1DB1-Normalny22">
    <w:name w:val="P68B1DB1-Normalny22"/>
    <w:basedOn w:val="Normalny"/>
    <w:rsid w:val="001038E8"/>
    <w:rPr>
      <w:rFonts w:eastAsia="Times New Roman" w:cs="Times New Roman"/>
      <w:color w:val="001D77"/>
      <w:szCs w:val="19"/>
      <w:lang w:val="en" w:eastAsia="pl-PL"/>
    </w:rPr>
  </w:style>
  <w:style w:type="paragraph" w:customStyle="1" w:styleId="P68B1DB1-Normalny23">
    <w:name w:val="P68B1DB1-Normalny23"/>
    <w:basedOn w:val="Normalny"/>
    <w:rsid w:val="001038E8"/>
    <w:rPr>
      <w:rFonts w:cs="Calibri"/>
      <w:sz w:val="16"/>
      <w:szCs w:val="16"/>
      <w:lang w:val="en" w:eastAsia="pl-PL"/>
    </w:rPr>
  </w:style>
  <w:style w:type="paragraph" w:customStyle="1" w:styleId="P68B1DB1-Normalny24">
    <w:name w:val="P68B1DB1-Normalny24"/>
    <w:basedOn w:val="Normalny"/>
    <w:rsid w:val="001038E8"/>
    <w:rPr>
      <w:color w:val="001D77"/>
      <w:lang w:val="en" w:eastAsia="pl-PL"/>
    </w:rPr>
  </w:style>
  <w:style w:type="paragraph" w:customStyle="1" w:styleId="P68B1DB1-Normalny25">
    <w:name w:val="P68B1DB1-Normalny25"/>
    <w:basedOn w:val="Normalny"/>
    <w:rsid w:val="001038E8"/>
    <w:rPr>
      <w:rFonts w:ascii="Fira Sans SemiBold" w:eastAsia="Times New Roman" w:hAnsi="Fira Sans SemiBold" w:cs="Times New Roman"/>
      <w:color w:val="001D77"/>
      <w:sz w:val="28"/>
      <w:szCs w:val="28"/>
      <w:lang w:val="en" w:eastAsia="pl-PL"/>
    </w:rPr>
  </w:style>
  <w:style w:type="paragraph" w:customStyle="1" w:styleId="P68B1DB1-Normalny26">
    <w:name w:val="P68B1DB1-Normalny26"/>
    <w:basedOn w:val="Normalny"/>
    <w:rsid w:val="001038E8"/>
    <w:rPr>
      <w:rFonts w:ascii="Fira Sans SemiBold" w:eastAsia="Times New Roman" w:hAnsi="Fira Sans SemiBold" w:cs="Times New Roman"/>
      <w:szCs w:val="24"/>
      <w:lang w:val="en" w:eastAsia="pl-PL"/>
    </w:rPr>
  </w:style>
  <w:style w:type="paragraph" w:customStyle="1" w:styleId="P68B1DB1-Normalny27">
    <w:name w:val="P68B1DB1-Normalny27"/>
    <w:basedOn w:val="Normalny"/>
    <w:rsid w:val="001038E8"/>
    <w:rPr>
      <w:color w:val="000000" w:themeColor="text1"/>
      <w:lang w:val="en" w:eastAsia="pl-PL"/>
    </w:rPr>
  </w:style>
  <w:style w:type="paragraph" w:customStyle="1" w:styleId="P68B1DB1-Normalny29">
    <w:name w:val="P68B1DB1-Normalny29"/>
    <w:basedOn w:val="Normalny"/>
    <w:rsid w:val="00FB5641"/>
    <w:rPr>
      <w:rFonts w:cs="Arial"/>
      <w:b/>
      <w:color w:val="000000" w:themeColor="text1"/>
      <w:sz w:val="20"/>
      <w:lang w:val="en" w:eastAsia="pl-PL"/>
    </w:rPr>
  </w:style>
  <w:style w:type="paragraph" w:customStyle="1" w:styleId="P68B1DB1-Normalny30">
    <w:name w:val="P68B1DB1-Normalny30"/>
    <w:basedOn w:val="Normalny"/>
    <w:rsid w:val="00072592"/>
    <w:rPr>
      <w:b/>
      <w:sz w:val="20"/>
      <w:szCs w:val="20"/>
      <w:lang w:val="en" w:eastAsia="pl-PL"/>
    </w:rPr>
  </w:style>
  <w:style w:type="paragraph" w:customStyle="1" w:styleId="P68B1DB1-Normalny28">
    <w:name w:val="P68B1DB1-Normalny28"/>
    <w:basedOn w:val="Normalny"/>
    <w:rsid w:val="0037583B"/>
    <w:rPr>
      <w:rFonts w:cs="Arial"/>
      <w:sz w:val="20"/>
      <w:lang w:val="en" w:eastAsia="pl-PL"/>
    </w:rPr>
  </w:style>
  <w:style w:type="paragraph" w:customStyle="1" w:styleId="P68B1DB1-Normalny32">
    <w:name w:val="P68B1DB1-Normalny32"/>
    <w:basedOn w:val="Normalny"/>
    <w:rsid w:val="0037583B"/>
    <w:rPr>
      <w:sz w:val="20"/>
      <w:lang w:val="en" w:eastAsia="pl-PL"/>
    </w:rPr>
  </w:style>
  <w:style w:type="paragraph" w:customStyle="1" w:styleId="P68B1DB1-TableParagraph33">
    <w:name w:val="P68B1DB1-TableParagraph33"/>
    <w:basedOn w:val="TableParagraph"/>
    <w:rsid w:val="0037583B"/>
    <w:rPr>
      <w:color w:val="0000FF"/>
      <w:sz w:val="19"/>
      <w:u w:val="single" w:color="0000FF"/>
    </w:rPr>
  </w:style>
  <w:style w:type="paragraph" w:customStyle="1" w:styleId="P68B1DB1-TableParagraph34">
    <w:name w:val="P68B1DB1-TableParagraph34"/>
    <w:basedOn w:val="TableParagraph"/>
    <w:rsid w:val="0037583B"/>
    <w:rPr>
      <w:color w:val="0000FF"/>
      <w:sz w:val="19"/>
      <w:szCs w:val="19"/>
      <w:u w:val="single"/>
    </w:rPr>
  </w:style>
  <w:style w:type="paragraph" w:customStyle="1" w:styleId="P68B1DB1-TableParagraph35">
    <w:name w:val="P68B1DB1-TableParagraph35"/>
    <w:basedOn w:val="TableParagraph"/>
    <w:rsid w:val="0037583B"/>
    <w:rPr>
      <w:color w:val="0000FF"/>
      <w:sz w:val="19"/>
      <w:szCs w:val="19"/>
      <w:u w:val="single" w:color="0000FF"/>
    </w:rPr>
  </w:style>
  <w:style w:type="paragraph" w:customStyle="1" w:styleId="P68B1DB1-Normalny36">
    <w:name w:val="P68B1DB1-Normalny36"/>
    <w:basedOn w:val="Normalny"/>
    <w:rsid w:val="0037583B"/>
    <w:rPr>
      <w:b/>
      <w:color w:val="000000" w:themeColor="text1"/>
      <w:szCs w:val="24"/>
      <w:lang w:val="en" w:eastAsia="pl-PL"/>
    </w:rPr>
  </w:style>
  <w:style w:type="paragraph" w:customStyle="1" w:styleId="P68B1DB1-TableParagraph37">
    <w:name w:val="P68B1DB1-TableParagraph37"/>
    <w:basedOn w:val="TableParagraph"/>
    <w:rsid w:val="0037583B"/>
    <w:rPr>
      <w:color w:val="0000FF"/>
      <w:sz w:val="19"/>
    </w:rPr>
  </w:style>
  <w:style w:type="character" w:styleId="UyteHipercze">
    <w:name w:val="FollowedHyperlink"/>
    <w:basedOn w:val="Domylnaczcionkaakapitu"/>
    <w:uiPriority w:val="99"/>
    <w:semiHidden/>
    <w:unhideWhenUsed/>
    <w:rsid w:val="00F97CD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0641101">
      <w:bodyDiv w:val="1"/>
      <w:marLeft w:val="0"/>
      <w:marRight w:val="0"/>
      <w:marTop w:val="0"/>
      <w:marBottom w:val="0"/>
      <w:divBdr>
        <w:top w:val="none" w:sz="0" w:space="0" w:color="auto"/>
        <w:left w:val="none" w:sz="0" w:space="0" w:color="auto"/>
        <w:bottom w:val="none" w:sz="0" w:space="0" w:color="auto"/>
        <w:right w:val="none" w:sz="0" w:space="0" w:color="auto"/>
      </w:divBdr>
    </w:div>
    <w:div w:id="64688377">
      <w:bodyDiv w:val="1"/>
      <w:marLeft w:val="0"/>
      <w:marRight w:val="0"/>
      <w:marTop w:val="0"/>
      <w:marBottom w:val="0"/>
      <w:divBdr>
        <w:top w:val="none" w:sz="0" w:space="0" w:color="auto"/>
        <w:left w:val="none" w:sz="0" w:space="0" w:color="auto"/>
        <w:bottom w:val="none" w:sz="0" w:space="0" w:color="auto"/>
        <w:right w:val="none" w:sz="0" w:space="0" w:color="auto"/>
      </w:divBdr>
    </w:div>
    <w:div w:id="111755922">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410586172">
      <w:bodyDiv w:val="1"/>
      <w:marLeft w:val="0"/>
      <w:marRight w:val="0"/>
      <w:marTop w:val="0"/>
      <w:marBottom w:val="0"/>
      <w:divBdr>
        <w:top w:val="none" w:sz="0" w:space="0" w:color="auto"/>
        <w:left w:val="none" w:sz="0" w:space="0" w:color="auto"/>
        <w:bottom w:val="none" w:sz="0" w:space="0" w:color="auto"/>
        <w:right w:val="none" w:sz="0" w:space="0" w:color="auto"/>
      </w:divBdr>
    </w:div>
    <w:div w:id="422379832">
      <w:bodyDiv w:val="1"/>
      <w:marLeft w:val="0"/>
      <w:marRight w:val="0"/>
      <w:marTop w:val="0"/>
      <w:marBottom w:val="0"/>
      <w:divBdr>
        <w:top w:val="none" w:sz="0" w:space="0" w:color="auto"/>
        <w:left w:val="none" w:sz="0" w:space="0" w:color="auto"/>
        <w:bottom w:val="none" w:sz="0" w:space="0" w:color="auto"/>
        <w:right w:val="none" w:sz="0" w:space="0" w:color="auto"/>
      </w:divBdr>
    </w:div>
    <w:div w:id="498038238">
      <w:bodyDiv w:val="1"/>
      <w:marLeft w:val="0"/>
      <w:marRight w:val="0"/>
      <w:marTop w:val="0"/>
      <w:marBottom w:val="0"/>
      <w:divBdr>
        <w:top w:val="none" w:sz="0" w:space="0" w:color="auto"/>
        <w:left w:val="none" w:sz="0" w:space="0" w:color="auto"/>
        <w:bottom w:val="none" w:sz="0" w:space="0" w:color="auto"/>
        <w:right w:val="none" w:sz="0" w:space="0" w:color="auto"/>
      </w:divBdr>
      <w:divsChild>
        <w:div w:id="1331908608">
          <w:marLeft w:val="0"/>
          <w:marRight w:val="0"/>
          <w:marTop w:val="0"/>
          <w:marBottom w:val="0"/>
          <w:divBdr>
            <w:top w:val="none" w:sz="0" w:space="0" w:color="auto"/>
            <w:left w:val="none" w:sz="0" w:space="0" w:color="auto"/>
            <w:bottom w:val="none" w:sz="0" w:space="0" w:color="auto"/>
            <w:right w:val="none" w:sz="0" w:space="0" w:color="auto"/>
          </w:divBdr>
          <w:divsChild>
            <w:div w:id="1311053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723260399">
      <w:bodyDiv w:val="1"/>
      <w:marLeft w:val="0"/>
      <w:marRight w:val="0"/>
      <w:marTop w:val="0"/>
      <w:marBottom w:val="0"/>
      <w:divBdr>
        <w:top w:val="none" w:sz="0" w:space="0" w:color="auto"/>
        <w:left w:val="none" w:sz="0" w:space="0" w:color="auto"/>
        <w:bottom w:val="none" w:sz="0" w:space="0" w:color="auto"/>
        <w:right w:val="none" w:sz="0" w:space="0" w:color="auto"/>
      </w:divBdr>
    </w:div>
    <w:div w:id="882866784">
      <w:bodyDiv w:val="1"/>
      <w:marLeft w:val="0"/>
      <w:marRight w:val="0"/>
      <w:marTop w:val="0"/>
      <w:marBottom w:val="0"/>
      <w:divBdr>
        <w:top w:val="none" w:sz="0" w:space="0" w:color="auto"/>
        <w:left w:val="none" w:sz="0" w:space="0" w:color="auto"/>
        <w:bottom w:val="none" w:sz="0" w:space="0" w:color="auto"/>
        <w:right w:val="none" w:sz="0" w:space="0" w:color="auto"/>
      </w:divBdr>
    </w:div>
    <w:div w:id="1056392751">
      <w:bodyDiv w:val="1"/>
      <w:marLeft w:val="0"/>
      <w:marRight w:val="0"/>
      <w:marTop w:val="0"/>
      <w:marBottom w:val="0"/>
      <w:divBdr>
        <w:top w:val="none" w:sz="0" w:space="0" w:color="auto"/>
        <w:left w:val="none" w:sz="0" w:space="0" w:color="auto"/>
        <w:bottom w:val="none" w:sz="0" w:space="0" w:color="auto"/>
        <w:right w:val="none" w:sz="0" w:space="0" w:color="auto"/>
      </w:divBdr>
    </w:div>
    <w:div w:id="1233351061">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323777960">
      <w:bodyDiv w:val="1"/>
      <w:marLeft w:val="0"/>
      <w:marRight w:val="0"/>
      <w:marTop w:val="0"/>
      <w:marBottom w:val="0"/>
      <w:divBdr>
        <w:top w:val="none" w:sz="0" w:space="0" w:color="auto"/>
        <w:left w:val="none" w:sz="0" w:space="0" w:color="auto"/>
        <w:bottom w:val="none" w:sz="0" w:space="0" w:color="auto"/>
        <w:right w:val="none" w:sz="0" w:space="0" w:color="auto"/>
      </w:divBdr>
    </w:div>
    <w:div w:id="1411581181">
      <w:bodyDiv w:val="1"/>
      <w:marLeft w:val="0"/>
      <w:marRight w:val="0"/>
      <w:marTop w:val="0"/>
      <w:marBottom w:val="0"/>
      <w:divBdr>
        <w:top w:val="none" w:sz="0" w:space="0" w:color="auto"/>
        <w:left w:val="none" w:sz="0" w:space="0" w:color="auto"/>
        <w:bottom w:val="none" w:sz="0" w:space="0" w:color="auto"/>
        <w:right w:val="none" w:sz="0" w:space="0" w:color="auto"/>
      </w:divBdr>
    </w:div>
    <w:div w:id="1461343618">
      <w:bodyDiv w:val="1"/>
      <w:marLeft w:val="0"/>
      <w:marRight w:val="0"/>
      <w:marTop w:val="0"/>
      <w:marBottom w:val="0"/>
      <w:divBdr>
        <w:top w:val="none" w:sz="0" w:space="0" w:color="auto"/>
        <w:left w:val="none" w:sz="0" w:space="0" w:color="auto"/>
        <w:bottom w:val="none" w:sz="0" w:space="0" w:color="auto"/>
        <w:right w:val="none" w:sz="0" w:space="0" w:color="auto"/>
      </w:divBdr>
    </w:div>
    <w:div w:id="1491411705">
      <w:bodyDiv w:val="1"/>
      <w:marLeft w:val="0"/>
      <w:marRight w:val="0"/>
      <w:marTop w:val="0"/>
      <w:marBottom w:val="0"/>
      <w:divBdr>
        <w:top w:val="none" w:sz="0" w:space="0" w:color="auto"/>
        <w:left w:val="none" w:sz="0" w:space="0" w:color="auto"/>
        <w:bottom w:val="none" w:sz="0" w:space="0" w:color="auto"/>
        <w:right w:val="none" w:sz="0" w:space="0" w:color="auto"/>
      </w:divBdr>
    </w:div>
    <w:div w:id="1875192588">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9.png"/><Relationship Id="rId26" Type="http://schemas.openxmlformats.org/officeDocument/2006/relationships/header" Target="header2.xml"/><Relationship Id="rId39" Type="http://schemas.openxmlformats.org/officeDocument/2006/relationships/hyperlink" Target="https://www.linkedin.com/company/glownyurzadstatystyczny/" TargetMode="External"/><Relationship Id="rId21" Type="http://schemas.openxmlformats.org/officeDocument/2006/relationships/hyperlink" Target="https://sip.legalis.pl/document-view.seam?documentId=mfrxilrtg4ytqnzygyzdcltqmfyc4nrxgyztcmrzge" TargetMode="External"/><Relationship Id="rId34" Type="http://schemas.openxmlformats.org/officeDocument/2006/relationships/hyperlink" Target="https://www.facebook.com/GlownyUrzadStatystyczny" TargetMode="External"/><Relationship Id="rId42" Type="http://schemas.openxmlformats.org/officeDocument/2006/relationships/hyperlink" Target="https://stat.gov.pl/sygnalne/komunikaty-i-obwieszczenia/lista-komunikatow-i-obwieszczen/obwieszczenie-w-sprawie-narodowego-rachunku-zdrowia-za-2023-r-,283,12.html" TargetMode="External"/><Relationship Id="rId47" Type="http://schemas.openxmlformats.org/officeDocument/2006/relationships/hyperlink" Target="https://stat.gov.pl/metainformacje/slownik-pojec/pojecia-stosowane-w-statystyce-publicznej/1951%2Cpojecie.html" TargetMode="External"/><Relationship Id="rId50" Type="http://schemas.openxmlformats.org/officeDocument/2006/relationships/hyperlink" Target="https://stat.gov.pl/metainformacje/slownik-pojec/pojecia-stosowane-w-statystyce-publicznej/3161%2Cpojecie.html" TargetMode="Externa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7.png"/><Relationship Id="rId29" Type="http://schemas.openxmlformats.org/officeDocument/2006/relationships/image" Target="media/image12.png"/><Relationship Id="rId11" Type="http://schemas.openxmlformats.org/officeDocument/2006/relationships/image" Target="media/image4.png"/><Relationship Id="rId24" Type="http://schemas.openxmlformats.org/officeDocument/2006/relationships/header" Target="header1.xml"/><Relationship Id="rId32" Type="http://schemas.openxmlformats.org/officeDocument/2006/relationships/hyperlink" Target="https://x.com/StatPoland" TargetMode="External"/><Relationship Id="rId37" Type="http://schemas.openxmlformats.org/officeDocument/2006/relationships/image" Target="media/image16.png"/><Relationship Id="rId40" Type="http://schemas.openxmlformats.org/officeDocument/2006/relationships/image" Target="media/image17.png"/><Relationship Id="rId45" Type="http://schemas.openxmlformats.org/officeDocument/2006/relationships/hyperlink" Target="https://eur-lex.europa.eu/legal-content/PL/TXT/PDF/?uri=CELEX:32021R1901" TargetMode="External"/><Relationship Id="rId53"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19" Type="http://schemas.openxmlformats.org/officeDocument/2006/relationships/image" Target="media/image10.png"/><Relationship Id="rId31" Type="http://schemas.openxmlformats.org/officeDocument/2006/relationships/image" Target="media/image13.png"/><Relationship Id="rId44" Type="http://schemas.openxmlformats.org/officeDocument/2006/relationships/hyperlink" Target="https://ec.europa.eu/eurostat/web/products-manuals-and-guidelines/-/ks-05-19-103" TargetMode="External"/><Relationship Id="rId52"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stat.gov.pl/wskazniki-makroekonomiczne/" TargetMode="External"/><Relationship Id="rId22" Type="http://schemas.openxmlformats.org/officeDocument/2006/relationships/hyperlink" Target="https://sip.legalis.pl/document-view.seam?documentId=mfrxilrtg4ytqnzygyzdcltqmfyc4nrxgyztaojsgu" TargetMode="External"/><Relationship Id="rId27" Type="http://schemas.openxmlformats.org/officeDocument/2006/relationships/footer" Target="footer2.xml"/><Relationship Id="rId30" Type="http://schemas.openxmlformats.org/officeDocument/2006/relationships/hyperlink" Target="https://new.stat.gov.pl/en" TargetMode="External"/><Relationship Id="rId35" Type="http://schemas.openxmlformats.org/officeDocument/2006/relationships/image" Target="media/image15.png"/><Relationship Id="rId43" Type="http://schemas.openxmlformats.org/officeDocument/2006/relationships/hyperlink" Target="https://ec.europa.eu/eurostat/web/products-manuals-and-guidelines/-/ks-05-19-103" TargetMode="External"/><Relationship Id="rId48" Type="http://schemas.openxmlformats.org/officeDocument/2006/relationships/hyperlink" Target="https://stat.gov.pl/metainformacje/slownik-pojec/pojecia-stosowane-w-statystyce-publicznej/3908%2Cpojecie.html" TargetMode="External"/><Relationship Id="rId8" Type="http://schemas.openxmlformats.org/officeDocument/2006/relationships/webSettings" Target="webSettings.xml"/><Relationship Id="rId51" Type="http://schemas.openxmlformats.org/officeDocument/2006/relationships/header" Target="header3.xml"/><Relationship Id="rId3" Type="http://schemas.openxmlformats.org/officeDocument/2006/relationships/customXml" Target="../customXml/item3.xml"/><Relationship Id="rId12" Type="http://schemas.openxmlformats.org/officeDocument/2006/relationships/hyperlink" Target="https://data-explorer.oecd.org/" TargetMode="External"/><Relationship Id="rId17" Type="http://schemas.openxmlformats.org/officeDocument/2006/relationships/image" Target="media/image8.png"/><Relationship Id="rId25" Type="http://schemas.openxmlformats.org/officeDocument/2006/relationships/footer" Target="footer1.xml"/><Relationship Id="rId33" Type="http://schemas.openxmlformats.org/officeDocument/2006/relationships/image" Target="media/image14.png"/><Relationship Id="rId38" Type="http://schemas.openxmlformats.org/officeDocument/2006/relationships/hyperlink" Target="https://youtube.com/@glownyurzadstatystycznygus?si=IgHa1awoYniiJyQI" TargetMode="External"/><Relationship Id="rId46" Type="http://schemas.openxmlformats.org/officeDocument/2006/relationships/hyperlink" Target="https://data-explorer.oecd.org/?fs%5b0%5d=Topic%2C1%7CHealth%23HEA%23%7CHealth%20expenditure%20and%20financing%23HEA_EXP%23&amp;pg=0&amp;fc=Topic&amp;bp=true&amp;snb=5" TargetMode="External"/><Relationship Id="rId20" Type="http://schemas.openxmlformats.org/officeDocument/2006/relationships/hyperlink" Target="https://sip.legalis.pl/document-view.seam?documentId=mfrxilrtg4ytoobqgyztcltqmfyc4nruguztonbtha" TargetMode="External"/><Relationship Id="rId41" Type="http://schemas.openxmlformats.org/officeDocument/2006/relationships/hyperlink" Target="https://stat.gov.pl/obszary-tematyczne/zdrowie/zdrowie/zdrowie-i-ochrona-zdrowia-w-2024-r-,1,15.html" TargetMode="External"/><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6.png"/><Relationship Id="rId23" Type="http://schemas.openxmlformats.org/officeDocument/2006/relationships/hyperlink" Target="https://sip.legalis.pl/document-view.seam?documentId=mfrxilrtg4ytqmzqgqzdgltqmfyc4nrzgq3danrwhe" TargetMode="External"/><Relationship Id="rId28" Type="http://schemas.openxmlformats.org/officeDocument/2006/relationships/hyperlink" Target="mailto:obslugaprasowa@stat.gov.pl" TargetMode="External"/><Relationship Id="rId36" Type="http://schemas.openxmlformats.org/officeDocument/2006/relationships/hyperlink" Target="https://www.instagram.com/gus_stat/?next" TargetMode="External"/><Relationship Id="rId49" Type="http://schemas.openxmlformats.org/officeDocument/2006/relationships/hyperlink" Target="https://stat.gov.pl/metainformacje/slownik-pojec/pojecia-stosowane-w-statystyce-publicznej/896%2Cpojecie.html"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notes.xml.rels><?xml version="1.0" encoding="UTF-8" standalone="yes"?>
<Relationships xmlns="http://schemas.openxmlformats.org/package/2006/relationships"><Relationship Id="rId3" Type="http://schemas.openxmlformats.org/officeDocument/2006/relationships/hyperlink" Target="https://stat.gov.pl/thematic%20areas/price-trade/price-indicators/price-indicators-of-goods-and-consumer-services-pot-inflation-/annual-price-indicators-of-goods-and-consumer-services/" TargetMode="External"/><Relationship Id="rId2" Type="http://schemas.openxmlformats.org/officeDocument/2006/relationships/hyperlink" Target="https://stat.gov.pl/wskazniki-makroekonomiczne/" TargetMode="External"/><Relationship Id="rId1" Type="http://schemas.openxmlformats.org/officeDocument/2006/relationships/hyperlink" Target="http://dx.doi.org/10.1787/9789264270985-en"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1.png"/></Relationships>
</file>

<file path=word/_rels/numbering.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bwMode="auto">
        <a:noFill/>
        <a:ln w="9525">
          <a:noFill/>
          <a:miter lim="800000"/>
          <a:headEnd/>
          <a:tailEnd/>
        </a:ln>
      </a:spPr>
      <a:bodyPr rot="0" vert="horz" wrap="square" lIns="91440" tIns="45720" rIns="91440" bIns="45720" anchor="t" anchorCtr="0">
        <a:noAutofit/>
      </a:bodyPr>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44DF1BA9951007438FCA488A6A01397F" ma:contentTypeVersion="3" ma:contentTypeDescription="Utwórz nowy dokument." ma:contentTypeScope="" ma:versionID="25de0ba1ad273dd82fa4662aa9cac7ff">
  <xsd:schema xmlns:xsd="http://www.w3.org/2001/XMLSchema" xmlns:xs="http://www.w3.org/2001/XMLSchema" xmlns:p="http://schemas.microsoft.com/office/2006/metadata/properties" xmlns:ns2="b5698c14-9734-4c2e-b0a6-c0f0e0420a38" xmlns:ns3="30d47203-49ec-4c8c-a442-62231931aabb" targetNamespace="http://schemas.microsoft.com/office/2006/metadata/properties" ma:root="true" ma:fieldsID="95dec78da16e5819f1d492a663dcd834" ns2:_="" ns3:_="">
    <xsd:import namespace="b5698c14-9734-4c2e-b0a6-c0f0e0420a38"/>
    <xsd:import namespace="30d47203-49ec-4c8c-a442-62231931aabb"/>
    <xsd:element name="properties">
      <xsd:complexType>
        <xsd:sequence>
          <xsd:element name="documentManagement">
            <xsd:complexType>
              <xsd:all>
                <xsd:element ref="ns2:Tematyka" minOccurs="0"/>
                <xsd:element ref="ns3:Kolejno_x015b__x0107_" minOccurs="0"/>
                <xsd:element ref="ns2:Uwagi"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698c14-9734-4c2e-b0a6-c0f0e0420a38" elementFormDefault="qualified">
    <xsd:import namespace="http://schemas.microsoft.com/office/2006/documentManagement/types"/>
    <xsd:import namespace="http://schemas.microsoft.com/office/infopath/2007/PartnerControls"/>
    <xsd:element name="Tematyka" ma:index="2" nillable="true" ma:displayName=":" ma:description="Należy wybrać tematykę pliku" ma:format="Dropdown" ma:internalName="Tematyka">
      <xsd:simpleType>
        <xsd:restriction base="dms:Choice">
          <xsd:enumeration value="00 - Organizacja Systemu Publikacyjnego"/>
          <xsd:enumeration value="00 - Zasady - skład i typografia"/>
          <xsd:enumeration value="01 - Analizy statystyczne"/>
          <xsd:enumeration value="02 - Informacje statystyczne"/>
          <xsd:enumeration value="03 - Roczniki statystyczne"/>
          <xsd:enumeration value="04 - Foldery i publikacje okolicznościowe"/>
          <xsd:enumeration value="05 - Prace eksperymentalne"/>
          <xsd:enumeration value="06 - Metodologia badań statystycznych"/>
          <xsd:enumeration value="07 - Informacje sygnalne"/>
          <xsd:enumeration value="08 - Archiwum"/>
          <xsd:enumeration value="10 - Księga Identyfikacji Wizualnej"/>
        </xsd:restriction>
      </xsd:simpleType>
    </xsd:element>
    <xsd:element name="Uwagi" ma:index="10" nillable="true" ma:displayName="Uwagi" ma:internalName="Uwagi">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d47203-49ec-4c8c-a442-62231931aabb" elementFormDefault="qualified">
    <xsd:import namespace="http://schemas.microsoft.com/office/2006/documentManagement/types"/>
    <xsd:import namespace="http://schemas.microsoft.com/office/infopath/2007/PartnerControls"/>
    <xsd:element name="Kolejno_x015b__x0107_" ma:index="3" nillable="true" ma:displayName="Kolejność" ma:decimals="0" ma:description="sortowanie plików" ma:internalName="Kolejno_x015b__x0107_">
      <xsd:simpleType>
        <xsd:restriction base="dms:Number"/>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Typ zawartości"/>
        <xsd:element ref="dc:title" minOccurs="0" maxOccurs="1" ma:index="1"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Kolejno_x015b__x0107_ xmlns="30d47203-49ec-4c8c-a442-62231931aabb">7</Kolejno_x015b__x0107_>
    <Tematyka xmlns="b5698c14-9734-4c2e-b0a6-c0f0e0420a38">07 - Informacje sygnalne</Tematyka>
    <Uwagi xmlns="b5698c14-9734-4c2e-b0a6-c0f0e0420a38">Zmieniono informacje na stronie redakcyjnej</Uwagi>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667D2E-373A-45CC-B1E3-7BA00A60CDB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698c14-9734-4c2e-b0a6-c0f0e0420a38"/>
    <ds:schemaRef ds:uri="30d47203-49ec-4c8c-a442-62231931aab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60771BC-9B62-4E6D-8D34-ECED8FD8F923}">
  <ds:schemaRefs>
    <ds:schemaRef ds:uri="http://schemas.microsoft.com/sharepoint/v3/contenttype/forms"/>
  </ds:schemaRefs>
</ds:datastoreItem>
</file>

<file path=customXml/itemProps3.xml><?xml version="1.0" encoding="utf-8"?>
<ds:datastoreItem xmlns:ds="http://schemas.openxmlformats.org/officeDocument/2006/customXml" ds:itemID="{037E9C3E-3CC5-40C0-A774-47B8E48CCF08}">
  <ds:schemaRefs>
    <ds:schemaRef ds:uri="30d47203-49ec-4c8c-a442-62231931aabb"/>
    <ds:schemaRef ds:uri="b5698c14-9734-4c2e-b0a6-c0f0e0420a38"/>
    <ds:schemaRef ds:uri="http://purl.org/dc/elements/1.1/"/>
    <ds:schemaRef ds:uri="http://schemas.microsoft.com/office/2006/documentManagement/types"/>
    <ds:schemaRef ds:uri="http://www.w3.org/XML/1998/namespace"/>
    <ds:schemaRef ds:uri="http://purl.org/dc/dcmitype/"/>
    <ds:schemaRef ds:uri="http://schemas.microsoft.com/office/infopath/2007/PartnerControls"/>
    <ds:schemaRef ds:uri="http://schemas.openxmlformats.org/package/2006/metadata/core-properties"/>
    <ds:schemaRef ds:uri="http://schemas.microsoft.com/office/2006/metadata/properties"/>
    <ds:schemaRef ds:uri="http://purl.org/dc/terms/"/>
  </ds:schemaRefs>
</ds:datastoreItem>
</file>

<file path=customXml/itemProps4.xml><?xml version="1.0" encoding="utf-8"?>
<ds:datastoreItem xmlns:ds="http://schemas.openxmlformats.org/officeDocument/2006/customXml" ds:itemID="{713CA6CC-0906-41ED-8CE5-C2FEF8ADD6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11</Pages>
  <Words>3855</Words>
  <Characters>23130</Characters>
  <Application>Microsoft Office Word</Application>
  <DocSecurity>0</DocSecurity>
  <Lines>192</Lines>
  <Paragraphs>53</Paragraphs>
  <ScaleCrop>false</ScaleCrop>
  <HeadingPairs>
    <vt:vector size="2" baseType="variant">
      <vt:variant>
        <vt:lpstr>Tytuł</vt:lpstr>
      </vt:variant>
      <vt:variant>
        <vt:i4>1</vt:i4>
      </vt:variant>
    </vt:vector>
  </HeadingPairs>
  <TitlesOfParts>
    <vt:vector size="1" baseType="lpstr">
      <vt:lpstr>Health expenditure 2023-2025</vt:lpstr>
    </vt:vector>
  </TitlesOfParts>
  <Company/>
  <LinksUpToDate>false</LinksUpToDate>
  <CharactersWithSpaces>26932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Health expenditure 2023-2025</dc:title>
  <dc:subject/>
  <dc:creator>Statistics Poland</dc:creator>
  <cp:keywords/>
  <dc:description/>
  <cp:revision>5</cp:revision>
  <cp:lastPrinted>2019-02-21T09:45:00Z</cp:lastPrinted>
  <dcterms:created xsi:type="dcterms:W3CDTF">2026-07-30T03:50:00Z</dcterms:created>
  <dcterms:modified xsi:type="dcterms:W3CDTF">2026-07-30T06:26:00Z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ies>
</file>