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E16C4" w14:textId="51896AC9" w:rsidR="0098135C" w:rsidRPr="00622A84" w:rsidRDefault="00AE6B20" w:rsidP="006A4805">
      <w:pPr>
        <w:pStyle w:val="tytuinformacji"/>
        <w:spacing w:after="240"/>
        <w:rPr>
          <w:shd w:val="clear" w:color="auto" w:fill="FFFFFF"/>
        </w:rPr>
      </w:pPr>
      <w:r>
        <w:rPr>
          <w:shd w:val="clear" w:color="auto" w:fill="FFFFFF"/>
        </w:rPr>
        <w:t>Tourism satellite account</w:t>
      </w:r>
      <w:r w:rsidR="00010E34">
        <w:rPr>
          <w:shd w:val="clear" w:color="auto" w:fill="FFFFFF"/>
        </w:rPr>
        <w:t xml:space="preserve"> </w:t>
      </w:r>
      <w:r>
        <w:rPr>
          <w:shd w:val="clear" w:color="auto" w:fill="FFFFFF"/>
        </w:rPr>
        <w:t xml:space="preserve">in </w:t>
      </w:r>
      <w:r w:rsidR="00470D2A">
        <w:rPr>
          <w:shd w:val="clear" w:color="auto" w:fill="FFFFFF"/>
        </w:rPr>
        <w:t>2</w:t>
      </w:r>
      <w:r>
        <w:rPr>
          <w:shd w:val="clear" w:color="auto" w:fill="FFFFFF"/>
        </w:rPr>
        <w:t>022</w:t>
      </w:r>
    </w:p>
    <w:p w14:paraId="668E16C7" w14:textId="0B28A028" w:rsidR="00003437" w:rsidRPr="00AA080B" w:rsidRDefault="006A4805" w:rsidP="00AA7A1E">
      <w:pPr>
        <w:pStyle w:val="LID"/>
        <w:spacing w:before="360"/>
      </w:pPr>
      <w:r w:rsidRPr="00FD1FE2">
        <mc:AlternateContent>
          <mc:Choice Requires="wps">
            <w:drawing>
              <wp:anchor distT="45720" distB="45720" distL="114300" distR="114300" simplePos="0" relativeHeight="251817984" behindDoc="0" locked="0" layoutInCell="1" allowOverlap="1" wp14:anchorId="54BF26CD" wp14:editId="75DDF5E8">
                <wp:simplePos x="0" y="0"/>
                <wp:positionH relativeFrom="margin">
                  <wp:align>left</wp:align>
                </wp:positionH>
                <wp:positionV relativeFrom="paragraph">
                  <wp:posOffset>200025</wp:posOffset>
                </wp:positionV>
                <wp:extent cx="2479675" cy="1516380"/>
                <wp:effectExtent l="0" t="0" r="0" b="7620"/>
                <wp:wrapSquare wrapText="bothSides"/>
                <wp:docPr id="14" name="Pole tekstowe 2" descr="1.8%&#10;- Share of tourism direct gross domestic product in Poland’s GDP in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5" cy="1516380"/>
                        </a:xfrm>
                        <a:prstGeom prst="roundRect">
                          <a:avLst/>
                        </a:prstGeom>
                        <a:solidFill>
                          <a:srgbClr val="001D77"/>
                        </a:solidFill>
                        <a:ln w="9525">
                          <a:noFill/>
                          <a:miter lim="800000"/>
                          <a:headEnd/>
                          <a:tailEnd/>
                        </a:ln>
                      </wps:spPr>
                      <wps:txbx>
                        <w:txbxContent>
                          <w:p w14:paraId="3E801525" w14:textId="3C855ECC" w:rsidR="006A4805" w:rsidRPr="0081776A" w:rsidRDefault="00E544A3" w:rsidP="0081776A">
                            <w:pPr>
                              <w:autoSpaceDE w:val="0"/>
                              <w:autoSpaceDN w:val="0"/>
                              <w:adjustRightInd w:val="0"/>
                              <w:spacing w:after="0" w:line="240" w:lineRule="auto"/>
                              <w:jc w:val="center"/>
                              <w:rPr>
                                <w:rStyle w:val="WartowskanikaZnak"/>
                                <w:sz w:val="72"/>
                                <w:szCs w:val="72"/>
                              </w:rPr>
                            </w:pPr>
                            <w:r w:rsidRPr="0081776A">
                              <w:rPr>
                                <w:rFonts w:ascii="Fira Sans SemiBold" w:hAnsi="Fira Sans SemiBold"/>
                                <w:color w:val="FFFFFF" w:themeColor="background1"/>
                                <w:sz w:val="72"/>
                                <w:szCs w:val="72"/>
                              </w:rPr>
                              <w:t>1.8</w:t>
                            </w:r>
                            <w:r w:rsidR="006A4805" w:rsidRPr="0081776A">
                              <w:rPr>
                                <w:rFonts w:ascii="Fira Sans SemiBold" w:hAnsi="Fira Sans SemiBold"/>
                                <w:color w:val="FFFFFF" w:themeColor="background1"/>
                                <w:sz w:val="72"/>
                                <w:szCs w:val="72"/>
                              </w:rPr>
                              <w:t>%</w:t>
                            </w:r>
                          </w:p>
                          <w:p w14:paraId="60681CB4" w14:textId="7FBCDAF3" w:rsidR="006A4805" w:rsidRPr="007D605C" w:rsidRDefault="00843946" w:rsidP="00843946">
                            <w:pPr>
                              <w:spacing w:after="0" w:line="240" w:lineRule="auto"/>
                              <w:rPr>
                                <w:sz w:val="18"/>
                                <w:szCs w:val="20"/>
                              </w:rPr>
                            </w:pPr>
                            <w:r w:rsidRPr="00843946">
                              <w:rPr>
                                <w:color w:val="FFFFFF" w:themeColor="background1"/>
                                <w:sz w:val="20"/>
                                <w:szCs w:val="20"/>
                              </w:rPr>
                              <w:t>Direct contribution of tourism to</w:t>
                            </w:r>
                            <w:r>
                              <w:rPr>
                                <w:color w:val="FFFFFF" w:themeColor="background1"/>
                                <w:sz w:val="20"/>
                                <w:szCs w:val="20"/>
                              </w:rPr>
                              <w:br/>
                            </w:r>
                            <w:r w:rsidRPr="00843946">
                              <w:rPr>
                                <w:color w:val="FFFFFF" w:themeColor="background1"/>
                                <w:sz w:val="20"/>
                                <w:szCs w:val="20"/>
                              </w:rPr>
                              <w:t>Poland’s GDP in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4BF26CD" id="Pole tekstowe 2" o:spid="_x0000_s1026" alt="1.8%&#10;- Share of tourism direct gross domestic product in Poland’s GDP in 2022" style="position:absolute;margin-left:0;margin-top:15.75pt;width:195.25pt;height:119.4pt;z-index:2518179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" fillcolor="#001d77" stroked="f">
                <v:stroke joinstyle="miter"/>
                <v:textbox>
                  <w:txbxContent>
                    <w:p w14:paraId="3E801525" w14:textId="3C855ECC" w:rsidR="006A4805" w:rsidRPr="0081776A" w:rsidRDefault="00E544A3" w:rsidP="0081776A">
                      <w:pPr>
                        <w:autoSpaceDE w:val="0"/>
                        <w:autoSpaceDN w:val="0"/>
                        <w:adjustRightInd w:val="0"/>
                        <w:spacing w:after="0" w:line="240" w:lineRule="auto"/>
                        <w:jc w:val="center"/>
                        <w:rPr>
                          <w:rStyle w:val="WartowskanikaZnak"/>
                          <w:sz w:val="72"/>
                          <w:szCs w:val="72"/>
                        </w:rPr>
                      </w:pPr>
                      <w:r w:rsidRPr="0081776A">
                        <w:rPr>
                          <w:rFonts w:ascii="Fira Sans SemiBold" w:hAnsi="Fira Sans SemiBold"/>
                          <w:color w:val="FFFFFF" w:themeColor="background1"/>
                          <w:sz w:val="72"/>
                          <w:szCs w:val="72"/>
                        </w:rPr>
                        <w:t>1.8</w:t>
                      </w:r>
                      <w:r w:rsidR="006A4805" w:rsidRPr="0081776A">
                        <w:rPr>
                          <w:rFonts w:ascii="Fira Sans SemiBold" w:hAnsi="Fira Sans SemiBold"/>
                          <w:color w:val="FFFFFF" w:themeColor="background1"/>
                          <w:sz w:val="72"/>
                          <w:szCs w:val="72"/>
                        </w:rPr>
                        <w:t>%</w:t>
                      </w:r>
                    </w:p>
                    <w:p w14:paraId="60681CB4" w14:textId="7FBCDAF3" w:rsidR="006A4805" w:rsidRPr="007D605C" w:rsidRDefault="00843946" w:rsidP="00843946">
                      <w:pPr>
                        <w:spacing w:after="0" w:line="240" w:lineRule="auto"/>
                        <w:rPr>
                          <w:sz w:val="18"/>
                          <w:szCs w:val="20"/>
                        </w:rPr>
                      </w:pPr>
                      <w:r w:rsidRPr="00843946">
                        <w:rPr>
                          <w:color w:val="FFFFFF" w:themeColor="background1"/>
                          <w:sz w:val="20"/>
                          <w:szCs w:val="20"/>
                        </w:rPr>
                        <w:t>Direct contribution of tourism to</w:t>
                      </w:r>
                      <w:r>
                        <w:rPr>
                          <w:color w:val="FFFFFF" w:themeColor="background1"/>
                          <w:sz w:val="20"/>
                          <w:szCs w:val="20"/>
                        </w:rPr>
                        <w:br/>
                      </w:r>
                      <w:r w:rsidRPr="00843946">
                        <w:rPr>
                          <w:color w:val="FFFFFF" w:themeColor="background1"/>
                          <w:sz w:val="20"/>
                          <w:szCs w:val="20"/>
                        </w:rPr>
                        <w:t>Poland’s GDP in 2022</w:t>
                      </w:r>
                    </w:p>
                  </w:txbxContent>
                </v:textbox>
                <w10:wrap type="square" anchorx="margin"/>
              </v:roundrect>
            </w:pict>
          </mc:Fallback>
        </mc:AlternateContent>
      </w:r>
      <w:r w:rsidR="00B12FB7">
        <w:br/>
      </w:r>
      <w:r w:rsidR="0093737E" w:rsidRPr="0093737E">
        <w:t>In 2022, tourism direct gross domestic product accounted for 1.8% of Poland’s GDP</w:t>
      </w:r>
      <w:r w:rsidR="00843946">
        <w:rPr>
          <w:rStyle w:val="Odwoanieprzypisudolnego"/>
        </w:rPr>
        <w:footnoteReference w:id="1"/>
      </w:r>
      <w:r w:rsidR="0093737E" w:rsidRPr="0093737E">
        <w:t>. Among tourism characteristic activities, accommodation (</w:t>
      </w:r>
      <w:r w:rsidR="00236D99">
        <w:t>NACE</w:t>
      </w:r>
      <w:r w:rsidR="0093737E" w:rsidRPr="0093737E">
        <w:t xml:space="preserve"> division 55) made the largest contribution to tourism direct gross value added – 19.5%. Food an</w:t>
      </w:r>
      <w:r w:rsidR="0093737E" w:rsidRPr="00A57800">
        <w:t>d bever</w:t>
      </w:r>
      <w:r w:rsidR="0093737E" w:rsidRPr="0093737E">
        <w:t>age service activities (</w:t>
      </w:r>
      <w:r w:rsidR="00236D99">
        <w:t>NACE</w:t>
      </w:r>
      <w:r w:rsidR="0093737E" w:rsidRPr="0093737E">
        <w:t xml:space="preserve"> division 56) also accounted for a substantial sha</w:t>
      </w:r>
      <w:r w:rsidR="0093737E" w:rsidRPr="00A57800">
        <w:t>re – 17.4%</w:t>
      </w:r>
      <w:r w:rsidR="00A57800">
        <w:t>.</w:t>
      </w:r>
      <w:r w:rsidR="00B12FB7">
        <w:br/>
      </w:r>
    </w:p>
    <w:p w14:paraId="70DF9CDF" w14:textId="43D735E3" w:rsidR="00354A23" w:rsidRDefault="00244B26" w:rsidP="00470D2A">
      <w:pPr>
        <w:pStyle w:val="Lead"/>
        <w:spacing w:before="240" w:after="0" w:line="288" w:lineRule="auto"/>
        <w:rPr>
          <w:b w:val="0"/>
          <w:spacing w:val="2"/>
          <w:lang w:eastAsia="en-US"/>
        </w:rPr>
      </w:pPr>
      <w:r>
        <w:rPr>
          <w:b w:val="0"/>
          <w:spacing w:val="2"/>
          <w:lang w:eastAsia="en-US"/>
        </w:rPr>
        <w:br/>
      </w:r>
      <w:r w:rsidR="00354A23" w:rsidRPr="00354A23">
        <w:rPr>
          <w:b w:val="0"/>
          <w:spacing w:val="2"/>
          <w:lang w:eastAsia="en-US"/>
        </w:rPr>
        <w:t>The tourism satellite account (TSA) is a tool for determining tourism’s direct contribution to the national economy. I</w:t>
      </w:r>
      <w:r w:rsidR="008C1376" w:rsidRPr="008C1376">
        <w:rPr>
          <w:b w:val="0"/>
          <w:spacing w:val="2"/>
          <w:lang w:eastAsia="en-US"/>
        </w:rPr>
        <w:t xml:space="preserve">t combines information on demand generated by tourists and same-day visitors, with data on the supply and output of goods and services purchased in connection with tourism </w:t>
      </w:r>
      <w:r w:rsidR="00354A23" w:rsidRPr="00354A23">
        <w:rPr>
          <w:b w:val="0"/>
          <w:spacing w:val="2"/>
          <w:lang w:eastAsia="en-US"/>
        </w:rPr>
        <w:t>trips. This makes it possible to determine, among other things, tourism expenditure, output, value added and tourism direct gross domestic product.</w:t>
      </w:r>
    </w:p>
    <w:p w14:paraId="49EEEA5E" w14:textId="77777777" w:rsidR="00470D2A" w:rsidRDefault="00470D2A" w:rsidP="00470D2A">
      <w:pPr>
        <w:spacing w:before="0" w:after="0" w:line="288" w:lineRule="auto"/>
        <w:rPr>
          <w:rFonts w:ascii="Fira Sans SemiBold" w:eastAsia="Times New Roman" w:hAnsi="Fira Sans SemiBold" w:cs="Times New Roman"/>
          <w:b/>
          <w:bCs/>
          <w:noProof/>
          <w:color w:val="001D77"/>
          <w:spacing w:val="-2"/>
          <w:szCs w:val="19"/>
          <w:lang w:eastAsia="pl-PL"/>
        </w:rPr>
      </w:pPr>
    </w:p>
    <w:p w14:paraId="4376E8E3" w14:textId="376BDBFB" w:rsidR="00470D2A" w:rsidRDefault="0057674F" w:rsidP="00AE6B20">
      <w:pPr>
        <w:spacing w:line="288" w:lineRule="auto"/>
        <w:rPr>
          <w:rFonts w:ascii="Fira Sans SemiBold" w:eastAsia="Times New Roman" w:hAnsi="Fira Sans SemiBold" w:cs="Times New Roman"/>
          <w:b/>
          <w:bCs/>
          <w:noProof/>
          <w:color w:val="001D77"/>
          <w:spacing w:val="-2"/>
          <w:szCs w:val="19"/>
          <w:lang w:eastAsia="pl-PL"/>
        </w:rPr>
      </w:pPr>
      <w:r>
        <w:rPr>
          <w:rFonts w:ascii="Fira Sans SemiBold" w:eastAsia="Times New Roman" w:hAnsi="Fira Sans SemiBold" w:cs="Times New Roman"/>
          <w:b/>
          <w:bCs/>
          <w:noProof/>
          <w:color w:val="001D77"/>
          <w:spacing w:val="-2"/>
          <w:szCs w:val="19"/>
          <w:lang w:eastAsia="pl-PL"/>
        </w:rPr>
        <w:t>Interna</w:t>
      </w:r>
      <w:r w:rsidR="008262E8">
        <w:rPr>
          <w:rFonts w:ascii="Fira Sans SemiBold" w:eastAsia="Times New Roman" w:hAnsi="Fira Sans SemiBold" w:cs="Times New Roman"/>
          <w:b/>
          <w:bCs/>
          <w:noProof/>
          <w:color w:val="001D77"/>
          <w:spacing w:val="-2"/>
          <w:szCs w:val="19"/>
          <w:lang w:eastAsia="pl-PL"/>
        </w:rPr>
        <w:t xml:space="preserve">l tourism expenditure of tourists </w:t>
      </w:r>
      <w:r>
        <w:rPr>
          <w:rFonts w:ascii="Fira Sans SemiBold" w:eastAsia="Times New Roman" w:hAnsi="Fira Sans SemiBold" w:cs="Times New Roman"/>
          <w:b/>
          <w:bCs/>
          <w:noProof/>
          <w:color w:val="001D77"/>
          <w:spacing w:val="-2"/>
          <w:szCs w:val="19"/>
          <w:lang w:eastAsia="pl-PL"/>
        </w:rPr>
        <w:t>and same-day</w:t>
      </w:r>
      <w:r w:rsidR="00A3322C">
        <w:rPr>
          <w:rFonts w:ascii="Fira Sans SemiBold" w:eastAsia="Times New Roman" w:hAnsi="Fira Sans SemiBold" w:cs="Times New Roman"/>
          <w:b/>
          <w:bCs/>
          <w:noProof/>
          <w:color w:val="001D77"/>
          <w:spacing w:val="-2"/>
          <w:szCs w:val="19"/>
          <w:lang w:eastAsia="pl-PL"/>
        </w:rPr>
        <w:t xml:space="preserve"> visitor</w:t>
      </w:r>
      <w:r w:rsidR="008262E8">
        <w:rPr>
          <w:rFonts w:ascii="Fira Sans SemiBold" w:eastAsia="Times New Roman" w:hAnsi="Fira Sans SemiBold" w:cs="Times New Roman"/>
          <w:b/>
          <w:bCs/>
          <w:noProof/>
          <w:color w:val="001D77"/>
          <w:spacing w:val="-2"/>
          <w:szCs w:val="19"/>
          <w:lang w:eastAsia="pl-PL"/>
        </w:rPr>
        <w:t>s</w:t>
      </w:r>
    </w:p>
    <w:p w14:paraId="7A8D55D1" w14:textId="7773488E" w:rsidR="003D0B57" w:rsidRDefault="003D0B57" w:rsidP="00F4690E">
      <w:pPr>
        <w:spacing w:after="0" w:line="288" w:lineRule="auto"/>
        <w:rPr>
          <w:szCs w:val="19"/>
        </w:rPr>
      </w:pPr>
      <w:r w:rsidRPr="003D0B57">
        <w:rPr>
          <w:szCs w:val="19"/>
        </w:rPr>
        <w:t>In 2022, internal tourism expenditure on consumption products</w:t>
      </w:r>
      <w:r>
        <w:rPr>
          <w:rStyle w:val="Odwoanieprzypisudolnego"/>
          <w:szCs w:val="19"/>
        </w:rPr>
        <w:footnoteReference w:id="2"/>
      </w:r>
      <w:r w:rsidRPr="003D0B57">
        <w:rPr>
          <w:szCs w:val="19"/>
        </w:rPr>
        <w:t xml:space="preserve">, </w:t>
      </w:r>
      <w:r w:rsidR="00A76DD6" w:rsidRPr="00A76DD6">
        <w:rPr>
          <w:szCs w:val="19"/>
        </w:rPr>
        <w:t>comprising expenditure incurred within Poland by both resident visitors as part of domestic tourism</w:t>
      </w:r>
      <w:r w:rsidR="00A76DD6">
        <w:rPr>
          <w:rStyle w:val="Odwoanieprzypisudolnego"/>
          <w:szCs w:val="19"/>
        </w:rPr>
        <w:footnoteReference w:id="3"/>
      </w:r>
      <w:r w:rsidR="00A76DD6" w:rsidRPr="00A76DD6">
        <w:rPr>
          <w:szCs w:val="19"/>
        </w:rPr>
        <w:t xml:space="preserve"> and non-residents as part of inbound tourism</w:t>
      </w:r>
      <w:r w:rsidRPr="003D0B57">
        <w:rPr>
          <w:szCs w:val="19"/>
        </w:rPr>
        <w:t>, amounted to PLN 111.2 billion. Residents accounted for the larger share – PLN 72.3 billion (65.0%). Non-residents’ expenditure stood at PLN 38.9 billion (35.0%).</w:t>
      </w:r>
    </w:p>
    <w:p w14:paraId="355719E6" w14:textId="577F4EBB" w:rsidR="006B2B9D" w:rsidRPr="006B2B9D" w:rsidRDefault="006B2B9D" w:rsidP="00F4690E">
      <w:pPr>
        <w:spacing w:after="0" w:line="288" w:lineRule="auto"/>
        <w:rPr>
          <w:szCs w:val="19"/>
        </w:rPr>
      </w:pPr>
      <w:r w:rsidRPr="006B2B9D">
        <w:rPr>
          <w:szCs w:val="19"/>
        </w:rPr>
        <w:t>Internal tourism expenditure was dominated by tourists, i.e. persons making at least one overnight stay during a trip. Their expenditure totalled PLN</w:t>
      </w:r>
      <w:r w:rsidR="003D0B57">
        <w:rPr>
          <w:szCs w:val="19"/>
        </w:rPr>
        <w:t xml:space="preserve"> </w:t>
      </w:r>
      <w:r w:rsidRPr="006B2B9D">
        <w:rPr>
          <w:szCs w:val="19"/>
        </w:rPr>
        <w:t xml:space="preserve">83.1 billion (74.7%), while same-day visitors </w:t>
      </w:r>
      <w:r w:rsidR="006016DB" w:rsidRPr="006016DB">
        <w:rPr>
          <w:szCs w:val="19"/>
        </w:rPr>
        <w:t>(i.e. persons not staying overnight)</w:t>
      </w:r>
      <w:r w:rsidR="006016DB">
        <w:rPr>
          <w:szCs w:val="19"/>
        </w:rPr>
        <w:t xml:space="preserve"> </w:t>
      </w:r>
      <w:r w:rsidRPr="006B2B9D">
        <w:rPr>
          <w:szCs w:val="19"/>
        </w:rPr>
        <w:t>spent PLN 28.1 billion (25.3%).</w:t>
      </w:r>
    </w:p>
    <w:p w14:paraId="466DAFB2" w14:textId="77777777" w:rsidR="006B2B9D" w:rsidRDefault="006B2B9D" w:rsidP="00F4690E">
      <w:pPr>
        <w:spacing w:after="0" w:line="288" w:lineRule="auto"/>
        <w:rPr>
          <w:szCs w:val="19"/>
        </w:rPr>
      </w:pPr>
      <w:r w:rsidRPr="006B2B9D">
        <w:rPr>
          <w:szCs w:val="19"/>
        </w:rPr>
        <w:t>Of residents’ expenditure, PLN 61.0 billion related to domestic trips, while PLN 11.3 billion was spent in Poland in connection with outbound trips. On domestic trips, tourists spent PLN 52.8 billion and same-day visitors PLN 8.1 billion. For outbound trips, expenditure incurred in Poland amounted to PLN 8.6 billion and PLN 2.7 billion, respectively.</w:t>
      </w:r>
    </w:p>
    <w:p w14:paraId="4990F7E3" w14:textId="1054FFD7" w:rsidR="003A2BE1" w:rsidRDefault="00994FAA" w:rsidP="00F4690E">
      <w:pPr>
        <w:spacing w:after="0" w:line="288" w:lineRule="auto"/>
        <w:rPr>
          <w:spacing w:val="2"/>
          <w:szCs w:val="19"/>
        </w:rPr>
      </w:pPr>
      <w:r w:rsidRPr="00994FAA">
        <w:rPr>
          <w:spacing w:val="2"/>
          <w:szCs w:val="19"/>
        </w:rPr>
        <w:t xml:space="preserve">Among non-residents visiting Poland, tourists spent PLN 21.6 billion (55.6% of non-residents’ expenditure), while </w:t>
      </w:r>
      <w:r w:rsidRPr="00A44FE4">
        <w:rPr>
          <w:spacing w:val="2"/>
          <w:szCs w:val="19"/>
        </w:rPr>
        <w:t xml:space="preserve">same-day visitors spent PLN 17.3 billion (44.4%). </w:t>
      </w:r>
      <w:r w:rsidR="00B0630D" w:rsidRPr="00A44FE4">
        <w:rPr>
          <w:spacing w:val="2"/>
          <w:szCs w:val="19"/>
        </w:rPr>
        <w:t xml:space="preserve">This means that, amongst non-residents visiting Poland, the share of expenditure by same-day visitors was </w:t>
      </w:r>
      <w:r w:rsidR="008E7D46">
        <w:rPr>
          <w:spacing w:val="2"/>
          <w:szCs w:val="19"/>
        </w:rPr>
        <w:t>substantially</w:t>
      </w:r>
      <w:r w:rsidR="00B0630D" w:rsidRPr="00A44FE4">
        <w:rPr>
          <w:spacing w:val="2"/>
          <w:szCs w:val="19"/>
        </w:rPr>
        <w:t xml:space="preserve"> higher than the share of same-day visitors’ expenditure in total </w:t>
      </w:r>
      <w:r w:rsidR="009E4BC0">
        <w:rPr>
          <w:spacing w:val="2"/>
          <w:szCs w:val="19"/>
        </w:rPr>
        <w:t>internal</w:t>
      </w:r>
      <w:r w:rsidR="00B0630D" w:rsidRPr="00A44FE4">
        <w:rPr>
          <w:spacing w:val="2"/>
          <w:szCs w:val="19"/>
        </w:rPr>
        <w:t xml:space="preserve"> touris</w:t>
      </w:r>
      <w:r w:rsidR="00761996">
        <w:rPr>
          <w:spacing w:val="2"/>
          <w:szCs w:val="19"/>
        </w:rPr>
        <w:t>m</w:t>
      </w:r>
      <w:r w:rsidR="00B0630D" w:rsidRPr="00A44FE4">
        <w:rPr>
          <w:spacing w:val="2"/>
          <w:szCs w:val="19"/>
        </w:rPr>
        <w:t xml:space="preserve"> expenditure, which stood at 25.3%.</w:t>
      </w:r>
    </w:p>
    <w:p w14:paraId="407E7BAC" w14:textId="77777777" w:rsidR="0093737E" w:rsidRDefault="0093737E" w:rsidP="00F4690E">
      <w:pPr>
        <w:spacing w:after="0" w:line="288" w:lineRule="auto"/>
        <w:rPr>
          <w:spacing w:val="2"/>
          <w:szCs w:val="19"/>
        </w:rPr>
      </w:pPr>
    </w:p>
    <w:p w14:paraId="7C0A9FD0" w14:textId="77777777" w:rsidR="0093737E" w:rsidRDefault="0093737E" w:rsidP="00F4690E">
      <w:pPr>
        <w:spacing w:after="0" w:line="288" w:lineRule="auto"/>
        <w:rPr>
          <w:spacing w:val="2"/>
          <w:szCs w:val="19"/>
        </w:rPr>
      </w:pPr>
    </w:p>
    <w:p w14:paraId="6600FEFC" w14:textId="77777777" w:rsidR="0093737E" w:rsidRDefault="0093737E" w:rsidP="00F4690E">
      <w:pPr>
        <w:spacing w:after="0" w:line="288" w:lineRule="auto"/>
        <w:rPr>
          <w:spacing w:val="2"/>
          <w:szCs w:val="19"/>
        </w:rPr>
      </w:pPr>
    </w:p>
    <w:p w14:paraId="23D3267D" w14:textId="77777777" w:rsidR="009E6618" w:rsidRDefault="009E6618" w:rsidP="00994FAA">
      <w:pPr>
        <w:spacing w:before="0" w:after="0" w:line="288" w:lineRule="auto"/>
        <w:jc w:val="both"/>
        <w:rPr>
          <w:b/>
          <w:noProof/>
          <w:szCs w:val="19"/>
          <w:lang w:eastAsia="pl-PL"/>
        </w:rPr>
      </w:pPr>
    </w:p>
    <w:p w14:paraId="28664DD6" w14:textId="323B30FD" w:rsidR="00585A6D" w:rsidRDefault="00585A6D" w:rsidP="00994FAA">
      <w:pPr>
        <w:spacing w:before="0" w:after="0" w:line="288" w:lineRule="auto"/>
        <w:jc w:val="both"/>
        <w:rPr>
          <w:b/>
          <w:noProof/>
          <w:szCs w:val="19"/>
          <w:lang w:eastAsia="pl-PL"/>
        </w:rPr>
      </w:pPr>
      <w:r w:rsidRPr="002E2F35">
        <w:rPr>
          <w:b/>
          <w:noProof/>
          <w:szCs w:val="19"/>
          <w:lang w:eastAsia="pl-PL"/>
        </w:rPr>
        <w:t>Chart 1. Internal tourism expenditure in 2022 by visitor group</w:t>
      </w:r>
    </w:p>
    <w:p w14:paraId="241207E8" w14:textId="2F7DCF37" w:rsidR="0093737E" w:rsidRDefault="0093737E" w:rsidP="00994FAA">
      <w:pPr>
        <w:spacing w:before="0" w:after="0" w:line="288" w:lineRule="auto"/>
        <w:jc w:val="both"/>
        <w:rPr>
          <w:b/>
          <w:noProof/>
          <w:szCs w:val="19"/>
          <w:lang w:eastAsia="pl-PL"/>
        </w:rPr>
      </w:pPr>
      <w:r w:rsidRPr="0093737E">
        <w:rPr>
          <w:b/>
          <w:noProof/>
          <w:szCs w:val="19"/>
          <w:lang w:eastAsia="pl-PL"/>
        </w:rPr>
        <w:drawing>
          <wp:inline distT="0" distB="0" distL="0" distR="0" wp14:anchorId="08832E20" wp14:editId="661B9B6A">
            <wp:extent cx="5045582" cy="2912891"/>
            <wp:effectExtent l="0" t="0" r="3175" b="1905"/>
            <wp:docPr id="2" name="Obraz 2" descr="Chart 1. Internal tourism expenditure in 2022 by visitor group.&#10;&#10;Bar chart showing expenditure in billions of PLN incurred by residents and non-residents in Poland, broken down into tourists and same-day visitors.&#10;&#10;Residents:&#10;Tourists – PLN 61.5 billion,&#10;Same-day visitors – PLN 10.9 billion.&#10;&#10;Non-residents:&#10;Tourists – PLN 21.6 billion,&#10;Same-day visitors – PLN 17.3 billion.&#10;&#10;Numerical data are available in the accompanying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72172" cy="2928242"/>
                    </a:xfrm>
                    <a:prstGeom prst="rect">
                      <a:avLst/>
                    </a:prstGeom>
                  </pic:spPr>
                </pic:pic>
              </a:graphicData>
            </a:graphic>
          </wp:inline>
        </w:drawing>
      </w:r>
    </w:p>
    <w:p w14:paraId="477F255A" w14:textId="7EF8D296" w:rsidR="00994FAA" w:rsidRDefault="00994FAA" w:rsidP="00994FAA">
      <w:pPr>
        <w:spacing w:line="288" w:lineRule="auto"/>
        <w:rPr>
          <w:spacing w:val="2"/>
          <w:szCs w:val="19"/>
        </w:rPr>
      </w:pPr>
      <w:r>
        <w:rPr>
          <w:rFonts w:ascii="Fira Sans SemiBold" w:eastAsia="Times New Roman" w:hAnsi="Fira Sans SemiBold" w:cs="Times New Roman"/>
          <w:b/>
          <w:bCs/>
          <w:noProof/>
          <w:color w:val="001D77"/>
          <w:spacing w:val="-2"/>
          <w:szCs w:val="19"/>
          <w:lang w:eastAsia="pl-PL"/>
        </w:rPr>
        <w:t>Tourism consumption</w:t>
      </w:r>
    </w:p>
    <w:p w14:paraId="504ED510" w14:textId="04F9DEB5" w:rsidR="009777F7" w:rsidRDefault="00994FAA" w:rsidP="00F4690E">
      <w:pPr>
        <w:spacing w:after="0" w:line="288" w:lineRule="auto"/>
        <w:rPr>
          <w:spacing w:val="2"/>
          <w:szCs w:val="19"/>
        </w:rPr>
      </w:pPr>
      <w:r>
        <w:rPr>
          <w:spacing w:val="2"/>
          <w:szCs w:val="19"/>
        </w:rPr>
        <w:t>I</w:t>
      </w:r>
      <w:r w:rsidRPr="00994FAA">
        <w:rPr>
          <w:spacing w:val="2"/>
          <w:szCs w:val="19"/>
        </w:rPr>
        <w:t>nternal tourism consumption in</w:t>
      </w:r>
      <w:r>
        <w:rPr>
          <w:spacing w:val="2"/>
          <w:szCs w:val="19"/>
        </w:rPr>
        <w:t xml:space="preserve"> 2022 amou</w:t>
      </w:r>
      <w:r w:rsidRPr="00994FAA">
        <w:rPr>
          <w:spacing w:val="2"/>
          <w:szCs w:val="19"/>
        </w:rPr>
        <w:t>nted to PLN 120.2 billion. It comprised expenditure of PLN 111.2 billion (92.5%) incurred in Poland by resident and non-reside</w:t>
      </w:r>
      <w:r w:rsidR="008262E8">
        <w:rPr>
          <w:spacing w:val="2"/>
          <w:szCs w:val="19"/>
        </w:rPr>
        <w:t>n</w:t>
      </w:r>
      <w:r w:rsidRPr="00994FAA">
        <w:rPr>
          <w:spacing w:val="2"/>
          <w:szCs w:val="19"/>
        </w:rPr>
        <w:t>t visitors, and other components of tourism consumption</w:t>
      </w:r>
      <w:r w:rsidR="009777F7">
        <w:rPr>
          <w:rStyle w:val="Odwoanieprzypisudolnego"/>
          <w:spacing w:val="2"/>
          <w:szCs w:val="19"/>
        </w:rPr>
        <w:footnoteReference w:id="4"/>
      </w:r>
      <w:r w:rsidR="008262E8">
        <w:rPr>
          <w:spacing w:val="2"/>
          <w:szCs w:val="19"/>
        </w:rPr>
        <w:t>, which totalled PLN 9.</w:t>
      </w:r>
      <w:r w:rsidRPr="00994FAA">
        <w:rPr>
          <w:spacing w:val="2"/>
          <w:szCs w:val="19"/>
        </w:rPr>
        <w:t>0 bi</w:t>
      </w:r>
      <w:r w:rsidR="008262E8">
        <w:rPr>
          <w:spacing w:val="2"/>
          <w:szCs w:val="19"/>
        </w:rPr>
        <w:t>l</w:t>
      </w:r>
      <w:r w:rsidRPr="00994FAA">
        <w:rPr>
          <w:spacing w:val="2"/>
          <w:szCs w:val="19"/>
        </w:rPr>
        <w:t>lion (7.5%).</w:t>
      </w:r>
    </w:p>
    <w:p w14:paraId="59C2FFB5" w14:textId="7616A488" w:rsidR="008C1376" w:rsidRDefault="008C1376" w:rsidP="00F4690E">
      <w:pPr>
        <w:spacing w:after="0" w:line="288" w:lineRule="auto"/>
        <w:rPr>
          <w:spacing w:val="2"/>
          <w:szCs w:val="19"/>
        </w:rPr>
      </w:pPr>
      <w:r w:rsidRPr="008C1376">
        <w:rPr>
          <w:spacing w:val="2"/>
          <w:szCs w:val="19"/>
        </w:rPr>
        <w:t>Tourism characteristic products accounted for the largest share of internal tourism consumption, with a consumption value of PLN 71.9 billion (59.8% of the total). This amount comprised PLN 62.9 billion in tourism expenditure and PLN 9.0 billion in other components of tourism consumption. Consumption of other consumption products stood at PLN 48.3 billion (40.2%).</w:t>
      </w:r>
    </w:p>
    <w:p w14:paraId="077D5753" w14:textId="41B02764" w:rsidR="009777F7" w:rsidRPr="009777F7" w:rsidRDefault="00821D94" w:rsidP="00F4690E">
      <w:pPr>
        <w:spacing w:after="0" w:line="288" w:lineRule="auto"/>
        <w:rPr>
          <w:spacing w:val="2"/>
          <w:szCs w:val="19"/>
        </w:rPr>
      </w:pPr>
      <w:r w:rsidRPr="006D489E">
        <w:rPr>
          <w:rFonts w:cs="Arial"/>
          <w:b/>
          <w:bCs/>
          <w:noProof/>
          <w:szCs w:val="19"/>
          <w:lang w:eastAsia="pl-PL"/>
        </w:rPr>
        <mc:AlternateContent>
          <mc:Choice Requires="wps">
            <w:drawing>
              <wp:anchor distT="45720" distB="45720" distL="114300" distR="114300" simplePos="0" relativeHeight="251827200" behindDoc="1" locked="0" layoutInCell="1" allowOverlap="1" wp14:anchorId="1EADFE24" wp14:editId="393E03C2">
                <wp:simplePos x="0" y="0"/>
                <wp:positionH relativeFrom="column">
                  <wp:posOffset>5226050</wp:posOffset>
                </wp:positionH>
                <wp:positionV relativeFrom="paragraph">
                  <wp:posOffset>2540</wp:posOffset>
                </wp:positionV>
                <wp:extent cx="1778000" cy="1006475"/>
                <wp:effectExtent l="0" t="0" r="0" b="3175"/>
                <wp:wrapTight wrapText="bothSides">
                  <wp:wrapPolygon edited="0">
                    <wp:start x="694" y="0"/>
                    <wp:lineTo x="694" y="21259"/>
                    <wp:lineTo x="20829" y="21259"/>
                    <wp:lineTo x="20829" y="0"/>
                    <wp:lineTo x="694" y="0"/>
                  </wp:wrapPolygon>
                </wp:wrapTight>
                <wp:docPr id="28" name="Pole tekstowe 4" descr="Among tourism characteristic products, accommodation services accounted for the highest consumption value, amounting to PLN 23.0 bill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0" cy="1006475"/>
                        </a:xfrm>
                        <a:prstGeom prst="rect">
                          <a:avLst/>
                        </a:prstGeom>
                        <a:noFill/>
                        <a:ln w="9525">
                          <a:noFill/>
                          <a:miter lim="800000"/>
                          <a:headEnd/>
                          <a:tailEnd/>
                        </a:ln>
                      </wps:spPr>
                      <wps:txbx>
                        <w:txbxContent>
                          <w:p w14:paraId="4EF4A638" w14:textId="40B00B44" w:rsidR="00821D94" w:rsidRPr="00DE52FB" w:rsidRDefault="00821D94" w:rsidP="00821D94">
                            <w:pPr>
                              <w:spacing w:before="0" w:after="0"/>
                              <w:rPr>
                                <w:rFonts w:eastAsia="Times New Roman" w:cs="Times New Roman"/>
                                <w:bCs/>
                                <w:color w:val="001D77"/>
                                <w:sz w:val="18"/>
                                <w:szCs w:val="18"/>
                                <w:lang w:eastAsia="pl-PL"/>
                              </w:rPr>
                            </w:pPr>
                            <w:r w:rsidRPr="00AA77F6">
                              <w:rPr>
                                <w:rFonts w:eastAsia="Times New Roman" w:cs="Times New Roman"/>
                                <w:bCs/>
                                <w:color w:val="001D77"/>
                                <w:sz w:val="18"/>
                                <w:szCs w:val="18"/>
                                <w:lang w:eastAsia="pl-PL"/>
                              </w:rPr>
                              <w:t>Among tourism</w:t>
                            </w:r>
                            <w:r w:rsidR="00197A1D" w:rsidRPr="00AA77F6">
                              <w:rPr>
                                <w:rFonts w:eastAsia="Times New Roman" w:cs="Times New Roman"/>
                                <w:bCs/>
                                <w:color w:val="001D77"/>
                                <w:sz w:val="18"/>
                                <w:szCs w:val="18"/>
                                <w:lang w:eastAsia="pl-PL"/>
                              </w:rPr>
                              <w:t xml:space="preserve"> characteristic</w:t>
                            </w:r>
                            <w:r w:rsidRPr="00AA77F6">
                              <w:rPr>
                                <w:rFonts w:eastAsia="Times New Roman" w:cs="Times New Roman"/>
                                <w:bCs/>
                                <w:color w:val="001D77"/>
                                <w:sz w:val="18"/>
                                <w:szCs w:val="18"/>
                                <w:lang w:eastAsia="pl-PL"/>
                              </w:rPr>
                              <w:t xml:space="preserve"> products, accommodation services accounted for the highest consumption value, amounting to PLN 23</w:t>
                            </w:r>
                            <w:r w:rsidRPr="00821D94">
                              <w:rPr>
                                <w:rFonts w:eastAsia="Times New Roman" w:cs="Times New Roman"/>
                                <w:bCs/>
                                <w:color w:val="001D77"/>
                                <w:sz w:val="18"/>
                                <w:szCs w:val="18"/>
                                <w:lang w:eastAsia="pl-PL"/>
                              </w:rPr>
                              <w:t>.0 billion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ADFE24" id="_x0000_t202" coordsize="21600,21600" o:spt="202" path="m,l,21600r21600,l21600,xe">
                <v:stroke joinstyle="miter"/>
                <v:path gradientshapeok="t" o:connecttype="rect"/>
              </v:shapetype>
              <v:shape id="Pole tekstowe 4" o:spid="_x0000_s1027" type="#_x0000_t202" alt="Among tourism characteristic products, accommodation services accounted for the highest consumption value, amounting to PLN 23.0 billion" style="position:absolute;margin-left:411.5pt;margin-top:.2pt;width:140pt;height:79.25pt;z-index:-251489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" filled="f" stroked="f">
                <v:textbox>
                  <w:txbxContent>
                    <w:p w14:paraId="4EF4A638" w14:textId="40B00B44" w:rsidR="00821D94" w:rsidRPr="00DE52FB" w:rsidRDefault="00821D94" w:rsidP="00821D94">
                      <w:pPr>
                        <w:spacing w:before="0" w:after="0"/>
                        <w:rPr>
                          <w:rFonts w:eastAsia="Times New Roman" w:cs="Times New Roman"/>
                          <w:bCs/>
                          <w:color w:val="001D77"/>
                          <w:sz w:val="18"/>
                          <w:szCs w:val="18"/>
                          <w:lang w:eastAsia="pl-PL"/>
                        </w:rPr>
                      </w:pPr>
                      <w:r w:rsidRPr="00AA77F6">
                        <w:rPr>
                          <w:rFonts w:eastAsia="Times New Roman" w:cs="Times New Roman"/>
                          <w:bCs/>
                          <w:color w:val="001D77"/>
                          <w:sz w:val="18"/>
                          <w:szCs w:val="18"/>
                          <w:lang w:eastAsia="pl-PL"/>
                        </w:rPr>
                        <w:t>Among tourism</w:t>
                      </w:r>
                      <w:r w:rsidR="00197A1D" w:rsidRPr="00AA77F6">
                        <w:rPr>
                          <w:rFonts w:eastAsia="Times New Roman" w:cs="Times New Roman"/>
                          <w:bCs/>
                          <w:color w:val="001D77"/>
                          <w:sz w:val="18"/>
                          <w:szCs w:val="18"/>
                          <w:lang w:eastAsia="pl-PL"/>
                        </w:rPr>
                        <w:t xml:space="preserve"> characteristic</w:t>
                      </w:r>
                      <w:r w:rsidRPr="00AA77F6">
                        <w:rPr>
                          <w:rFonts w:eastAsia="Times New Roman" w:cs="Times New Roman"/>
                          <w:bCs/>
                          <w:color w:val="001D77"/>
                          <w:sz w:val="18"/>
                          <w:szCs w:val="18"/>
                          <w:lang w:eastAsia="pl-PL"/>
                        </w:rPr>
                        <w:t xml:space="preserve"> products, accommodation services accounted for the highest consumption value, amounting to PLN 23</w:t>
                      </w:r>
                      <w:r w:rsidRPr="00821D94">
                        <w:rPr>
                          <w:rFonts w:eastAsia="Times New Roman" w:cs="Times New Roman"/>
                          <w:bCs/>
                          <w:color w:val="001D77"/>
                          <w:sz w:val="18"/>
                          <w:szCs w:val="18"/>
                          <w:lang w:eastAsia="pl-PL"/>
                        </w:rPr>
                        <w:t>.0 billion</w:t>
                      </w:r>
                    </w:p>
                  </w:txbxContent>
                </v:textbox>
                <w10:wrap type="tight"/>
              </v:shape>
            </w:pict>
          </mc:Fallback>
        </mc:AlternateContent>
      </w:r>
      <w:r w:rsidR="008C1376" w:rsidRPr="008C1376">
        <w:rPr>
          <w:spacing w:val="2"/>
          <w:szCs w:val="19"/>
        </w:rPr>
        <w:t>Among tourism characteristic products</w:t>
      </w:r>
      <w:r w:rsidR="005D6BBF">
        <w:rPr>
          <w:rStyle w:val="Odwoanieprzypisudolnego"/>
          <w:spacing w:val="2"/>
          <w:szCs w:val="19"/>
        </w:rPr>
        <w:footnoteReference w:id="5"/>
      </w:r>
      <w:r w:rsidR="008C1376" w:rsidRPr="008C1376">
        <w:rPr>
          <w:spacing w:val="2"/>
          <w:szCs w:val="19"/>
        </w:rPr>
        <w:t>, consumption of accommodation services was the largest, at PLN 23.0 billion (19.1% of total tourism consumption), followed by food and beverage serving services, at PLN 20.5 billion (17.0%)</w:t>
      </w:r>
      <w:r w:rsidR="008C1376">
        <w:rPr>
          <w:spacing w:val="2"/>
          <w:szCs w:val="19"/>
        </w:rPr>
        <w:t>.</w:t>
      </w:r>
      <w:r w:rsidR="001A3A8D">
        <w:rPr>
          <w:spacing w:val="2"/>
          <w:szCs w:val="19"/>
        </w:rPr>
        <w:t xml:space="preserve"> </w:t>
      </w:r>
      <w:r w:rsidR="009777F7" w:rsidRPr="009777F7">
        <w:rPr>
          <w:spacing w:val="2"/>
          <w:szCs w:val="19"/>
        </w:rPr>
        <w:t>Consumption of passenger transport services totall</w:t>
      </w:r>
      <w:r w:rsidR="00C54018">
        <w:rPr>
          <w:spacing w:val="2"/>
          <w:szCs w:val="19"/>
        </w:rPr>
        <w:t>ed PLN 1</w:t>
      </w:r>
      <w:r w:rsidR="009777F7" w:rsidRPr="009777F7">
        <w:rPr>
          <w:spacing w:val="2"/>
          <w:szCs w:val="19"/>
        </w:rPr>
        <w:t>1.9 billion (9.9%). Within this group, road transport recorded the highest value – PLN 4.4 billion, followed by rail transport – PLN 3.8 billion, and air transport</w:t>
      </w:r>
      <w:r w:rsidR="001A3A8D">
        <w:rPr>
          <w:spacing w:val="2"/>
          <w:szCs w:val="19"/>
        </w:rPr>
        <w:br/>
      </w:r>
      <w:r w:rsidR="009777F7" w:rsidRPr="009777F7">
        <w:rPr>
          <w:spacing w:val="2"/>
          <w:szCs w:val="19"/>
        </w:rPr>
        <w:t>– PLN 3.1 billion.</w:t>
      </w:r>
    </w:p>
    <w:p w14:paraId="5A70B736" w14:textId="11D89067" w:rsidR="009777F7" w:rsidRDefault="00C54018" w:rsidP="00F4690E">
      <w:pPr>
        <w:spacing w:after="0" w:line="288" w:lineRule="auto"/>
        <w:rPr>
          <w:spacing w:val="2"/>
          <w:szCs w:val="19"/>
        </w:rPr>
      </w:pPr>
      <w:r w:rsidRPr="00C54018">
        <w:rPr>
          <w:spacing w:val="2"/>
          <w:szCs w:val="19"/>
        </w:rPr>
        <w:t>Consumption of travel agency and other reservation services amounted to PLN 6.4 billion (5.3%). Passenger transport equipment rental services accounted for PLN 2.8 billion (2.3%). Consumption of cultural services reached PLN 3.6 billion (3.0%), while that of sports and recreational services amounted to PLN 1.6 billion (1.3%).</w:t>
      </w:r>
    </w:p>
    <w:p w14:paraId="72D4762F" w14:textId="77777777" w:rsidR="0093737E" w:rsidRDefault="0093737E" w:rsidP="00F4690E">
      <w:pPr>
        <w:spacing w:after="0" w:line="288" w:lineRule="auto"/>
        <w:rPr>
          <w:spacing w:val="2"/>
          <w:szCs w:val="19"/>
        </w:rPr>
      </w:pPr>
    </w:p>
    <w:p w14:paraId="7718AFBF" w14:textId="77777777" w:rsidR="0093737E" w:rsidRDefault="0093737E" w:rsidP="00F4690E">
      <w:pPr>
        <w:spacing w:after="0" w:line="288" w:lineRule="auto"/>
        <w:rPr>
          <w:spacing w:val="2"/>
          <w:szCs w:val="19"/>
        </w:rPr>
      </w:pPr>
    </w:p>
    <w:p w14:paraId="7E9A8BB7" w14:textId="77777777" w:rsidR="00323B5A" w:rsidRDefault="00323B5A" w:rsidP="000D621C">
      <w:pPr>
        <w:spacing w:line="240" w:lineRule="auto"/>
        <w:rPr>
          <w:b/>
          <w:noProof/>
          <w:szCs w:val="19"/>
          <w:lang w:eastAsia="pl-PL"/>
        </w:rPr>
      </w:pPr>
    </w:p>
    <w:p w14:paraId="25502D0A" w14:textId="77777777" w:rsidR="00C50458" w:rsidRDefault="00C50458" w:rsidP="000D621C">
      <w:pPr>
        <w:spacing w:line="240" w:lineRule="auto"/>
        <w:rPr>
          <w:b/>
          <w:noProof/>
          <w:szCs w:val="19"/>
          <w:lang w:eastAsia="pl-PL"/>
        </w:rPr>
      </w:pPr>
    </w:p>
    <w:p w14:paraId="207B4059" w14:textId="77777777" w:rsidR="00C50458" w:rsidRDefault="00C50458" w:rsidP="000D621C">
      <w:pPr>
        <w:spacing w:line="240" w:lineRule="auto"/>
        <w:rPr>
          <w:b/>
          <w:noProof/>
          <w:szCs w:val="19"/>
          <w:lang w:eastAsia="pl-PL"/>
        </w:rPr>
      </w:pPr>
    </w:p>
    <w:p w14:paraId="1163ABB5" w14:textId="77777777" w:rsidR="00C50458" w:rsidRDefault="00C50458" w:rsidP="000D621C">
      <w:pPr>
        <w:spacing w:line="240" w:lineRule="auto"/>
        <w:rPr>
          <w:b/>
          <w:noProof/>
          <w:szCs w:val="19"/>
          <w:lang w:eastAsia="pl-PL"/>
        </w:rPr>
      </w:pPr>
    </w:p>
    <w:p w14:paraId="6DEE5F88" w14:textId="3360532D" w:rsidR="00AE6B20" w:rsidRDefault="00AE6B20" w:rsidP="000D621C">
      <w:pPr>
        <w:spacing w:line="240" w:lineRule="auto"/>
        <w:rPr>
          <w:b/>
          <w:noProof/>
          <w:szCs w:val="19"/>
          <w:lang w:eastAsia="pl-PL"/>
        </w:rPr>
      </w:pPr>
      <w:r w:rsidRPr="002E2F35">
        <w:rPr>
          <w:b/>
          <w:noProof/>
          <w:szCs w:val="19"/>
          <w:lang w:eastAsia="pl-PL"/>
        </w:rPr>
        <w:t xml:space="preserve">Chart </w:t>
      </w:r>
      <w:r w:rsidR="008C1376" w:rsidRPr="002E2F35">
        <w:rPr>
          <w:b/>
          <w:noProof/>
          <w:szCs w:val="19"/>
          <w:lang w:eastAsia="pl-PL"/>
        </w:rPr>
        <w:t>2</w:t>
      </w:r>
      <w:r w:rsidRPr="002E2F35">
        <w:rPr>
          <w:b/>
          <w:noProof/>
          <w:szCs w:val="19"/>
          <w:lang w:eastAsia="pl-PL"/>
        </w:rPr>
        <w:t>.</w:t>
      </w:r>
      <w:r w:rsidR="00C54018" w:rsidRPr="002E2F35">
        <w:rPr>
          <w:b/>
          <w:noProof/>
          <w:szCs w:val="19"/>
          <w:lang w:eastAsia="pl-PL"/>
        </w:rPr>
        <w:t xml:space="preserve"> </w:t>
      </w:r>
      <w:r w:rsidR="0080441E">
        <w:rPr>
          <w:b/>
          <w:noProof/>
          <w:szCs w:val="19"/>
          <w:lang w:eastAsia="pl-PL"/>
        </w:rPr>
        <w:t>Internal</w:t>
      </w:r>
      <w:r w:rsidR="00C54018" w:rsidRPr="002E2F35">
        <w:rPr>
          <w:b/>
          <w:noProof/>
          <w:szCs w:val="19"/>
          <w:lang w:eastAsia="pl-PL"/>
        </w:rPr>
        <w:t xml:space="preserve"> tourism consumption in 2022 by produc</w:t>
      </w:r>
      <w:r w:rsidR="00C54018" w:rsidRPr="00C54018">
        <w:rPr>
          <w:b/>
          <w:noProof/>
          <w:szCs w:val="19"/>
          <w:lang w:eastAsia="pl-PL"/>
        </w:rPr>
        <w:t>t</w:t>
      </w:r>
    </w:p>
    <w:p w14:paraId="1D564022" w14:textId="7B659DFB" w:rsidR="00C54018" w:rsidRDefault="0093737E" w:rsidP="00AE6B20">
      <w:pPr>
        <w:spacing w:line="240" w:lineRule="auto"/>
        <w:ind w:left="851" w:hanging="851"/>
        <w:rPr>
          <w:b/>
          <w:noProof/>
          <w:szCs w:val="19"/>
          <w:lang w:eastAsia="pl-PL"/>
        </w:rPr>
      </w:pPr>
      <w:r w:rsidRPr="0093737E">
        <w:rPr>
          <w:b/>
          <w:noProof/>
          <w:szCs w:val="19"/>
          <w:lang w:eastAsia="pl-PL"/>
        </w:rPr>
        <w:drawing>
          <wp:inline distT="0" distB="0" distL="0" distR="0" wp14:anchorId="046AA424" wp14:editId="17B6EAFA">
            <wp:extent cx="5161744" cy="2476477"/>
            <wp:effectExtent l="0" t="0" r="1270" b="635"/>
            <wp:docPr id="3" name="Obraz 3" descr="Chart 2. Internal tourism consumption in 2022 by product.&#10;&#10;Bar chart showing consumption of tourism goods and services by product category, expressed in billions of PLN.&#10;&#10;Other consumption products, including shopping – PLN 48.3 billion,&#10;Accommodation services – PLN 23.0 billion,&#10;Food and beverage serving services – PLN 20.5 billion,&#10;Passenger transport services – PLN 11.9 billion,&#10;Travel agencies and other reservation services – PLN 6.4 billion,&#10;Cultural services – PLN 3.6 billion,&#10;Passenger transport equipment rental – PLN 2.8 billion,&#10;Country-specific tourism characteristic services – PLN 2.2 billion,&#10;Sports and recreational services – PLN 1.6 billion.&#10;&#10;Numerical data are available in the accompanying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76734" cy="2483669"/>
                    </a:xfrm>
                    <a:prstGeom prst="rect">
                      <a:avLst/>
                    </a:prstGeom>
                  </pic:spPr>
                </pic:pic>
              </a:graphicData>
            </a:graphic>
          </wp:inline>
        </w:drawing>
      </w:r>
    </w:p>
    <w:p w14:paraId="576769EF" w14:textId="0CA76059" w:rsidR="00FC2323" w:rsidRDefault="00FC2323" w:rsidP="00AE6B20">
      <w:pPr>
        <w:spacing w:line="240" w:lineRule="auto"/>
        <w:ind w:left="851" w:hanging="851"/>
      </w:pPr>
    </w:p>
    <w:p w14:paraId="143AFB36" w14:textId="4ED3600E" w:rsidR="00D04B25" w:rsidRDefault="00D04B25" w:rsidP="00AE6B20">
      <w:pPr>
        <w:spacing w:line="288" w:lineRule="auto"/>
        <w:rPr>
          <w:rFonts w:ascii="Fira Sans SemiBold" w:eastAsia="Times New Roman" w:hAnsi="Fira Sans SemiBold" w:cs="Times New Roman"/>
          <w:b/>
          <w:bCs/>
          <w:noProof/>
          <w:color w:val="001D77"/>
          <w:spacing w:val="-2"/>
          <w:szCs w:val="19"/>
          <w:lang w:eastAsia="pl-PL"/>
        </w:rPr>
      </w:pPr>
      <w:r w:rsidRPr="00D04B25">
        <w:rPr>
          <w:rFonts w:ascii="Fira Sans SemiBold" w:eastAsia="Times New Roman" w:hAnsi="Fira Sans SemiBold" w:cs="Times New Roman"/>
          <w:b/>
          <w:bCs/>
          <w:noProof/>
          <w:color w:val="001D77"/>
          <w:spacing w:val="-2"/>
          <w:szCs w:val="19"/>
          <w:lang w:eastAsia="pl-PL"/>
        </w:rPr>
        <w:t>Output and gross value added of tour</w:t>
      </w:r>
      <w:r w:rsidR="00E544A3">
        <w:rPr>
          <w:rFonts w:ascii="Fira Sans SemiBold" w:eastAsia="Times New Roman" w:hAnsi="Fira Sans SemiBold" w:cs="Times New Roman"/>
          <w:b/>
          <w:bCs/>
          <w:noProof/>
          <w:color w:val="001D77"/>
          <w:spacing w:val="-2"/>
          <w:szCs w:val="19"/>
          <w:lang w:eastAsia="pl-PL"/>
        </w:rPr>
        <w:t>ism-related i</w:t>
      </w:r>
      <w:r w:rsidRPr="00D04B25">
        <w:rPr>
          <w:rFonts w:ascii="Fira Sans SemiBold" w:eastAsia="Times New Roman" w:hAnsi="Fira Sans SemiBold" w:cs="Times New Roman"/>
          <w:b/>
          <w:bCs/>
          <w:noProof/>
          <w:color w:val="001D77"/>
          <w:spacing w:val="-2"/>
          <w:szCs w:val="19"/>
          <w:lang w:eastAsia="pl-PL"/>
        </w:rPr>
        <w:t>ndustri</w:t>
      </w:r>
      <w:r w:rsidR="00E544A3">
        <w:rPr>
          <w:rFonts w:ascii="Fira Sans SemiBold" w:eastAsia="Times New Roman" w:hAnsi="Fira Sans SemiBold" w:cs="Times New Roman"/>
          <w:b/>
          <w:bCs/>
          <w:noProof/>
          <w:color w:val="001D77"/>
          <w:spacing w:val="-2"/>
          <w:szCs w:val="19"/>
          <w:lang w:eastAsia="pl-PL"/>
        </w:rPr>
        <w:t>es</w:t>
      </w:r>
    </w:p>
    <w:p w14:paraId="0671825E" w14:textId="5A9CA760" w:rsidR="00A97F08" w:rsidRDefault="002F2C90" w:rsidP="00AE6B20">
      <w:pPr>
        <w:spacing w:line="288" w:lineRule="auto"/>
        <w:rPr>
          <w:spacing w:val="2"/>
          <w:szCs w:val="19"/>
        </w:rPr>
      </w:pPr>
      <w:r w:rsidRPr="006D489E">
        <w:rPr>
          <w:rFonts w:cs="Arial"/>
          <w:b/>
          <w:bCs/>
          <w:noProof/>
          <w:szCs w:val="19"/>
          <w:lang w:eastAsia="pl-PL"/>
        </w:rPr>
        <mc:AlternateContent>
          <mc:Choice Requires="wps">
            <w:drawing>
              <wp:anchor distT="45720" distB="45720" distL="114300" distR="114300" simplePos="0" relativeHeight="251829248" behindDoc="1" locked="0" layoutInCell="1" allowOverlap="1" wp14:anchorId="1AB2D42C" wp14:editId="2820A13D">
                <wp:simplePos x="0" y="0"/>
                <wp:positionH relativeFrom="column">
                  <wp:posOffset>5229225</wp:posOffset>
                </wp:positionH>
                <wp:positionV relativeFrom="paragraph">
                  <wp:posOffset>515620</wp:posOffset>
                </wp:positionV>
                <wp:extent cx="1797050" cy="923925"/>
                <wp:effectExtent l="0" t="0" r="0" b="0"/>
                <wp:wrapTight wrapText="bothSides">
                  <wp:wrapPolygon edited="0">
                    <wp:start x="687" y="0"/>
                    <wp:lineTo x="687" y="20932"/>
                    <wp:lineTo x="20837" y="20932"/>
                    <wp:lineTo x="20837" y="0"/>
                    <wp:lineTo x="687" y="0"/>
                  </wp:wrapPolygon>
                </wp:wrapTight>
                <wp:docPr id="9" name="Pole tekstowe 4" descr="Output in characteristic tourism industries accounted for 3.4% of the total gross output of the national econom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923925"/>
                        </a:xfrm>
                        <a:prstGeom prst="rect">
                          <a:avLst/>
                        </a:prstGeom>
                        <a:noFill/>
                        <a:ln w="9525">
                          <a:noFill/>
                          <a:miter lim="800000"/>
                          <a:headEnd/>
                          <a:tailEnd/>
                        </a:ln>
                      </wps:spPr>
                      <wps:txbx>
                        <w:txbxContent>
                          <w:p w14:paraId="650AC945" w14:textId="05B549BC" w:rsidR="002F2C90" w:rsidRPr="00DE52FB" w:rsidRDefault="002466BA" w:rsidP="002F2C90">
                            <w:pPr>
                              <w:spacing w:before="0" w:after="0"/>
                              <w:rPr>
                                <w:rFonts w:eastAsia="Times New Roman" w:cs="Times New Roman"/>
                                <w:bCs/>
                                <w:color w:val="001D77"/>
                                <w:sz w:val="18"/>
                                <w:szCs w:val="18"/>
                                <w:lang w:eastAsia="pl-PL"/>
                              </w:rPr>
                            </w:pPr>
                            <w:r>
                              <w:rPr>
                                <w:rFonts w:eastAsia="Times New Roman" w:cs="Times New Roman"/>
                                <w:bCs/>
                                <w:color w:val="001D77"/>
                                <w:sz w:val="18"/>
                                <w:szCs w:val="18"/>
                                <w:lang w:eastAsia="pl-PL"/>
                              </w:rPr>
                              <w:t>O</w:t>
                            </w:r>
                            <w:r w:rsidR="002F2C90" w:rsidRPr="002F2C90">
                              <w:rPr>
                                <w:rFonts w:eastAsia="Times New Roman" w:cs="Times New Roman"/>
                                <w:bCs/>
                                <w:color w:val="001D77"/>
                                <w:sz w:val="18"/>
                                <w:szCs w:val="18"/>
                                <w:lang w:eastAsia="pl-PL"/>
                              </w:rPr>
                              <w:t>utput in characteristic tourism industries accounted for 3.4% of the total gross output of the national economy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B2D42C" id="_x0000_s1028" type="#_x0000_t202" alt="Output in characteristic tourism industries accounted for 3.4% of the total gross output of the national economy" style="position:absolute;margin-left:411.75pt;margin-top:40.6pt;width:141.5pt;height:72.75pt;z-index:-251487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" filled="f" stroked="f">
                <v:textbox>
                  <w:txbxContent>
                    <w:p w14:paraId="650AC945" w14:textId="05B549BC" w:rsidR="002F2C90" w:rsidRPr="00DE52FB" w:rsidRDefault="002466BA" w:rsidP="002F2C90">
                      <w:pPr>
                        <w:spacing w:before="0" w:after="0"/>
                        <w:rPr>
                          <w:rFonts w:eastAsia="Times New Roman" w:cs="Times New Roman"/>
                          <w:bCs/>
                          <w:color w:val="001D77"/>
                          <w:sz w:val="18"/>
                          <w:szCs w:val="18"/>
                          <w:lang w:eastAsia="pl-PL"/>
                        </w:rPr>
                      </w:pPr>
                      <w:r>
                        <w:rPr>
                          <w:rFonts w:eastAsia="Times New Roman" w:cs="Times New Roman"/>
                          <w:bCs/>
                          <w:color w:val="001D77"/>
                          <w:sz w:val="18"/>
                          <w:szCs w:val="18"/>
                          <w:lang w:eastAsia="pl-PL"/>
                        </w:rPr>
                        <w:t>O</w:t>
                      </w:r>
                      <w:r w:rsidR="002F2C90" w:rsidRPr="002F2C90">
                        <w:rPr>
                          <w:rFonts w:eastAsia="Times New Roman" w:cs="Times New Roman"/>
                          <w:bCs/>
                          <w:color w:val="001D77"/>
                          <w:sz w:val="18"/>
                          <w:szCs w:val="18"/>
                          <w:lang w:eastAsia="pl-PL"/>
                        </w:rPr>
                        <w:t>utput in characteristic tourism industries accounted for 3.4% of the total gross output of the national economy</w:t>
                      </w:r>
                    </w:p>
                  </w:txbxContent>
                </v:textbox>
                <w10:wrap type="tight"/>
              </v:shape>
            </w:pict>
          </mc:Fallback>
        </mc:AlternateContent>
      </w:r>
      <w:r w:rsidR="00F4690E" w:rsidRPr="00F4690E">
        <w:rPr>
          <w:spacing w:val="2"/>
          <w:szCs w:val="19"/>
        </w:rPr>
        <w:t>In 2022, output in the national economy amounted to PLN 6,765.5 billion, while intermediate consumption, comprising the value of goods and services used in production, totalled PLN 3,999.2 billion. As a result, gross value added stood at PLN 2,766.2 billion.</w:t>
      </w:r>
    </w:p>
    <w:p w14:paraId="166BABA0" w14:textId="364D9D69" w:rsidR="00F4690E" w:rsidRPr="00F4690E" w:rsidRDefault="00F4690E" w:rsidP="00F4690E">
      <w:pPr>
        <w:spacing w:line="288" w:lineRule="auto"/>
        <w:rPr>
          <w:spacing w:val="2"/>
          <w:szCs w:val="19"/>
        </w:rPr>
      </w:pPr>
      <w:r w:rsidRPr="00F4690E">
        <w:rPr>
          <w:spacing w:val="2"/>
          <w:szCs w:val="19"/>
        </w:rPr>
        <w:t>Output in tourism characteristic activities amounted to PLN 227.5 billion, representing 3.4% of output in the national economy. Food and beverage service activities recorded the highest value – PLN 65.5 billi</w:t>
      </w:r>
      <w:r w:rsidR="0095100A">
        <w:rPr>
          <w:spacing w:val="2"/>
          <w:szCs w:val="19"/>
        </w:rPr>
        <w:t>on</w:t>
      </w:r>
      <w:r w:rsidRPr="00F4690E">
        <w:rPr>
          <w:spacing w:val="2"/>
          <w:szCs w:val="19"/>
        </w:rPr>
        <w:t xml:space="preserve"> (28.8%)</w:t>
      </w:r>
      <w:r w:rsidR="001C7D04">
        <w:rPr>
          <w:spacing w:val="2"/>
          <w:szCs w:val="19"/>
        </w:rPr>
        <w:t xml:space="preserve">, </w:t>
      </w:r>
      <w:r w:rsidR="0095100A">
        <w:rPr>
          <w:spacing w:val="2"/>
          <w:szCs w:val="19"/>
        </w:rPr>
        <w:t>f</w:t>
      </w:r>
      <w:r w:rsidRPr="00F4690E">
        <w:rPr>
          <w:spacing w:val="2"/>
          <w:szCs w:val="19"/>
        </w:rPr>
        <w:t>ollowed by road passenger transport – PLN 37.</w:t>
      </w:r>
      <w:r w:rsidR="0095100A">
        <w:rPr>
          <w:spacing w:val="2"/>
          <w:szCs w:val="19"/>
        </w:rPr>
        <w:t>1 b</w:t>
      </w:r>
      <w:r w:rsidRPr="00F4690E">
        <w:rPr>
          <w:spacing w:val="2"/>
          <w:szCs w:val="19"/>
        </w:rPr>
        <w:t>illion (</w:t>
      </w:r>
      <w:r w:rsidR="0095100A">
        <w:rPr>
          <w:spacing w:val="2"/>
          <w:szCs w:val="19"/>
        </w:rPr>
        <w:t>1</w:t>
      </w:r>
      <w:r w:rsidR="001C7D04">
        <w:rPr>
          <w:spacing w:val="2"/>
          <w:szCs w:val="19"/>
        </w:rPr>
        <w:t>6.</w:t>
      </w:r>
      <w:r w:rsidRPr="00F4690E">
        <w:rPr>
          <w:spacing w:val="2"/>
          <w:szCs w:val="19"/>
        </w:rPr>
        <w:t xml:space="preserve">3%), and accommodation activities – PLN 25.3 </w:t>
      </w:r>
      <w:r w:rsidR="0095100A">
        <w:rPr>
          <w:spacing w:val="2"/>
          <w:szCs w:val="19"/>
        </w:rPr>
        <w:t>bi</w:t>
      </w:r>
      <w:r w:rsidRPr="00F4690E">
        <w:rPr>
          <w:spacing w:val="2"/>
          <w:szCs w:val="19"/>
        </w:rPr>
        <w:t>llion (1</w:t>
      </w:r>
      <w:r w:rsidR="0095100A">
        <w:rPr>
          <w:spacing w:val="2"/>
          <w:szCs w:val="19"/>
        </w:rPr>
        <w:t>1.1</w:t>
      </w:r>
      <w:r w:rsidRPr="00F4690E">
        <w:rPr>
          <w:spacing w:val="2"/>
          <w:szCs w:val="19"/>
        </w:rPr>
        <w:t>%).</w:t>
      </w:r>
    </w:p>
    <w:p w14:paraId="4F31AA34" w14:textId="2C71D271" w:rsidR="00C53212" w:rsidRPr="00F4690E" w:rsidRDefault="00C53212" w:rsidP="00F4690E">
      <w:pPr>
        <w:spacing w:line="288" w:lineRule="auto"/>
        <w:rPr>
          <w:spacing w:val="2"/>
          <w:szCs w:val="19"/>
        </w:rPr>
      </w:pPr>
      <w:r w:rsidRPr="00C53212">
        <w:rPr>
          <w:spacing w:val="2"/>
          <w:szCs w:val="19"/>
        </w:rPr>
        <w:t>Output of tourism characteristic products amounted to PLN 264.9 billion, of which PLN 212.4 billion (80.2%) was produced in tourism characteristic activities and PLN 52.5 billion (19.8%) in other economic activities. The extent to which the output of individual tourism products was concentrated in their corresponding activities varied. Almost all air passenger transport services and cultural services were produced in their respective industries. For accommodation services, this share was 88.8%, and for food and beverage serving services – 86.2%. Much lower shares were recorded for travel agency and other reservation services (27.4%) and passenger transport equipment rental (40.9%). This means that a substantial share of these services was produced by entities with a different principal activity.</w:t>
      </w:r>
    </w:p>
    <w:p w14:paraId="3E953462" w14:textId="16D23DBA" w:rsidR="00F4690E" w:rsidRDefault="00F4690E" w:rsidP="00F4690E">
      <w:pPr>
        <w:spacing w:line="288" w:lineRule="auto"/>
        <w:rPr>
          <w:spacing w:val="2"/>
          <w:szCs w:val="19"/>
        </w:rPr>
      </w:pPr>
      <w:r w:rsidRPr="00F4690E">
        <w:rPr>
          <w:spacing w:val="2"/>
          <w:szCs w:val="19"/>
        </w:rPr>
        <w:t>Intermediate consumption in tourism characteristic activities amounted to PLN 133.8 billion, while gross value added totalled PLN 93.8 billion, representing 3.4% of gross value added in the national economy. This value covers all activities of entities classified as belonging to tourism industries, regardless of whether their products were purchased by visitors or by other customers.</w:t>
      </w:r>
    </w:p>
    <w:p w14:paraId="7C354534" w14:textId="77777777" w:rsidR="00C53212" w:rsidRDefault="00C53212" w:rsidP="00F4690E">
      <w:pPr>
        <w:spacing w:line="288" w:lineRule="auto"/>
        <w:rPr>
          <w:spacing w:val="2"/>
          <w:szCs w:val="19"/>
        </w:rPr>
      </w:pPr>
    </w:p>
    <w:p w14:paraId="5C05DC28" w14:textId="77777777" w:rsidR="00C53212" w:rsidRDefault="00C53212" w:rsidP="00F4690E">
      <w:pPr>
        <w:spacing w:line="288" w:lineRule="auto"/>
        <w:rPr>
          <w:spacing w:val="2"/>
          <w:szCs w:val="19"/>
        </w:rPr>
      </w:pPr>
    </w:p>
    <w:p w14:paraId="7470E909" w14:textId="77777777" w:rsidR="00C53212" w:rsidRDefault="00C53212" w:rsidP="00F4690E">
      <w:pPr>
        <w:spacing w:line="288" w:lineRule="auto"/>
        <w:rPr>
          <w:spacing w:val="2"/>
          <w:szCs w:val="19"/>
        </w:rPr>
      </w:pPr>
    </w:p>
    <w:p w14:paraId="2E62AEB6" w14:textId="77777777" w:rsidR="00C53212" w:rsidRDefault="00C53212" w:rsidP="00F4690E">
      <w:pPr>
        <w:spacing w:line="288" w:lineRule="auto"/>
        <w:rPr>
          <w:spacing w:val="2"/>
          <w:szCs w:val="19"/>
        </w:rPr>
      </w:pPr>
    </w:p>
    <w:p w14:paraId="2525F99C" w14:textId="77777777" w:rsidR="00F4690E" w:rsidRPr="004C0FFF" w:rsidRDefault="00F4690E" w:rsidP="00F4690E">
      <w:pPr>
        <w:spacing w:line="288" w:lineRule="auto"/>
        <w:rPr>
          <w:spacing w:val="2"/>
          <w:szCs w:val="19"/>
        </w:rPr>
      </w:pPr>
    </w:p>
    <w:p w14:paraId="2CC75999" w14:textId="77777777" w:rsidR="000D621C" w:rsidRDefault="000D621C" w:rsidP="00AE6B20">
      <w:pPr>
        <w:spacing w:line="240" w:lineRule="auto"/>
        <w:ind w:left="680" w:hanging="680"/>
        <w:rPr>
          <w:b/>
          <w:noProof/>
          <w:szCs w:val="19"/>
          <w:lang w:eastAsia="pl-PL"/>
        </w:rPr>
      </w:pPr>
    </w:p>
    <w:p w14:paraId="7707A0E1" w14:textId="77777777" w:rsidR="000D621C" w:rsidRDefault="000D621C" w:rsidP="00AE6B20">
      <w:pPr>
        <w:spacing w:line="240" w:lineRule="auto"/>
        <w:ind w:left="680" w:hanging="680"/>
        <w:rPr>
          <w:b/>
          <w:noProof/>
          <w:szCs w:val="19"/>
          <w:lang w:eastAsia="pl-PL"/>
        </w:rPr>
      </w:pPr>
    </w:p>
    <w:p w14:paraId="0116E24C" w14:textId="77777777" w:rsidR="0023072C" w:rsidRDefault="0023072C" w:rsidP="00AE6B20">
      <w:pPr>
        <w:spacing w:line="240" w:lineRule="auto"/>
        <w:ind w:left="680" w:hanging="680"/>
        <w:rPr>
          <w:b/>
          <w:noProof/>
          <w:szCs w:val="19"/>
          <w:lang w:eastAsia="pl-PL"/>
        </w:rPr>
      </w:pPr>
    </w:p>
    <w:p w14:paraId="64A723AE" w14:textId="77777777" w:rsidR="0023072C" w:rsidRDefault="0023072C" w:rsidP="00AE6B20">
      <w:pPr>
        <w:spacing w:line="240" w:lineRule="auto"/>
        <w:ind w:left="680" w:hanging="680"/>
        <w:rPr>
          <w:b/>
          <w:noProof/>
          <w:szCs w:val="19"/>
          <w:lang w:eastAsia="pl-PL"/>
        </w:rPr>
      </w:pPr>
    </w:p>
    <w:p w14:paraId="49D54B98" w14:textId="65F43521" w:rsidR="00AE6B20" w:rsidRDefault="00AE6B20" w:rsidP="00AE6B20">
      <w:pPr>
        <w:spacing w:line="240" w:lineRule="auto"/>
        <w:ind w:left="680" w:hanging="680"/>
        <w:rPr>
          <w:b/>
          <w:noProof/>
          <w:szCs w:val="19"/>
          <w:lang w:eastAsia="pl-PL"/>
        </w:rPr>
      </w:pPr>
      <w:r w:rsidRPr="002E2F35">
        <w:rPr>
          <w:b/>
          <w:noProof/>
          <w:szCs w:val="19"/>
          <w:lang w:eastAsia="pl-PL"/>
        </w:rPr>
        <w:t>Chart 3. Output of tourism products in 2</w:t>
      </w:r>
      <w:r w:rsidR="00E544A3" w:rsidRPr="002E2F35">
        <w:rPr>
          <w:b/>
          <w:noProof/>
          <w:szCs w:val="19"/>
          <w:lang w:eastAsia="pl-PL"/>
        </w:rPr>
        <w:t>0</w:t>
      </w:r>
      <w:r w:rsidRPr="002E2F35">
        <w:rPr>
          <w:b/>
          <w:noProof/>
          <w:szCs w:val="19"/>
          <w:lang w:eastAsia="pl-PL"/>
        </w:rPr>
        <w:t>22</w:t>
      </w:r>
    </w:p>
    <w:p w14:paraId="1D97DDD6" w14:textId="7A21AE5D" w:rsidR="00C53212" w:rsidRDefault="00C53212" w:rsidP="00AE6B20">
      <w:pPr>
        <w:spacing w:line="240" w:lineRule="auto"/>
        <w:ind w:left="680" w:hanging="680"/>
        <w:rPr>
          <w:b/>
          <w:noProof/>
          <w:szCs w:val="19"/>
          <w:lang w:eastAsia="pl-PL"/>
        </w:rPr>
      </w:pPr>
      <w:r w:rsidRPr="00C53212">
        <w:rPr>
          <w:b/>
          <w:noProof/>
          <w:szCs w:val="19"/>
          <w:lang w:eastAsia="pl-PL"/>
        </w:rPr>
        <w:drawing>
          <wp:inline distT="0" distB="0" distL="0" distR="0" wp14:anchorId="792B3186" wp14:editId="55CAA92A">
            <wp:extent cx="5156760" cy="2442371"/>
            <wp:effectExtent l="0" t="0" r="6350" b="0"/>
            <wp:docPr id="5" name="Obraz 5" descr="Chart 3. Output of tourism products in 2022.&#10;&#10;Bar chart showing the output of individual categories of tourism products, expressed in billions of PLN.&#10;&#10;Food and beverage serving services – PLN 72.5 billion,&#10;Passenger transport services – PLN 65.8 billion,&#10;Passenger transport equipment rental – PLN 34.3 billion,&#10;Accommodation services – PLN 24.6 billion,&#10;Travel agencies and other reservation services – PLN 23.6 billion,&#10;Sports and recreational services – PLN 20.9 billion,&#10;Country-specific tourism characteristic services – PLN 16.1 billion,&#10;Cultural services – PLN 7.0 billion.&#10;&#10;Numerical data are available in the accompanying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81184" cy="2453939"/>
                    </a:xfrm>
                    <a:prstGeom prst="rect">
                      <a:avLst/>
                    </a:prstGeom>
                  </pic:spPr>
                </pic:pic>
              </a:graphicData>
            </a:graphic>
          </wp:inline>
        </w:drawing>
      </w:r>
    </w:p>
    <w:p w14:paraId="044992A3" w14:textId="17A46767" w:rsidR="00F4690E" w:rsidRDefault="00F4690E" w:rsidP="006A4805">
      <w:pPr>
        <w:spacing w:before="360" w:line="288" w:lineRule="auto"/>
        <w:rPr>
          <w:rFonts w:ascii="Fira Sans SemiBold" w:eastAsia="Times New Roman" w:hAnsi="Fira Sans SemiBold" w:cs="Times New Roman"/>
          <w:b/>
          <w:bCs/>
          <w:noProof/>
          <w:color w:val="001D77"/>
          <w:spacing w:val="-2"/>
          <w:szCs w:val="19"/>
          <w:lang w:eastAsia="pl-PL"/>
        </w:rPr>
      </w:pPr>
      <w:r w:rsidRPr="00F4690E">
        <w:rPr>
          <w:rFonts w:ascii="Fira Sans SemiBold" w:eastAsia="Times New Roman" w:hAnsi="Fira Sans SemiBold" w:cs="Times New Roman"/>
          <w:b/>
          <w:bCs/>
          <w:noProof/>
          <w:color w:val="001D77"/>
          <w:spacing w:val="-2"/>
          <w:szCs w:val="19"/>
          <w:lang w:eastAsia="pl-PL"/>
        </w:rPr>
        <w:t>Tourism’s direct contribution to the economy</w:t>
      </w:r>
    </w:p>
    <w:p w14:paraId="18CEC482" w14:textId="536726BF" w:rsidR="00F4690E" w:rsidRDefault="00F4690E" w:rsidP="00F4690E">
      <w:pPr>
        <w:spacing w:before="0" w:line="288" w:lineRule="auto"/>
        <w:rPr>
          <w:spacing w:val="2"/>
          <w:szCs w:val="19"/>
        </w:rPr>
      </w:pPr>
      <w:r w:rsidRPr="00F4690E">
        <w:rPr>
          <w:spacing w:val="2"/>
          <w:szCs w:val="19"/>
        </w:rPr>
        <w:t>In 2022, the total domestic supply of goods and services amounted to PLN 8,981.3 billion.</w:t>
      </w:r>
      <w:r w:rsidR="00890CCD">
        <w:rPr>
          <w:spacing w:val="2"/>
          <w:szCs w:val="19"/>
        </w:rPr>
        <w:br/>
      </w:r>
      <w:r w:rsidRPr="00F4690E">
        <w:rPr>
          <w:spacing w:val="2"/>
          <w:szCs w:val="19"/>
        </w:rPr>
        <w:t>It comprised domestic output, imports and taxes less subsidies on products. Internal tourism consumption stood at PLN 120.2 billion, representing 1.3% of total domestic supply.</w:t>
      </w:r>
    </w:p>
    <w:p w14:paraId="55535534" w14:textId="4693C597" w:rsidR="00F4690E" w:rsidRDefault="00F4690E" w:rsidP="00F4690E">
      <w:pPr>
        <w:spacing w:before="0" w:line="288" w:lineRule="auto"/>
        <w:rPr>
          <w:spacing w:val="2"/>
          <w:szCs w:val="19"/>
        </w:rPr>
      </w:pPr>
      <w:r w:rsidRPr="00F4690E">
        <w:rPr>
          <w:spacing w:val="2"/>
          <w:szCs w:val="19"/>
        </w:rPr>
        <w:t>Tourism direct gross value added, i.e. value added generated in the economy in response to internal tourism consumption, amounted to PLN 50.7 billion, equivalent to 1.8% of gross value added in the national economy. Of this amount, PLN 26.3 billion was attributable to tourism characteristic activities and PLN 24.4 billion to other economic activities.</w:t>
      </w:r>
    </w:p>
    <w:p w14:paraId="377F6D10" w14:textId="2E101A02" w:rsidR="00FE57FA" w:rsidRPr="00F4690E" w:rsidRDefault="00FE57FA" w:rsidP="00F4690E">
      <w:pPr>
        <w:spacing w:before="0" w:line="288" w:lineRule="auto"/>
        <w:rPr>
          <w:spacing w:val="2"/>
          <w:szCs w:val="19"/>
        </w:rPr>
      </w:pPr>
      <w:r w:rsidRPr="00FE57FA">
        <w:rPr>
          <w:spacing w:val="2"/>
          <w:szCs w:val="19"/>
        </w:rPr>
        <w:t>Tourism direct gross domestic product, comprising tourism direct gross value added and taxes less subsidies on products attributable to tourism, amounted to PLN 56.2 billion. Tourism’s share of Poland’s gross domestic product, w</w:t>
      </w:r>
      <w:r w:rsidRPr="00E42087">
        <w:rPr>
          <w:spacing w:val="2"/>
          <w:szCs w:val="19"/>
        </w:rPr>
        <w:t>hich totalled PLN 3,100.9 billion, stood at 1.8%.</w:t>
      </w:r>
    </w:p>
    <w:p w14:paraId="26925310" w14:textId="65DC3C28" w:rsidR="00AE6B20" w:rsidRDefault="00E204C2" w:rsidP="006A4805">
      <w:pPr>
        <w:spacing w:before="360" w:line="288" w:lineRule="auto"/>
        <w:rPr>
          <w:rFonts w:ascii="Fira Sans SemiBold" w:eastAsia="Times New Roman" w:hAnsi="Fira Sans SemiBold" w:cs="Times New Roman"/>
          <w:b/>
          <w:bCs/>
          <w:noProof/>
          <w:color w:val="001D77"/>
          <w:spacing w:val="-2"/>
          <w:szCs w:val="19"/>
          <w:lang w:eastAsia="pl-PL"/>
        </w:rPr>
      </w:pPr>
      <w:r w:rsidRPr="006D489E">
        <w:rPr>
          <w:rFonts w:cs="Arial"/>
          <w:b/>
          <w:bCs/>
          <w:noProof/>
          <w:szCs w:val="19"/>
          <w:lang w:eastAsia="pl-PL"/>
        </w:rPr>
        <mc:AlternateContent>
          <mc:Choice Requires="wps">
            <w:drawing>
              <wp:anchor distT="45720" distB="45720" distL="114300" distR="114300" simplePos="0" relativeHeight="251831296" behindDoc="1" locked="0" layoutInCell="1" allowOverlap="1" wp14:anchorId="198E9E6A" wp14:editId="542D8B31">
                <wp:simplePos x="0" y="0"/>
                <wp:positionH relativeFrom="column">
                  <wp:posOffset>5229225</wp:posOffset>
                </wp:positionH>
                <wp:positionV relativeFrom="paragraph">
                  <wp:posOffset>339725</wp:posOffset>
                </wp:positionV>
                <wp:extent cx="1797050" cy="933450"/>
                <wp:effectExtent l="0" t="0" r="0" b="0"/>
                <wp:wrapTight wrapText="bothSides">
                  <wp:wrapPolygon edited="0">
                    <wp:start x="687" y="0"/>
                    <wp:lineTo x="687" y="21159"/>
                    <wp:lineTo x="20837" y="21159"/>
                    <wp:lineTo x="20837" y="0"/>
                    <wp:lineTo x="687" y="0"/>
                  </wp:wrapPolygon>
                </wp:wrapTight>
                <wp:docPr id="12" name="Pole tekstowe 4" descr="In 2022, employees accounted for 83.1% of persons working in tourism-related industries, while self-employed persons accounted for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933450"/>
                        </a:xfrm>
                        <a:prstGeom prst="rect">
                          <a:avLst/>
                        </a:prstGeom>
                        <a:noFill/>
                        <a:ln w="9525">
                          <a:noFill/>
                          <a:miter lim="800000"/>
                          <a:headEnd/>
                          <a:tailEnd/>
                        </a:ln>
                      </wps:spPr>
                      <wps:txbx>
                        <w:txbxContent>
                          <w:p w14:paraId="285CA903" w14:textId="560769F7" w:rsidR="00E204C2" w:rsidRPr="00DE52FB" w:rsidRDefault="00E204C2" w:rsidP="00E204C2">
                            <w:pPr>
                              <w:spacing w:before="0" w:after="0"/>
                              <w:rPr>
                                <w:rFonts w:eastAsia="Times New Roman" w:cs="Times New Roman"/>
                                <w:bCs/>
                                <w:color w:val="001D77"/>
                                <w:sz w:val="18"/>
                                <w:szCs w:val="18"/>
                                <w:lang w:eastAsia="pl-PL"/>
                              </w:rPr>
                            </w:pPr>
                            <w:r w:rsidRPr="00E204C2">
                              <w:rPr>
                                <w:rFonts w:eastAsia="Times New Roman" w:cs="Times New Roman"/>
                                <w:bCs/>
                                <w:color w:val="001D77"/>
                                <w:sz w:val="18"/>
                                <w:szCs w:val="18"/>
                                <w:lang w:eastAsia="pl-PL"/>
                              </w:rPr>
                              <w:t>In 2022, employees accounted for 83.1% of persons working in tourism-related industries, while self-employed persons accounted for 16.9%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8E9E6A" id="_x0000_s1029" type="#_x0000_t202" alt="In 2022, employees accounted for 83.1% of persons working in tourism-related industries, while self-employed persons accounted for 16.9%" style="position:absolute;margin-left:411.75pt;margin-top:26.75pt;width:141.5pt;height:73.5pt;z-index:-251485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" filled="f" stroked="f">
                <v:textbox>
                  <w:txbxContent>
                    <w:p w14:paraId="285CA903" w14:textId="560769F7" w:rsidR="00E204C2" w:rsidRPr="00DE52FB" w:rsidRDefault="00E204C2" w:rsidP="00E204C2">
                      <w:pPr>
                        <w:spacing w:before="0" w:after="0"/>
                        <w:rPr>
                          <w:rFonts w:eastAsia="Times New Roman" w:cs="Times New Roman"/>
                          <w:bCs/>
                          <w:color w:val="001D77"/>
                          <w:sz w:val="18"/>
                          <w:szCs w:val="18"/>
                          <w:lang w:eastAsia="pl-PL"/>
                        </w:rPr>
                      </w:pPr>
                      <w:r w:rsidRPr="00E204C2">
                        <w:rPr>
                          <w:rFonts w:eastAsia="Times New Roman" w:cs="Times New Roman"/>
                          <w:bCs/>
                          <w:color w:val="001D77"/>
                          <w:sz w:val="18"/>
                          <w:szCs w:val="18"/>
                          <w:lang w:eastAsia="pl-PL"/>
                        </w:rPr>
                        <w:t>In 2022, employees accounted for 83.1% of persons working in tourism-related industries, while self-employed persons accounted for 16.9%</w:t>
                      </w:r>
                    </w:p>
                  </w:txbxContent>
                </v:textbox>
                <w10:wrap type="tight"/>
              </v:shape>
            </w:pict>
          </mc:Fallback>
        </mc:AlternateContent>
      </w:r>
      <w:r w:rsidR="00AE6B20">
        <w:rPr>
          <w:rFonts w:ascii="Fira Sans SemiBold" w:eastAsia="Times New Roman" w:hAnsi="Fira Sans SemiBold" w:cs="Times New Roman"/>
          <w:b/>
          <w:bCs/>
          <w:noProof/>
          <w:color w:val="001D77"/>
          <w:spacing w:val="-2"/>
          <w:szCs w:val="19"/>
          <w:lang w:eastAsia="pl-PL"/>
        </w:rPr>
        <w:t>Persons emplo</w:t>
      </w:r>
      <w:r w:rsidR="00AD0B96">
        <w:rPr>
          <w:rFonts w:ascii="Fira Sans SemiBold" w:eastAsia="Times New Roman" w:hAnsi="Fira Sans SemiBold" w:cs="Times New Roman"/>
          <w:b/>
          <w:bCs/>
          <w:noProof/>
          <w:color w:val="001D77"/>
          <w:spacing w:val="-2"/>
          <w:szCs w:val="19"/>
          <w:lang w:eastAsia="pl-PL"/>
        </w:rPr>
        <w:t>yed in tourism-related industries</w:t>
      </w:r>
    </w:p>
    <w:p w14:paraId="797D74C4" w14:textId="1DB58223" w:rsidR="0010212C" w:rsidRPr="00DE5E2F" w:rsidRDefault="0010212C" w:rsidP="0010212C">
      <w:pPr>
        <w:spacing w:before="0" w:line="288" w:lineRule="auto"/>
        <w:rPr>
          <w:rFonts w:eastAsia="Aptos" w:cs="Calibri"/>
          <w:szCs w:val="19"/>
          <w14:ligatures w14:val="standardContextual"/>
        </w:rPr>
      </w:pPr>
      <w:r w:rsidRPr="00DE5E2F">
        <w:rPr>
          <w:rFonts w:eastAsia="Aptos" w:cs="Calibri"/>
          <w:szCs w:val="19"/>
          <w14:ligatures w14:val="standardContextual"/>
        </w:rPr>
        <w:t>In 2022, 5</w:t>
      </w:r>
      <w:r w:rsidR="00E0067B" w:rsidRPr="00DE5E2F">
        <w:rPr>
          <w:rFonts w:eastAsia="Aptos" w:cs="Calibri"/>
          <w:szCs w:val="19"/>
          <w14:ligatures w14:val="standardContextual"/>
        </w:rPr>
        <w:t>58</w:t>
      </w:r>
      <w:r w:rsidRPr="00DE5E2F">
        <w:rPr>
          <w:rFonts w:eastAsia="Aptos" w:cs="Calibri"/>
          <w:szCs w:val="19"/>
          <w14:ligatures w14:val="standardContextual"/>
        </w:rPr>
        <w:t>.</w:t>
      </w:r>
      <w:r w:rsidR="00E0067B" w:rsidRPr="00DE5E2F">
        <w:rPr>
          <w:rFonts w:eastAsia="Aptos" w:cs="Calibri"/>
          <w:szCs w:val="19"/>
          <w14:ligatures w14:val="standardContextual"/>
        </w:rPr>
        <w:t>6</w:t>
      </w:r>
      <w:r w:rsidRPr="00DE5E2F">
        <w:rPr>
          <w:rFonts w:eastAsia="Aptos" w:cs="Calibri"/>
          <w:szCs w:val="19"/>
          <w14:ligatures w14:val="standardContextual"/>
        </w:rPr>
        <w:t xml:space="preserve"> thousand persons worked</w:t>
      </w:r>
      <w:r w:rsidR="00F46634">
        <w:rPr>
          <w:rStyle w:val="Odwoanieprzypisudolnego"/>
          <w:rFonts w:eastAsia="Aptos" w:cs="Calibri"/>
          <w:szCs w:val="19"/>
          <w14:ligatures w14:val="standardContextual"/>
        </w:rPr>
        <w:footnoteReference w:id="6"/>
      </w:r>
      <w:r w:rsidRPr="00DE5E2F">
        <w:rPr>
          <w:rFonts w:eastAsia="Aptos" w:cs="Calibri"/>
          <w:szCs w:val="19"/>
          <w14:ligatures w14:val="standardContextual"/>
        </w:rPr>
        <w:t xml:space="preserve"> in tourism-related industries</w:t>
      </w:r>
      <w:r w:rsidR="009E6618">
        <w:rPr>
          <w:rStyle w:val="Odwoanieprzypisudolnego"/>
          <w:rFonts w:eastAsia="Aptos" w:cs="Calibri"/>
          <w:szCs w:val="19"/>
          <w14:ligatures w14:val="standardContextual"/>
        </w:rPr>
        <w:footnoteReference w:id="7"/>
      </w:r>
      <w:r w:rsidRPr="00DE5E2F">
        <w:rPr>
          <w:rFonts w:eastAsia="Aptos" w:cs="Calibri"/>
          <w:szCs w:val="19"/>
          <w14:ligatures w14:val="standardContextual"/>
        </w:rPr>
        <w:t>, representing 3.</w:t>
      </w:r>
      <w:r w:rsidR="00E0067B" w:rsidRPr="00DE5E2F">
        <w:rPr>
          <w:rFonts w:eastAsia="Aptos" w:cs="Calibri"/>
          <w:szCs w:val="19"/>
          <w14:ligatures w14:val="standardContextual"/>
        </w:rPr>
        <w:t>7</w:t>
      </w:r>
      <w:r w:rsidRPr="00DE5E2F">
        <w:rPr>
          <w:rFonts w:eastAsia="Aptos" w:cs="Calibri"/>
          <w:szCs w:val="19"/>
          <w14:ligatures w14:val="standardContextual"/>
        </w:rPr>
        <w:t>% of all persons employed in Poland’s economy. Of these, 46</w:t>
      </w:r>
      <w:r w:rsidR="00E0067B" w:rsidRPr="00DE5E2F">
        <w:rPr>
          <w:rFonts w:eastAsia="Aptos" w:cs="Calibri"/>
          <w:szCs w:val="19"/>
          <w14:ligatures w14:val="standardContextual"/>
        </w:rPr>
        <w:t>4</w:t>
      </w:r>
      <w:r w:rsidRPr="00DE5E2F">
        <w:rPr>
          <w:rFonts w:eastAsia="Aptos" w:cs="Calibri"/>
          <w:szCs w:val="19"/>
          <w14:ligatures w14:val="standardContextual"/>
        </w:rPr>
        <w:t>.</w:t>
      </w:r>
      <w:r w:rsidR="00E0067B" w:rsidRPr="00DE5E2F">
        <w:rPr>
          <w:rFonts w:eastAsia="Aptos" w:cs="Calibri"/>
          <w:szCs w:val="19"/>
          <w14:ligatures w14:val="standardContextual"/>
        </w:rPr>
        <w:t>2</w:t>
      </w:r>
      <w:r w:rsidRPr="00DE5E2F">
        <w:rPr>
          <w:rFonts w:eastAsia="Aptos" w:cs="Calibri"/>
          <w:szCs w:val="19"/>
          <w14:ligatures w14:val="standardContextual"/>
        </w:rPr>
        <w:t xml:space="preserve"> thousand (83.</w:t>
      </w:r>
      <w:r w:rsidR="00E0067B" w:rsidRPr="00DE5E2F">
        <w:rPr>
          <w:rFonts w:eastAsia="Aptos" w:cs="Calibri"/>
          <w:szCs w:val="19"/>
          <w14:ligatures w14:val="standardContextual"/>
        </w:rPr>
        <w:t>1</w:t>
      </w:r>
      <w:r w:rsidRPr="00DE5E2F">
        <w:rPr>
          <w:rFonts w:eastAsia="Aptos" w:cs="Calibri"/>
          <w:szCs w:val="19"/>
          <w14:ligatures w14:val="standardContextual"/>
        </w:rPr>
        <w:t>%) were employees, while 9</w:t>
      </w:r>
      <w:r w:rsidR="00E0067B" w:rsidRPr="00DE5E2F">
        <w:rPr>
          <w:rFonts w:eastAsia="Aptos" w:cs="Calibri"/>
          <w:szCs w:val="19"/>
          <w14:ligatures w14:val="standardContextual"/>
        </w:rPr>
        <w:t>4</w:t>
      </w:r>
      <w:r w:rsidRPr="00DE5E2F">
        <w:rPr>
          <w:rFonts w:eastAsia="Aptos" w:cs="Calibri"/>
          <w:szCs w:val="19"/>
          <w14:ligatures w14:val="standardContextual"/>
        </w:rPr>
        <w:t>.</w:t>
      </w:r>
      <w:r w:rsidR="00E0067B" w:rsidRPr="00DE5E2F">
        <w:rPr>
          <w:rFonts w:eastAsia="Aptos" w:cs="Calibri"/>
          <w:szCs w:val="19"/>
          <w14:ligatures w14:val="standardContextual"/>
        </w:rPr>
        <w:t>4</w:t>
      </w:r>
      <w:r w:rsidRPr="00DE5E2F">
        <w:rPr>
          <w:rFonts w:eastAsia="Aptos" w:cs="Calibri"/>
          <w:szCs w:val="19"/>
          <w14:ligatures w14:val="standardContextual"/>
        </w:rPr>
        <w:t xml:space="preserve"> thousand (16.</w:t>
      </w:r>
      <w:r w:rsidR="00E0067B" w:rsidRPr="00DE5E2F">
        <w:rPr>
          <w:rFonts w:eastAsia="Aptos" w:cs="Calibri"/>
          <w:szCs w:val="19"/>
          <w14:ligatures w14:val="standardContextual"/>
        </w:rPr>
        <w:t>9</w:t>
      </w:r>
      <w:r w:rsidRPr="00DE5E2F">
        <w:rPr>
          <w:rFonts w:eastAsia="Aptos" w:cs="Calibri"/>
          <w:szCs w:val="19"/>
          <w14:ligatures w14:val="standardContextual"/>
        </w:rPr>
        <w:t>%) were self-employed.</w:t>
      </w:r>
    </w:p>
    <w:p w14:paraId="5CF57CF6" w14:textId="78C4983A" w:rsidR="0010212C" w:rsidRPr="00DE5E2F" w:rsidRDefault="0010212C" w:rsidP="0010212C">
      <w:pPr>
        <w:spacing w:before="0" w:line="288" w:lineRule="auto"/>
        <w:rPr>
          <w:rFonts w:eastAsia="Aptos" w:cs="Calibri"/>
          <w:szCs w:val="19"/>
          <w14:ligatures w14:val="standardContextual"/>
        </w:rPr>
      </w:pPr>
      <w:r w:rsidRPr="00DE5E2F">
        <w:rPr>
          <w:rFonts w:eastAsia="Aptos" w:cs="Calibri"/>
          <w:szCs w:val="19"/>
          <w14:ligatures w14:val="standardContextual"/>
        </w:rPr>
        <w:t>Food and beverage serving services had the largest number of persons employed – 237.</w:t>
      </w:r>
      <w:r w:rsidR="001A4EDB" w:rsidRPr="00DE5E2F">
        <w:rPr>
          <w:rFonts w:eastAsia="Aptos" w:cs="Calibri"/>
          <w:szCs w:val="19"/>
          <w14:ligatures w14:val="standardContextual"/>
        </w:rPr>
        <w:t>8</w:t>
      </w:r>
      <w:r w:rsidRPr="00DE5E2F">
        <w:rPr>
          <w:rFonts w:eastAsia="Aptos" w:cs="Calibri"/>
          <w:szCs w:val="19"/>
          <w14:ligatures w14:val="standardContextual"/>
        </w:rPr>
        <w:t xml:space="preserve"> thousand (42.</w:t>
      </w:r>
      <w:r w:rsidR="001A4EDB" w:rsidRPr="00DE5E2F">
        <w:rPr>
          <w:rFonts w:eastAsia="Aptos" w:cs="Calibri"/>
          <w:szCs w:val="19"/>
          <w14:ligatures w14:val="standardContextual"/>
        </w:rPr>
        <w:t>6</w:t>
      </w:r>
      <w:r w:rsidRPr="00DE5E2F">
        <w:rPr>
          <w:rFonts w:eastAsia="Aptos" w:cs="Calibri"/>
          <w:szCs w:val="19"/>
          <w14:ligatures w14:val="standardContextual"/>
        </w:rPr>
        <w:t xml:space="preserve">% of all persons employed in tourism industries). </w:t>
      </w:r>
      <w:r w:rsidR="00A81B7C" w:rsidRPr="00A81B7C">
        <w:rPr>
          <w:rFonts w:eastAsia="Aptos" w:cs="Calibri"/>
          <w:szCs w:val="19"/>
          <w14:ligatures w14:val="standardContextual"/>
        </w:rPr>
        <w:t xml:space="preserve">The next largest sectors in terms of the number of </w:t>
      </w:r>
      <w:r w:rsidR="002466BA">
        <w:rPr>
          <w:rFonts w:eastAsia="Aptos" w:cs="Calibri"/>
          <w:szCs w:val="19"/>
          <w14:ligatures w14:val="standardContextual"/>
        </w:rPr>
        <w:t>persons employed</w:t>
      </w:r>
      <w:r w:rsidR="00A81B7C" w:rsidRPr="00A81B7C">
        <w:rPr>
          <w:rFonts w:eastAsia="Aptos" w:cs="Calibri"/>
          <w:szCs w:val="19"/>
          <w14:ligatures w14:val="standardContextual"/>
        </w:rPr>
        <w:t xml:space="preserve"> were road passenger transport services – 92.7 thousand (16.6%), followed by accommodation services, with 82.0 thousand (14.7%). </w:t>
      </w:r>
      <w:r w:rsidRPr="00DE5E2F">
        <w:rPr>
          <w:rFonts w:eastAsia="Aptos" w:cs="Calibri"/>
          <w:szCs w:val="19"/>
          <w14:ligatures w14:val="standardContextual"/>
        </w:rPr>
        <w:t>Sports and recreational services employed 47.</w:t>
      </w:r>
      <w:r w:rsidR="001A4EDB" w:rsidRPr="00DE5E2F">
        <w:rPr>
          <w:rFonts w:eastAsia="Aptos" w:cs="Calibri"/>
          <w:szCs w:val="19"/>
          <w14:ligatures w14:val="standardContextual"/>
        </w:rPr>
        <w:t>6</w:t>
      </w:r>
      <w:r w:rsidRPr="00DE5E2F">
        <w:rPr>
          <w:rFonts w:eastAsia="Aptos" w:cs="Calibri"/>
          <w:szCs w:val="19"/>
          <w14:ligatures w14:val="standardContextual"/>
        </w:rPr>
        <w:t xml:space="preserve"> thousand persons (8.</w:t>
      </w:r>
      <w:r w:rsidR="001A4EDB" w:rsidRPr="00DE5E2F">
        <w:rPr>
          <w:rFonts w:eastAsia="Aptos" w:cs="Calibri"/>
          <w:szCs w:val="19"/>
          <w14:ligatures w14:val="standardContextual"/>
        </w:rPr>
        <w:t>5</w:t>
      </w:r>
      <w:r w:rsidRPr="00DE5E2F">
        <w:rPr>
          <w:rFonts w:eastAsia="Aptos" w:cs="Calibri"/>
          <w:szCs w:val="19"/>
          <w14:ligatures w14:val="standardContextual"/>
        </w:rPr>
        <w:t>%), while cultural services employed</w:t>
      </w:r>
      <w:r w:rsidR="00A81B7C">
        <w:rPr>
          <w:rFonts w:eastAsia="Aptos" w:cs="Calibri"/>
          <w:szCs w:val="19"/>
          <w14:ligatures w14:val="standardContextual"/>
        </w:rPr>
        <w:br/>
      </w:r>
      <w:r w:rsidRPr="00DE5E2F">
        <w:rPr>
          <w:rFonts w:eastAsia="Aptos" w:cs="Calibri"/>
          <w:szCs w:val="19"/>
          <w14:ligatures w14:val="standardContextual"/>
        </w:rPr>
        <w:t>46.3 thousand (8.</w:t>
      </w:r>
      <w:r w:rsidR="001A4EDB" w:rsidRPr="00DE5E2F">
        <w:rPr>
          <w:rFonts w:eastAsia="Aptos" w:cs="Calibri"/>
          <w:szCs w:val="19"/>
          <w14:ligatures w14:val="standardContextual"/>
        </w:rPr>
        <w:t>3</w:t>
      </w:r>
      <w:r w:rsidRPr="00DE5E2F">
        <w:rPr>
          <w:rFonts w:eastAsia="Aptos" w:cs="Calibri"/>
          <w:szCs w:val="19"/>
          <w14:ligatures w14:val="standardContextual"/>
        </w:rPr>
        <w:t>%).</w:t>
      </w:r>
    </w:p>
    <w:p w14:paraId="71AC24A8" w14:textId="49DE2001" w:rsidR="00C002F4" w:rsidRPr="00E204C2" w:rsidRDefault="0010212C" w:rsidP="0010212C">
      <w:pPr>
        <w:spacing w:before="0" w:line="288" w:lineRule="auto"/>
        <w:rPr>
          <w:rFonts w:ascii="Fira Sans SemiBold" w:eastAsia="Times New Roman" w:hAnsi="Fira Sans SemiBold" w:cs="Times New Roman"/>
          <w:b/>
          <w:bCs/>
          <w:noProof/>
          <w:color w:val="001D77"/>
          <w:spacing w:val="-2"/>
          <w:szCs w:val="19"/>
          <w:lang w:eastAsia="pl-PL"/>
        </w:rPr>
      </w:pPr>
      <w:r w:rsidRPr="00DE5E2F">
        <w:rPr>
          <w:rFonts w:eastAsia="Aptos" w:cs="Calibri"/>
          <w:szCs w:val="19"/>
          <w14:ligatures w14:val="standardContextual"/>
        </w:rPr>
        <w:lastRenderedPageBreak/>
        <w:t xml:space="preserve">Women </w:t>
      </w:r>
      <w:r w:rsidR="00E40E6E" w:rsidRPr="00DE5E2F">
        <w:rPr>
          <w:rFonts w:eastAsia="Aptos" w:cs="Calibri"/>
          <w:szCs w:val="19"/>
          <w14:ligatures w14:val="standardContextual"/>
        </w:rPr>
        <w:t>predominat</w:t>
      </w:r>
      <w:r w:rsidRPr="00DE5E2F">
        <w:rPr>
          <w:rFonts w:eastAsia="Aptos" w:cs="Calibri"/>
          <w:szCs w:val="19"/>
          <w14:ligatures w14:val="standardContextual"/>
        </w:rPr>
        <w:t>ed among persons employed in tourism-related industries, numbering 29</w:t>
      </w:r>
      <w:r w:rsidR="001A4EDB" w:rsidRPr="00DE5E2F">
        <w:rPr>
          <w:rFonts w:eastAsia="Aptos" w:cs="Calibri"/>
          <w:szCs w:val="19"/>
          <w14:ligatures w14:val="standardContextual"/>
        </w:rPr>
        <w:t>6</w:t>
      </w:r>
      <w:r w:rsidRPr="00DE5E2F">
        <w:rPr>
          <w:rFonts w:eastAsia="Aptos" w:cs="Calibri"/>
          <w:szCs w:val="19"/>
          <w14:ligatures w14:val="standardContextual"/>
        </w:rPr>
        <w:t>.4 thousand (53.1%), compared with 2</w:t>
      </w:r>
      <w:r w:rsidR="001A4EDB" w:rsidRPr="00DE5E2F">
        <w:rPr>
          <w:rFonts w:eastAsia="Aptos" w:cs="Calibri"/>
          <w:szCs w:val="19"/>
          <w14:ligatures w14:val="standardContextual"/>
        </w:rPr>
        <w:t>62</w:t>
      </w:r>
      <w:r w:rsidRPr="00DE5E2F">
        <w:rPr>
          <w:rFonts w:eastAsia="Aptos" w:cs="Calibri"/>
          <w:szCs w:val="19"/>
          <w14:ligatures w14:val="standardContextual"/>
        </w:rPr>
        <w:t>.</w:t>
      </w:r>
      <w:r w:rsidR="001A4EDB" w:rsidRPr="00DE5E2F">
        <w:rPr>
          <w:rFonts w:eastAsia="Aptos" w:cs="Calibri"/>
          <w:szCs w:val="19"/>
          <w14:ligatures w14:val="standardContextual"/>
        </w:rPr>
        <w:t>2</w:t>
      </w:r>
      <w:r w:rsidRPr="00DE5E2F">
        <w:rPr>
          <w:rFonts w:eastAsia="Aptos" w:cs="Calibri"/>
          <w:szCs w:val="19"/>
          <w14:ligatures w14:val="standardContextual"/>
        </w:rPr>
        <w:t xml:space="preserve"> thousand men (46.9%). Women’s predominance was particularly evident in food and beverage serving and accommodation services, whereas men clearly predominated in passenger transport.</w:t>
      </w:r>
    </w:p>
    <w:p w14:paraId="079211A7" w14:textId="77777777" w:rsidR="00D9573F" w:rsidRDefault="00D9573F" w:rsidP="00AE6B20">
      <w:pPr>
        <w:spacing w:before="360" w:line="288" w:lineRule="auto"/>
        <w:rPr>
          <w:rFonts w:ascii="Fira Sans SemiBold" w:eastAsia="Times New Roman" w:hAnsi="Fira Sans SemiBold" w:cs="Times New Roman"/>
          <w:b/>
          <w:bCs/>
          <w:noProof/>
          <w:color w:val="001D77"/>
          <w:spacing w:val="-2"/>
          <w:szCs w:val="19"/>
          <w:lang w:eastAsia="pl-PL"/>
        </w:rPr>
      </w:pPr>
    </w:p>
    <w:p w14:paraId="75CC9ADA" w14:textId="5F1A1B31" w:rsidR="00D84A54" w:rsidRPr="00D84A54" w:rsidRDefault="00D84A54" w:rsidP="00AE6B20">
      <w:pPr>
        <w:spacing w:before="360" w:line="288" w:lineRule="auto"/>
        <w:rPr>
          <w:b/>
          <w:noProof/>
          <w:szCs w:val="19"/>
          <w:lang w:val="pl-PL" w:eastAsia="pl-PL"/>
        </w:rPr>
      </w:pPr>
      <w:r w:rsidRPr="00D84A54">
        <w:rPr>
          <w:b/>
        </w:rPr>
        <w:t>Chart 4. Structure of persons employed in tourism-related industries in 2022</w:t>
      </w:r>
    </w:p>
    <w:p w14:paraId="702A96D1" w14:textId="4520A7AC" w:rsidR="00D84A54" w:rsidRPr="00D84A54" w:rsidRDefault="00D84A54" w:rsidP="00AE6B20">
      <w:pPr>
        <w:spacing w:before="360" w:line="288" w:lineRule="auto"/>
        <w:rPr>
          <w:b/>
          <w:noProof/>
          <w:szCs w:val="19"/>
          <w:lang w:val="pl-PL" w:eastAsia="pl-PL"/>
        </w:rPr>
      </w:pPr>
      <w:r w:rsidRPr="002F5B1D">
        <w:rPr>
          <w:rFonts w:ascii="Fira Sans SemiBold" w:eastAsia="Times New Roman" w:hAnsi="Fira Sans SemiBold" w:cs="Times New Roman"/>
          <w:b/>
          <w:bCs/>
          <w:noProof/>
          <w:color w:val="001D77"/>
          <w:spacing w:val="-2"/>
          <w:szCs w:val="19"/>
          <w:lang w:eastAsia="pl-PL"/>
        </w:rPr>
        <w:drawing>
          <wp:inline distT="0" distB="0" distL="0" distR="0" wp14:anchorId="10CD4A34" wp14:editId="65E34BAD">
            <wp:extent cx="5156764" cy="2900680"/>
            <wp:effectExtent l="0" t="0" r="6350" b="0"/>
            <wp:docPr id="1" name="Obraz 1" descr="Chart 4. Structure of persons employed in tourism-related industries in 2022&#10;&#10;Pie chart showing the percentage share of persons employed in individual tourism-related industries.&#10;&#10;Food and beverage serving services – 42.6%&#10;Passenger transport services – 21.5%&#10;Accommodation services – 14.7%&#10;Sports and recreational services – 8.5%&#10;Cultural services – 8.3%&#10;Travel agencies and other reservation services – 3.2%&#10;Rental of passenger transport equipment – 1.3%&#10;&#10;Numerical data are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66433" cy="2906119"/>
                    </a:xfrm>
                    <a:prstGeom prst="rect">
                      <a:avLst/>
                    </a:prstGeom>
                  </pic:spPr>
                </pic:pic>
              </a:graphicData>
            </a:graphic>
          </wp:inline>
        </w:drawing>
      </w:r>
    </w:p>
    <w:p w14:paraId="2FBC36E6" w14:textId="0E7784BD" w:rsidR="00AE6B20" w:rsidRDefault="009048E7" w:rsidP="00AE6B20">
      <w:pPr>
        <w:spacing w:before="360" w:line="288" w:lineRule="auto"/>
        <w:rPr>
          <w:rFonts w:ascii="Fira Sans SemiBold" w:eastAsia="Times New Roman" w:hAnsi="Fira Sans SemiBold" w:cs="Times New Roman"/>
          <w:b/>
          <w:bCs/>
          <w:noProof/>
          <w:color w:val="001D77"/>
          <w:spacing w:val="-2"/>
          <w:szCs w:val="19"/>
          <w:lang w:eastAsia="pl-PL"/>
        </w:rPr>
      </w:pPr>
      <w:r>
        <w:rPr>
          <w:rFonts w:ascii="Fira Sans SemiBold" w:eastAsia="Times New Roman" w:hAnsi="Fira Sans SemiBold" w:cs="Times New Roman"/>
          <w:b/>
          <w:bCs/>
          <w:noProof/>
          <w:color w:val="001D77"/>
          <w:spacing w:val="-2"/>
          <w:szCs w:val="19"/>
          <w:lang w:eastAsia="pl-PL"/>
        </w:rPr>
        <w:t>Capital expenditure</w:t>
      </w:r>
    </w:p>
    <w:p w14:paraId="001D9E7B" w14:textId="2E1365C5" w:rsidR="00AE6B20" w:rsidRDefault="009048E7" w:rsidP="00C46F94">
      <w:pPr>
        <w:pStyle w:val="Tekstprzypisudolnego"/>
        <w:spacing w:after="120" w:line="288" w:lineRule="auto"/>
        <w:rPr>
          <w:iCs/>
          <w:sz w:val="19"/>
          <w:szCs w:val="19"/>
          <w:shd w:val="clear" w:color="auto" w:fill="FFFFFF"/>
        </w:rPr>
      </w:pPr>
      <w:r>
        <w:rPr>
          <w:iCs/>
          <w:sz w:val="19"/>
          <w:szCs w:val="19"/>
          <w:shd w:val="clear" w:color="auto" w:fill="FFFFFF"/>
        </w:rPr>
        <w:t>Capital expenditure</w:t>
      </w:r>
      <w:r w:rsidR="00EC7574" w:rsidRPr="00EC7574">
        <w:rPr>
          <w:iCs/>
          <w:sz w:val="19"/>
          <w:szCs w:val="19"/>
          <w:shd w:val="clear" w:color="auto" w:fill="FFFFFF"/>
        </w:rPr>
        <w:t xml:space="preserve"> in tourism characteristic activities include</w:t>
      </w:r>
      <w:r w:rsidR="00452658">
        <w:rPr>
          <w:iCs/>
          <w:sz w:val="19"/>
          <w:szCs w:val="19"/>
          <w:shd w:val="clear" w:color="auto" w:fill="FFFFFF"/>
        </w:rPr>
        <w:t>s</w:t>
      </w:r>
      <w:r w:rsidR="00EC7574" w:rsidRPr="00EC7574">
        <w:rPr>
          <w:iCs/>
          <w:sz w:val="19"/>
          <w:szCs w:val="19"/>
          <w:shd w:val="clear" w:color="auto" w:fill="FFFFFF"/>
        </w:rPr>
        <w:t xml:space="preserve"> </w:t>
      </w:r>
      <w:r>
        <w:rPr>
          <w:iCs/>
          <w:sz w:val="19"/>
          <w:szCs w:val="19"/>
          <w:shd w:val="clear" w:color="auto" w:fill="FFFFFF"/>
        </w:rPr>
        <w:t>expenditure</w:t>
      </w:r>
      <w:r w:rsidR="00EC7574" w:rsidRPr="00EC7574">
        <w:rPr>
          <w:iCs/>
          <w:sz w:val="19"/>
          <w:szCs w:val="19"/>
          <w:shd w:val="clear" w:color="auto" w:fill="FFFFFF"/>
        </w:rPr>
        <w:t xml:space="preserve"> by entities providing services both to visitors and to other customers. For this reason, the value of </w:t>
      </w:r>
      <w:r>
        <w:rPr>
          <w:iCs/>
          <w:sz w:val="19"/>
          <w:szCs w:val="19"/>
          <w:shd w:val="clear" w:color="auto" w:fill="FFFFFF"/>
        </w:rPr>
        <w:t>capital expenditure</w:t>
      </w:r>
      <w:r w:rsidR="00EC7574" w:rsidRPr="00EC7574">
        <w:rPr>
          <w:iCs/>
          <w:sz w:val="19"/>
          <w:szCs w:val="19"/>
          <w:shd w:val="clear" w:color="auto" w:fill="FFFFFF"/>
        </w:rPr>
        <w:t xml:space="preserve"> in tourism characteristic activities should not in itself be equated with </w:t>
      </w:r>
      <w:r>
        <w:rPr>
          <w:iCs/>
          <w:sz w:val="19"/>
          <w:szCs w:val="19"/>
          <w:shd w:val="clear" w:color="auto" w:fill="FFFFFF"/>
        </w:rPr>
        <w:t>expenditure</w:t>
      </w:r>
      <w:r w:rsidR="00EC7574" w:rsidRPr="00EC7574">
        <w:rPr>
          <w:iCs/>
          <w:sz w:val="19"/>
          <w:szCs w:val="19"/>
          <w:shd w:val="clear" w:color="auto" w:fill="FFFFFF"/>
        </w:rPr>
        <w:t xml:space="preserve"> serving tourism exclusivel</w:t>
      </w:r>
      <w:r w:rsidR="00EC7574">
        <w:rPr>
          <w:iCs/>
          <w:sz w:val="19"/>
          <w:szCs w:val="19"/>
          <w:shd w:val="clear" w:color="auto" w:fill="FFFFFF"/>
        </w:rPr>
        <w:t>y.</w:t>
      </w:r>
    </w:p>
    <w:p w14:paraId="098E5FA5" w14:textId="022E4F34" w:rsidR="00EC7574" w:rsidRDefault="00C8752A" w:rsidP="00C46F94">
      <w:pPr>
        <w:pStyle w:val="Tekstprzypisudolnego"/>
        <w:spacing w:after="120" w:line="288" w:lineRule="auto"/>
        <w:rPr>
          <w:iCs/>
          <w:sz w:val="19"/>
          <w:szCs w:val="19"/>
          <w:shd w:val="clear" w:color="auto" w:fill="FFFFFF"/>
        </w:rPr>
      </w:pPr>
      <w:r w:rsidRPr="00C8752A">
        <w:rPr>
          <w:iCs/>
          <w:sz w:val="19"/>
          <w:szCs w:val="19"/>
          <w:shd w:val="clear" w:color="auto" w:fill="FFFFFF"/>
        </w:rPr>
        <w:t>In 2022, gross fixed capital formation in tourism characteristic activities totalled PLN 24.9 billion. Of this amount, PLN 14.5 billion (58.1%) was allocated to tourism-related fixed assets, while PLN 10.4 billion (41.9%) related to other assets not directly associated with tourism.</w:t>
      </w:r>
    </w:p>
    <w:p w14:paraId="6B642F3A" w14:textId="177894F7" w:rsidR="00216014" w:rsidRDefault="00216014" w:rsidP="00C46F94">
      <w:pPr>
        <w:pStyle w:val="Tekstprzypisudolnego"/>
        <w:spacing w:after="120" w:line="288" w:lineRule="auto"/>
        <w:rPr>
          <w:iCs/>
          <w:sz w:val="19"/>
          <w:szCs w:val="19"/>
          <w:shd w:val="clear" w:color="auto" w:fill="FFFFFF"/>
        </w:rPr>
      </w:pPr>
      <w:r w:rsidRPr="00216014">
        <w:rPr>
          <w:iCs/>
          <w:sz w:val="19"/>
          <w:szCs w:val="19"/>
          <w:shd w:val="clear" w:color="auto" w:fill="FFFFFF"/>
        </w:rPr>
        <w:t xml:space="preserve">Investment in tourism-related fixed assets was dominated by expenditure on equipment for transporting persons for tourism purposes, which amounted to PLN 11.6 billion (80.1%). The largest amounts were allocated to passenger transport equipment rental activities – PLN 7.2 billion, rail passenger transport – PLN 2.2 billion, and road passenger transport – PLN 2.0 billion. Expenditure on tourism-related non-residential buildings and other structures totalled PLN 2.3 billion. Within this group, cultural facilities recorded the highest value – PLN 0.8 billion, followed by food and </w:t>
      </w:r>
      <w:r w:rsidR="0095100A">
        <w:rPr>
          <w:iCs/>
          <w:sz w:val="19"/>
          <w:szCs w:val="19"/>
          <w:shd w:val="clear" w:color="auto" w:fill="FFFFFF"/>
        </w:rPr>
        <w:t>b</w:t>
      </w:r>
      <w:r w:rsidRPr="00216014">
        <w:rPr>
          <w:iCs/>
          <w:sz w:val="19"/>
          <w:szCs w:val="19"/>
          <w:shd w:val="clear" w:color="auto" w:fill="FFFFFF"/>
        </w:rPr>
        <w:t>everage serving facilities – PLN 0.6 billion. PLN 0.4 billion was allocated to hotels and other accommodation establishments.</w:t>
      </w:r>
    </w:p>
    <w:p w14:paraId="426450BF" w14:textId="1D7A7F56" w:rsidR="00BF7F03" w:rsidRDefault="00BF7F03" w:rsidP="00C46F94">
      <w:pPr>
        <w:pStyle w:val="Tekstprzypisudolnego"/>
        <w:spacing w:after="120" w:line="288" w:lineRule="auto"/>
        <w:rPr>
          <w:iCs/>
          <w:sz w:val="19"/>
          <w:szCs w:val="19"/>
          <w:shd w:val="clear" w:color="auto" w:fill="FFFFFF"/>
        </w:rPr>
      </w:pPr>
    </w:p>
    <w:p w14:paraId="3D23C6BB" w14:textId="77777777" w:rsidR="00C5496C" w:rsidRDefault="00C5496C" w:rsidP="00C46F94">
      <w:pPr>
        <w:pStyle w:val="Tekstprzypisudolnego"/>
        <w:spacing w:after="120" w:line="288" w:lineRule="auto"/>
        <w:rPr>
          <w:iCs/>
          <w:sz w:val="19"/>
          <w:szCs w:val="19"/>
          <w:shd w:val="clear" w:color="auto" w:fill="FFFFFF"/>
        </w:rPr>
      </w:pPr>
    </w:p>
    <w:p w14:paraId="35DA5C9C" w14:textId="77777777" w:rsidR="00E53712" w:rsidRDefault="00E53712" w:rsidP="00C46F94">
      <w:pPr>
        <w:pStyle w:val="Tekstprzypisudolnego"/>
        <w:spacing w:after="120" w:line="288" w:lineRule="auto"/>
        <w:rPr>
          <w:iCs/>
          <w:sz w:val="19"/>
          <w:szCs w:val="19"/>
          <w:shd w:val="clear" w:color="auto" w:fill="FFFFFF"/>
        </w:rPr>
      </w:pPr>
    </w:p>
    <w:p w14:paraId="08BC06D3" w14:textId="77777777" w:rsidR="00D9573F" w:rsidRDefault="00D9573F" w:rsidP="00C46F94">
      <w:pPr>
        <w:pStyle w:val="Tekstprzypisudolnego"/>
        <w:spacing w:after="120" w:line="288" w:lineRule="auto"/>
        <w:rPr>
          <w:iCs/>
          <w:sz w:val="19"/>
          <w:szCs w:val="19"/>
          <w:shd w:val="clear" w:color="auto" w:fill="FFFFFF"/>
        </w:rPr>
      </w:pPr>
    </w:p>
    <w:p w14:paraId="33E7C95A" w14:textId="77777777" w:rsidR="00D9573F" w:rsidRDefault="00D9573F" w:rsidP="00C46F94">
      <w:pPr>
        <w:pStyle w:val="Tekstprzypisudolnego"/>
        <w:spacing w:after="120" w:line="288" w:lineRule="auto"/>
        <w:rPr>
          <w:iCs/>
          <w:sz w:val="19"/>
          <w:szCs w:val="19"/>
          <w:shd w:val="clear" w:color="auto" w:fill="FFFFFF"/>
        </w:rPr>
      </w:pPr>
    </w:p>
    <w:p w14:paraId="3234BB53" w14:textId="77777777" w:rsidR="00D9573F" w:rsidRDefault="00D9573F" w:rsidP="00C46F94">
      <w:pPr>
        <w:pStyle w:val="Tekstprzypisudolnego"/>
        <w:spacing w:after="120" w:line="288" w:lineRule="auto"/>
        <w:rPr>
          <w:iCs/>
          <w:sz w:val="19"/>
          <w:szCs w:val="19"/>
          <w:shd w:val="clear" w:color="auto" w:fill="FFFFFF"/>
        </w:rPr>
      </w:pPr>
    </w:p>
    <w:p w14:paraId="0D2B1766" w14:textId="2C032C68" w:rsidR="00BF7F03" w:rsidRDefault="00E53712" w:rsidP="00C46F94">
      <w:pPr>
        <w:pStyle w:val="Tekstprzypisudolnego"/>
        <w:spacing w:after="120" w:line="288" w:lineRule="auto"/>
        <w:rPr>
          <w:iCs/>
          <w:sz w:val="19"/>
          <w:szCs w:val="19"/>
          <w:shd w:val="clear" w:color="auto" w:fill="FFFFFF"/>
        </w:rPr>
      </w:pPr>
      <w:r w:rsidRPr="00E53712">
        <w:rPr>
          <w:iCs/>
          <w:sz w:val="19"/>
          <w:szCs w:val="19"/>
          <w:shd w:val="clear" w:color="auto" w:fill="FFFFFF"/>
        </w:rPr>
        <w:lastRenderedPageBreak/>
        <w:t>NOTE: Due to data rounding, in some cases the sum of the components may differ slightly from the reported totals.</w:t>
      </w:r>
    </w:p>
    <w:p w14:paraId="066D7E39" w14:textId="7DB06500" w:rsidR="006A4805" w:rsidRPr="00DB2078" w:rsidRDefault="00985A73" w:rsidP="00D84A54">
      <w:pPr>
        <w:spacing w:line="288" w:lineRule="auto"/>
        <w:sectPr w:rsidR="006A4805" w:rsidRPr="00DB2078" w:rsidSect="00D23584">
          <w:headerReference w:type="default" r:id="rId15"/>
          <w:footerReference w:type="default" r:id="rId16"/>
          <w:headerReference w:type="first" r:id="rId17"/>
          <w:footerReference w:type="first" r:id="rId18"/>
          <w:pgSz w:w="11906" w:h="16838"/>
          <w:pgMar w:top="720" w:right="3119" w:bottom="720" w:left="720" w:header="340" w:footer="567" w:gutter="0"/>
          <w:cols w:space="708"/>
          <w:titlePg/>
          <w:docGrid w:linePitch="360"/>
        </w:sectPr>
      </w:pPr>
      <w:r>
        <w:rPr>
          <w:szCs w:val="19"/>
        </w:rPr>
        <w:t>When citing this publication, please give its title and acknowledge Statistics Poland (GUS) as the author. When publishing your own calculations based on data from this publication, please add: Own work based on data from the Statistics Poland publication “</w:t>
      </w:r>
      <w:r>
        <w:rPr>
          <w:shd w:val="clear" w:color="auto" w:fill="FFFFFF"/>
        </w:rPr>
        <w:t>Tourism satellite account</w:t>
      </w:r>
      <w:r w:rsidR="00010E34">
        <w:rPr>
          <w:shd w:val="clear" w:color="auto" w:fill="FFFFFF"/>
        </w:rPr>
        <w:t xml:space="preserve"> </w:t>
      </w:r>
      <w:r>
        <w:rPr>
          <w:shd w:val="clear" w:color="auto" w:fill="FFFFFF"/>
        </w:rPr>
        <w:t>in 2022</w:t>
      </w:r>
      <w:r>
        <w:rPr>
          <w:szCs w:val="19"/>
        </w:rPr>
        <w:t>”.</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284A63" w14:paraId="032450D5" w14:textId="77777777" w:rsidTr="00C14E3C">
        <w:trPr>
          <w:trHeight w:val="1626"/>
        </w:trPr>
        <w:tc>
          <w:tcPr>
            <w:tcW w:w="4926" w:type="dxa"/>
          </w:tcPr>
          <w:p w14:paraId="64122315" w14:textId="77777777" w:rsidR="00284A63" w:rsidRPr="004A1D19" w:rsidRDefault="00284A63" w:rsidP="00C14E3C">
            <w:pPr>
              <w:spacing w:before="0" w:after="0" w:line="276" w:lineRule="auto"/>
              <w:rPr>
                <w:rFonts w:cs="Arial"/>
                <w:sz w:val="20"/>
              </w:rPr>
            </w:pPr>
            <w:r w:rsidRPr="004A1D19">
              <w:rPr>
                <w:rFonts w:cs="Arial"/>
                <w:sz w:val="20"/>
              </w:rPr>
              <w:lastRenderedPageBreak/>
              <w:t>Prepared by:</w:t>
            </w:r>
          </w:p>
          <w:p w14:paraId="26D8C442" w14:textId="77777777" w:rsidR="00284A63" w:rsidRDefault="00284A63" w:rsidP="00C14E3C">
            <w:pPr>
              <w:spacing w:before="0" w:line="276" w:lineRule="auto"/>
              <w:rPr>
                <w:rFonts w:cs="Arial"/>
                <w:b/>
                <w:color w:val="000000" w:themeColor="text1"/>
                <w:sz w:val="20"/>
              </w:rPr>
            </w:pPr>
            <w:r>
              <w:rPr>
                <w:rFonts w:cs="Arial"/>
                <w:b/>
                <w:color w:val="000000" w:themeColor="text1"/>
                <w:sz w:val="20"/>
              </w:rPr>
              <w:t>Statistical Office in Rzeszów</w:t>
            </w:r>
          </w:p>
          <w:p w14:paraId="64EDD378" w14:textId="77777777" w:rsidR="00284A63" w:rsidRDefault="00284A63" w:rsidP="00C14E3C">
            <w:pPr>
              <w:spacing w:before="0" w:after="0" w:line="276" w:lineRule="auto"/>
              <w:rPr>
                <w:rFonts w:cs="Arial"/>
                <w:b/>
                <w:color w:val="000000" w:themeColor="text1"/>
                <w:sz w:val="20"/>
              </w:rPr>
            </w:pPr>
            <w:r>
              <w:rPr>
                <w:rFonts w:cs="Arial"/>
                <w:b/>
                <w:color w:val="000000" w:themeColor="text1"/>
                <w:sz w:val="20"/>
              </w:rPr>
              <w:t>Acting</w:t>
            </w:r>
            <w:r w:rsidRPr="00956F30">
              <w:rPr>
                <w:rFonts w:cs="Arial"/>
                <w:b/>
                <w:color w:val="000000" w:themeColor="text1"/>
                <w:sz w:val="20"/>
              </w:rPr>
              <w:t xml:space="preserve"> Direct</w:t>
            </w:r>
            <w:r>
              <w:rPr>
                <w:rFonts w:cs="Arial"/>
                <w:b/>
                <w:color w:val="000000" w:themeColor="text1"/>
                <w:sz w:val="20"/>
              </w:rPr>
              <w:t>o</w:t>
            </w:r>
            <w:r w:rsidRPr="00956F30">
              <w:rPr>
                <w:rFonts w:cs="Arial"/>
                <w:b/>
                <w:color w:val="000000" w:themeColor="text1"/>
                <w:sz w:val="20"/>
              </w:rPr>
              <w:t>r</w:t>
            </w:r>
            <w:r>
              <w:rPr>
                <w:rFonts w:cs="Arial"/>
                <w:b/>
                <w:color w:val="000000" w:themeColor="text1"/>
                <w:sz w:val="20"/>
              </w:rPr>
              <w:t xml:space="preserve"> Andżelika Malinowska</w:t>
            </w:r>
          </w:p>
          <w:p w14:paraId="12D684FA" w14:textId="77777777" w:rsidR="00284A63" w:rsidRPr="00AB24E4" w:rsidRDefault="00284A63" w:rsidP="00C14E3C">
            <w:pPr>
              <w:pStyle w:val="Nagwek3"/>
              <w:spacing w:before="0" w:after="120" w:line="276" w:lineRule="auto"/>
              <w:rPr>
                <w:rFonts w:ascii="Fira Sans" w:hAnsi="Fira Sans" w:cs="Arial"/>
                <w:color w:val="000000" w:themeColor="text1"/>
                <w:sz w:val="20"/>
              </w:rPr>
            </w:pPr>
            <w:r w:rsidRPr="00B151F2">
              <w:rPr>
                <w:rFonts w:ascii="Fira Sans" w:hAnsi="Fira Sans" w:cs="Arial"/>
                <w:color w:val="000000" w:themeColor="text1"/>
                <w:sz w:val="20"/>
              </w:rPr>
              <w:t>Tel</w:t>
            </w:r>
            <w:r>
              <w:rPr>
                <w:rFonts w:ascii="Fira Sans" w:hAnsi="Fira Sans" w:cs="Arial"/>
                <w:color w:val="000000" w:themeColor="text1"/>
                <w:sz w:val="20"/>
              </w:rPr>
              <w:t>.</w:t>
            </w:r>
            <w:r w:rsidRPr="00B151F2">
              <w:rPr>
                <w:rFonts w:ascii="Fira Sans" w:hAnsi="Fira Sans" w:cs="Arial"/>
                <w:color w:val="000000" w:themeColor="text1"/>
                <w:sz w:val="20"/>
              </w:rPr>
              <w:t>: 17 853 52 10, 17 853 52 19</w:t>
            </w:r>
          </w:p>
        </w:tc>
        <w:tc>
          <w:tcPr>
            <w:tcW w:w="4927" w:type="dxa"/>
          </w:tcPr>
          <w:p w14:paraId="4AB83141" w14:textId="77777777" w:rsidR="00284A63" w:rsidRDefault="00284A63" w:rsidP="00C14E3C">
            <w:pPr>
              <w:spacing w:before="0" w:line="276" w:lineRule="auto"/>
              <w:rPr>
                <w:rFonts w:cs="Arial"/>
                <w:b/>
                <w:sz w:val="20"/>
              </w:rPr>
            </w:pPr>
            <w:r w:rsidRPr="004A1D19">
              <w:rPr>
                <w:rFonts w:cs="Arial"/>
                <w:sz w:val="20"/>
              </w:rPr>
              <w:t>Dissemination:</w:t>
            </w:r>
            <w:r w:rsidRPr="004A1D19">
              <w:rPr>
                <w:rFonts w:cs="Arial"/>
                <w:sz w:val="20"/>
              </w:rPr>
              <w:br/>
            </w:r>
            <w:r>
              <w:rPr>
                <w:rFonts w:cs="Arial"/>
                <w:b/>
                <w:sz w:val="20"/>
              </w:rPr>
              <w:t>Press Office</w:t>
            </w:r>
          </w:p>
          <w:p w14:paraId="17465A91" w14:textId="77777777" w:rsidR="00284A63" w:rsidRPr="0091780E" w:rsidRDefault="00284A63" w:rsidP="00C14E3C">
            <w:pPr>
              <w:rPr>
                <w:sz w:val="20"/>
              </w:rPr>
            </w:pPr>
            <w:r w:rsidRPr="0091780E">
              <w:rPr>
                <w:sz w:val="20"/>
              </w:rPr>
              <w:t>Mobile: +48 695 255 032</w:t>
            </w:r>
          </w:p>
          <w:p w14:paraId="010D18E3" w14:textId="77777777" w:rsidR="00284A63" w:rsidRDefault="00284A63" w:rsidP="00C14E3C">
            <w:pPr>
              <w:ind w:left="1554" w:hanging="1554"/>
              <w:rPr>
                <w:sz w:val="20"/>
              </w:rPr>
            </w:pPr>
            <w:r w:rsidRPr="0091780E">
              <w:rPr>
                <w:sz w:val="20"/>
              </w:rPr>
              <w:t xml:space="preserve">Landline: +48 22 608 38 04, +48 22 449 41 45, </w:t>
            </w:r>
          </w:p>
          <w:p w14:paraId="6E807662" w14:textId="77777777" w:rsidR="00284A63" w:rsidRPr="0091780E" w:rsidRDefault="00284A63" w:rsidP="00C14E3C">
            <w:pPr>
              <w:ind w:left="1554" w:hanging="1554"/>
              <w:rPr>
                <w:sz w:val="20"/>
              </w:rPr>
            </w:pPr>
            <w:r>
              <w:rPr>
                <w:sz w:val="20"/>
              </w:rPr>
              <w:t xml:space="preserve">                 </w:t>
            </w:r>
            <w:r w:rsidRPr="0091780E">
              <w:rPr>
                <w:sz w:val="20"/>
              </w:rPr>
              <w:t>+48 22 608 30 09</w:t>
            </w:r>
          </w:p>
          <w:p w14:paraId="514A771A" w14:textId="77777777" w:rsidR="00284A63" w:rsidRDefault="00284A63" w:rsidP="00C14E3C">
            <w:r w:rsidRPr="00610ED9">
              <w:rPr>
                <w:b/>
                <w:sz w:val="20"/>
              </w:rPr>
              <w:t>e-mail:</w:t>
            </w:r>
            <w:r w:rsidRPr="00610ED9">
              <w:rPr>
                <w:sz w:val="20"/>
              </w:rPr>
              <w:t xml:space="preserve"> </w:t>
            </w:r>
            <w:hyperlink r:id="rId19" w:history="1">
              <w:r w:rsidRPr="00610ED9">
                <w:rPr>
                  <w:rStyle w:val="Hipercze"/>
                  <w:rFonts w:eastAsiaTheme="majorEastAsia" w:cs="Arial"/>
                  <w:b/>
                  <w:color w:val="auto"/>
                  <w:sz w:val="20"/>
                  <w:szCs w:val="20"/>
                </w:rPr>
                <w:t>obslugaprasowa@stat.gov.pl</w:t>
              </w:r>
            </w:hyperlink>
          </w:p>
          <w:p w14:paraId="30C7FC3C" w14:textId="77777777" w:rsidR="00284A63" w:rsidRDefault="00284A63" w:rsidP="00C14E3C">
            <w:pPr>
              <w:rPr>
                <w:sz w:val="18"/>
              </w:rPr>
            </w:pPr>
          </w:p>
        </w:tc>
      </w:tr>
      <w:tr w:rsidR="00284A63" w14:paraId="5B40F9E4" w14:textId="77777777" w:rsidTr="00C14E3C">
        <w:trPr>
          <w:trHeight w:val="418"/>
        </w:trPr>
        <w:tc>
          <w:tcPr>
            <w:tcW w:w="4926" w:type="dxa"/>
            <w:vMerge w:val="restart"/>
          </w:tcPr>
          <w:p w14:paraId="233DB659" w14:textId="77777777" w:rsidR="00284A63" w:rsidRPr="00F05FC7" w:rsidRDefault="00284A63" w:rsidP="00C14E3C">
            <w:pPr>
              <w:rPr>
                <w:sz w:val="18"/>
              </w:rPr>
            </w:pPr>
          </w:p>
        </w:tc>
        <w:tc>
          <w:tcPr>
            <w:tcW w:w="4927" w:type="dxa"/>
            <w:vAlign w:val="center"/>
          </w:tcPr>
          <w:p w14:paraId="11894C4E" w14:textId="77777777" w:rsidR="00284A63" w:rsidRDefault="00284A63" w:rsidP="00C14E3C">
            <w:pPr>
              <w:ind w:firstLine="680"/>
              <w:rPr>
                <w:sz w:val="18"/>
              </w:rPr>
            </w:pPr>
            <w:r>
              <w:rPr>
                <w:noProof/>
                <w:sz w:val="20"/>
                <w:lang w:eastAsia="pl-PL"/>
              </w:rPr>
              <w:drawing>
                <wp:anchor distT="0" distB="0" distL="114300" distR="114300" simplePos="0" relativeHeight="251820032" behindDoc="0" locked="0" layoutInCell="1" allowOverlap="1" wp14:anchorId="5F280450" wp14:editId="0C6D9AD2">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1" w:history="1">
              <w:r w:rsidRPr="00491D59">
                <w:rPr>
                  <w:rStyle w:val="Hipercze"/>
                  <w:rFonts w:cstheme="minorBidi"/>
                  <w:sz w:val="20"/>
                </w:rPr>
                <w:t>stat.gov.pl</w:t>
              </w:r>
              <w:r w:rsidRPr="00491D59">
                <w:rPr>
                  <w:rStyle w:val="Hipercze"/>
                  <w:rFonts w:cstheme="minorBidi"/>
                  <w:sz w:val="18"/>
                </w:rPr>
                <w:t xml:space="preserve">     </w:t>
              </w:r>
            </w:hyperlink>
            <w:r>
              <w:rPr>
                <w:sz w:val="18"/>
              </w:rPr>
              <w:t xml:space="preserve"> </w:t>
            </w:r>
          </w:p>
        </w:tc>
      </w:tr>
      <w:tr w:rsidR="00284A63" w14:paraId="7A2FFAA4" w14:textId="77777777" w:rsidTr="00C14E3C">
        <w:trPr>
          <w:trHeight w:val="418"/>
        </w:trPr>
        <w:tc>
          <w:tcPr>
            <w:tcW w:w="4926" w:type="dxa"/>
            <w:vMerge/>
          </w:tcPr>
          <w:p w14:paraId="66BF8A73" w14:textId="77777777" w:rsidR="00284A63" w:rsidRPr="00C91687" w:rsidRDefault="00284A63" w:rsidP="00C14E3C">
            <w:pPr>
              <w:rPr>
                <w:b/>
                <w:sz w:val="20"/>
              </w:rPr>
            </w:pPr>
          </w:p>
        </w:tc>
        <w:tc>
          <w:tcPr>
            <w:tcW w:w="4927" w:type="dxa"/>
            <w:vAlign w:val="center"/>
          </w:tcPr>
          <w:p w14:paraId="5D2F49D3" w14:textId="77777777" w:rsidR="00284A63" w:rsidRDefault="00284A63" w:rsidP="00C14E3C">
            <w:pPr>
              <w:ind w:firstLine="680"/>
              <w:rPr>
                <w:sz w:val="18"/>
              </w:rPr>
            </w:pPr>
            <w:r>
              <w:rPr>
                <w:noProof/>
                <w:sz w:val="20"/>
                <w:lang w:eastAsia="pl-PL"/>
              </w:rPr>
              <w:drawing>
                <wp:anchor distT="0" distB="0" distL="114300" distR="114300" simplePos="0" relativeHeight="251821056" behindDoc="0" locked="0" layoutInCell="1" allowOverlap="1" wp14:anchorId="647A21FF" wp14:editId="3C771F02">
                  <wp:simplePos x="0" y="0"/>
                  <wp:positionH relativeFrom="column">
                    <wp:posOffset>79375</wp:posOffset>
                  </wp:positionH>
                  <wp:positionV relativeFrom="paragraph">
                    <wp:posOffset>21590</wp:posOffset>
                  </wp:positionV>
                  <wp:extent cx="251460" cy="251460"/>
                  <wp:effectExtent l="0" t="0" r="0" b="0"/>
                  <wp:wrapNone/>
                  <wp:docPr id="22" name="Obraz 22" descr="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3" w:history="1">
              <w:r w:rsidRPr="008D6174">
                <w:rPr>
                  <w:rStyle w:val="Hipercze"/>
                  <w:rFonts w:cstheme="minorBidi"/>
                  <w:sz w:val="20"/>
                </w:rPr>
                <w:t>@GUS_STAT</w:t>
              </w:r>
            </w:hyperlink>
            <w:r>
              <w:rPr>
                <w:noProof/>
                <w:sz w:val="20"/>
                <w:lang w:eastAsia="pl-PL"/>
              </w:rPr>
              <w:t xml:space="preserve"> </w:t>
            </w:r>
          </w:p>
        </w:tc>
      </w:tr>
      <w:tr w:rsidR="00284A63" w14:paraId="10ADB75C" w14:textId="77777777" w:rsidTr="00C14E3C">
        <w:trPr>
          <w:trHeight w:val="476"/>
        </w:trPr>
        <w:tc>
          <w:tcPr>
            <w:tcW w:w="4926" w:type="dxa"/>
            <w:vMerge/>
          </w:tcPr>
          <w:p w14:paraId="1DAF615D" w14:textId="77777777" w:rsidR="00284A63" w:rsidRPr="00C91687" w:rsidRDefault="00284A63" w:rsidP="00C14E3C">
            <w:pPr>
              <w:rPr>
                <w:b/>
                <w:sz w:val="20"/>
              </w:rPr>
            </w:pPr>
          </w:p>
        </w:tc>
        <w:tc>
          <w:tcPr>
            <w:tcW w:w="4927" w:type="dxa"/>
          </w:tcPr>
          <w:p w14:paraId="6C36E2F5" w14:textId="77777777" w:rsidR="00284A63" w:rsidRDefault="00131A25" w:rsidP="00C14E3C">
            <w:pPr>
              <w:ind w:firstLine="680"/>
              <w:rPr>
                <w:sz w:val="18"/>
              </w:rPr>
            </w:pPr>
            <w:hyperlink r:id="rId24" w:history="1">
              <w:r w:rsidR="00284A63" w:rsidRPr="008D6174">
                <w:rPr>
                  <w:rStyle w:val="Hipercze"/>
                  <w:rFonts w:cstheme="minorBidi"/>
                  <w:noProof/>
                  <w:sz w:val="20"/>
                  <w:lang w:eastAsia="pl-PL"/>
                </w:rPr>
                <w:drawing>
                  <wp:anchor distT="0" distB="0" distL="114300" distR="114300" simplePos="0" relativeHeight="251822080" behindDoc="0" locked="0" layoutInCell="1" allowOverlap="1" wp14:anchorId="40ED74BB" wp14:editId="225E0835">
                    <wp:simplePos x="0" y="0"/>
                    <wp:positionH relativeFrom="column">
                      <wp:posOffset>80645</wp:posOffset>
                    </wp:positionH>
                    <wp:positionV relativeFrom="paragraph">
                      <wp:posOffset>13970</wp:posOffset>
                    </wp:positionV>
                    <wp:extent cx="251460" cy="251460"/>
                    <wp:effectExtent l="0" t="0" r="0" b="0"/>
                    <wp:wrapNone/>
                    <wp:docPr id="41" name="Obraz 41"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284A63" w:rsidRPr="008D6174">
                <w:rPr>
                  <w:rStyle w:val="Hipercze"/>
                  <w:rFonts w:cstheme="minorBidi"/>
                  <w:sz w:val="20"/>
                </w:rPr>
                <w:t>@GlownyUrzadStatystyczny</w:t>
              </w:r>
            </w:hyperlink>
            <w:r w:rsidR="00284A63">
              <w:rPr>
                <w:noProof/>
                <w:sz w:val="20"/>
                <w:lang w:eastAsia="pl-PL"/>
              </w:rPr>
              <w:t xml:space="preserve"> </w:t>
            </w:r>
          </w:p>
        </w:tc>
      </w:tr>
      <w:tr w:rsidR="00284A63" w14:paraId="4A67779D" w14:textId="77777777" w:rsidTr="00C14E3C">
        <w:trPr>
          <w:trHeight w:val="426"/>
        </w:trPr>
        <w:tc>
          <w:tcPr>
            <w:tcW w:w="4926" w:type="dxa"/>
          </w:tcPr>
          <w:p w14:paraId="735FFCB1" w14:textId="77777777" w:rsidR="00284A63" w:rsidRPr="00C91687" w:rsidRDefault="00284A63" w:rsidP="00C14E3C">
            <w:pPr>
              <w:rPr>
                <w:b/>
                <w:sz w:val="20"/>
              </w:rPr>
            </w:pPr>
          </w:p>
        </w:tc>
        <w:tc>
          <w:tcPr>
            <w:tcW w:w="4927" w:type="dxa"/>
          </w:tcPr>
          <w:p w14:paraId="446DFBF3" w14:textId="77777777" w:rsidR="00284A63" w:rsidRDefault="00284A63" w:rsidP="00C14E3C">
            <w:pPr>
              <w:ind w:firstLine="680"/>
              <w:rPr>
                <w:noProof/>
                <w:sz w:val="20"/>
                <w:lang w:eastAsia="pl-PL"/>
              </w:rPr>
            </w:pPr>
            <w:r>
              <w:rPr>
                <w:noProof/>
                <w:sz w:val="20"/>
                <w:lang w:eastAsia="pl-PL"/>
              </w:rPr>
              <w:drawing>
                <wp:anchor distT="0" distB="0" distL="114300" distR="114300" simplePos="0" relativeHeight="251823104" behindDoc="0" locked="0" layoutInCell="1" allowOverlap="1" wp14:anchorId="5E571E6E" wp14:editId="481D2D42">
                  <wp:simplePos x="0" y="0"/>
                  <wp:positionH relativeFrom="column">
                    <wp:posOffset>82550</wp:posOffset>
                  </wp:positionH>
                  <wp:positionV relativeFrom="paragraph">
                    <wp:posOffset>12700</wp:posOffset>
                  </wp:positionV>
                  <wp:extent cx="251460" cy="251460"/>
                  <wp:effectExtent l="0" t="0" r="0" b="0"/>
                  <wp:wrapNone/>
                  <wp:docPr id="8" name="Obraz 8"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7" w:history="1">
              <w:r>
                <w:rPr>
                  <w:rStyle w:val="Hipercze"/>
                  <w:rFonts w:cstheme="minorBidi"/>
                  <w:sz w:val="20"/>
                </w:rPr>
                <w:t>@gus_stat</w:t>
              </w:r>
            </w:hyperlink>
          </w:p>
        </w:tc>
      </w:tr>
      <w:tr w:rsidR="00284A63" w14:paraId="2BBEB76E" w14:textId="77777777" w:rsidTr="00C14E3C">
        <w:trPr>
          <w:trHeight w:val="504"/>
        </w:trPr>
        <w:tc>
          <w:tcPr>
            <w:tcW w:w="4926" w:type="dxa"/>
          </w:tcPr>
          <w:p w14:paraId="7E648FCF" w14:textId="77777777" w:rsidR="00284A63" w:rsidRPr="00C91687" w:rsidRDefault="00284A63" w:rsidP="00C14E3C">
            <w:pPr>
              <w:rPr>
                <w:b/>
                <w:sz w:val="20"/>
              </w:rPr>
            </w:pPr>
          </w:p>
        </w:tc>
        <w:tc>
          <w:tcPr>
            <w:tcW w:w="4927" w:type="dxa"/>
          </w:tcPr>
          <w:p w14:paraId="72EDE6DE" w14:textId="77777777" w:rsidR="00284A63" w:rsidRDefault="00284A63" w:rsidP="00C14E3C">
            <w:pPr>
              <w:ind w:firstLine="680"/>
              <w:rPr>
                <w:noProof/>
                <w:sz w:val="20"/>
                <w:lang w:eastAsia="pl-PL"/>
              </w:rPr>
            </w:pPr>
            <w:r>
              <w:rPr>
                <w:noProof/>
                <w:sz w:val="20"/>
                <w:lang w:eastAsia="pl-PL"/>
              </w:rPr>
              <w:drawing>
                <wp:anchor distT="0" distB="0" distL="114300" distR="114300" simplePos="0" relativeHeight="251824128" behindDoc="0" locked="0" layoutInCell="1" allowOverlap="1" wp14:anchorId="15E3EECD" wp14:editId="6A97441E">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9" w:history="1">
              <w:r w:rsidRPr="008D6174">
                <w:rPr>
                  <w:rStyle w:val="Hipercze"/>
                  <w:rFonts w:cstheme="minorBidi"/>
                  <w:sz w:val="20"/>
                </w:rPr>
                <w:t>@GłównyUrządStatystycznyGUS</w:t>
              </w:r>
            </w:hyperlink>
          </w:p>
        </w:tc>
      </w:tr>
      <w:tr w:rsidR="00284A63" w14:paraId="7E7B6988" w14:textId="77777777" w:rsidTr="00C14E3C">
        <w:trPr>
          <w:trHeight w:val="1546"/>
        </w:trPr>
        <w:tc>
          <w:tcPr>
            <w:tcW w:w="4926" w:type="dxa"/>
          </w:tcPr>
          <w:p w14:paraId="4E8FB646" w14:textId="77777777" w:rsidR="00284A63" w:rsidRPr="00C91687" w:rsidRDefault="00284A63" w:rsidP="00C14E3C">
            <w:pPr>
              <w:rPr>
                <w:b/>
                <w:sz w:val="20"/>
              </w:rPr>
            </w:pPr>
          </w:p>
        </w:tc>
        <w:tc>
          <w:tcPr>
            <w:tcW w:w="4927" w:type="dxa"/>
          </w:tcPr>
          <w:p w14:paraId="7A5087EC" w14:textId="77777777" w:rsidR="00284A63" w:rsidRDefault="00131A25" w:rsidP="00C14E3C">
            <w:pPr>
              <w:ind w:firstLine="680"/>
              <w:rPr>
                <w:noProof/>
                <w:sz w:val="20"/>
                <w:lang w:eastAsia="pl-PL"/>
              </w:rPr>
            </w:pPr>
            <w:hyperlink r:id="rId30" w:history="1">
              <w:r w:rsidR="00284A63" w:rsidRPr="008D6174">
                <w:rPr>
                  <w:rStyle w:val="Hipercze"/>
                  <w:rFonts w:cstheme="minorBidi"/>
                  <w:noProof/>
                  <w:sz w:val="20"/>
                  <w:lang w:eastAsia="pl-PL"/>
                </w:rPr>
                <w:t>@Główny Urząd Statystyczny</w:t>
              </w:r>
            </w:hyperlink>
            <w:r w:rsidR="00284A63">
              <w:rPr>
                <w:noProof/>
                <w:sz w:val="20"/>
                <w:lang w:eastAsia="pl-PL"/>
              </w:rPr>
              <w:drawing>
                <wp:anchor distT="0" distB="0" distL="114300" distR="114300" simplePos="0" relativeHeight="251825152" behindDoc="0" locked="0" layoutInCell="1" allowOverlap="1" wp14:anchorId="76C99ED3" wp14:editId="7D6A1AE8">
                  <wp:simplePos x="0" y="0"/>
                  <wp:positionH relativeFrom="column">
                    <wp:posOffset>82550</wp:posOffset>
                  </wp:positionH>
                  <wp:positionV relativeFrom="paragraph">
                    <wp:posOffset>15240</wp:posOffset>
                  </wp:positionV>
                  <wp:extent cx="251460" cy="251460"/>
                  <wp:effectExtent l="0" t="0" r="0" b="0"/>
                  <wp:wrapNone/>
                  <wp:docPr id="42" name="Obraz 42"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284A63" w:rsidRPr="001765A7" w14:paraId="36290816" w14:textId="77777777" w:rsidTr="00C14E3C">
        <w:trPr>
          <w:trHeight w:val="4114"/>
        </w:trPr>
        <w:tc>
          <w:tcPr>
            <w:tcW w:w="9853" w:type="dxa"/>
            <w:gridSpan w:val="2"/>
            <w:shd w:val="clear" w:color="auto" w:fill="D9D9D9" w:themeFill="background1" w:themeFillShade="D9"/>
          </w:tcPr>
          <w:p w14:paraId="5F8C8FE6" w14:textId="77777777" w:rsidR="00284A63" w:rsidRDefault="00284A63" w:rsidP="00C14E3C">
            <w:pPr>
              <w:shd w:val="clear" w:color="auto" w:fill="D9D9D9" w:themeFill="background1" w:themeFillShade="D9"/>
              <w:rPr>
                <w:b/>
              </w:rPr>
            </w:pPr>
            <w:r w:rsidRPr="00210B1C">
              <w:rPr>
                <w:b/>
              </w:rPr>
              <w:t>Related publications</w:t>
            </w:r>
          </w:p>
          <w:p w14:paraId="2E795062" w14:textId="36FAE9E7" w:rsidR="00284A63" w:rsidRPr="00EE76AA" w:rsidRDefault="00131A25" w:rsidP="00C14E3C">
            <w:pPr>
              <w:widowControl w:val="0"/>
              <w:rPr>
                <w:rStyle w:val="czeinternetowe"/>
                <w:rFonts w:eastAsia="Fira Sans Light"/>
              </w:rPr>
            </w:pPr>
            <w:hyperlink r:id="rId32" w:tooltip="Tourism in 2022" w:history="1">
              <w:r w:rsidR="00284A63" w:rsidRPr="00BC242A">
                <w:rPr>
                  <w:rStyle w:val="Hipercze"/>
                  <w:rFonts w:eastAsia="Fira Sans Light"/>
                </w:rPr>
                <w:t>Tourism in 2022</w:t>
              </w:r>
            </w:hyperlink>
          </w:p>
          <w:p w14:paraId="7F0D93AB" w14:textId="77777777" w:rsidR="00284A63" w:rsidRDefault="00131A25" w:rsidP="00C14E3C">
            <w:pPr>
              <w:widowControl w:val="0"/>
              <w:rPr>
                <w:rStyle w:val="czeinternetowe"/>
                <w:rFonts w:eastAsia="Fira Sans Light"/>
              </w:rPr>
            </w:pPr>
            <w:hyperlink r:id="rId33" w:tooltip="Tourism Satellite Account: Recommended Methodological Framework 2008" w:history="1">
              <w:r w:rsidR="00284A63" w:rsidRPr="00FE7A62">
                <w:rPr>
                  <w:rStyle w:val="Hipercze"/>
                  <w:rFonts w:eastAsia="Fira Sans Light"/>
                </w:rPr>
                <w:t>Tourism Satellite Account: Recommended Methodological Framework 2008</w:t>
              </w:r>
            </w:hyperlink>
          </w:p>
          <w:p w14:paraId="46E6FFAE" w14:textId="77777777" w:rsidR="00284A63" w:rsidRPr="00694D63" w:rsidRDefault="00284A63" w:rsidP="00C14E3C">
            <w:pPr>
              <w:shd w:val="clear" w:color="auto" w:fill="D9D9D9" w:themeFill="background1" w:themeFillShade="D9"/>
              <w:spacing w:before="240"/>
              <w:rPr>
                <w:b/>
                <w:color w:val="000000" w:themeColor="text1"/>
                <w:szCs w:val="24"/>
              </w:rPr>
            </w:pPr>
            <w:r w:rsidRPr="00694D63">
              <w:rPr>
                <w:b/>
                <w:color w:val="000000" w:themeColor="text1"/>
                <w:szCs w:val="24"/>
              </w:rPr>
              <w:t>Key terms available in the glossary</w:t>
            </w:r>
          </w:p>
          <w:p w14:paraId="26EB9A18" w14:textId="77777777" w:rsidR="00284A63" w:rsidRDefault="00131A25" w:rsidP="00C14E3C">
            <w:pPr>
              <w:widowControl w:val="0"/>
              <w:rPr>
                <w:rStyle w:val="czeinternetowe"/>
                <w:rFonts w:eastAsia="Fira Sans Light"/>
              </w:rPr>
            </w:pPr>
            <w:hyperlink r:id="rId34" w:tooltip="Tourist">
              <w:r w:rsidR="00284A63">
                <w:rPr>
                  <w:rStyle w:val="czeinternetowe"/>
                  <w:rFonts w:eastAsia="Fira Sans Light"/>
                </w:rPr>
                <w:t>Tourist</w:t>
              </w:r>
            </w:hyperlink>
          </w:p>
          <w:p w14:paraId="37834311" w14:textId="77777777" w:rsidR="00284A63" w:rsidRDefault="00131A25" w:rsidP="00C14E3C">
            <w:pPr>
              <w:widowControl w:val="0"/>
              <w:rPr>
                <w:rStyle w:val="czeinternetowe"/>
                <w:rFonts w:eastAsia="Fira Sans Light"/>
              </w:rPr>
            </w:pPr>
            <w:hyperlink r:id="rId35" w:tooltip="Visitor" w:history="1">
              <w:r w:rsidR="00284A63" w:rsidRPr="00F9129D">
                <w:rPr>
                  <w:rStyle w:val="Hipercze"/>
                  <w:rFonts w:eastAsia="Fira Sans Light"/>
                </w:rPr>
                <w:t>Visitor</w:t>
              </w:r>
            </w:hyperlink>
          </w:p>
          <w:p w14:paraId="41B0AD6E" w14:textId="77777777" w:rsidR="00284A63" w:rsidRDefault="00131A25" w:rsidP="00C14E3C">
            <w:pPr>
              <w:widowControl w:val="0"/>
              <w:rPr>
                <w:rStyle w:val="czeinternetowe"/>
                <w:rFonts w:eastAsia="Fira Sans Light"/>
              </w:rPr>
            </w:pPr>
            <w:hyperlink r:id="rId36" w:tooltip="Same-day trip" w:history="1">
              <w:r w:rsidR="00284A63" w:rsidRPr="00FE7A62">
                <w:rPr>
                  <w:rStyle w:val="Hipercze"/>
                  <w:rFonts w:eastAsia="Fira Sans Light"/>
                </w:rPr>
                <w:t>Same-day trip</w:t>
              </w:r>
            </w:hyperlink>
          </w:p>
          <w:p w14:paraId="31FA2F07" w14:textId="77777777" w:rsidR="00284A63" w:rsidRPr="00CC3193" w:rsidRDefault="00131A25" w:rsidP="00C14E3C">
            <w:pPr>
              <w:widowControl w:val="0"/>
              <w:rPr>
                <w:rFonts w:eastAsia="Fira Sans Light" w:cs="Times New Roman"/>
                <w:bCs/>
                <w:color w:val="0000FF"/>
                <w:u w:val="single"/>
                <w:lang w:val="pl-PL"/>
              </w:rPr>
            </w:pPr>
            <w:hyperlink r:id="rId37" w:tooltip="Gross fixed capital formation" w:history="1">
              <w:r w:rsidR="00284A63" w:rsidRPr="00CC3193">
                <w:rPr>
                  <w:rStyle w:val="Hipercze"/>
                  <w:rFonts w:eastAsia="Fira Sans Light"/>
                  <w:bCs/>
                  <w:lang w:val="pl-PL"/>
                </w:rPr>
                <w:t xml:space="preserve">Gross </w:t>
              </w:r>
              <w:proofErr w:type="spellStart"/>
              <w:r w:rsidR="00284A63" w:rsidRPr="00CC3193">
                <w:rPr>
                  <w:rStyle w:val="Hipercze"/>
                  <w:rFonts w:eastAsia="Fira Sans Light"/>
                  <w:bCs/>
                  <w:lang w:val="pl-PL"/>
                </w:rPr>
                <w:t>fixed</w:t>
              </w:r>
              <w:proofErr w:type="spellEnd"/>
              <w:r w:rsidR="00284A63" w:rsidRPr="00CC3193">
                <w:rPr>
                  <w:rStyle w:val="Hipercze"/>
                  <w:rFonts w:eastAsia="Fira Sans Light"/>
                  <w:bCs/>
                  <w:lang w:val="pl-PL"/>
                </w:rPr>
                <w:t xml:space="preserve"> </w:t>
              </w:r>
              <w:proofErr w:type="spellStart"/>
              <w:r w:rsidR="00284A63" w:rsidRPr="00CC3193">
                <w:rPr>
                  <w:rStyle w:val="Hipercze"/>
                  <w:rFonts w:eastAsia="Fira Sans Light"/>
                  <w:bCs/>
                  <w:lang w:val="pl-PL"/>
                </w:rPr>
                <w:t>capital</w:t>
              </w:r>
              <w:proofErr w:type="spellEnd"/>
              <w:r w:rsidR="00284A63" w:rsidRPr="00CC3193">
                <w:rPr>
                  <w:rStyle w:val="Hipercze"/>
                  <w:rFonts w:eastAsia="Fira Sans Light"/>
                  <w:bCs/>
                  <w:lang w:val="pl-PL"/>
                </w:rPr>
                <w:t xml:space="preserve"> </w:t>
              </w:r>
              <w:proofErr w:type="spellStart"/>
              <w:r w:rsidR="00284A63" w:rsidRPr="00CC3193">
                <w:rPr>
                  <w:rStyle w:val="Hipercze"/>
                  <w:rFonts w:eastAsia="Fira Sans Light"/>
                  <w:bCs/>
                  <w:lang w:val="pl-PL"/>
                </w:rPr>
                <w:t>formation</w:t>
              </w:r>
              <w:proofErr w:type="spellEnd"/>
            </w:hyperlink>
          </w:p>
          <w:p w14:paraId="65EADFC1" w14:textId="77777777" w:rsidR="00284A63" w:rsidRPr="00FE7A62" w:rsidRDefault="00284A63" w:rsidP="00C14E3C">
            <w:pPr>
              <w:rPr>
                <w:rStyle w:val="Hipercze"/>
              </w:rPr>
            </w:pPr>
            <w:r>
              <w:rPr>
                <w:rFonts w:cs="Times New Roman"/>
              </w:rPr>
              <w:fldChar w:fldCharType="begin"/>
            </w:r>
            <w:r>
              <w:rPr>
                <w:rFonts w:cs="Times New Roman"/>
              </w:rPr>
              <w:instrText>HYPERLINK "https://stat.gov.pl/en/metainformation/glossary/terms-used-in-official-statistics/3775,term.html" \o "Imports of goods and services"</w:instrText>
            </w:r>
            <w:r>
              <w:rPr>
                <w:rFonts w:cs="Times New Roman"/>
              </w:rPr>
            </w:r>
            <w:r>
              <w:rPr>
                <w:rFonts w:cs="Times New Roman"/>
              </w:rPr>
              <w:fldChar w:fldCharType="separate"/>
            </w:r>
            <w:r w:rsidRPr="00FE7A62">
              <w:rPr>
                <w:rStyle w:val="Hipercze"/>
              </w:rPr>
              <w:t>Imports of goods and services</w:t>
            </w:r>
          </w:p>
          <w:p w14:paraId="40E385DC" w14:textId="17BF8276" w:rsidR="0051290C" w:rsidRPr="0051290C" w:rsidRDefault="00284A63" w:rsidP="00C14E3C">
            <w:pPr>
              <w:rPr>
                <w:rFonts w:cs="Times New Roman"/>
                <w:color w:val="0000FF"/>
                <w:u w:val="single"/>
              </w:rPr>
            </w:pPr>
            <w:r>
              <w:rPr>
                <w:rFonts w:cs="Times New Roman"/>
              </w:rPr>
              <w:fldChar w:fldCharType="end"/>
            </w:r>
            <w:hyperlink r:id="rId38" w:tooltip="Employed persons in the national economy" w:history="1">
              <w:r w:rsidR="00C21585" w:rsidRPr="00C21585">
                <w:rPr>
                  <w:rStyle w:val="Hipercze"/>
                </w:rPr>
                <w:t>Employed persons in the national economy</w:t>
              </w:r>
            </w:hyperlink>
          </w:p>
          <w:p w14:paraId="7E96E280" w14:textId="06B74BCC" w:rsidR="00284A63" w:rsidRPr="00104899" w:rsidRDefault="00131A25" w:rsidP="00C14E3C">
            <w:pPr>
              <w:rPr>
                <w:rStyle w:val="Hipercze"/>
              </w:rPr>
            </w:pPr>
            <w:hyperlink r:id="rId39" w:tooltip="Output" w:history="1">
              <w:r w:rsidR="00284A63" w:rsidRPr="00104899">
                <w:rPr>
                  <w:rStyle w:val="Hipercze"/>
                </w:rPr>
                <w:t>Output</w:t>
              </w:r>
            </w:hyperlink>
          </w:p>
          <w:p w14:paraId="7D7C3E35" w14:textId="77777777" w:rsidR="00284A63" w:rsidRPr="00104899" w:rsidRDefault="00131A25" w:rsidP="00C14E3C">
            <w:pPr>
              <w:rPr>
                <w:rStyle w:val="Hipercze"/>
              </w:rPr>
            </w:pPr>
            <w:hyperlink r:id="rId40" w:tooltip="Gross domestic product (GDP)" w:history="1">
              <w:r w:rsidR="00284A63" w:rsidRPr="00104899">
                <w:rPr>
                  <w:rStyle w:val="Hipercze"/>
                </w:rPr>
                <w:t>Gross domestic product (GDP)</w:t>
              </w:r>
            </w:hyperlink>
          </w:p>
          <w:p w14:paraId="226B853F" w14:textId="77777777" w:rsidR="00284A63" w:rsidRPr="00104899" w:rsidRDefault="00131A25" w:rsidP="00C14E3C">
            <w:pPr>
              <w:rPr>
                <w:rStyle w:val="Hipercze"/>
              </w:rPr>
            </w:pPr>
            <w:hyperlink r:id="rId41" w:tooltip="Consumption" w:history="1">
              <w:r w:rsidR="00284A63" w:rsidRPr="00104899">
                <w:rPr>
                  <w:rStyle w:val="Hipercze"/>
                </w:rPr>
                <w:t>Consumption</w:t>
              </w:r>
            </w:hyperlink>
          </w:p>
          <w:p w14:paraId="11E37D75" w14:textId="77777777" w:rsidR="00284A63" w:rsidRPr="00104899" w:rsidRDefault="00131A25" w:rsidP="00C14E3C">
            <w:pPr>
              <w:rPr>
                <w:rStyle w:val="Hipercze"/>
              </w:rPr>
            </w:pPr>
            <w:hyperlink r:id="rId42" w:tooltip="Gross value added" w:history="1">
              <w:r w:rsidR="00284A63" w:rsidRPr="00104899">
                <w:rPr>
                  <w:rStyle w:val="Hipercze"/>
                </w:rPr>
                <w:t>Gross value added</w:t>
              </w:r>
            </w:hyperlink>
          </w:p>
          <w:p w14:paraId="5F50B47D" w14:textId="77777777" w:rsidR="00284A63" w:rsidRPr="00876479" w:rsidRDefault="00131A25" w:rsidP="00C14E3C">
            <w:pPr>
              <w:rPr>
                <w:b/>
                <w:color w:val="000000" w:themeColor="text1"/>
                <w:szCs w:val="24"/>
              </w:rPr>
            </w:pPr>
            <w:hyperlink r:id="rId43" w:tooltip="Intermediate consumption" w:history="1">
              <w:r w:rsidR="00284A63" w:rsidRPr="00104899">
                <w:rPr>
                  <w:rStyle w:val="Hipercze"/>
                </w:rPr>
                <w:t>Intermediate consumption</w:t>
              </w:r>
            </w:hyperlink>
          </w:p>
        </w:tc>
      </w:tr>
    </w:tbl>
    <w:p w14:paraId="668E1763" w14:textId="05B93813" w:rsidR="00D261A2" w:rsidRPr="00001C5B" w:rsidRDefault="00D261A2" w:rsidP="00AA080B">
      <w:pPr>
        <w:rPr>
          <w:sz w:val="18"/>
        </w:rPr>
      </w:pPr>
    </w:p>
    <w:sectPr w:rsidR="00D261A2" w:rsidRPr="00001C5B" w:rsidSect="00E051E0">
      <w:headerReference w:type="default" r:id="rId44"/>
      <w:footerReference w:type="default" r:id="rId45"/>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75F29" w14:textId="77777777" w:rsidR="0032106C" w:rsidRDefault="0032106C" w:rsidP="000662E2">
      <w:pPr>
        <w:spacing w:after="0" w:line="240" w:lineRule="auto"/>
      </w:pPr>
      <w:r>
        <w:separator/>
      </w:r>
    </w:p>
  </w:endnote>
  <w:endnote w:type="continuationSeparator" w:id="0">
    <w:p w14:paraId="23910FCB" w14:textId="77777777" w:rsidR="0032106C" w:rsidRDefault="0032106C"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ira Sans Light">
    <w:panose1 w:val="020B0403050000020004"/>
    <w:charset w:val="EE"/>
    <w:family w:val="swiss"/>
    <w:pitch w:val="variable"/>
    <w:sig w:usb0="600002FF" w:usb1="02000001" w:usb2="00000000" w:usb3="00000000" w:csb0="0000019F" w:csb1="00000000"/>
    <w:embedRegular r:id="rId1" w:fontKey="{2131EB04-86E6-410C-8F9C-0DF83443E409}"/>
    <w:embedBold r:id="rId2" w:fontKey="{C111A8C2-03CE-42F6-957D-7826909A3687}"/>
  </w:font>
  <w:font w:name="Fira Sans">
    <w:panose1 w:val="020B0503050000020004"/>
    <w:charset w:val="EE"/>
    <w:family w:val="swiss"/>
    <w:pitch w:val="variable"/>
    <w:sig w:usb0="600002FF" w:usb1="02000001" w:usb2="00000000" w:usb3="00000000" w:csb0="0000019F" w:csb1="00000000"/>
    <w:embedRegular r:id="rId3" w:fontKey="{6B29F937-ED24-4FC8-81FA-9591BAA4F14A}"/>
    <w:embedBold r:id="rId4" w:fontKey="{A93521AF-023C-4386-AA0D-3D5B905FDAA7}"/>
  </w:font>
  <w:font w:name="Fira Sans SemiBold">
    <w:panose1 w:val="020B0603050000020004"/>
    <w:charset w:val="EE"/>
    <w:family w:val="swiss"/>
    <w:pitch w:val="variable"/>
    <w:sig w:usb0="600002FF" w:usb1="02000001" w:usb2="00000000" w:usb3="00000000" w:csb0="0000019F" w:csb1="00000000"/>
    <w:embedRegular r:id="rId5" w:fontKey="{FD773EDD-87E5-46B1-BDB7-969EB7165D3B}"/>
    <w:embedBold r:id="rId6" w:fontKey="{E5F6B41D-0296-4EE2-B0A4-B19C12336D25}"/>
  </w:font>
  <w:font w:name="Fira Sans Medium">
    <w:panose1 w:val="020B0603050000020004"/>
    <w:charset w:val="EE"/>
    <w:family w:val="swiss"/>
    <w:pitch w:val="variable"/>
    <w:sig w:usb0="600002FF" w:usb1="02000001" w:usb2="00000000" w:usb3="00000000" w:csb0="0000019F" w:csb1="00000000"/>
    <w:embedRegular r:id="rId7" w:fontKey="{0CD67A63-EEBB-4A34-A6F3-FDB43305466D}"/>
    <w:embedItalic r:id="rId8" w:fontKey="{EE89693A-CBA2-465C-B2CB-95D0947F15AA}"/>
  </w:font>
  <w:font w:name="Segoe UI">
    <w:panose1 w:val="020B0502040204020203"/>
    <w:charset w:val="EE"/>
    <w:family w:val="swiss"/>
    <w:pitch w:val="variable"/>
    <w:sig w:usb0="E4002EFF" w:usb1="C000E47F" w:usb2="00000009" w:usb3="00000000" w:csb0="000001FF" w:csb1="00000000"/>
    <w:embedRegular r:id="rId9" w:fontKey="{33228B65-B91C-43B7-A174-C5FA3A4E8EA9}"/>
  </w:font>
  <w:font w:name="Fira Sans Extra Condensed SemiB">
    <w:panose1 w:val="020B0603050000020004"/>
    <w:charset w:val="EE"/>
    <w:family w:val="swiss"/>
    <w:pitch w:val="variable"/>
    <w:sig w:usb0="600002FF" w:usb1="00000001" w:usb2="00000000" w:usb3="00000000" w:csb0="0000019F" w:csb1="00000000"/>
    <w:embedRegular r:id="rId10" w:fontKey="{94C37789-1E67-466C-A9C6-42A6249E69B9}"/>
  </w:font>
  <w:font w:name="Lucida Sans">
    <w:panose1 w:val="020B0602030504020204"/>
    <w:charset w:val="00"/>
    <w:family w:val="swiss"/>
    <w:pitch w:val="variable"/>
    <w:sig w:usb0="00000003" w:usb1="00000000" w:usb2="00000000" w:usb3="00000000" w:csb0="00000001" w:csb1="00000000"/>
    <w:embedRegular r:id="rId11" w:fontKey="{E2C5AC15-3B4E-464F-B180-333D4A07CC1E}"/>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2" w:fontKey="{C40DBCED-2087-4A11-A3F7-F6245B68BA56}"/>
  </w:font>
  <w:font w:name="Calibri">
    <w:panose1 w:val="020F0502020204030204"/>
    <w:charset w:val="EE"/>
    <w:family w:val="swiss"/>
    <w:pitch w:val="variable"/>
    <w:sig w:usb0="E4002EFF" w:usb1="C200247B" w:usb2="00000009" w:usb3="00000000" w:csb0="000001FF" w:csb1="00000000"/>
    <w:embedRegular r:id="rId13" w:fontKey="{5DC58ADA-FCCF-4FF9-A0E3-3606CD1517A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12624"/>
      <w:docPartObj>
        <w:docPartGallery w:val="Page Numbers (Bottom of Page)"/>
        <w:docPartUnique/>
      </w:docPartObj>
    </w:sdtPr>
    <w:sdtEndPr/>
    <w:sdtContent>
      <w:p w14:paraId="31721E02" w14:textId="77777777" w:rsidR="006A4805" w:rsidRDefault="006A4805" w:rsidP="003B18B6">
        <w:pPr>
          <w:pStyle w:val="Stopka"/>
          <w:jc w:val="center"/>
        </w:pPr>
        <w:r>
          <w:fldChar w:fldCharType="begin"/>
        </w:r>
        <w:r>
          <w:instrText>PAGE   \* MERGEFORMAT</w:instrText>
        </w:r>
        <w:r>
          <w:fldChar w:fldCharType="separate"/>
        </w:r>
        <w:r w:rsidR="00AF1C4A">
          <w:rPr>
            <w:noProof/>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4567617"/>
      <w:docPartObj>
        <w:docPartGallery w:val="Page Numbers (Bottom of Page)"/>
        <w:docPartUnique/>
      </w:docPartObj>
    </w:sdtPr>
    <w:sdtEndPr/>
    <w:sdtContent>
      <w:p w14:paraId="09A0584D" w14:textId="77777777" w:rsidR="006A4805" w:rsidRDefault="006A4805">
        <w:pPr>
          <w:pStyle w:val="Stopka"/>
          <w:jc w:val="center"/>
        </w:pPr>
        <w:r>
          <w:fldChar w:fldCharType="begin"/>
        </w:r>
        <w:r>
          <w:instrText>PAGE   \* MERGEFORMAT</w:instrText>
        </w:r>
        <w:r>
          <w:fldChar w:fldCharType="separate"/>
        </w:r>
        <w:r w:rsidR="00AF1C4A">
          <w:rPr>
            <w:noProof/>
          </w:rPr>
          <w:t>1</w:t>
        </w:r>
        <w:r>
          <w:fldChar w:fldCharType="end"/>
        </w:r>
      </w:p>
    </w:sdtContent>
  </w:sdt>
  <w:p w14:paraId="676846D4" w14:textId="77777777" w:rsidR="006A4805" w:rsidRDefault="006A4805" w:rsidP="003B18B6">
    <w:pPr>
      <w:pStyle w:val="Stopk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EndPr/>
    <w:sdtContent>
      <w:p w14:paraId="51F7C134" w14:textId="77777777" w:rsidR="0067733E" w:rsidRDefault="0067733E" w:rsidP="003B18B6">
        <w:pPr>
          <w:pStyle w:val="Stopka"/>
          <w:jc w:val="center"/>
        </w:pPr>
        <w:r>
          <w:fldChar w:fldCharType="begin"/>
        </w:r>
        <w:r>
          <w:instrText>PAGE   \* MERGEFORMAT</w:instrText>
        </w:r>
        <w:r>
          <w:fldChar w:fldCharType="separate"/>
        </w:r>
        <w:r w:rsidR="00AF1C4A">
          <w:rPr>
            <w:noProof/>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B8382" w14:textId="77777777" w:rsidR="0032106C" w:rsidRDefault="0032106C" w:rsidP="000662E2">
      <w:pPr>
        <w:spacing w:after="0" w:line="240" w:lineRule="auto"/>
      </w:pPr>
      <w:r>
        <w:separator/>
      </w:r>
    </w:p>
  </w:footnote>
  <w:footnote w:type="continuationSeparator" w:id="0">
    <w:p w14:paraId="6C7B6ECC" w14:textId="77777777" w:rsidR="0032106C" w:rsidRDefault="0032106C" w:rsidP="000662E2">
      <w:pPr>
        <w:spacing w:after="0" w:line="240" w:lineRule="auto"/>
      </w:pPr>
      <w:r>
        <w:continuationSeparator/>
      </w:r>
    </w:p>
  </w:footnote>
  <w:footnote w:id="1">
    <w:p w14:paraId="3094C605" w14:textId="23EAAFE1" w:rsidR="00843946" w:rsidRPr="00843946" w:rsidRDefault="00843946" w:rsidP="00131A25">
      <w:pPr>
        <w:pStyle w:val="Tekstprzypisudolnego"/>
        <w:ind w:left="91" w:hanging="91"/>
        <w:rPr>
          <w:sz w:val="16"/>
          <w:szCs w:val="16"/>
          <w:lang w:val="pl-PL"/>
        </w:rPr>
      </w:pPr>
      <w:r>
        <w:rPr>
          <w:rStyle w:val="Odwoanieprzypisudolnego"/>
        </w:rPr>
        <w:footnoteRef/>
      </w:r>
      <w:r>
        <w:t xml:space="preserve"> </w:t>
      </w:r>
      <w:r w:rsidR="00131A25" w:rsidRPr="00131A25">
        <w:rPr>
          <w:sz w:val="16"/>
          <w:szCs w:val="16"/>
          <w:lang w:val="pl-PL"/>
        </w:rPr>
        <w:t xml:space="preserve">The </w:t>
      </w:r>
      <w:proofErr w:type="spellStart"/>
      <w:r w:rsidR="00131A25" w:rsidRPr="00131A25">
        <w:rPr>
          <w:sz w:val="16"/>
          <w:szCs w:val="16"/>
          <w:lang w:val="pl-PL"/>
        </w:rPr>
        <w:t>value</w:t>
      </w:r>
      <w:proofErr w:type="spellEnd"/>
      <w:r w:rsidR="00131A25" w:rsidRPr="00131A25">
        <w:rPr>
          <w:sz w:val="16"/>
          <w:szCs w:val="16"/>
          <w:lang w:val="pl-PL"/>
        </w:rPr>
        <w:t xml:space="preserve"> of </w:t>
      </w:r>
      <w:proofErr w:type="spellStart"/>
      <w:r w:rsidR="00131A25" w:rsidRPr="00131A25">
        <w:rPr>
          <w:sz w:val="16"/>
          <w:szCs w:val="16"/>
          <w:lang w:val="pl-PL"/>
        </w:rPr>
        <w:t>Poland's</w:t>
      </w:r>
      <w:proofErr w:type="spellEnd"/>
      <w:r w:rsidR="00131A25" w:rsidRPr="00131A25">
        <w:rPr>
          <w:sz w:val="16"/>
          <w:szCs w:val="16"/>
          <w:lang w:val="pl-PL"/>
        </w:rPr>
        <w:t xml:space="preserve"> </w:t>
      </w:r>
      <w:proofErr w:type="spellStart"/>
      <w:r w:rsidR="00131A25" w:rsidRPr="00131A25">
        <w:rPr>
          <w:sz w:val="16"/>
          <w:szCs w:val="16"/>
          <w:lang w:val="pl-PL"/>
        </w:rPr>
        <w:t>gross</w:t>
      </w:r>
      <w:proofErr w:type="spellEnd"/>
      <w:r w:rsidR="00131A25" w:rsidRPr="00131A25">
        <w:rPr>
          <w:sz w:val="16"/>
          <w:szCs w:val="16"/>
          <w:lang w:val="pl-PL"/>
        </w:rPr>
        <w:t xml:space="preserve"> </w:t>
      </w:r>
      <w:proofErr w:type="spellStart"/>
      <w:r w:rsidR="00131A25" w:rsidRPr="00131A25">
        <w:rPr>
          <w:sz w:val="16"/>
          <w:szCs w:val="16"/>
          <w:lang w:val="pl-PL"/>
        </w:rPr>
        <w:t>domestic</w:t>
      </w:r>
      <w:proofErr w:type="spellEnd"/>
      <w:r w:rsidR="00131A25" w:rsidRPr="00131A25">
        <w:rPr>
          <w:sz w:val="16"/>
          <w:szCs w:val="16"/>
          <w:lang w:val="pl-PL"/>
        </w:rPr>
        <w:t xml:space="preserve"> </w:t>
      </w:r>
      <w:proofErr w:type="spellStart"/>
      <w:r w:rsidR="00131A25" w:rsidRPr="00131A25">
        <w:rPr>
          <w:sz w:val="16"/>
          <w:szCs w:val="16"/>
          <w:lang w:val="pl-PL"/>
        </w:rPr>
        <w:t>product</w:t>
      </w:r>
      <w:proofErr w:type="spellEnd"/>
      <w:r w:rsidR="00131A25" w:rsidRPr="00131A25">
        <w:rPr>
          <w:sz w:val="16"/>
          <w:szCs w:val="16"/>
          <w:lang w:val="pl-PL"/>
        </w:rPr>
        <w:t xml:space="preserve"> (GDP) for 2022 was </w:t>
      </w:r>
      <w:proofErr w:type="spellStart"/>
      <w:r w:rsidR="00131A25" w:rsidRPr="00131A25">
        <w:rPr>
          <w:sz w:val="16"/>
          <w:szCs w:val="16"/>
          <w:lang w:val="pl-PL"/>
        </w:rPr>
        <w:t>based</w:t>
      </w:r>
      <w:proofErr w:type="spellEnd"/>
      <w:r w:rsidR="00131A25" w:rsidRPr="00131A25">
        <w:rPr>
          <w:sz w:val="16"/>
          <w:szCs w:val="16"/>
          <w:lang w:val="pl-PL"/>
        </w:rPr>
        <w:t xml:space="preserve"> on data </w:t>
      </w:r>
      <w:proofErr w:type="spellStart"/>
      <w:r w:rsidR="00131A25" w:rsidRPr="00131A25">
        <w:rPr>
          <w:sz w:val="16"/>
          <w:szCs w:val="16"/>
          <w:lang w:val="pl-PL"/>
        </w:rPr>
        <w:t>published</w:t>
      </w:r>
      <w:proofErr w:type="spellEnd"/>
      <w:r w:rsidR="00131A25" w:rsidRPr="00131A25">
        <w:rPr>
          <w:sz w:val="16"/>
          <w:szCs w:val="16"/>
          <w:lang w:val="pl-PL"/>
        </w:rPr>
        <w:t xml:space="preserve"> by </w:t>
      </w:r>
      <w:proofErr w:type="spellStart"/>
      <w:r w:rsidR="00131A25" w:rsidRPr="00131A25">
        <w:rPr>
          <w:sz w:val="16"/>
          <w:szCs w:val="16"/>
          <w:lang w:val="pl-PL"/>
        </w:rPr>
        <w:t>Statistics</w:t>
      </w:r>
      <w:proofErr w:type="spellEnd"/>
      <w:r w:rsidR="00131A25" w:rsidRPr="00131A25">
        <w:rPr>
          <w:sz w:val="16"/>
          <w:szCs w:val="16"/>
          <w:lang w:val="pl-PL"/>
        </w:rPr>
        <w:t xml:space="preserve"> Poland in the Statistical </w:t>
      </w:r>
      <w:proofErr w:type="spellStart"/>
      <w:r w:rsidR="00131A25" w:rsidRPr="00131A25">
        <w:rPr>
          <w:sz w:val="16"/>
          <w:szCs w:val="16"/>
          <w:lang w:val="pl-PL"/>
        </w:rPr>
        <w:t>Bulletin</w:t>
      </w:r>
      <w:proofErr w:type="spellEnd"/>
      <w:r w:rsidR="00131A25" w:rsidRPr="00131A25">
        <w:rPr>
          <w:sz w:val="16"/>
          <w:szCs w:val="16"/>
          <w:lang w:val="pl-PL"/>
        </w:rPr>
        <w:t xml:space="preserve"> No. 10/2024 (</w:t>
      </w:r>
      <w:proofErr w:type="spellStart"/>
      <w:r w:rsidR="00131A25" w:rsidRPr="00131A25">
        <w:rPr>
          <w:sz w:val="16"/>
          <w:szCs w:val="16"/>
          <w:lang w:val="pl-PL"/>
        </w:rPr>
        <w:t>Table</w:t>
      </w:r>
      <w:proofErr w:type="spellEnd"/>
      <w:r w:rsidR="00131A25" w:rsidRPr="00131A25">
        <w:rPr>
          <w:sz w:val="16"/>
          <w:szCs w:val="16"/>
          <w:lang w:val="pl-PL"/>
        </w:rPr>
        <w:t xml:space="preserve"> 2, “Gross </w:t>
      </w:r>
      <w:proofErr w:type="spellStart"/>
      <w:r w:rsidR="00131A25" w:rsidRPr="00131A25">
        <w:rPr>
          <w:sz w:val="16"/>
          <w:szCs w:val="16"/>
          <w:lang w:val="pl-PL"/>
        </w:rPr>
        <w:t>Domestic</w:t>
      </w:r>
      <w:proofErr w:type="spellEnd"/>
      <w:r w:rsidR="00131A25" w:rsidRPr="00131A25">
        <w:rPr>
          <w:sz w:val="16"/>
          <w:szCs w:val="16"/>
          <w:lang w:val="pl-PL"/>
        </w:rPr>
        <w:t xml:space="preserve"> Product”), as </w:t>
      </w:r>
      <w:proofErr w:type="spellStart"/>
      <w:r w:rsidR="00131A25" w:rsidRPr="00131A25">
        <w:rPr>
          <w:sz w:val="16"/>
          <w:szCs w:val="16"/>
          <w:lang w:val="pl-PL"/>
        </w:rPr>
        <w:t>available</w:t>
      </w:r>
      <w:proofErr w:type="spellEnd"/>
      <w:r w:rsidR="00131A25" w:rsidRPr="00131A25">
        <w:rPr>
          <w:sz w:val="16"/>
          <w:szCs w:val="16"/>
          <w:lang w:val="pl-PL"/>
        </w:rPr>
        <w:t xml:space="preserve"> in </w:t>
      </w:r>
      <w:proofErr w:type="spellStart"/>
      <w:r w:rsidR="00131A25" w:rsidRPr="00131A25">
        <w:rPr>
          <w:sz w:val="16"/>
          <w:szCs w:val="16"/>
          <w:lang w:val="pl-PL"/>
        </w:rPr>
        <w:t>November</w:t>
      </w:r>
      <w:proofErr w:type="spellEnd"/>
      <w:r w:rsidR="00131A25" w:rsidRPr="00131A25">
        <w:rPr>
          <w:sz w:val="16"/>
          <w:szCs w:val="16"/>
          <w:lang w:val="pl-PL"/>
        </w:rPr>
        <w:t xml:space="preserve"> 2024.</w:t>
      </w:r>
      <w:r w:rsidR="00131A25">
        <w:rPr>
          <w:sz w:val="16"/>
          <w:szCs w:val="16"/>
          <w:lang w:val="pl-PL"/>
        </w:rPr>
        <w:t xml:space="preserve"> </w:t>
      </w:r>
      <w:r w:rsidR="00AF73CE">
        <w:rPr>
          <w:sz w:val="16"/>
          <w:szCs w:val="16"/>
        </w:rPr>
        <w:t>(</w:t>
      </w:r>
      <w:hyperlink r:id="rId1" w:history="1">
        <w:r w:rsidR="00AF73CE" w:rsidRPr="00AF73CE">
          <w:rPr>
            <w:rStyle w:val="Hipercze"/>
            <w:rFonts w:cstheme="minorBidi"/>
            <w:sz w:val="16"/>
            <w:szCs w:val="16"/>
          </w:rPr>
          <w:t>https://stat.gov.pl/en/topics/other-studies/informations-on-socio-economic-situation/statistical-bulletin-no-102024,4,168.html</w:t>
        </w:r>
      </w:hyperlink>
      <w:r w:rsidR="00AF73CE">
        <w:rPr>
          <w:sz w:val="16"/>
          <w:szCs w:val="16"/>
        </w:rPr>
        <w:t>)</w:t>
      </w:r>
      <w:r w:rsidR="006C7141">
        <w:rPr>
          <w:sz w:val="16"/>
          <w:szCs w:val="16"/>
        </w:rPr>
        <w:t>.</w:t>
      </w:r>
    </w:p>
  </w:footnote>
  <w:footnote w:id="2">
    <w:p w14:paraId="033F6C66" w14:textId="4AD29446" w:rsidR="003D0B57" w:rsidRPr="00FB06B9" w:rsidRDefault="003D0B57" w:rsidP="00A76DD6">
      <w:pPr>
        <w:pStyle w:val="Tekstprzypisudolnego"/>
        <w:ind w:left="91" w:hanging="91"/>
        <w:rPr>
          <w:sz w:val="16"/>
          <w:szCs w:val="16"/>
        </w:rPr>
      </w:pPr>
      <w:r w:rsidRPr="00FB06B9">
        <w:rPr>
          <w:rStyle w:val="Odwoanieprzypisudolnego"/>
          <w:sz w:val="16"/>
          <w:szCs w:val="16"/>
        </w:rPr>
        <w:footnoteRef/>
      </w:r>
      <w:r w:rsidRPr="00FB06B9">
        <w:rPr>
          <w:sz w:val="16"/>
          <w:szCs w:val="16"/>
        </w:rPr>
        <w:t xml:space="preserve"> Value after deducting gross service charges </w:t>
      </w:r>
      <w:r w:rsidR="008D50EB" w:rsidRPr="00FB06B9">
        <w:rPr>
          <w:sz w:val="16"/>
          <w:szCs w:val="16"/>
        </w:rPr>
        <w:t>p</w:t>
      </w:r>
      <w:r w:rsidRPr="00FB06B9">
        <w:rPr>
          <w:sz w:val="16"/>
          <w:szCs w:val="16"/>
        </w:rPr>
        <w:t>aid to travel agencies, tour operators and other providers</w:t>
      </w:r>
      <w:r w:rsidR="00A76DD6">
        <w:rPr>
          <w:sz w:val="16"/>
          <w:szCs w:val="16"/>
        </w:rPr>
        <w:t xml:space="preserve"> </w:t>
      </w:r>
      <w:r w:rsidRPr="00FB06B9">
        <w:rPr>
          <w:sz w:val="16"/>
          <w:szCs w:val="16"/>
        </w:rPr>
        <w:t>of reservation services.</w:t>
      </w:r>
    </w:p>
  </w:footnote>
  <w:footnote w:id="3">
    <w:p w14:paraId="1CB35C4F" w14:textId="6FFB91BB" w:rsidR="00A76DD6" w:rsidRPr="00C50458" w:rsidRDefault="00A76DD6" w:rsidP="00A76DD6">
      <w:pPr>
        <w:pStyle w:val="Tekstprzypisudolnego"/>
        <w:ind w:left="91" w:hanging="91"/>
        <w:rPr>
          <w:sz w:val="16"/>
          <w:szCs w:val="16"/>
          <w:lang w:val="pl-PL"/>
        </w:rPr>
      </w:pPr>
      <w:r w:rsidRPr="00C50458">
        <w:rPr>
          <w:rStyle w:val="Odwoanieprzypisudolnego"/>
          <w:sz w:val="16"/>
          <w:szCs w:val="16"/>
        </w:rPr>
        <w:footnoteRef/>
      </w:r>
      <w:r w:rsidRPr="00C50458">
        <w:rPr>
          <w:sz w:val="16"/>
          <w:szCs w:val="16"/>
        </w:rPr>
        <w:t xml:space="preserve"> Domestic tourism encompasses the tourist activities of residents within the reference country, as well as the domestic </w:t>
      </w:r>
      <w:r w:rsidR="00A94577" w:rsidRPr="00C50458">
        <w:rPr>
          <w:sz w:val="16"/>
          <w:szCs w:val="16"/>
        </w:rPr>
        <w:t>part</w:t>
      </w:r>
      <w:r w:rsidRPr="00C50458">
        <w:rPr>
          <w:sz w:val="16"/>
          <w:szCs w:val="16"/>
        </w:rPr>
        <w:t xml:space="preserve"> of a trip abroad.</w:t>
      </w:r>
    </w:p>
  </w:footnote>
  <w:footnote w:id="4">
    <w:p w14:paraId="15CD6B7D" w14:textId="14CF2A68" w:rsidR="009777F7" w:rsidRPr="00C50458" w:rsidRDefault="009777F7" w:rsidP="005604BD">
      <w:pPr>
        <w:pStyle w:val="Tekstprzypisudolnego"/>
        <w:ind w:left="91" w:hanging="91"/>
        <w:rPr>
          <w:sz w:val="16"/>
          <w:szCs w:val="16"/>
        </w:rPr>
      </w:pPr>
      <w:r w:rsidRPr="00C50458">
        <w:rPr>
          <w:rStyle w:val="Odwoanieprzypisudolnego"/>
          <w:sz w:val="16"/>
          <w:szCs w:val="16"/>
        </w:rPr>
        <w:footnoteRef/>
      </w:r>
      <w:r w:rsidRPr="00C50458">
        <w:rPr>
          <w:sz w:val="16"/>
          <w:szCs w:val="16"/>
        </w:rPr>
        <w:t xml:space="preserve"> Other components of tourism consumption – the value of services used by visitors but not paid for directly,</w:t>
      </w:r>
      <w:r w:rsidR="005604BD" w:rsidRPr="00C50458">
        <w:rPr>
          <w:sz w:val="16"/>
          <w:szCs w:val="16"/>
        </w:rPr>
        <w:t xml:space="preserve"> </w:t>
      </w:r>
      <w:r w:rsidRPr="00C50458">
        <w:rPr>
          <w:sz w:val="16"/>
          <w:szCs w:val="16"/>
        </w:rPr>
        <w:t>e.g. services funded by public institutions or employers.</w:t>
      </w:r>
    </w:p>
  </w:footnote>
  <w:footnote w:id="5">
    <w:p w14:paraId="1DE4110E" w14:textId="67817906" w:rsidR="005D6BBF" w:rsidRPr="00C50458" w:rsidRDefault="005D6BBF" w:rsidP="0018447A">
      <w:pPr>
        <w:pStyle w:val="Tekstprzypisudolnego"/>
        <w:ind w:left="91" w:hanging="91"/>
        <w:rPr>
          <w:sz w:val="16"/>
          <w:szCs w:val="16"/>
          <w:lang w:val="pl-PL"/>
        </w:rPr>
      </w:pPr>
      <w:r w:rsidRPr="00C50458">
        <w:rPr>
          <w:rStyle w:val="Odwoanieprzypisudolnego"/>
          <w:sz w:val="16"/>
          <w:szCs w:val="16"/>
        </w:rPr>
        <w:footnoteRef/>
      </w:r>
      <w:r w:rsidR="00C50458" w:rsidRPr="00C50458">
        <w:rPr>
          <w:sz w:val="16"/>
          <w:szCs w:val="16"/>
        </w:rPr>
        <w:t xml:space="preserve"> </w:t>
      </w:r>
      <w:r w:rsidR="0018447A" w:rsidRPr="00C50458">
        <w:rPr>
          <w:sz w:val="16"/>
          <w:szCs w:val="16"/>
        </w:rPr>
        <w:t>Tourism characteristic products include services related to accommodation</w:t>
      </w:r>
      <w:r w:rsidR="008E39B0" w:rsidRPr="00C50458">
        <w:rPr>
          <w:sz w:val="16"/>
          <w:szCs w:val="16"/>
        </w:rPr>
        <w:t>,</w:t>
      </w:r>
      <w:r w:rsidR="0018447A" w:rsidRPr="00C50458">
        <w:rPr>
          <w:sz w:val="16"/>
          <w:szCs w:val="16"/>
        </w:rPr>
        <w:t xml:space="preserve"> food and beverage service, passenger transport, rental and leasing</w:t>
      </w:r>
      <w:r w:rsidR="008E39B0" w:rsidRPr="00C50458">
        <w:rPr>
          <w:sz w:val="16"/>
          <w:szCs w:val="16"/>
        </w:rPr>
        <w:t xml:space="preserve"> of motor vehicles</w:t>
      </w:r>
      <w:r w:rsidR="0018447A" w:rsidRPr="00C50458">
        <w:rPr>
          <w:sz w:val="16"/>
          <w:szCs w:val="16"/>
        </w:rPr>
        <w:t>, travel agency and tour operator services, as well as cultural</w:t>
      </w:r>
      <w:r w:rsidR="008E39B0" w:rsidRPr="00C50458">
        <w:rPr>
          <w:sz w:val="16"/>
          <w:szCs w:val="16"/>
        </w:rPr>
        <w:t xml:space="preserve"> activities,</w:t>
      </w:r>
      <w:r w:rsidR="0018447A" w:rsidRPr="00C50458">
        <w:rPr>
          <w:sz w:val="16"/>
          <w:szCs w:val="16"/>
        </w:rPr>
        <w:t xml:space="preserve"> sports and recreational services. In the </w:t>
      </w:r>
      <w:r w:rsidR="004A41DA" w:rsidRPr="00C50458">
        <w:rPr>
          <w:sz w:val="16"/>
          <w:szCs w:val="16"/>
        </w:rPr>
        <w:t>TSA</w:t>
      </w:r>
      <w:r w:rsidR="0018447A" w:rsidRPr="00C50458">
        <w:rPr>
          <w:sz w:val="16"/>
          <w:szCs w:val="16"/>
        </w:rPr>
        <w:t xml:space="preserve"> for Poland, these also include health services, the organisation of trade conventions and trade shows, and service activities incidental to air transportation.</w:t>
      </w:r>
    </w:p>
  </w:footnote>
  <w:footnote w:id="6">
    <w:p w14:paraId="574E44C4" w14:textId="39C7978B" w:rsidR="00F46634" w:rsidRPr="00F46634" w:rsidRDefault="00F46634" w:rsidP="00F46634">
      <w:pPr>
        <w:pStyle w:val="Tekstprzypisudolnego"/>
        <w:ind w:left="91" w:hanging="91"/>
        <w:rPr>
          <w:lang w:val="pl-PL"/>
        </w:rPr>
      </w:pPr>
      <w:r>
        <w:rPr>
          <w:rStyle w:val="Odwoanieprzypisudolnego"/>
        </w:rPr>
        <w:footnoteRef/>
      </w:r>
      <w:r>
        <w:t xml:space="preserve"> </w:t>
      </w:r>
      <w:r w:rsidRPr="00F46634">
        <w:rPr>
          <w:sz w:val="16"/>
          <w:szCs w:val="16"/>
        </w:rPr>
        <w:t>Data on the workforce relate to people who carry out work that provides them with earnings or income. These figures are presented on the basis of the principle that individuals are counted only once at their main place of work.</w:t>
      </w:r>
    </w:p>
  </w:footnote>
  <w:footnote w:id="7">
    <w:p w14:paraId="3BB2EC4D" w14:textId="5E69DE63" w:rsidR="009E6618" w:rsidRPr="009E6618" w:rsidRDefault="009E6618" w:rsidP="009E6618">
      <w:pPr>
        <w:pStyle w:val="Tekstprzypisudolnego"/>
        <w:ind w:left="91" w:hanging="91"/>
        <w:rPr>
          <w:lang w:val="pl-PL"/>
        </w:rPr>
      </w:pPr>
      <w:r>
        <w:rPr>
          <w:rStyle w:val="Odwoanieprzypisudolnego"/>
        </w:rPr>
        <w:footnoteRef/>
      </w:r>
      <w:r>
        <w:t xml:space="preserve"> </w:t>
      </w:r>
      <w:r w:rsidRPr="009E6618">
        <w:rPr>
          <w:sz w:val="16"/>
          <w:szCs w:val="16"/>
        </w:rPr>
        <w:t>Tourism-related industries include accommodation services, food and beverage serving services, passenger transport services, rental of passenger transport equipment, travel agencies and other reservation services, cultural services, and sports and recreation services.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44FF9" w14:textId="77777777" w:rsidR="006A4805" w:rsidRDefault="006A4805">
    <w:pPr>
      <w:pStyle w:val="Nagwek"/>
    </w:pPr>
    <w:r>
      <w:rPr>
        <w:noProof/>
        <w:lang w:eastAsia="pl-PL"/>
      </w:rPr>
      <mc:AlternateContent>
        <mc:Choice Requires="wps">
          <w:drawing>
            <wp:anchor distT="0" distB="0" distL="114300" distR="114300" simplePos="0" relativeHeight="251678720" behindDoc="1" locked="0" layoutInCell="1" allowOverlap="1" wp14:anchorId="05B961CE" wp14:editId="33E9CDE4">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D5453B" id="Prostokąt 24" o:spid="_x0000_s1026" style="position:absolute;margin-left:410.6pt;margin-top:-14.05pt;width:147.6pt;height:1785.8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" fillcolor="#f2f2f2 [3052]" stroked="f" strokeweight="1pt"/>
          </w:pict>
        </mc:Fallback>
      </mc:AlternateContent>
    </w:r>
  </w:p>
  <w:p w14:paraId="7A1CD62D" w14:textId="77777777" w:rsidR="006A4805" w:rsidRDefault="006A480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50B94" w14:textId="02FEE316" w:rsidR="006A4805" w:rsidRDefault="0081776A">
    <w:pPr>
      <w:pStyle w:val="Nagwek"/>
      <w:rPr>
        <w:noProof/>
        <w:lang w:eastAsia="pl-PL"/>
      </w:rPr>
    </w:pPr>
    <w:r w:rsidRPr="00F37172">
      <w:rPr>
        <w:noProof/>
        <w:lang w:eastAsia="pl-PL"/>
      </w:rPr>
      <mc:AlternateContent>
        <mc:Choice Requires="wps">
          <w:drawing>
            <wp:anchor distT="0" distB="0" distL="114300" distR="114300" simplePos="0" relativeHeight="251680768" behindDoc="0" locked="0" layoutInCell="1" allowOverlap="1" wp14:anchorId="63FAD44F" wp14:editId="2EA9B6C7">
              <wp:simplePos x="0" y="0"/>
              <wp:positionH relativeFrom="page">
                <wp:align>right</wp:align>
              </wp:positionH>
              <wp:positionV relativeFrom="paragraph">
                <wp:posOffset>147218</wp:posOffset>
              </wp:positionV>
              <wp:extent cx="2060575" cy="357505"/>
              <wp:effectExtent l="0" t="0" r="0" b="4445"/>
              <wp:wrapNone/>
              <wp:docPr id="4" name="Schemat blokowy: opóźnienie 6" descr="Text &quot;News releases&quot;"/>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8FFF04" w14:textId="3FF2185E" w:rsidR="006A4805" w:rsidRPr="00E345A0" w:rsidRDefault="00E345A0" w:rsidP="00E345A0">
                          <w:pPr>
                            <w:spacing w:before="0" w:after="0" w:line="240" w:lineRule="auto"/>
                            <w:ind w:left="227"/>
                            <w:jc w:val="center"/>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AD44F" id="Schemat blokowy: opóźnienie 6" o:spid="_x0000_s1030" alt="Text &quot;News releases&quot;" style="position:absolute;margin-left:111.05pt;margin-top:11.6pt;width:162.25pt;height:28.15pt;flip:x;z-index:25168076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318FFF04" w14:textId="3FF2185E" w:rsidR="006A4805" w:rsidRPr="00E345A0" w:rsidRDefault="00E345A0" w:rsidP="00E345A0">
                    <w:pPr>
                      <w:spacing w:before="0" w:after="0" w:line="240" w:lineRule="auto"/>
                      <w:ind w:left="227"/>
                      <w:jc w:val="center"/>
                      <w:rPr>
                        <w:rFonts w:ascii="Fira Sans SemiBold" w:hAnsi="Fira Sans SemiBold"/>
                      </w:rPr>
                    </w:pPr>
                    <w:r>
                      <w:rPr>
                        <w:rFonts w:ascii="Fira Sans SemiBold" w:hAnsi="Fira Sans SemiBold"/>
                      </w:rPr>
                      <w:t>NEWS RELEASES</w:t>
                    </w:r>
                  </w:p>
                </w:txbxContent>
              </v:textbox>
              <w10:wrap anchorx="page"/>
            </v:shape>
          </w:pict>
        </mc:Fallback>
      </mc:AlternateContent>
    </w:r>
    <w:r w:rsidR="00E345A0">
      <w:rPr>
        <w:noProof/>
        <w:lang w:eastAsia="pl-PL"/>
      </w:rPr>
      <w:drawing>
        <wp:inline distT="0" distB="0" distL="0" distR="0" wp14:anchorId="36953C42" wp14:editId="5F8ACB71">
          <wp:extent cx="1073755" cy="468000"/>
          <wp:effectExtent l="0" t="0" r="0" b="8255"/>
          <wp:docPr id="7" name="Obraz 7" descr="Statistics Po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 GUS.jpg"/>
                  <pic:cNvPicPr/>
                </pic:nvPicPr>
                <pic:blipFill rotWithShape="1">
                  <a:blip r:embed="rId1" cstate="print">
                    <a:extLst>
                      <a:ext uri="{28A0092B-C50C-407E-A947-70E740481C1C}">
                        <a14:useLocalDpi xmlns:a14="http://schemas.microsoft.com/office/drawing/2010/main" val="0"/>
                      </a:ext>
                    </a:extLst>
                  </a:blip>
                  <a:srcRect l="10714" t="18998" r="10569" b="19250"/>
                  <a:stretch/>
                </pic:blipFill>
                <pic:spPr bwMode="auto">
                  <a:xfrm>
                    <a:off x="0" y="0"/>
                    <a:ext cx="1073755" cy="468000"/>
                  </a:xfrm>
                  <a:prstGeom prst="rect">
                    <a:avLst/>
                  </a:prstGeom>
                  <a:ln>
                    <a:noFill/>
                  </a:ln>
                  <a:extLst>
                    <a:ext uri="{53640926-AAD7-44D8-BBD7-CCE9431645EC}">
                      <a14:shadowObscured xmlns:a14="http://schemas.microsoft.com/office/drawing/2010/main"/>
                    </a:ext>
                  </a:extLst>
                </pic:spPr>
              </pic:pic>
            </a:graphicData>
          </a:graphic>
        </wp:inline>
      </w:drawing>
    </w:r>
    <w:r w:rsidR="006A4805">
      <w:rPr>
        <w:noProof/>
        <w:lang w:eastAsia="pl-PL"/>
      </w:rPr>
      <mc:AlternateContent>
        <mc:Choice Requires="wps">
          <w:drawing>
            <wp:anchor distT="0" distB="0" distL="114300" distR="114300" simplePos="0" relativeHeight="251679744" behindDoc="1" locked="0" layoutInCell="1" allowOverlap="1" wp14:anchorId="79D8AAD7" wp14:editId="081F0421">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C309C9" id="Prostokąt 10" o:spid="_x0000_s1026" style="position:absolute;margin-left:410.95pt;margin-top:40.3pt;width:147.4pt;height:1803.5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" fillcolor="#f2f2f2" stroked="f" strokeweight="1pt">
              <w10:wrap type="tight"/>
            </v:rect>
          </w:pict>
        </mc:Fallback>
      </mc:AlternateContent>
    </w:r>
  </w:p>
  <w:p w14:paraId="779A2074" w14:textId="77777777" w:rsidR="006A4805" w:rsidRDefault="006A4805">
    <w:pPr>
      <w:pStyle w:val="Nagwek"/>
      <w:rPr>
        <w:noProof/>
        <w:lang w:eastAsia="pl-PL"/>
      </w:rPr>
    </w:pPr>
    <w:r w:rsidRPr="00F37172">
      <w:rPr>
        <w:noProof/>
        <w:lang w:eastAsia="pl-PL"/>
      </w:rPr>
      <mc:AlternateContent>
        <mc:Choice Requires="wps">
          <w:drawing>
            <wp:anchor distT="45720" distB="45720" distL="114300" distR="114300" simplePos="0" relativeHeight="251681792" behindDoc="0" locked="0" layoutInCell="1" allowOverlap="1" wp14:anchorId="28EE0995" wp14:editId="13C5F7CA">
              <wp:simplePos x="0" y="0"/>
              <wp:positionH relativeFrom="column">
                <wp:posOffset>5289194</wp:posOffset>
              </wp:positionH>
              <wp:positionV relativeFrom="paragraph">
                <wp:posOffset>266065</wp:posOffset>
              </wp:positionV>
              <wp:extent cx="1432293" cy="336589"/>
              <wp:effectExtent l="0" t="0" r="0" b="6350"/>
              <wp:wrapNone/>
              <wp:docPr id="6" name="Pole tekstowe 2" descr="News release publication date&#10;&#10;20.10.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2157FBDB" w14:textId="08D26DF9" w:rsidR="0081776A" w:rsidRPr="00A01B40" w:rsidRDefault="0081776A" w:rsidP="0081776A">
                          <w:pPr>
                            <w:pStyle w:val="Datainformacjisygnalnej"/>
                          </w:pPr>
                          <w:r>
                            <w:t>20.10.2026</w:t>
                          </w:r>
                        </w:p>
                        <w:p w14:paraId="146D6A88" w14:textId="77777777" w:rsidR="006A4805" w:rsidRPr="00CC67EF" w:rsidRDefault="006A4805" w:rsidP="00F37172">
                          <w:pPr>
                            <w:jc w:val="both"/>
                            <w:rPr>
                              <w:rFonts w:ascii="Fira Sans SemiBold" w:hAnsi="Fira Sans SemiBold"/>
                              <w:color w:val="001D77"/>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EE0995" id="_x0000_t202" coordsize="21600,21600" o:spt="202" path="m,l,21600r21600,l21600,xe">
              <v:stroke joinstyle="miter"/>
              <v:path gradientshapeok="t" o:connecttype="rect"/>
            </v:shapetype>
            <v:shape id="_x0000_s1031" type="#_x0000_t202" alt="News release publication date&#10;&#10;20.10.2026" style="position:absolute;margin-left:416.45pt;margin-top:20.95pt;width:112.8pt;height:26.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" filled="f" stroked="f">
              <v:textbox>
                <w:txbxContent>
                  <w:p w14:paraId="2157FBDB" w14:textId="08D26DF9" w:rsidR="0081776A" w:rsidRPr="00A01B40" w:rsidRDefault="0081776A" w:rsidP="0081776A">
                    <w:pPr>
                      <w:pStyle w:val="Datainformacjisygnalnej"/>
                    </w:pPr>
                    <w:r>
                      <w:t>20.10.2026</w:t>
                    </w:r>
                  </w:p>
                  <w:p w14:paraId="146D6A88" w14:textId="77777777" w:rsidR="006A4805" w:rsidRPr="00CC67EF" w:rsidRDefault="006A4805" w:rsidP="00F37172">
                    <w:pPr>
                      <w:jc w:val="both"/>
                      <w:rPr>
                        <w:rFonts w:ascii="Fira Sans SemiBold" w:hAnsi="Fira Sans SemiBold"/>
                        <w:color w:val="001D77"/>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606C" w14:textId="77777777" w:rsidR="0067733E" w:rsidRDefault="0067733E">
    <w:pPr>
      <w:pStyle w:val="Nagwek"/>
    </w:pPr>
  </w:p>
  <w:p w14:paraId="6FB0F73B" w14:textId="77777777" w:rsidR="0067733E" w:rsidRDefault="0067733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5pt;height:125pt;visibility:visible;mso-wrap-style:square" o:bullet="t">
        <v:imagedata r:id="rId1" o:title=""/>
      </v:shape>
    </w:pict>
  </w:numPicBullet>
  <w:numPicBullet w:numPicBulletId="1">
    <w:pict>
      <v:shape id="_x0000_i1027" type="#_x0000_t75" style="width:123.5pt;height:125pt;visibility:visible;mso-wrap-style:square" o:bullet="t">
        <v:imagedata r:id="rId2" o:title=""/>
      </v:shape>
    </w:pict>
  </w:numPicBullet>
  <w:abstractNum w:abstractNumId="0" w15:restartNumberingAfterBreak="0">
    <w:nsid w:val="003B117A"/>
    <w:multiLevelType w:val="hybridMultilevel"/>
    <w:tmpl w:val="75E8A3AC"/>
    <w:lvl w:ilvl="0" w:tplc="CC767CC2">
      <w:start w:val="1"/>
      <w:numFmt w:val="decimal"/>
      <w:lvlText w:val="Wykres %1."/>
      <w:lvlJc w:val="left"/>
      <w:pPr>
        <w:ind w:left="720" w:hanging="360"/>
      </w:pPr>
      <w:rPr>
        <w:rFonts w:hint="default"/>
        <w:b/>
        <w:i w:val="0"/>
        <w:caps w:val="0"/>
        <w:strike w:val="0"/>
        <w:dstrike w:val="0"/>
        <w:vanish w:val="0"/>
        <w:vertAlign w:val="baseline"/>
        <w14:ligatures w14: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3746B54"/>
    <w:multiLevelType w:val="hybridMultilevel"/>
    <w:tmpl w:val="CEA4EAFE"/>
    <w:lvl w:ilvl="0" w:tplc="7A2A1096">
      <w:start w:val="1"/>
      <w:numFmt w:val="decimal"/>
      <w:suff w:val="space"/>
      <w:lvlText w:val="Wykres %1."/>
      <w:lvlJc w:val="left"/>
      <w:pPr>
        <w:ind w:left="720" w:hanging="360"/>
      </w:pPr>
      <w:rPr>
        <w:rFonts w:hint="default"/>
        <w:b/>
        <w:i w:val="0"/>
        <w:caps w:val="0"/>
        <w:strike w:val="0"/>
        <w:dstrike w:val="0"/>
        <w:vanish w:val="0"/>
        <w:vertAlign w:val="baseline"/>
        <w14:ligatures w14: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14F1AAA"/>
    <w:multiLevelType w:val="hybridMultilevel"/>
    <w:tmpl w:val="247C1F22"/>
    <w:lvl w:ilvl="0" w:tplc="CC767CC2">
      <w:start w:val="1"/>
      <w:numFmt w:val="decimal"/>
      <w:lvlText w:val="Wykres %1."/>
      <w:lvlJc w:val="left"/>
      <w:pPr>
        <w:ind w:left="720" w:hanging="360"/>
      </w:pPr>
      <w:rPr>
        <w:rFonts w:hint="default"/>
        <w:b/>
        <w:i w:val="0"/>
        <w:caps w:val="0"/>
        <w:strike w:val="0"/>
        <w:dstrike w:val="0"/>
        <w:vanish w:val="0"/>
        <w:vertAlign w:val="baseline"/>
        <w14:ligatures w14: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4776594"/>
    <w:multiLevelType w:val="hybridMultilevel"/>
    <w:tmpl w:val="14042944"/>
    <w:lvl w:ilvl="0" w:tplc="57BC433C">
      <w:start w:val="1"/>
      <w:numFmt w:val="decimal"/>
      <w:suff w:val="space"/>
      <w:lvlText w:val="Wykres %1."/>
      <w:lvlJc w:val="left"/>
      <w:pPr>
        <w:ind w:left="0" w:firstLine="0"/>
      </w:pPr>
      <w:rPr>
        <w:rFonts w:hint="default"/>
        <w:b/>
        <w:i w:val="0"/>
        <w:caps w:val="0"/>
        <w:strike w:val="0"/>
        <w:dstrike w:val="0"/>
        <w:vanish w:val="0"/>
        <w:color w:val="auto"/>
        <w:sz w:val="19"/>
        <w:szCs w:val="19"/>
        <w:vertAlign w:val="baseline"/>
        <w14:ligatures w14: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4003A66"/>
    <w:multiLevelType w:val="hybridMultilevel"/>
    <w:tmpl w:val="C18801F2"/>
    <w:lvl w:ilvl="0" w:tplc="18A24D96">
      <w:start w:val="1"/>
      <w:numFmt w:val="decimal"/>
      <w:lvlText w:val="Mapa %1."/>
      <w:lvlJc w:val="left"/>
      <w:pPr>
        <w:ind w:left="720" w:hanging="360"/>
      </w:pPr>
      <w:rPr>
        <w:rFonts w:hint="default"/>
        <w:b/>
        <w:i w:val="0"/>
        <w:caps w:val="0"/>
        <w:strike w:val="0"/>
        <w:dstrike w:val="0"/>
        <w:vanish w:val="0"/>
        <w:spacing w:val="0"/>
        <w:kern w:val="0"/>
        <w:position w:val="0"/>
        <w:sz w:val="19"/>
        <w:szCs w:val="19"/>
        <w:vertAlign w:val="baseline"/>
        <w14:ligatures w14:val="none"/>
        <w14:numForm w14:val="default"/>
        <w14:numSpacing w14:val="default"/>
        <w14:stylisticSets/>
        <w14:cntxtAlts w14: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53052829">
    <w:abstractNumId w:val="4"/>
  </w:num>
  <w:num w:numId="2" w16cid:durableId="1935631140">
    <w:abstractNumId w:val="1"/>
  </w:num>
  <w:num w:numId="3" w16cid:durableId="1812287421">
    <w:abstractNumId w:val="5"/>
  </w:num>
  <w:num w:numId="4" w16cid:durableId="887958855">
    <w:abstractNumId w:val="3"/>
  </w:num>
  <w:num w:numId="5" w16cid:durableId="1338926817">
    <w:abstractNumId w:val="2"/>
  </w:num>
  <w:num w:numId="6" w16cid:durableId="1466041877">
    <w:abstractNumId w:val="0"/>
  </w:num>
  <w:num w:numId="7" w16cid:durableId="11805876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26A8"/>
    <w:rsid w:val="00003437"/>
    <w:rsid w:val="0000526B"/>
    <w:rsid w:val="0000709F"/>
    <w:rsid w:val="000076B4"/>
    <w:rsid w:val="000108B8"/>
    <w:rsid w:val="00010E34"/>
    <w:rsid w:val="00011F1B"/>
    <w:rsid w:val="00012DE4"/>
    <w:rsid w:val="000152F5"/>
    <w:rsid w:val="0001535A"/>
    <w:rsid w:val="0002119A"/>
    <w:rsid w:val="000222C4"/>
    <w:rsid w:val="000319C7"/>
    <w:rsid w:val="00033C47"/>
    <w:rsid w:val="000347AF"/>
    <w:rsid w:val="00037034"/>
    <w:rsid w:val="000403A7"/>
    <w:rsid w:val="000404D1"/>
    <w:rsid w:val="0004350B"/>
    <w:rsid w:val="000439B9"/>
    <w:rsid w:val="00044964"/>
    <w:rsid w:val="0004582E"/>
    <w:rsid w:val="000470AA"/>
    <w:rsid w:val="0005102D"/>
    <w:rsid w:val="0005268E"/>
    <w:rsid w:val="00052FFF"/>
    <w:rsid w:val="000573FB"/>
    <w:rsid w:val="00057C16"/>
    <w:rsid w:val="00057CA1"/>
    <w:rsid w:val="00061B06"/>
    <w:rsid w:val="00061E05"/>
    <w:rsid w:val="000662E2"/>
    <w:rsid w:val="00066883"/>
    <w:rsid w:val="00070A0E"/>
    <w:rsid w:val="00074DD8"/>
    <w:rsid w:val="00075759"/>
    <w:rsid w:val="0007623C"/>
    <w:rsid w:val="000806F7"/>
    <w:rsid w:val="00083D0E"/>
    <w:rsid w:val="0008477C"/>
    <w:rsid w:val="00086E0B"/>
    <w:rsid w:val="00090A94"/>
    <w:rsid w:val="00094BCD"/>
    <w:rsid w:val="000967A5"/>
    <w:rsid w:val="00097840"/>
    <w:rsid w:val="000A1B50"/>
    <w:rsid w:val="000B0727"/>
    <w:rsid w:val="000B56A4"/>
    <w:rsid w:val="000B6A2E"/>
    <w:rsid w:val="000B7F4A"/>
    <w:rsid w:val="000C135D"/>
    <w:rsid w:val="000C28FC"/>
    <w:rsid w:val="000C3A7D"/>
    <w:rsid w:val="000C514F"/>
    <w:rsid w:val="000C592A"/>
    <w:rsid w:val="000D0C82"/>
    <w:rsid w:val="000D1D43"/>
    <w:rsid w:val="000D225C"/>
    <w:rsid w:val="000D2A5C"/>
    <w:rsid w:val="000D621C"/>
    <w:rsid w:val="000E0918"/>
    <w:rsid w:val="000E491B"/>
    <w:rsid w:val="000E539C"/>
    <w:rsid w:val="000E79A9"/>
    <w:rsid w:val="000F28B3"/>
    <w:rsid w:val="000F2F33"/>
    <w:rsid w:val="000F38BE"/>
    <w:rsid w:val="000F3C9A"/>
    <w:rsid w:val="001011C3"/>
    <w:rsid w:val="0010212C"/>
    <w:rsid w:val="00103425"/>
    <w:rsid w:val="0010363D"/>
    <w:rsid w:val="001046C3"/>
    <w:rsid w:val="00104F0B"/>
    <w:rsid w:val="00106CD6"/>
    <w:rsid w:val="00107D76"/>
    <w:rsid w:val="00110C24"/>
    <w:rsid w:val="00110D87"/>
    <w:rsid w:val="00112922"/>
    <w:rsid w:val="00114DB9"/>
    <w:rsid w:val="00116087"/>
    <w:rsid w:val="00116477"/>
    <w:rsid w:val="00120357"/>
    <w:rsid w:val="00130296"/>
    <w:rsid w:val="00131A25"/>
    <w:rsid w:val="00131BCF"/>
    <w:rsid w:val="00131C04"/>
    <w:rsid w:val="00135687"/>
    <w:rsid w:val="00136736"/>
    <w:rsid w:val="00137488"/>
    <w:rsid w:val="00141FF8"/>
    <w:rsid w:val="001423B6"/>
    <w:rsid w:val="00142890"/>
    <w:rsid w:val="00142FFD"/>
    <w:rsid w:val="0014321C"/>
    <w:rsid w:val="001448A7"/>
    <w:rsid w:val="00144BC1"/>
    <w:rsid w:val="00146621"/>
    <w:rsid w:val="001507D2"/>
    <w:rsid w:val="00160175"/>
    <w:rsid w:val="00160771"/>
    <w:rsid w:val="001617E3"/>
    <w:rsid w:val="00161D36"/>
    <w:rsid w:val="00162325"/>
    <w:rsid w:val="001665AD"/>
    <w:rsid w:val="0017112C"/>
    <w:rsid w:val="00181D14"/>
    <w:rsid w:val="0018447A"/>
    <w:rsid w:val="001914FF"/>
    <w:rsid w:val="00193C68"/>
    <w:rsid w:val="001951DA"/>
    <w:rsid w:val="001966D3"/>
    <w:rsid w:val="00197A1D"/>
    <w:rsid w:val="001A1450"/>
    <w:rsid w:val="001A2655"/>
    <w:rsid w:val="001A3A8D"/>
    <w:rsid w:val="001A451B"/>
    <w:rsid w:val="001A4EDB"/>
    <w:rsid w:val="001A6558"/>
    <w:rsid w:val="001A79E8"/>
    <w:rsid w:val="001B0FB2"/>
    <w:rsid w:val="001B187E"/>
    <w:rsid w:val="001B1BAE"/>
    <w:rsid w:val="001B5259"/>
    <w:rsid w:val="001B7D30"/>
    <w:rsid w:val="001C08FE"/>
    <w:rsid w:val="001C09FA"/>
    <w:rsid w:val="001C11BC"/>
    <w:rsid w:val="001C17D9"/>
    <w:rsid w:val="001C3269"/>
    <w:rsid w:val="001C7D04"/>
    <w:rsid w:val="001D07A8"/>
    <w:rsid w:val="001D10DF"/>
    <w:rsid w:val="001D1DB4"/>
    <w:rsid w:val="001D34E4"/>
    <w:rsid w:val="001D4342"/>
    <w:rsid w:val="001D61ED"/>
    <w:rsid w:val="001E34ED"/>
    <w:rsid w:val="002031BA"/>
    <w:rsid w:val="00215229"/>
    <w:rsid w:val="00216014"/>
    <w:rsid w:val="0023072C"/>
    <w:rsid w:val="0023291A"/>
    <w:rsid w:val="00233702"/>
    <w:rsid w:val="0023412F"/>
    <w:rsid w:val="00236D99"/>
    <w:rsid w:val="00241E89"/>
    <w:rsid w:val="00243D3D"/>
    <w:rsid w:val="00244B26"/>
    <w:rsid w:val="002466BA"/>
    <w:rsid w:val="00246770"/>
    <w:rsid w:val="002508AC"/>
    <w:rsid w:val="002570E1"/>
    <w:rsid w:val="002574F9"/>
    <w:rsid w:val="00261DC1"/>
    <w:rsid w:val="00262B61"/>
    <w:rsid w:val="00263E08"/>
    <w:rsid w:val="00263E59"/>
    <w:rsid w:val="00267003"/>
    <w:rsid w:val="00275C6A"/>
    <w:rsid w:val="002763F8"/>
    <w:rsid w:val="00276811"/>
    <w:rsid w:val="00276E3F"/>
    <w:rsid w:val="00277C73"/>
    <w:rsid w:val="00282699"/>
    <w:rsid w:val="00284736"/>
    <w:rsid w:val="00284A63"/>
    <w:rsid w:val="00290729"/>
    <w:rsid w:val="0029085B"/>
    <w:rsid w:val="002908FA"/>
    <w:rsid w:val="002926DF"/>
    <w:rsid w:val="00295BC0"/>
    <w:rsid w:val="00295EC6"/>
    <w:rsid w:val="00296697"/>
    <w:rsid w:val="002A25F1"/>
    <w:rsid w:val="002A2BE7"/>
    <w:rsid w:val="002A3AF5"/>
    <w:rsid w:val="002B0472"/>
    <w:rsid w:val="002B29A7"/>
    <w:rsid w:val="002B567A"/>
    <w:rsid w:val="002B63FB"/>
    <w:rsid w:val="002B6B12"/>
    <w:rsid w:val="002C3895"/>
    <w:rsid w:val="002C416C"/>
    <w:rsid w:val="002C44CF"/>
    <w:rsid w:val="002C7094"/>
    <w:rsid w:val="002D1537"/>
    <w:rsid w:val="002D5935"/>
    <w:rsid w:val="002E2F35"/>
    <w:rsid w:val="002E317F"/>
    <w:rsid w:val="002E5D8E"/>
    <w:rsid w:val="002E6140"/>
    <w:rsid w:val="002E6985"/>
    <w:rsid w:val="002E71B6"/>
    <w:rsid w:val="002E768C"/>
    <w:rsid w:val="002F2C90"/>
    <w:rsid w:val="002F5C1F"/>
    <w:rsid w:val="002F621D"/>
    <w:rsid w:val="002F77C8"/>
    <w:rsid w:val="002F789F"/>
    <w:rsid w:val="003039F4"/>
    <w:rsid w:val="003046AB"/>
    <w:rsid w:val="00304F22"/>
    <w:rsid w:val="00306C7C"/>
    <w:rsid w:val="0030707C"/>
    <w:rsid w:val="003070DA"/>
    <w:rsid w:val="00307CF4"/>
    <w:rsid w:val="00315E78"/>
    <w:rsid w:val="00317F4D"/>
    <w:rsid w:val="003204C0"/>
    <w:rsid w:val="0032106C"/>
    <w:rsid w:val="00322EDD"/>
    <w:rsid w:val="00323B5A"/>
    <w:rsid w:val="00327333"/>
    <w:rsid w:val="0032786F"/>
    <w:rsid w:val="003309FA"/>
    <w:rsid w:val="00330BC1"/>
    <w:rsid w:val="00332320"/>
    <w:rsid w:val="0033506A"/>
    <w:rsid w:val="00344FFE"/>
    <w:rsid w:val="00345D45"/>
    <w:rsid w:val="00346FDA"/>
    <w:rsid w:val="003479D1"/>
    <w:rsid w:val="00347D72"/>
    <w:rsid w:val="0035149B"/>
    <w:rsid w:val="00353AAB"/>
    <w:rsid w:val="00353AD1"/>
    <w:rsid w:val="00353F45"/>
    <w:rsid w:val="00354542"/>
    <w:rsid w:val="00354A23"/>
    <w:rsid w:val="003557BD"/>
    <w:rsid w:val="00357611"/>
    <w:rsid w:val="00360ABA"/>
    <w:rsid w:val="00363B72"/>
    <w:rsid w:val="00365352"/>
    <w:rsid w:val="00367237"/>
    <w:rsid w:val="0037077F"/>
    <w:rsid w:val="00371D01"/>
    <w:rsid w:val="00372411"/>
    <w:rsid w:val="0037249C"/>
    <w:rsid w:val="00373882"/>
    <w:rsid w:val="00373FAC"/>
    <w:rsid w:val="00375403"/>
    <w:rsid w:val="00383B21"/>
    <w:rsid w:val="003843DB"/>
    <w:rsid w:val="00385484"/>
    <w:rsid w:val="00386553"/>
    <w:rsid w:val="0039075F"/>
    <w:rsid w:val="003934AF"/>
    <w:rsid w:val="00393619"/>
    <w:rsid w:val="00393761"/>
    <w:rsid w:val="00393BC6"/>
    <w:rsid w:val="00394E26"/>
    <w:rsid w:val="00396691"/>
    <w:rsid w:val="003973A8"/>
    <w:rsid w:val="00397D18"/>
    <w:rsid w:val="003A1B36"/>
    <w:rsid w:val="003A2248"/>
    <w:rsid w:val="003A2B08"/>
    <w:rsid w:val="003A2BE1"/>
    <w:rsid w:val="003A6C26"/>
    <w:rsid w:val="003B001E"/>
    <w:rsid w:val="003B024D"/>
    <w:rsid w:val="003B1454"/>
    <w:rsid w:val="003B18B6"/>
    <w:rsid w:val="003B1DE3"/>
    <w:rsid w:val="003C161B"/>
    <w:rsid w:val="003C2BC8"/>
    <w:rsid w:val="003C37BA"/>
    <w:rsid w:val="003C59E0"/>
    <w:rsid w:val="003C6920"/>
    <w:rsid w:val="003C699F"/>
    <w:rsid w:val="003C6C8D"/>
    <w:rsid w:val="003D051A"/>
    <w:rsid w:val="003D0B57"/>
    <w:rsid w:val="003D1A95"/>
    <w:rsid w:val="003D2656"/>
    <w:rsid w:val="003D4797"/>
    <w:rsid w:val="003D4AFF"/>
    <w:rsid w:val="003D4F95"/>
    <w:rsid w:val="003D5F42"/>
    <w:rsid w:val="003D60A9"/>
    <w:rsid w:val="003D6203"/>
    <w:rsid w:val="003D6288"/>
    <w:rsid w:val="003D702A"/>
    <w:rsid w:val="003F3282"/>
    <w:rsid w:val="003F4C97"/>
    <w:rsid w:val="003F51D7"/>
    <w:rsid w:val="003F5E86"/>
    <w:rsid w:val="003F666D"/>
    <w:rsid w:val="003F7FE6"/>
    <w:rsid w:val="00400193"/>
    <w:rsid w:val="00411445"/>
    <w:rsid w:val="00414268"/>
    <w:rsid w:val="00416F2C"/>
    <w:rsid w:val="004212E7"/>
    <w:rsid w:val="004221D6"/>
    <w:rsid w:val="00422A7B"/>
    <w:rsid w:val="00423C88"/>
    <w:rsid w:val="0042446D"/>
    <w:rsid w:val="0042766E"/>
    <w:rsid w:val="00427BF8"/>
    <w:rsid w:val="00431301"/>
    <w:rsid w:val="00431C02"/>
    <w:rsid w:val="004327C9"/>
    <w:rsid w:val="00437395"/>
    <w:rsid w:val="00445047"/>
    <w:rsid w:val="00447129"/>
    <w:rsid w:val="00450D85"/>
    <w:rsid w:val="00452658"/>
    <w:rsid w:val="004529FB"/>
    <w:rsid w:val="00453A6F"/>
    <w:rsid w:val="00453D63"/>
    <w:rsid w:val="00456FD8"/>
    <w:rsid w:val="0046011C"/>
    <w:rsid w:val="00461EB9"/>
    <w:rsid w:val="00463CE9"/>
    <w:rsid w:val="00463E39"/>
    <w:rsid w:val="00464526"/>
    <w:rsid w:val="004657FC"/>
    <w:rsid w:val="0046619C"/>
    <w:rsid w:val="004676B2"/>
    <w:rsid w:val="00467E69"/>
    <w:rsid w:val="00470D2A"/>
    <w:rsid w:val="004733F6"/>
    <w:rsid w:val="00474E69"/>
    <w:rsid w:val="0047774B"/>
    <w:rsid w:val="00480112"/>
    <w:rsid w:val="004804DF"/>
    <w:rsid w:val="004806B9"/>
    <w:rsid w:val="00480DBC"/>
    <w:rsid w:val="00481565"/>
    <w:rsid w:val="004830A2"/>
    <w:rsid w:val="00483ABC"/>
    <w:rsid w:val="00486664"/>
    <w:rsid w:val="004871F5"/>
    <w:rsid w:val="00493F88"/>
    <w:rsid w:val="0049621B"/>
    <w:rsid w:val="00496A60"/>
    <w:rsid w:val="004976EE"/>
    <w:rsid w:val="004A0478"/>
    <w:rsid w:val="004A41DA"/>
    <w:rsid w:val="004A59AE"/>
    <w:rsid w:val="004B18DC"/>
    <w:rsid w:val="004B1A5F"/>
    <w:rsid w:val="004B264D"/>
    <w:rsid w:val="004B306D"/>
    <w:rsid w:val="004B5CCC"/>
    <w:rsid w:val="004B696C"/>
    <w:rsid w:val="004C1895"/>
    <w:rsid w:val="004C42AB"/>
    <w:rsid w:val="004C43E9"/>
    <w:rsid w:val="004C49F5"/>
    <w:rsid w:val="004C4D95"/>
    <w:rsid w:val="004C6D40"/>
    <w:rsid w:val="004C7858"/>
    <w:rsid w:val="004D3587"/>
    <w:rsid w:val="004D4869"/>
    <w:rsid w:val="004E20B0"/>
    <w:rsid w:val="004E2722"/>
    <w:rsid w:val="004E6AA8"/>
    <w:rsid w:val="004F0478"/>
    <w:rsid w:val="004F0C3C"/>
    <w:rsid w:val="004F63FC"/>
    <w:rsid w:val="00503771"/>
    <w:rsid w:val="00505A92"/>
    <w:rsid w:val="00505CCD"/>
    <w:rsid w:val="00506FD5"/>
    <w:rsid w:val="00507AE0"/>
    <w:rsid w:val="0051290C"/>
    <w:rsid w:val="0051669A"/>
    <w:rsid w:val="005177B1"/>
    <w:rsid w:val="005203F1"/>
    <w:rsid w:val="00521BC3"/>
    <w:rsid w:val="00523911"/>
    <w:rsid w:val="00524CEE"/>
    <w:rsid w:val="00526FD3"/>
    <w:rsid w:val="00527FD8"/>
    <w:rsid w:val="0053157F"/>
    <w:rsid w:val="00533632"/>
    <w:rsid w:val="00534801"/>
    <w:rsid w:val="00537A67"/>
    <w:rsid w:val="00540C5C"/>
    <w:rsid w:val="00541E6E"/>
    <w:rsid w:val="0054251F"/>
    <w:rsid w:val="00542ED0"/>
    <w:rsid w:val="00546E05"/>
    <w:rsid w:val="005520D8"/>
    <w:rsid w:val="00556CF1"/>
    <w:rsid w:val="005604BD"/>
    <w:rsid w:val="0056244C"/>
    <w:rsid w:val="005631EF"/>
    <w:rsid w:val="00563DB2"/>
    <w:rsid w:val="00574A98"/>
    <w:rsid w:val="005762A7"/>
    <w:rsid w:val="0057674F"/>
    <w:rsid w:val="005807E1"/>
    <w:rsid w:val="00585A6D"/>
    <w:rsid w:val="005916D7"/>
    <w:rsid w:val="0059427F"/>
    <w:rsid w:val="005A2913"/>
    <w:rsid w:val="005A5843"/>
    <w:rsid w:val="005A698C"/>
    <w:rsid w:val="005B5895"/>
    <w:rsid w:val="005C082F"/>
    <w:rsid w:val="005C43F3"/>
    <w:rsid w:val="005C5361"/>
    <w:rsid w:val="005C71DF"/>
    <w:rsid w:val="005C7BB0"/>
    <w:rsid w:val="005C7D23"/>
    <w:rsid w:val="005D0F6F"/>
    <w:rsid w:val="005D1215"/>
    <w:rsid w:val="005D163E"/>
    <w:rsid w:val="005D40CB"/>
    <w:rsid w:val="005D6BBF"/>
    <w:rsid w:val="005E0799"/>
    <w:rsid w:val="005E2E62"/>
    <w:rsid w:val="005E30F1"/>
    <w:rsid w:val="005E4996"/>
    <w:rsid w:val="005E5F89"/>
    <w:rsid w:val="005F12AC"/>
    <w:rsid w:val="005F2730"/>
    <w:rsid w:val="005F5A80"/>
    <w:rsid w:val="005F6421"/>
    <w:rsid w:val="005F6CAC"/>
    <w:rsid w:val="005F7FE4"/>
    <w:rsid w:val="00600EFC"/>
    <w:rsid w:val="006016DB"/>
    <w:rsid w:val="006042F9"/>
    <w:rsid w:val="006044FF"/>
    <w:rsid w:val="006048C8"/>
    <w:rsid w:val="00607CC5"/>
    <w:rsid w:val="00610A13"/>
    <w:rsid w:val="00610A9F"/>
    <w:rsid w:val="006125F9"/>
    <w:rsid w:val="006153CF"/>
    <w:rsid w:val="00620FFA"/>
    <w:rsid w:val="00621690"/>
    <w:rsid w:val="0062222D"/>
    <w:rsid w:val="00622A84"/>
    <w:rsid w:val="006262E0"/>
    <w:rsid w:val="00626F01"/>
    <w:rsid w:val="00627C17"/>
    <w:rsid w:val="00630558"/>
    <w:rsid w:val="006305CB"/>
    <w:rsid w:val="00631E4E"/>
    <w:rsid w:val="00633014"/>
    <w:rsid w:val="0063437B"/>
    <w:rsid w:val="0063601A"/>
    <w:rsid w:val="0064579B"/>
    <w:rsid w:val="00655E5C"/>
    <w:rsid w:val="00664480"/>
    <w:rsid w:val="00665EB0"/>
    <w:rsid w:val="006673CA"/>
    <w:rsid w:val="00673C26"/>
    <w:rsid w:val="0067434D"/>
    <w:rsid w:val="00674DE5"/>
    <w:rsid w:val="0067520C"/>
    <w:rsid w:val="006756D6"/>
    <w:rsid w:val="006766E8"/>
    <w:rsid w:val="0067733E"/>
    <w:rsid w:val="006812AF"/>
    <w:rsid w:val="00682D86"/>
    <w:rsid w:val="0068327D"/>
    <w:rsid w:val="00691534"/>
    <w:rsid w:val="00694AF0"/>
    <w:rsid w:val="00696C73"/>
    <w:rsid w:val="006A4686"/>
    <w:rsid w:val="006A4805"/>
    <w:rsid w:val="006A5185"/>
    <w:rsid w:val="006B0369"/>
    <w:rsid w:val="006B0E9E"/>
    <w:rsid w:val="006B24D6"/>
    <w:rsid w:val="006B24E6"/>
    <w:rsid w:val="006B2B9D"/>
    <w:rsid w:val="006B2D46"/>
    <w:rsid w:val="006B35CD"/>
    <w:rsid w:val="006B3F2B"/>
    <w:rsid w:val="006B404E"/>
    <w:rsid w:val="006B5AE4"/>
    <w:rsid w:val="006B6358"/>
    <w:rsid w:val="006B7844"/>
    <w:rsid w:val="006C3F0A"/>
    <w:rsid w:val="006C4181"/>
    <w:rsid w:val="006C6056"/>
    <w:rsid w:val="006C6D17"/>
    <w:rsid w:val="006C7141"/>
    <w:rsid w:val="006D1507"/>
    <w:rsid w:val="006D2C68"/>
    <w:rsid w:val="006D4054"/>
    <w:rsid w:val="006D596D"/>
    <w:rsid w:val="006E02EC"/>
    <w:rsid w:val="006E112D"/>
    <w:rsid w:val="006E73E6"/>
    <w:rsid w:val="006F60A1"/>
    <w:rsid w:val="006F7575"/>
    <w:rsid w:val="007007D2"/>
    <w:rsid w:val="00700A07"/>
    <w:rsid w:val="007011AE"/>
    <w:rsid w:val="00701A28"/>
    <w:rsid w:val="0071140F"/>
    <w:rsid w:val="007170D0"/>
    <w:rsid w:val="007211B1"/>
    <w:rsid w:val="00721759"/>
    <w:rsid w:val="00721C8B"/>
    <w:rsid w:val="00722685"/>
    <w:rsid w:val="00723376"/>
    <w:rsid w:val="00725E93"/>
    <w:rsid w:val="007277DA"/>
    <w:rsid w:val="00731F44"/>
    <w:rsid w:val="00732105"/>
    <w:rsid w:val="00732BA1"/>
    <w:rsid w:val="0073440E"/>
    <w:rsid w:val="00735D0B"/>
    <w:rsid w:val="007424A8"/>
    <w:rsid w:val="00745DC5"/>
    <w:rsid w:val="00746187"/>
    <w:rsid w:val="00750653"/>
    <w:rsid w:val="007514AC"/>
    <w:rsid w:val="00752972"/>
    <w:rsid w:val="00757443"/>
    <w:rsid w:val="00761996"/>
    <w:rsid w:val="0076254F"/>
    <w:rsid w:val="00764DBF"/>
    <w:rsid w:val="0076532E"/>
    <w:rsid w:val="0076636D"/>
    <w:rsid w:val="0077040F"/>
    <w:rsid w:val="0077096F"/>
    <w:rsid w:val="007726F8"/>
    <w:rsid w:val="00776670"/>
    <w:rsid w:val="007801F5"/>
    <w:rsid w:val="00783CA4"/>
    <w:rsid w:val="007842FB"/>
    <w:rsid w:val="00786124"/>
    <w:rsid w:val="0079373A"/>
    <w:rsid w:val="0079514B"/>
    <w:rsid w:val="00795252"/>
    <w:rsid w:val="00797B7E"/>
    <w:rsid w:val="007A2394"/>
    <w:rsid w:val="007A2DC1"/>
    <w:rsid w:val="007A4516"/>
    <w:rsid w:val="007A4A5A"/>
    <w:rsid w:val="007A67B8"/>
    <w:rsid w:val="007B007F"/>
    <w:rsid w:val="007B150F"/>
    <w:rsid w:val="007C0A78"/>
    <w:rsid w:val="007C1C2E"/>
    <w:rsid w:val="007C3122"/>
    <w:rsid w:val="007C547B"/>
    <w:rsid w:val="007D14C4"/>
    <w:rsid w:val="007D1FC1"/>
    <w:rsid w:val="007D2013"/>
    <w:rsid w:val="007D3319"/>
    <w:rsid w:val="007D335D"/>
    <w:rsid w:val="007D3686"/>
    <w:rsid w:val="007E1440"/>
    <w:rsid w:val="007E3314"/>
    <w:rsid w:val="007E4B03"/>
    <w:rsid w:val="007F1693"/>
    <w:rsid w:val="007F1DEA"/>
    <w:rsid w:val="007F324B"/>
    <w:rsid w:val="007F73E4"/>
    <w:rsid w:val="0080441E"/>
    <w:rsid w:val="0080553C"/>
    <w:rsid w:val="00805B46"/>
    <w:rsid w:val="00807616"/>
    <w:rsid w:val="00807D0E"/>
    <w:rsid w:val="00811946"/>
    <w:rsid w:val="00811E76"/>
    <w:rsid w:val="00812760"/>
    <w:rsid w:val="00813614"/>
    <w:rsid w:val="0081775E"/>
    <w:rsid w:val="0081776A"/>
    <w:rsid w:val="008177DE"/>
    <w:rsid w:val="00821D94"/>
    <w:rsid w:val="008231C3"/>
    <w:rsid w:val="00825DC2"/>
    <w:rsid w:val="008262E8"/>
    <w:rsid w:val="00826415"/>
    <w:rsid w:val="00827287"/>
    <w:rsid w:val="00827490"/>
    <w:rsid w:val="008312C1"/>
    <w:rsid w:val="00834AD3"/>
    <w:rsid w:val="008402C2"/>
    <w:rsid w:val="00843147"/>
    <w:rsid w:val="00843795"/>
    <w:rsid w:val="00843946"/>
    <w:rsid w:val="008447F2"/>
    <w:rsid w:val="00847F0F"/>
    <w:rsid w:val="00852448"/>
    <w:rsid w:val="00853C8A"/>
    <w:rsid w:val="00854350"/>
    <w:rsid w:val="00856D89"/>
    <w:rsid w:val="00862736"/>
    <w:rsid w:val="0086520B"/>
    <w:rsid w:val="00865CF3"/>
    <w:rsid w:val="00867F9C"/>
    <w:rsid w:val="0087036C"/>
    <w:rsid w:val="008726C6"/>
    <w:rsid w:val="00877BAF"/>
    <w:rsid w:val="00877F6C"/>
    <w:rsid w:val="00880F07"/>
    <w:rsid w:val="008812CD"/>
    <w:rsid w:val="0088258A"/>
    <w:rsid w:val="008847E5"/>
    <w:rsid w:val="0088529E"/>
    <w:rsid w:val="00886332"/>
    <w:rsid w:val="008866D6"/>
    <w:rsid w:val="00890CCD"/>
    <w:rsid w:val="0089448A"/>
    <w:rsid w:val="00894C9E"/>
    <w:rsid w:val="00895381"/>
    <w:rsid w:val="00897877"/>
    <w:rsid w:val="008A1CA5"/>
    <w:rsid w:val="008A26D9"/>
    <w:rsid w:val="008A3BF1"/>
    <w:rsid w:val="008A4538"/>
    <w:rsid w:val="008A571B"/>
    <w:rsid w:val="008A5C88"/>
    <w:rsid w:val="008A7B5B"/>
    <w:rsid w:val="008B0FEC"/>
    <w:rsid w:val="008B5630"/>
    <w:rsid w:val="008C0C29"/>
    <w:rsid w:val="008C1376"/>
    <w:rsid w:val="008D50EB"/>
    <w:rsid w:val="008D5A49"/>
    <w:rsid w:val="008D76BC"/>
    <w:rsid w:val="008E18EB"/>
    <w:rsid w:val="008E39B0"/>
    <w:rsid w:val="008E3E26"/>
    <w:rsid w:val="008E4196"/>
    <w:rsid w:val="008E5EB9"/>
    <w:rsid w:val="008E5F29"/>
    <w:rsid w:val="008E7D46"/>
    <w:rsid w:val="008E7DBA"/>
    <w:rsid w:val="008F05AD"/>
    <w:rsid w:val="008F0829"/>
    <w:rsid w:val="008F19E2"/>
    <w:rsid w:val="008F3638"/>
    <w:rsid w:val="008F4441"/>
    <w:rsid w:val="008F47D0"/>
    <w:rsid w:val="008F6B20"/>
    <w:rsid w:val="008F6F31"/>
    <w:rsid w:val="008F74DF"/>
    <w:rsid w:val="00901CAC"/>
    <w:rsid w:val="00901D6D"/>
    <w:rsid w:val="009048E7"/>
    <w:rsid w:val="009057A9"/>
    <w:rsid w:val="009127BA"/>
    <w:rsid w:val="009141DB"/>
    <w:rsid w:val="00916074"/>
    <w:rsid w:val="009227A6"/>
    <w:rsid w:val="00930CFC"/>
    <w:rsid w:val="00933EC1"/>
    <w:rsid w:val="0093454C"/>
    <w:rsid w:val="00936101"/>
    <w:rsid w:val="0093620A"/>
    <w:rsid w:val="0093737E"/>
    <w:rsid w:val="00941B15"/>
    <w:rsid w:val="0094572B"/>
    <w:rsid w:val="00945C77"/>
    <w:rsid w:val="00945D69"/>
    <w:rsid w:val="00947D0B"/>
    <w:rsid w:val="0095100A"/>
    <w:rsid w:val="009530DB"/>
    <w:rsid w:val="00953676"/>
    <w:rsid w:val="00955DDC"/>
    <w:rsid w:val="00956F30"/>
    <w:rsid w:val="00963EB8"/>
    <w:rsid w:val="00964395"/>
    <w:rsid w:val="009705EE"/>
    <w:rsid w:val="009722B3"/>
    <w:rsid w:val="00976E4D"/>
    <w:rsid w:val="009777F7"/>
    <w:rsid w:val="00977927"/>
    <w:rsid w:val="009806DD"/>
    <w:rsid w:val="0098135C"/>
    <w:rsid w:val="0098156A"/>
    <w:rsid w:val="00982A97"/>
    <w:rsid w:val="00985A73"/>
    <w:rsid w:val="00985C69"/>
    <w:rsid w:val="00985FD8"/>
    <w:rsid w:val="009860E5"/>
    <w:rsid w:val="00986325"/>
    <w:rsid w:val="009873D6"/>
    <w:rsid w:val="00991BAC"/>
    <w:rsid w:val="00994FAA"/>
    <w:rsid w:val="00995B6F"/>
    <w:rsid w:val="009972E0"/>
    <w:rsid w:val="009A5071"/>
    <w:rsid w:val="009A5073"/>
    <w:rsid w:val="009A6912"/>
    <w:rsid w:val="009A6D2A"/>
    <w:rsid w:val="009A6EA0"/>
    <w:rsid w:val="009A7D2B"/>
    <w:rsid w:val="009B4AD7"/>
    <w:rsid w:val="009B7AAB"/>
    <w:rsid w:val="009C1335"/>
    <w:rsid w:val="009C1AB2"/>
    <w:rsid w:val="009C1BB0"/>
    <w:rsid w:val="009C701A"/>
    <w:rsid w:val="009C7251"/>
    <w:rsid w:val="009D005A"/>
    <w:rsid w:val="009D1B6C"/>
    <w:rsid w:val="009D2C6D"/>
    <w:rsid w:val="009E057D"/>
    <w:rsid w:val="009E2E91"/>
    <w:rsid w:val="009E4A73"/>
    <w:rsid w:val="009E4BC0"/>
    <w:rsid w:val="009E620E"/>
    <w:rsid w:val="009E6618"/>
    <w:rsid w:val="009F0986"/>
    <w:rsid w:val="009F3899"/>
    <w:rsid w:val="009F3D8F"/>
    <w:rsid w:val="009F6EBE"/>
    <w:rsid w:val="009F7835"/>
    <w:rsid w:val="00A02589"/>
    <w:rsid w:val="00A03416"/>
    <w:rsid w:val="00A04D16"/>
    <w:rsid w:val="00A05CC0"/>
    <w:rsid w:val="00A139F5"/>
    <w:rsid w:val="00A2232A"/>
    <w:rsid w:val="00A24C18"/>
    <w:rsid w:val="00A270E6"/>
    <w:rsid w:val="00A3196F"/>
    <w:rsid w:val="00A3322C"/>
    <w:rsid w:val="00A35146"/>
    <w:rsid w:val="00A365F4"/>
    <w:rsid w:val="00A377D8"/>
    <w:rsid w:val="00A4235B"/>
    <w:rsid w:val="00A43485"/>
    <w:rsid w:val="00A44097"/>
    <w:rsid w:val="00A44FE4"/>
    <w:rsid w:val="00A47D80"/>
    <w:rsid w:val="00A53132"/>
    <w:rsid w:val="00A54B0F"/>
    <w:rsid w:val="00A563F2"/>
    <w:rsid w:val="00A566E8"/>
    <w:rsid w:val="00A57800"/>
    <w:rsid w:val="00A634AE"/>
    <w:rsid w:val="00A67349"/>
    <w:rsid w:val="00A701F9"/>
    <w:rsid w:val="00A734A3"/>
    <w:rsid w:val="00A76DD6"/>
    <w:rsid w:val="00A803B8"/>
    <w:rsid w:val="00A80A19"/>
    <w:rsid w:val="00A80D43"/>
    <w:rsid w:val="00A810F9"/>
    <w:rsid w:val="00A81B7C"/>
    <w:rsid w:val="00A83363"/>
    <w:rsid w:val="00A86120"/>
    <w:rsid w:val="00A86ECC"/>
    <w:rsid w:val="00A86FCC"/>
    <w:rsid w:val="00A9084F"/>
    <w:rsid w:val="00A90AB3"/>
    <w:rsid w:val="00A94577"/>
    <w:rsid w:val="00A97F08"/>
    <w:rsid w:val="00AA080B"/>
    <w:rsid w:val="00AA710D"/>
    <w:rsid w:val="00AA77F6"/>
    <w:rsid w:val="00AA7A1E"/>
    <w:rsid w:val="00AB1319"/>
    <w:rsid w:val="00AB64F3"/>
    <w:rsid w:val="00AB6D25"/>
    <w:rsid w:val="00AC0EFD"/>
    <w:rsid w:val="00AC20C9"/>
    <w:rsid w:val="00AC3CE1"/>
    <w:rsid w:val="00AC45F9"/>
    <w:rsid w:val="00AC4904"/>
    <w:rsid w:val="00AD0B96"/>
    <w:rsid w:val="00AD3130"/>
    <w:rsid w:val="00AD487E"/>
    <w:rsid w:val="00AE2D4B"/>
    <w:rsid w:val="00AE4F99"/>
    <w:rsid w:val="00AE5536"/>
    <w:rsid w:val="00AE6B20"/>
    <w:rsid w:val="00AE6E8D"/>
    <w:rsid w:val="00AF1C4A"/>
    <w:rsid w:val="00AF2533"/>
    <w:rsid w:val="00AF6017"/>
    <w:rsid w:val="00AF6A69"/>
    <w:rsid w:val="00AF73CE"/>
    <w:rsid w:val="00B0630D"/>
    <w:rsid w:val="00B064BD"/>
    <w:rsid w:val="00B11B69"/>
    <w:rsid w:val="00B12FB7"/>
    <w:rsid w:val="00B135BC"/>
    <w:rsid w:val="00B14952"/>
    <w:rsid w:val="00B17158"/>
    <w:rsid w:val="00B20D22"/>
    <w:rsid w:val="00B238E0"/>
    <w:rsid w:val="00B244E7"/>
    <w:rsid w:val="00B3019C"/>
    <w:rsid w:val="00B31E5A"/>
    <w:rsid w:val="00B32ECD"/>
    <w:rsid w:val="00B34283"/>
    <w:rsid w:val="00B34E94"/>
    <w:rsid w:val="00B3716F"/>
    <w:rsid w:val="00B45325"/>
    <w:rsid w:val="00B62F86"/>
    <w:rsid w:val="00B63DC0"/>
    <w:rsid w:val="00B653AB"/>
    <w:rsid w:val="00B65F9E"/>
    <w:rsid w:val="00B66B0E"/>
    <w:rsid w:val="00B66B19"/>
    <w:rsid w:val="00B72CDD"/>
    <w:rsid w:val="00B75071"/>
    <w:rsid w:val="00B75D98"/>
    <w:rsid w:val="00B76A36"/>
    <w:rsid w:val="00B818C9"/>
    <w:rsid w:val="00B81BC6"/>
    <w:rsid w:val="00B82A26"/>
    <w:rsid w:val="00B83984"/>
    <w:rsid w:val="00B914E9"/>
    <w:rsid w:val="00B91AE6"/>
    <w:rsid w:val="00B93DA6"/>
    <w:rsid w:val="00B93F4E"/>
    <w:rsid w:val="00B956EE"/>
    <w:rsid w:val="00BA25A5"/>
    <w:rsid w:val="00BA2BA1"/>
    <w:rsid w:val="00BA3447"/>
    <w:rsid w:val="00BA3562"/>
    <w:rsid w:val="00BA40C1"/>
    <w:rsid w:val="00BA7BB3"/>
    <w:rsid w:val="00BB22DF"/>
    <w:rsid w:val="00BB4F09"/>
    <w:rsid w:val="00BC10EA"/>
    <w:rsid w:val="00BC18CD"/>
    <w:rsid w:val="00BC3BA0"/>
    <w:rsid w:val="00BC6AD3"/>
    <w:rsid w:val="00BD129F"/>
    <w:rsid w:val="00BD41AD"/>
    <w:rsid w:val="00BD4E33"/>
    <w:rsid w:val="00BF0392"/>
    <w:rsid w:val="00BF1BBA"/>
    <w:rsid w:val="00BF33BF"/>
    <w:rsid w:val="00BF7832"/>
    <w:rsid w:val="00BF7F03"/>
    <w:rsid w:val="00C002F4"/>
    <w:rsid w:val="00C00E8A"/>
    <w:rsid w:val="00C030DE"/>
    <w:rsid w:val="00C040C6"/>
    <w:rsid w:val="00C051A8"/>
    <w:rsid w:val="00C12CAB"/>
    <w:rsid w:val="00C155B5"/>
    <w:rsid w:val="00C176F1"/>
    <w:rsid w:val="00C20214"/>
    <w:rsid w:val="00C21585"/>
    <w:rsid w:val="00C22105"/>
    <w:rsid w:val="00C2270F"/>
    <w:rsid w:val="00C244B6"/>
    <w:rsid w:val="00C27BF1"/>
    <w:rsid w:val="00C3252D"/>
    <w:rsid w:val="00C3702F"/>
    <w:rsid w:val="00C377A2"/>
    <w:rsid w:val="00C41A43"/>
    <w:rsid w:val="00C431C4"/>
    <w:rsid w:val="00C4415B"/>
    <w:rsid w:val="00C4500A"/>
    <w:rsid w:val="00C46F94"/>
    <w:rsid w:val="00C50458"/>
    <w:rsid w:val="00C52AE7"/>
    <w:rsid w:val="00C53212"/>
    <w:rsid w:val="00C54018"/>
    <w:rsid w:val="00C5496C"/>
    <w:rsid w:val="00C55C80"/>
    <w:rsid w:val="00C576D8"/>
    <w:rsid w:val="00C62097"/>
    <w:rsid w:val="00C6451E"/>
    <w:rsid w:val="00C64A37"/>
    <w:rsid w:val="00C6717A"/>
    <w:rsid w:val="00C67397"/>
    <w:rsid w:val="00C709B1"/>
    <w:rsid w:val="00C7158E"/>
    <w:rsid w:val="00C7241D"/>
    <w:rsid w:val="00C7250B"/>
    <w:rsid w:val="00C7346B"/>
    <w:rsid w:val="00C758BD"/>
    <w:rsid w:val="00C77C0E"/>
    <w:rsid w:val="00C80C0B"/>
    <w:rsid w:val="00C84618"/>
    <w:rsid w:val="00C8752A"/>
    <w:rsid w:val="00C90C96"/>
    <w:rsid w:val="00C91687"/>
    <w:rsid w:val="00C918F8"/>
    <w:rsid w:val="00C924A8"/>
    <w:rsid w:val="00C9329E"/>
    <w:rsid w:val="00C945FE"/>
    <w:rsid w:val="00C94941"/>
    <w:rsid w:val="00C954FF"/>
    <w:rsid w:val="00C95A8C"/>
    <w:rsid w:val="00C96FAA"/>
    <w:rsid w:val="00C97A04"/>
    <w:rsid w:val="00CA0230"/>
    <w:rsid w:val="00CA107B"/>
    <w:rsid w:val="00CA484D"/>
    <w:rsid w:val="00CA4FB6"/>
    <w:rsid w:val="00CB041C"/>
    <w:rsid w:val="00CB097D"/>
    <w:rsid w:val="00CB1C09"/>
    <w:rsid w:val="00CB2F90"/>
    <w:rsid w:val="00CB3670"/>
    <w:rsid w:val="00CB5330"/>
    <w:rsid w:val="00CB624D"/>
    <w:rsid w:val="00CC073D"/>
    <w:rsid w:val="00CC42E6"/>
    <w:rsid w:val="00CC676A"/>
    <w:rsid w:val="00CC6F83"/>
    <w:rsid w:val="00CC739E"/>
    <w:rsid w:val="00CD0CE3"/>
    <w:rsid w:val="00CD22F2"/>
    <w:rsid w:val="00CD4586"/>
    <w:rsid w:val="00CD4597"/>
    <w:rsid w:val="00CD4BC1"/>
    <w:rsid w:val="00CD4EA1"/>
    <w:rsid w:val="00CD58B7"/>
    <w:rsid w:val="00CD61FA"/>
    <w:rsid w:val="00CE2B24"/>
    <w:rsid w:val="00CE537C"/>
    <w:rsid w:val="00CF3D0F"/>
    <w:rsid w:val="00CF4099"/>
    <w:rsid w:val="00CF49AA"/>
    <w:rsid w:val="00CF5C5B"/>
    <w:rsid w:val="00CF5DB6"/>
    <w:rsid w:val="00D00796"/>
    <w:rsid w:val="00D04B25"/>
    <w:rsid w:val="00D04D83"/>
    <w:rsid w:val="00D12F42"/>
    <w:rsid w:val="00D12F43"/>
    <w:rsid w:val="00D1426A"/>
    <w:rsid w:val="00D261A2"/>
    <w:rsid w:val="00D32CEE"/>
    <w:rsid w:val="00D33A6A"/>
    <w:rsid w:val="00D350CD"/>
    <w:rsid w:val="00D35112"/>
    <w:rsid w:val="00D4030A"/>
    <w:rsid w:val="00D419AD"/>
    <w:rsid w:val="00D442FC"/>
    <w:rsid w:val="00D505ED"/>
    <w:rsid w:val="00D50E13"/>
    <w:rsid w:val="00D521F8"/>
    <w:rsid w:val="00D530EC"/>
    <w:rsid w:val="00D5762E"/>
    <w:rsid w:val="00D57C67"/>
    <w:rsid w:val="00D616D2"/>
    <w:rsid w:val="00D6358E"/>
    <w:rsid w:val="00D63B5F"/>
    <w:rsid w:val="00D65E7E"/>
    <w:rsid w:val="00D70724"/>
    <w:rsid w:val="00D70EF7"/>
    <w:rsid w:val="00D71845"/>
    <w:rsid w:val="00D736E4"/>
    <w:rsid w:val="00D7542B"/>
    <w:rsid w:val="00D756B2"/>
    <w:rsid w:val="00D760A0"/>
    <w:rsid w:val="00D81C96"/>
    <w:rsid w:val="00D8397C"/>
    <w:rsid w:val="00D84A54"/>
    <w:rsid w:val="00D94EED"/>
    <w:rsid w:val="00D94F17"/>
    <w:rsid w:val="00D9573F"/>
    <w:rsid w:val="00D96026"/>
    <w:rsid w:val="00DA05BF"/>
    <w:rsid w:val="00DA1CAC"/>
    <w:rsid w:val="00DA59DA"/>
    <w:rsid w:val="00DA6C74"/>
    <w:rsid w:val="00DA7C1C"/>
    <w:rsid w:val="00DB147A"/>
    <w:rsid w:val="00DB1B7A"/>
    <w:rsid w:val="00DB648E"/>
    <w:rsid w:val="00DB71B6"/>
    <w:rsid w:val="00DC2CCD"/>
    <w:rsid w:val="00DC3F31"/>
    <w:rsid w:val="00DC43E3"/>
    <w:rsid w:val="00DC6708"/>
    <w:rsid w:val="00DD011A"/>
    <w:rsid w:val="00DD0DFD"/>
    <w:rsid w:val="00DD172E"/>
    <w:rsid w:val="00DD403C"/>
    <w:rsid w:val="00DE230D"/>
    <w:rsid w:val="00DE2459"/>
    <w:rsid w:val="00DE5915"/>
    <w:rsid w:val="00DE5E2F"/>
    <w:rsid w:val="00DF0F76"/>
    <w:rsid w:val="00DF1F32"/>
    <w:rsid w:val="00E00216"/>
    <w:rsid w:val="00E0067B"/>
    <w:rsid w:val="00E01436"/>
    <w:rsid w:val="00E045BD"/>
    <w:rsid w:val="00E051E0"/>
    <w:rsid w:val="00E06437"/>
    <w:rsid w:val="00E10A2C"/>
    <w:rsid w:val="00E111D7"/>
    <w:rsid w:val="00E1320F"/>
    <w:rsid w:val="00E16553"/>
    <w:rsid w:val="00E17B77"/>
    <w:rsid w:val="00E204C2"/>
    <w:rsid w:val="00E23337"/>
    <w:rsid w:val="00E2353C"/>
    <w:rsid w:val="00E241C8"/>
    <w:rsid w:val="00E259EA"/>
    <w:rsid w:val="00E32061"/>
    <w:rsid w:val="00E32951"/>
    <w:rsid w:val="00E32F08"/>
    <w:rsid w:val="00E33D15"/>
    <w:rsid w:val="00E345A0"/>
    <w:rsid w:val="00E367C9"/>
    <w:rsid w:val="00E37EEF"/>
    <w:rsid w:val="00E40E6E"/>
    <w:rsid w:val="00E42087"/>
    <w:rsid w:val="00E42FF9"/>
    <w:rsid w:val="00E438C9"/>
    <w:rsid w:val="00E4714C"/>
    <w:rsid w:val="00E47BB6"/>
    <w:rsid w:val="00E51AEB"/>
    <w:rsid w:val="00E51D46"/>
    <w:rsid w:val="00E522A7"/>
    <w:rsid w:val="00E53712"/>
    <w:rsid w:val="00E54452"/>
    <w:rsid w:val="00E544A3"/>
    <w:rsid w:val="00E54F65"/>
    <w:rsid w:val="00E63216"/>
    <w:rsid w:val="00E63B0C"/>
    <w:rsid w:val="00E66123"/>
    <w:rsid w:val="00E664C5"/>
    <w:rsid w:val="00E66948"/>
    <w:rsid w:val="00E671A2"/>
    <w:rsid w:val="00E67A70"/>
    <w:rsid w:val="00E67C91"/>
    <w:rsid w:val="00E72359"/>
    <w:rsid w:val="00E76D26"/>
    <w:rsid w:val="00E76EE5"/>
    <w:rsid w:val="00E76F54"/>
    <w:rsid w:val="00E85163"/>
    <w:rsid w:val="00E86730"/>
    <w:rsid w:val="00E9331A"/>
    <w:rsid w:val="00E9372F"/>
    <w:rsid w:val="00E93A07"/>
    <w:rsid w:val="00E93B01"/>
    <w:rsid w:val="00E94A67"/>
    <w:rsid w:val="00E964A0"/>
    <w:rsid w:val="00EA4B51"/>
    <w:rsid w:val="00EA777E"/>
    <w:rsid w:val="00EB108B"/>
    <w:rsid w:val="00EB1390"/>
    <w:rsid w:val="00EB24AA"/>
    <w:rsid w:val="00EB263A"/>
    <w:rsid w:val="00EB2C71"/>
    <w:rsid w:val="00EB3015"/>
    <w:rsid w:val="00EB3333"/>
    <w:rsid w:val="00EB4340"/>
    <w:rsid w:val="00EB556D"/>
    <w:rsid w:val="00EB5A7D"/>
    <w:rsid w:val="00EB668A"/>
    <w:rsid w:val="00EB7BE5"/>
    <w:rsid w:val="00EC7574"/>
    <w:rsid w:val="00ED2CC5"/>
    <w:rsid w:val="00ED3D9F"/>
    <w:rsid w:val="00ED416F"/>
    <w:rsid w:val="00ED55C0"/>
    <w:rsid w:val="00ED682B"/>
    <w:rsid w:val="00EE02AE"/>
    <w:rsid w:val="00EE1A3E"/>
    <w:rsid w:val="00EE41D5"/>
    <w:rsid w:val="00EE516D"/>
    <w:rsid w:val="00EE76AA"/>
    <w:rsid w:val="00EE7ADA"/>
    <w:rsid w:val="00EF0A9A"/>
    <w:rsid w:val="00EF1EEE"/>
    <w:rsid w:val="00EF5BF2"/>
    <w:rsid w:val="00EF624C"/>
    <w:rsid w:val="00EF6BAE"/>
    <w:rsid w:val="00EF6EB0"/>
    <w:rsid w:val="00EF739B"/>
    <w:rsid w:val="00EF78B4"/>
    <w:rsid w:val="00F037A4"/>
    <w:rsid w:val="00F046B8"/>
    <w:rsid w:val="00F055CE"/>
    <w:rsid w:val="00F07C21"/>
    <w:rsid w:val="00F10484"/>
    <w:rsid w:val="00F10E97"/>
    <w:rsid w:val="00F116D3"/>
    <w:rsid w:val="00F1203C"/>
    <w:rsid w:val="00F247CA"/>
    <w:rsid w:val="00F27C8F"/>
    <w:rsid w:val="00F32749"/>
    <w:rsid w:val="00F34A6C"/>
    <w:rsid w:val="00F37172"/>
    <w:rsid w:val="00F40BEA"/>
    <w:rsid w:val="00F4477E"/>
    <w:rsid w:val="00F46269"/>
    <w:rsid w:val="00F46634"/>
    <w:rsid w:val="00F4690E"/>
    <w:rsid w:val="00F511A4"/>
    <w:rsid w:val="00F5329D"/>
    <w:rsid w:val="00F55C22"/>
    <w:rsid w:val="00F5700B"/>
    <w:rsid w:val="00F57332"/>
    <w:rsid w:val="00F57AE3"/>
    <w:rsid w:val="00F60BA8"/>
    <w:rsid w:val="00F6173D"/>
    <w:rsid w:val="00F67D8F"/>
    <w:rsid w:val="00F74036"/>
    <w:rsid w:val="00F76AE0"/>
    <w:rsid w:val="00F80167"/>
    <w:rsid w:val="00F802BE"/>
    <w:rsid w:val="00F80E93"/>
    <w:rsid w:val="00F825BE"/>
    <w:rsid w:val="00F86024"/>
    <w:rsid w:val="00F8611A"/>
    <w:rsid w:val="00F9129D"/>
    <w:rsid w:val="00F9658F"/>
    <w:rsid w:val="00FA5128"/>
    <w:rsid w:val="00FA53F3"/>
    <w:rsid w:val="00FA6670"/>
    <w:rsid w:val="00FA6DEF"/>
    <w:rsid w:val="00FB06B9"/>
    <w:rsid w:val="00FB42D4"/>
    <w:rsid w:val="00FB5906"/>
    <w:rsid w:val="00FB762F"/>
    <w:rsid w:val="00FC0B66"/>
    <w:rsid w:val="00FC16B8"/>
    <w:rsid w:val="00FC2323"/>
    <w:rsid w:val="00FC2AED"/>
    <w:rsid w:val="00FC3CD5"/>
    <w:rsid w:val="00FC4E7D"/>
    <w:rsid w:val="00FD5AD4"/>
    <w:rsid w:val="00FD5EA7"/>
    <w:rsid w:val="00FD72C6"/>
    <w:rsid w:val="00FD76F7"/>
    <w:rsid w:val="00FE2D04"/>
    <w:rsid w:val="00FE395E"/>
    <w:rsid w:val="00FE57FA"/>
    <w:rsid w:val="00FE69F0"/>
    <w:rsid w:val="00FF61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E16C4"/>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val="en-GB"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8177DE"/>
    <w:rPr>
      <w:color w:val="954F72" w:themeColor="followedHyperlink"/>
      <w:u w:val="single"/>
    </w:rPr>
  </w:style>
  <w:style w:type="character" w:styleId="Odwoaniedokomentarza">
    <w:name w:val="annotation reference"/>
    <w:basedOn w:val="Domylnaczcionkaakapitu"/>
    <w:uiPriority w:val="99"/>
    <w:semiHidden/>
    <w:unhideWhenUsed/>
    <w:rsid w:val="005C7D23"/>
    <w:rPr>
      <w:sz w:val="16"/>
      <w:szCs w:val="16"/>
    </w:rPr>
  </w:style>
  <w:style w:type="paragraph" w:styleId="Tekstkomentarza">
    <w:name w:val="annotation text"/>
    <w:basedOn w:val="Normalny"/>
    <w:link w:val="TekstkomentarzaZnak"/>
    <w:uiPriority w:val="99"/>
    <w:semiHidden/>
    <w:unhideWhenUsed/>
    <w:rsid w:val="005C7D2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C7D23"/>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5C7D23"/>
    <w:rPr>
      <w:b/>
      <w:bCs/>
    </w:rPr>
  </w:style>
  <w:style w:type="character" w:customStyle="1" w:styleId="TematkomentarzaZnak">
    <w:name w:val="Temat komentarza Znak"/>
    <w:basedOn w:val="TekstkomentarzaZnak"/>
    <w:link w:val="Tematkomentarza"/>
    <w:uiPriority w:val="99"/>
    <w:semiHidden/>
    <w:rsid w:val="005C7D23"/>
    <w:rPr>
      <w:rFonts w:ascii="Fira Sans" w:hAnsi="Fira Sans"/>
      <w:b/>
      <w:bCs/>
      <w:sz w:val="20"/>
      <w:szCs w:val="20"/>
    </w:rPr>
  </w:style>
  <w:style w:type="paragraph" w:customStyle="1" w:styleId="Ikonawskanika">
    <w:name w:val="Ikona wskaźnika"/>
    <w:basedOn w:val="Normalny"/>
    <w:link w:val="IkonawskanikaZnak"/>
    <w:qFormat/>
    <w:rsid w:val="00EE02AE"/>
    <w:pPr>
      <w:autoSpaceDE w:val="0"/>
      <w:autoSpaceDN w:val="0"/>
      <w:adjustRightInd w:val="0"/>
      <w:spacing w:before="0" w:after="0" w:line="240" w:lineRule="auto"/>
    </w:pPr>
    <w:rPr>
      <w:rFonts w:ascii="Fira Sans SemiBold" w:hAnsi="Fira Sans SemiBold"/>
      <w:color w:val="66AFDE"/>
      <w:sz w:val="60"/>
      <w:szCs w:val="60"/>
    </w:rPr>
  </w:style>
  <w:style w:type="paragraph" w:customStyle="1" w:styleId="Wartowskanika">
    <w:name w:val="Wartość wskaźnika"/>
    <w:basedOn w:val="Normalny"/>
    <w:link w:val="WartowskanikaZnak"/>
    <w:qFormat/>
    <w:rsid w:val="00EE02AE"/>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EE02AE"/>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EE02AE"/>
    <w:rPr>
      <w:color w:val="FFFFFF" w:themeColor="background1"/>
    </w:rPr>
  </w:style>
  <w:style w:type="character" w:customStyle="1" w:styleId="WartowskanikaZnak">
    <w:name w:val="Wartość wskaźnika Znak"/>
    <w:basedOn w:val="Domylnaczcionkaakapitu"/>
    <w:link w:val="Wartowskanika"/>
    <w:rsid w:val="00EE02AE"/>
    <w:rPr>
      <w:rFonts w:ascii="Fira Sans SemiBold" w:hAnsi="Fira Sans SemiBold"/>
      <w:color w:val="FFFFFF" w:themeColor="background1"/>
      <w:sz w:val="40"/>
      <w:szCs w:val="56"/>
    </w:rPr>
  </w:style>
  <w:style w:type="character" w:customStyle="1" w:styleId="OpiswskanikaZnak">
    <w:name w:val="Opis wskaźnika Znak"/>
    <w:basedOn w:val="Domylnaczcionkaakapitu"/>
    <w:link w:val="Opiswskanika"/>
    <w:qFormat/>
    <w:rsid w:val="00EE02AE"/>
    <w:rPr>
      <w:rFonts w:ascii="Fira Sans" w:hAnsi="Fira Sans"/>
      <w:color w:val="FFFFFF" w:themeColor="background1"/>
      <w:sz w:val="20"/>
    </w:rPr>
  </w:style>
  <w:style w:type="paragraph" w:styleId="NormalnyWeb">
    <w:name w:val="Normal (Web)"/>
    <w:basedOn w:val="Normalny"/>
    <w:uiPriority w:val="99"/>
    <w:semiHidden/>
    <w:unhideWhenUsed/>
    <w:qFormat/>
    <w:rsid w:val="009D1B6C"/>
    <w:pPr>
      <w:spacing w:before="100" w:beforeAutospacing="1" w:after="100" w:afterAutospacing="1" w:line="240" w:lineRule="auto"/>
    </w:pPr>
    <w:rPr>
      <w:rFonts w:ascii="Times New Roman" w:eastAsiaTheme="minorEastAsia" w:hAnsi="Times New Roman" w:cs="Times New Roman"/>
      <w:sz w:val="24"/>
      <w:szCs w:val="24"/>
      <w:lang w:eastAsia="pl-PL"/>
    </w:rPr>
  </w:style>
  <w:style w:type="character" w:customStyle="1" w:styleId="LeadZnak">
    <w:name w:val="Lead Znak"/>
    <w:basedOn w:val="Domylnaczcionkaakapitu"/>
    <w:link w:val="Lead"/>
    <w:qFormat/>
    <w:rsid w:val="00AE6B20"/>
    <w:rPr>
      <w:rFonts w:ascii="Fira Sans" w:hAnsi="Fira Sans"/>
      <w:b/>
      <w:sz w:val="19"/>
      <w:szCs w:val="19"/>
      <w:lang w:val="en-GB" w:eastAsia="pl-PL"/>
    </w:rPr>
  </w:style>
  <w:style w:type="paragraph" w:customStyle="1" w:styleId="Indeks">
    <w:name w:val="Indeks"/>
    <w:basedOn w:val="Normalny"/>
    <w:qFormat/>
    <w:rsid w:val="00AE6B20"/>
    <w:pPr>
      <w:suppressLineNumbers/>
    </w:pPr>
    <w:rPr>
      <w:rFonts w:cs="Lucida Sans"/>
    </w:rPr>
  </w:style>
  <w:style w:type="paragraph" w:customStyle="1" w:styleId="Lead">
    <w:name w:val="Lead"/>
    <w:basedOn w:val="LID"/>
    <w:link w:val="LeadZnak"/>
    <w:qFormat/>
    <w:rsid w:val="00AE6B20"/>
    <w:pPr>
      <w:spacing w:before="360"/>
    </w:pPr>
    <w:rPr>
      <w:noProof w:val="0"/>
    </w:rPr>
  </w:style>
  <w:style w:type="paragraph" w:customStyle="1" w:styleId="Datainformacjisygnalnej">
    <w:name w:val="Data informacji sygnalnej"/>
    <w:basedOn w:val="Normalny"/>
    <w:link w:val="DatainformacjisygnalnejZnak"/>
    <w:qFormat/>
    <w:rsid w:val="0081776A"/>
    <w:pPr>
      <w:suppressAutoHyphens/>
      <w:spacing w:line="288" w:lineRule="auto"/>
      <w:jc w:val="both"/>
    </w:pPr>
    <w:rPr>
      <w:rFonts w:ascii="Fira Sans SemiBold" w:hAnsi="Fira Sans SemiBold"/>
      <w:color w:val="001D77"/>
      <w:sz w:val="20"/>
      <w:szCs w:val="20"/>
    </w:rPr>
  </w:style>
  <w:style w:type="character" w:customStyle="1" w:styleId="DatainformacjisygnalnejZnak">
    <w:name w:val="Data informacji sygnalnej Znak"/>
    <w:basedOn w:val="Domylnaczcionkaakapitu"/>
    <w:link w:val="Datainformacjisygnalnej"/>
    <w:rsid w:val="0081776A"/>
    <w:rPr>
      <w:rFonts w:ascii="Fira Sans SemiBold" w:hAnsi="Fira Sans SemiBold"/>
      <w:color w:val="001D77"/>
      <w:sz w:val="20"/>
      <w:szCs w:val="20"/>
    </w:rPr>
  </w:style>
  <w:style w:type="character" w:customStyle="1" w:styleId="czeinternetowe">
    <w:name w:val="Łącze internetowe"/>
    <w:semiHidden/>
    <w:rsid w:val="00827287"/>
    <w:rPr>
      <w:rFonts w:cs="Times New Roman"/>
      <w:color w:val="0000FF"/>
      <w:u w:val="single"/>
    </w:rPr>
  </w:style>
  <w:style w:type="character" w:styleId="Nierozpoznanawzmianka">
    <w:name w:val="Unresolved Mention"/>
    <w:basedOn w:val="Domylnaczcionkaakapitu"/>
    <w:uiPriority w:val="99"/>
    <w:semiHidden/>
    <w:unhideWhenUsed/>
    <w:rsid w:val="00F912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54767">
      <w:bodyDiv w:val="1"/>
      <w:marLeft w:val="0"/>
      <w:marRight w:val="0"/>
      <w:marTop w:val="0"/>
      <w:marBottom w:val="0"/>
      <w:divBdr>
        <w:top w:val="none" w:sz="0" w:space="0" w:color="auto"/>
        <w:left w:val="none" w:sz="0" w:space="0" w:color="auto"/>
        <w:bottom w:val="none" w:sz="0" w:space="0" w:color="auto"/>
        <w:right w:val="none" w:sz="0" w:space="0" w:color="auto"/>
      </w:divBdr>
    </w:div>
    <w:div w:id="54201248">
      <w:bodyDiv w:val="1"/>
      <w:marLeft w:val="0"/>
      <w:marRight w:val="0"/>
      <w:marTop w:val="0"/>
      <w:marBottom w:val="0"/>
      <w:divBdr>
        <w:top w:val="none" w:sz="0" w:space="0" w:color="auto"/>
        <w:left w:val="none" w:sz="0" w:space="0" w:color="auto"/>
        <w:bottom w:val="none" w:sz="0" w:space="0" w:color="auto"/>
        <w:right w:val="none" w:sz="0" w:space="0" w:color="auto"/>
      </w:divBdr>
    </w:div>
    <w:div w:id="58139140">
      <w:bodyDiv w:val="1"/>
      <w:marLeft w:val="0"/>
      <w:marRight w:val="0"/>
      <w:marTop w:val="0"/>
      <w:marBottom w:val="0"/>
      <w:divBdr>
        <w:top w:val="none" w:sz="0" w:space="0" w:color="auto"/>
        <w:left w:val="none" w:sz="0" w:space="0" w:color="auto"/>
        <w:bottom w:val="none" w:sz="0" w:space="0" w:color="auto"/>
        <w:right w:val="none" w:sz="0" w:space="0" w:color="auto"/>
      </w:divBdr>
    </w:div>
    <w:div w:id="146360026">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84011269">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32576513">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78558518">
      <w:bodyDiv w:val="1"/>
      <w:marLeft w:val="0"/>
      <w:marRight w:val="0"/>
      <w:marTop w:val="0"/>
      <w:marBottom w:val="0"/>
      <w:divBdr>
        <w:top w:val="none" w:sz="0" w:space="0" w:color="auto"/>
        <w:left w:val="none" w:sz="0" w:space="0" w:color="auto"/>
        <w:bottom w:val="none" w:sz="0" w:space="0" w:color="auto"/>
        <w:right w:val="none" w:sz="0" w:space="0" w:color="auto"/>
      </w:divBdr>
    </w:div>
    <w:div w:id="661007378">
      <w:bodyDiv w:val="1"/>
      <w:marLeft w:val="0"/>
      <w:marRight w:val="0"/>
      <w:marTop w:val="0"/>
      <w:marBottom w:val="0"/>
      <w:divBdr>
        <w:top w:val="none" w:sz="0" w:space="0" w:color="auto"/>
        <w:left w:val="none" w:sz="0" w:space="0" w:color="auto"/>
        <w:bottom w:val="none" w:sz="0" w:space="0" w:color="auto"/>
        <w:right w:val="none" w:sz="0" w:space="0" w:color="auto"/>
      </w:divBdr>
    </w:div>
    <w:div w:id="688335577">
      <w:bodyDiv w:val="1"/>
      <w:marLeft w:val="0"/>
      <w:marRight w:val="0"/>
      <w:marTop w:val="0"/>
      <w:marBottom w:val="0"/>
      <w:divBdr>
        <w:top w:val="none" w:sz="0" w:space="0" w:color="auto"/>
        <w:left w:val="none" w:sz="0" w:space="0" w:color="auto"/>
        <w:bottom w:val="none" w:sz="0" w:space="0" w:color="auto"/>
        <w:right w:val="none" w:sz="0" w:space="0" w:color="auto"/>
      </w:divBdr>
    </w:div>
    <w:div w:id="820317579">
      <w:bodyDiv w:val="1"/>
      <w:marLeft w:val="0"/>
      <w:marRight w:val="0"/>
      <w:marTop w:val="0"/>
      <w:marBottom w:val="0"/>
      <w:divBdr>
        <w:top w:val="none" w:sz="0" w:space="0" w:color="auto"/>
        <w:left w:val="none" w:sz="0" w:space="0" w:color="auto"/>
        <w:bottom w:val="none" w:sz="0" w:space="0" w:color="auto"/>
        <w:right w:val="none" w:sz="0" w:space="0" w:color="auto"/>
      </w:divBdr>
    </w:div>
    <w:div w:id="865606268">
      <w:bodyDiv w:val="1"/>
      <w:marLeft w:val="0"/>
      <w:marRight w:val="0"/>
      <w:marTop w:val="0"/>
      <w:marBottom w:val="0"/>
      <w:divBdr>
        <w:top w:val="none" w:sz="0" w:space="0" w:color="auto"/>
        <w:left w:val="none" w:sz="0" w:space="0" w:color="auto"/>
        <w:bottom w:val="none" w:sz="0" w:space="0" w:color="auto"/>
        <w:right w:val="none" w:sz="0" w:space="0" w:color="auto"/>
      </w:divBdr>
    </w:div>
    <w:div w:id="1034619847">
      <w:bodyDiv w:val="1"/>
      <w:marLeft w:val="0"/>
      <w:marRight w:val="0"/>
      <w:marTop w:val="0"/>
      <w:marBottom w:val="0"/>
      <w:divBdr>
        <w:top w:val="none" w:sz="0" w:space="0" w:color="auto"/>
        <w:left w:val="none" w:sz="0" w:space="0" w:color="auto"/>
        <w:bottom w:val="none" w:sz="0" w:space="0" w:color="auto"/>
        <w:right w:val="none" w:sz="0" w:space="0" w:color="auto"/>
      </w:divBdr>
    </w:div>
    <w:div w:id="1217158015">
      <w:bodyDiv w:val="1"/>
      <w:marLeft w:val="0"/>
      <w:marRight w:val="0"/>
      <w:marTop w:val="0"/>
      <w:marBottom w:val="0"/>
      <w:divBdr>
        <w:top w:val="none" w:sz="0" w:space="0" w:color="auto"/>
        <w:left w:val="none" w:sz="0" w:space="0" w:color="auto"/>
        <w:bottom w:val="none" w:sz="0" w:space="0" w:color="auto"/>
        <w:right w:val="none" w:sz="0" w:space="0" w:color="auto"/>
      </w:divBdr>
    </w:div>
    <w:div w:id="1225802001">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67618764">
      <w:bodyDiv w:val="1"/>
      <w:marLeft w:val="0"/>
      <w:marRight w:val="0"/>
      <w:marTop w:val="0"/>
      <w:marBottom w:val="0"/>
      <w:divBdr>
        <w:top w:val="none" w:sz="0" w:space="0" w:color="auto"/>
        <w:left w:val="none" w:sz="0" w:space="0" w:color="auto"/>
        <w:bottom w:val="none" w:sz="0" w:space="0" w:color="auto"/>
        <w:right w:val="none" w:sz="0" w:space="0" w:color="auto"/>
      </w:divBdr>
    </w:div>
    <w:div w:id="1375425634">
      <w:bodyDiv w:val="1"/>
      <w:marLeft w:val="0"/>
      <w:marRight w:val="0"/>
      <w:marTop w:val="0"/>
      <w:marBottom w:val="0"/>
      <w:divBdr>
        <w:top w:val="none" w:sz="0" w:space="0" w:color="auto"/>
        <w:left w:val="none" w:sz="0" w:space="0" w:color="auto"/>
        <w:bottom w:val="none" w:sz="0" w:space="0" w:color="auto"/>
        <w:right w:val="none" w:sz="0" w:space="0" w:color="auto"/>
      </w:divBdr>
    </w:div>
    <w:div w:id="1389064987">
      <w:bodyDiv w:val="1"/>
      <w:marLeft w:val="0"/>
      <w:marRight w:val="0"/>
      <w:marTop w:val="0"/>
      <w:marBottom w:val="0"/>
      <w:divBdr>
        <w:top w:val="none" w:sz="0" w:space="0" w:color="auto"/>
        <w:left w:val="none" w:sz="0" w:space="0" w:color="auto"/>
        <w:bottom w:val="none" w:sz="0" w:space="0" w:color="auto"/>
        <w:right w:val="none" w:sz="0" w:space="0" w:color="auto"/>
      </w:divBdr>
    </w:div>
    <w:div w:id="1494370899">
      <w:bodyDiv w:val="1"/>
      <w:marLeft w:val="0"/>
      <w:marRight w:val="0"/>
      <w:marTop w:val="0"/>
      <w:marBottom w:val="0"/>
      <w:divBdr>
        <w:top w:val="none" w:sz="0" w:space="0" w:color="auto"/>
        <w:left w:val="none" w:sz="0" w:space="0" w:color="auto"/>
        <w:bottom w:val="none" w:sz="0" w:space="0" w:color="auto"/>
        <w:right w:val="none" w:sz="0" w:space="0" w:color="auto"/>
      </w:divBdr>
    </w:div>
    <w:div w:id="1513298373">
      <w:bodyDiv w:val="1"/>
      <w:marLeft w:val="0"/>
      <w:marRight w:val="0"/>
      <w:marTop w:val="0"/>
      <w:marBottom w:val="0"/>
      <w:divBdr>
        <w:top w:val="none" w:sz="0" w:space="0" w:color="auto"/>
        <w:left w:val="none" w:sz="0" w:space="0" w:color="auto"/>
        <w:bottom w:val="none" w:sz="0" w:space="0" w:color="auto"/>
        <w:right w:val="none" w:sz="0" w:space="0" w:color="auto"/>
      </w:divBdr>
    </w:div>
    <w:div w:id="1536043923">
      <w:bodyDiv w:val="1"/>
      <w:marLeft w:val="0"/>
      <w:marRight w:val="0"/>
      <w:marTop w:val="0"/>
      <w:marBottom w:val="0"/>
      <w:divBdr>
        <w:top w:val="none" w:sz="0" w:space="0" w:color="auto"/>
        <w:left w:val="none" w:sz="0" w:space="0" w:color="auto"/>
        <w:bottom w:val="none" w:sz="0" w:space="0" w:color="auto"/>
        <w:right w:val="none" w:sz="0" w:space="0" w:color="auto"/>
      </w:divBdr>
    </w:div>
    <w:div w:id="1575117981">
      <w:bodyDiv w:val="1"/>
      <w:marLeft w:val="0"/>
      <w:marRight w:val="0"/>
      <w:marTop w:val="0"/>
      <w:marBottom w:val="0"/>
      <w:divBdr>
        <w:top w:val="none" w:sz="0" w:space="0" w:color="auto"/>
        <w:left w:val="none" w:sz="0" w:space="0" w:color="auto"/>
        <w:bottom w:val="none" w:sz="0" w:space="0" w:color="auto"/>
        <w:right w:val="none" w:sz="0" w:space="0" w:color="auto"/>
      </w:divBdr>
    </w:div>
    <w:div w:id="1577933612">
      <w:bodyDiv w:val="1"/>
      <w:marLeft w:val="0"/>
      <w:marRight w:val="0"/>
      <w:marTop w:val="0"/>
      <w:marBottom w:val="0"/>
      <w:divBdr>
        <w:top w:val="none" w:sz="0" w:space="0" w:color="auto"/>
        <w:left w:val="none" w:sz="0" w:space="0" w:color="auto"/>
        <w:bottom w:val="none" w:sz="0" w:space="0" w:color="auto"/>
        <w:right w:val="none" w:sz="0" w:space="0" w:color="auto"/>
      </w:divBdr>
    </w:div>
    <w:div w:id="1640377297">
      <w:bodyDiv w:val="1"/>
      <w:marLeft w:val="0"/>
      <w:marRight w:val="0"/>
      <w:marTop w:val="0"/>
      <w:marBottom w:val="0"/>
      <w:divBdr>
        <w:top w:val="none" w:sz="0" w:space="0" w:color="auto"/>
        <w:left w:val="none" w:sz="0" w:space="0" w:color="auto"/>
        <w:bottom w:val="none" w:sz="0" w:space="0" w:color="auto"/>
        <w:right w:val="none" w:sz="0" w:space="0" w:color="auto"/>
      </w:divBdr>
    </w:div>
    <w:div w:id="1648050542">
      <w:bodyDiv w:val="1"/>
      <w:marLeft w:val="0"/>
      <w:marRight w:val="0"/>
      <w:marTop w:val="0"/>
      <w:marBottom w:val="0"/>
      <w:divBdr>
        <w:top w:val="none" w:sz="0" w:space="0" w:color="auto"/>
        <w:left w:val="none" w:sz="0" w:space="0" w:color="auto"/>
        <w:bottom w:val="none" w:sz="0" w:space="0" w:color="auto"/>
        <w:right w:val="none" w:sz="0" w:space="0" w:color="auto"/>
      </w:divBdr>
    </w:div>
    <w:div w:id="1767727369">
      <w:bodyDiv w:val="1"/>
      <w:marLeft w:val="0"/>
      <w:marRight w:val="0"/>
      <w:marTop w:val="0"/>
      <w:marBottom w:val="0"/>
      <w:divBdr>
        <w:top w:val="none" w:sz="0" w:space="0" w:color="auto"/>
        <w:left w:val="none" w:sz="0" w:space="0" w:color="auto"/>
        <w:bottom w:val="none" w:sz="0" w:space="0" w:color="auto"/>
        <w:right w:val="none" w:sz="0" w:space="0" w:color="auto"/>
      </w:divBdr>
    </w:div>
    <w:div w:id="1801221980">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879391513">
      <w:bodyDiv w:val="1"/>
      <w:marLeft w:val="0"/>
      <w:marRight w:val="0"/>
      <w:marTop w:val="0"/>
      <w:marBottom w:val="0"/>
      <w:divBdr>
        <w:top w:val="none" w:sz="0" w:space="0" w:color="auto"/>
        <w:left w:val="none" w:sz="0" w:space="0" w:color="auto"/>
        <w:bottom w:val="none" w:sz="0" w:space="0" w:color="auto"/>
        <w:right w:val="none" w:sz="0" w:space="0" w:color="auto"/>
      </w:divBdr>
    </w:div>
    <w:div w:id="1890845105">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10728583">
      <w:bodyDiv w:val="1"/>
      <w:marLeft w:val="0"/>
      <w:marRight w:val="0"/>
      <w:marTop w:val="0"/>
      <w:marBottom w:val="0"/>
      <w:divBdr>
        <w:top w:val="none" w:sz="0" w:space="0" w:color="auto"/>
        <w:left w:val="none" w:sz="0" w:space="0" w:color="auto"/>
        <w:bottom w:val="none" w:sz="0" w:space="0" w:color="auto"/>
        <w:right w:val="none" w:sz="0" w:space="0" w:color="auto"/>
      </w:divBdr>
    </w:div>
    <w:div w:id="1963920199">
      <w:bodyDiv w:val="1"/>
      <w:marLeft w:val="0"/>
      <w:marRight w:val="0"/>
      <w:marTop w:val="0"/>
      <w:marBottom w:val="0"/>
      <w:divBdr>
        <w:top w:val="none" w:sz="0" w:space="0" w:color="auto"/>
        <w:left w:val="none" w:sz="0" w:space="0" w:color="auto"/>
        <w:bottom w:val="none" w:sz="0" w:space="0" w:color="auto"/>
        <w:right w:val="none" w:sz="0" w:space="0" w:color="auto"/>
      </w:divBdr>
    </w:div>
    <w:div w:id="2138792544">
      <w:bodyDiv w:val="1"/>
      <w:marLeft w:val="0"/>
      <w:marRight w:val="0"/>
      <w:marTop w:val="0"/>
      <w:marBottom w:val="0"/>
      <w:divBdr>
        <w:top w:val="none" w:sz="0" w:space="0" w:color="auto"/>
        <w:left w:val="none" w:sz="0" w:space="0" w:color="auto"/>
        <w:bottom w:val="none" w:sz="0" w:space="0" w:color="auto"/>
        <w:right w:val="none" w:sz="0" w:space="0" w:color="auto"/>
      </w:divBdr>
    </w:div>
    <w:div w:id="214080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2.xml"/><Relationship Id="rId26" Type="http://schemas.openxmlformats.org/officeDocument/2006/relationships/image" Target="media/image11.png"/><Relationship Id="rId39" Type="http://schemas.openxmlformats.org/officeDocument/2006/relationships/hyperlink" Target="https://stat.gov.pl/en/metainformation/glossary/terms-used-in-official-statistics/361,term.html" TargetMode="External"/><Relationship Id="rId21" Type="http://schemas.openxmlformats.org/officeDocument/2006/relationships/hyperlink" Target="https://new.stat.gov.pl/" TargetMode="External"/><Relationship Id="rId34" Type="http://schemas.openxmlformats.org/officeDocument/2006/relationships/hyperlink" Target="https://stat.gov.pl/en/metainformation/glossary/terms-used-in-official-statistics/539,term.html" TargetMode="External"/><Relationship Id="rId42" Type="http://schemas.openxmlformats.org/officeDocument/2006/relationships/hyperlink" Target="https://stat.gov.pl/en/metainformation/glossary/terms-used-in-official-statistics/563,term.html"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youtube.com/@glownyurzadstatystycznygus?si=IgHa1awoYniiJyQ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www.facebook.com/GlownyUrzadStatystyczny" TargetMode="External"/><Relationship Id="rId32" Type="http://schemas.openxmlformats.org/officeDocument/2006/relationships/hyperlink" Target="https://stat.gov.pl/en/topics/culture-tourism-sport/tourism/tourism-in-2022,1,20.html" TargetMode="External"/><Relationship Id="rId37" Type="http://schemas.openxmlformats.org/officeDocument/2006/relationships/hyperlink" Target="https://stat.gov.pl/en/metainformation/glossary/terms-used-in-official-statistics/222,term.html" TargetMode="External"/><Relationship Id="rId40" Type="http://schemas.openxmlformats.org/officeDocument/2006/relationships/hyperlink" Target="https://stat.gov.pl/en/metainformation/glossary/terms-used-in-official-statistics/364,term.html" TargetMode="External"/><Relationship Id="rId45"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x.com/GUS_STAT" TargetMode="External"/><Relationship Id="rId28" Type="http://schemas.openxmlformats.org/officeDocument/2006/relationships/image" Target="media/image12.png"/><Relationship Id="rId36" Type="http://schemas.openxmlformats.org/officeDocument/2006/relationships/hyperlink" Target="https://stat.gov.pl/en/metainformation/glossary/terms-used-in-official-statistics/3480,term.html" TargetMode="External"/><Relationship Id="rId10" Type="http://schemas.openxmlformats.org/officeDocument/2006/relationships/endnotes" Target="endnotes.xml"/><Relationship Id="rId19" Type="http://schemas.openxmlformats.org/officeDocument/2006/relationships/hyperlink" Target="mailto:obslugaprasowa@stat.gov.pl" TargetMode="External"/><Relationship Id="rId31" Type="http://schemas.openxmlformats.org/officeDocument/2006/relationships/image" Target="media/image13.png"/><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image" Target="media/image9.png"/><Relationship Id="rId27" Type="http://schemas.openxmlformats.org/officeDocument/2006/relationships/hyperlink" Target="https://www.instagram.com/gus_stat/?next" TargetMode="External"/><Relationship Id="rId30" Type="http://schemas.openxmlformats.org/officeDocument/2006/relationships/hyperlink" Target="https://www.linkedin.com/company/glownyurzadstatystyczny/" TargetMode="External"/><Relationship Id="rId35" Type="http://schemas.openxmlformats.org/officeDocument/2006/relationships/hyperlink" Target="https://stat.gov.pl/en/metainformation/glossary/terms-used-in-official-statistics/275,term.html" TargetMode="External"/><Relationship Id="rId43" Type="http://schemas.openxmlformats.org/officeDocument/2006/relationships/hyperlink" Target="https://stat.gov.pl/en/metainformation/glossary/terms-used-in-official-statistics/3768,term.html"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image" Target="media/image10.png"/><Relationship Id="rId33" Type="http://schemas.openxmlformats.org/officeDocument/2006/relationships/hyperlink" Target="https://unstats.un.org/unsd/publication/seriesf/seriesf_80rev1e.pdf" TargetMode="External"/><Relationship Id="rId38" Type="http://schemas.openxmlformats.org/officeDocument/2006/relationships/hyperlink" Target="https://stat.gov.pl/en/metainformation/glossary/terms-used-in-official-statistics/3399,term.html" TargetMode="External"/><Relationship Id="rId46"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hyperlink" Target="https://stat.gov.pl/en/metainformation/glossary/terms-used-in-official-statistics/467,term.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stat.gov.pl/en/topics/other-studies/informations-on-socio-economic-situation/statistical-bulletin-no-102024,4,168.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2</Kolejno_x015b__x0107_>
    <Tematyka xmlns="b5698c14-9734-4c2e-b0a6-c0f0e0420a38">07 - Informacje sygnalne</Tematyka>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2.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30d47203-49ec-4c8c-a442-62231931aabb"/>
    <ds:schemaRef ds:uri="b5698c14-9734-4c2e-b0a6-c0f0e0420a38"/>
  </ds:schemaRefs>
</ds:datastoreItem>
</file>

<file path=customXml/itemProps4.xml><?xml version="1.0" encoding="utf-8"?>
<ds:datastoreItem xmlns:ds="http://schemas.openxmlformats.org/officeDocument/2006/customXml" ds:itemID="{F4D5B218-A444-46F3-AE2D-84ACA7740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1795</Words>
  <Characters>10773</Characters>
  <DocSecurity>0</DocSecurity>
  <Lines>89</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Rachunek satelitarny turystyki za 2022 r.</dc:title>
  <dc:subject/>
  <dc:creator>GUS</dc:creator>
  <cp:keywords/>
  <dc:description/>
  <cp:lastPrinted>2024-02-12T10:59:00Z</cp:lastPrinted>
  <dcterms:created xsi:type="dcterms:W3CDTF">2026-10-15T10:28:00Z</dcterms:created>
  <dcterms:modified xsi:type="dcterms:W3CDTF">2026-10-19T09:57:00Z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