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8B5C" w14:textId="3987B1A7" w:rsidR="00393761" w:rsidRPr="008C3F42" w:rsidRDefault="00C13645" w:rsidP="00F049AB">
      <w:pPr>
        <w:pStyle w:val="Tytuinfomacjisygnalnej"/>
        <w:rPr>
          <w:lang w:val="en-GB"/>
        </w:rPr>
      </w:pPr>
      <w:r w:rsidRPr="008C3F42">
        <w:rPr>
          <w:lang w:val="en-GB"/>
        </w:rPr>
        <w:t>Research and experimenta</w:t>
      </w:r>
      <w:r w:rsidR="00D9052B">
        <w:rPr>
          <w:lang w:val="en-GB"/>
        </w:rPr>
        <w:t xml:space="preserve">l development in Poland in </w:t>
      </w:r>
      <w:r w:rsidR="005D4AA8">
        <w:rPr>
          <w:lang w:val="en-GB"/>
        </w:rPr>
        <w:t>2025</w:t>
      </w:r>
    </w:p>
    <w:p w14:paraId="7803E330" w14:textId="403D5DF9" w:rsidR="0050416F" w:rsidRPr="008C3F42" w:rsidRDefault="00D82FEA" w:rsidP="005F403B">
      <w:pPr>
        <w:pStyle w:val="Lead"/>
        <w:spacing w:line="240" w:lineRule="exact"/>
        <w:rPr>
          <w:lang w:val="en-GB"/>
        </w:rPr>
      </w:pPr>
      <w:r w:rsidRPr="008C3F42">
        <w:rPr>
          <w:color w:val="001D77"/>
        </w:rPr>
        <mc:AlternateContent>
          <mc:Choice Requires="wps">
            <w:drawing>
              <wp:anchor distT="45720" distB="45720" distL="114300" distR="114300" simplePos="0" relativeHeight="251759616" behindDoc="0" locked="0" layoutInCell="1" allowOverlap="1" wp14:anchorId="15C529A5" wp14:editId="3EABDEC1">
                <wp:simplePos x="0" y="0"/>
                <wp:positionH relativeFrom="margin">
                  <wp:posOffset>0</wp:posOffset>
                </wp:positionH>
                <wp:positionV relativeFrom="paragraph">
                  <wp:posOffset>8255</wp:posOffset>
                </wp:positionV>
                <wp:extent cx="1656000" cy="1080000"/>
                <wp:effectExtent l="0" t="0" r="1905" b="6350"/>
                <wp:wrapSquare wrapText="bothSides"/>
                <wp:docPr id="6" name="Pole tekstowe 2" descr="Text box with indicator&#10;&#10;R&amp;D intensity (GERD/GDP) amounted to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00" cy="1080000"/>
                        </a:xfrm>
                        <a:prstGeom prst="roundRect">
                          <a:avLst/>
                        </a:prstGeom>
                        <a:solidFill>
                          <a:srgbClr val="001D77"/>
                        </a:solidFill>
                        <a:ln w="9525">
                          <a:noFill/>
                          <a:miter lim="800000"/>
                          <a:headEnd/>
                          <a:tailEnd/>
                        </a:ln>
                      </wps:spPr>
                      <wps:txbx>
                        <w:txbxContent>
                          <w:p w14:paraId="701C9349" w14:textId="567E726A" w:rsidR="00107D4C" w:rsidRPr="00C13645" w:rsidRDefault="005D4AA8" w:rsidP="001A2657">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WartowskanikaZnak"/>
                                <w:sz w:val="72"/>
                                <w:szCs w:val="72"/>
                                <w:lang w:val="en-GB"/>
                              </w:rPr>
                              <w:t>1.50</w:t>
                            </w:r>
                            <w:r w:rsidR="00107D4C" w:rsidRPr="00C13645">
                              <w:rPr>
                                <w:rStyle w:val="WartowskanikaZnak"/>
                                <w:sz w:val="72"/>
                                <w:szCs w:val="72"/>
                                <w:lang w:val="en-GB"/>
                              </w:rPr>
                              <w:t>%</w:t>
                            </w:r>
                          </w:p>
                          <w:p w14:paraId="2488C932" w14:textId="7D02BF77" w:rsidR="00107D4C" w:rsidRPr="0050416F" w:rsidRDefault="0087482D" w:rsidP="001A2657">
                            <w:pPr>
                              <w:pStyle w:val="Opiswskanika"/>
                              <w:spacing w:before="120"/>
                              <w:ind w:left="-57"/>
                              <w:rPr>
                                <w:sz w:val="18"/>
                                <w:szCs w:val="20"/>
                                <w:lang w:val="en-GB"/>
                              </w:rPr>
                            </w:pPr>
                            <w:r w:rsidRPr="008C3F42">
                              <w:rPr>
                                <w:lang w:val="en-GB"/>
                              </w:rPr>
                              <w:t>R&amp;D intensity indicator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Text box with indicator&#10;&#10;R&amp;D intensity (GERD/GDP) amounted to 1.50%" style="position:absolute;margin-left:0;margin-top:.65pt;width:130.4pt;height:85.0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" fillcolor="#001d77" stroked="f">
                <v:stroke joinstyle="miter"/>
                <v:textbox>
                  <w:txbxContent>
                    <w:p w14:paraId="701C9349" w14:textId="567E726A" w:rsidR="00107D4C" w:rsidRPr="00C13645" w:rsidRDefault="005D4AA8" w:rsidP="001A2657">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Pr>
                          <w:rStyle w:val="WartowskanikaZnak"/>
                          <w:sz w:val="72"/>
                          <w:szCs w:val="72"/>
                          <w:lang w:val="en-GB"/>
                        </w:rPr>
                        <w:t>1.50</w:t>
                      </w:r>
                      <w:r w:rsidR="00107D4C" w:rsidRPr="00C13645">
                        <w:rPr>
                          <w:rStyle w:val="WartowskanikaZnak"/>
                          <w:sz w:val="72"/>
                          <w:szCs w:val="72"/>
                          <w:lang w:val="en-GB"/>
                        </w:rPr>
                        <w:t>%</w:t>
                      </w:r>
                    </w:p>
                    <w:p w14:paraId="2488C932" w14:textId="7D02BF77" w:rsidR="00107D4C" w:rsidRPr="0050416F" w:rsidRDefault="0087482D" w:rsidP="001A2657">
                      <w:pPr>
                        <w:pStyle w:val="Opiswskanika"/>
                        <w:spacing w:before="120"/>
                        <w:ind w:left="-57"/>
                        <w:rPr>
                          <w:sz w:val="18"/>
                          <w:szCs w:val="20"/>
                          <w:lang w:val="en-GB"/>
                        </w:rPr>
                      </w:pPr>
                      <w:r w:rsidRPr="008C3F42">
                        <w:rPr>
                          <w:lang w:val="en-GB"/>
                        </w:rPr>
                        <w:t>R&amp;D intensity indicator</w:t>
                      </w:r>
                    </w:p>
                  </w:txbxContent>
                </v:textbox>
                <w10:wrap type="square" anchorx="margin"/>
              </v:roundrect>
            </w:pict>
          </mc:Fallback>
        </mc:AlternateContent>
      </w:r>
      <w:r w:rsidR="00397A4B">
        <w:rPr>
          <w:lang w:val="en-GB"/>
        </w:rPr>
        <w:t xml:space="preserve">In </w:t>
      </w:r>
      <w:r w:rsidR="005D4AA8">
        <w:rPr>
          <w:lang w:val="en-GB"/>
        </w:rPr>
        <w:t>2025</w:t>
      </w:r>
      <w:r w:rsidR="00397A4B" w:rsidRPr="008C3F42">
        <w:rPr>
          <w:lang w:val="en-GB"/>
        </w:rPr>
        <w:t>, gross domestic expendit</w:t>
      </w:r>
      <w:r w:rsidR="00397A4B">
        <w:rPr>
          <w:lang w:val="en-GB"/>
        </w:rPr>
        <w:t xml:space="preserve">ure on R&amp;D (GERD) amounted to PLN </w:t>
      </w:r>
      <w:r w:rsidR="005D4AA8">
        <w:rPr>
          <w:lang w:val="en-GB"/>
        </w:rPr>
        <w:t>58.8</w:t>
      </w:r>
      <w:r w:rsidR="00397A4B" w:rsidRPr="008C3F42">
        <w:rPr>
          <w:lang w:val="en-GB"/>
        </w:rPr>
        <w:t xml:space="preserve"> billion</w:t>
      </w:r>
      <w:r w:rsidR="00397A4B">
        <w:rPr>
          <w:lang w:val="en-GB"/>
        </w:rPr>
        <w:t xml:space="preserve"> which is </w:t>
      </w:r>
      <w:r w:rsidR="005D4AA8">
        <w:rPr>
          <w:lang w:val="en-GB"/>
        </w:rPr>
        <w:t>14.2</w:t>
      </w:r>
      <w:r w:rsidR="00397A4B" w:rsidRPr="008C3F42">
        <w:rPr>
          <w:lang w:val="en-GB"/>
        </w:rPr>
        <w:t xml:space="preserve">% </w:t>
      </w:r>
      <w:r w:rsidR="005D4AA8">
        <w:rPr>
          <w:lang w:val="en-GB"/>
        </w:rPr>
        <w:t>more</w:t>
      </w:r>
      <w:r w:rsidR="00397A4B">
        <w:rPr>
          <w:lang w:val="en-GB"/>
        </w:rPr>
        <w:t xml:space="preserve"> than </w:t>
      </w:r>
      <w:r w:rsidR="00DA5AE3">
        <w:rPr>
          <w:lang w:val="en-GB"/>
        </w:rPr>
        <w:br/>
      </w:r>
      <w:r w:rsidR="00397A4B">
        <w:rPr>
          <w:lang w:val="en-GB"/>
        </w:rPr>
        <w:t xml:space="preserve">in </w:t>
      </w:r>
      <w:r w:rsidR="00397A4B" w:rsidRPr="008C3F42">
        <w:rPr>
          <w:lang w:val="en-GB"/>
        </w:rPr>
        <w:t>the previous year. R&amp;D intensity indicator</w:t>
      </w:r>
      <w:r w:rsidR="0032451B">
        <w:rPr>
          <w:lang w:val="en-GB"/>
        </w:rPr>
        <w:t>, which</w:t>
      </w:r>
      <w:r w:rsidR="00397A4B" w:rsidRPr="008C3F42">
        <w:rPr>
          <w:lang w:val="en-GB"/>
        </w:rPr>
        <w:t xml:space="preserve"> </w:t>
      </w:r>
      <w:r w:rsidR="0032451B">
        <w:rPr>
          <w:lang w:val="en-GB"/>
        </w:rPr>
        <w:t>defines</w:t>
      </w:r>
      <w:r w:rsidR="001D4210">
        <w:rPr>
          <w:lang w:val="en-GB"/>
        </w:rPr>
        <w:t xml:space="preserve"> </w:t>
      </w:r>
      <w:r w:rsidR="00397A4B">
        <w:rPr>
          <w:lang w:val="en-GB"/>
        </w:rPr>
        <w:t xml:space="preserve">the </w:t>
      </w:r>
      <w:r w:rsidR="003F57B3">
        <w:rPr>
          <w:lang w:val="en-GB"/>
        </w:rPr>
        <w:t>share</w:t>
      </w:r>
      <w:r w:rsidR="003F57B3" w:rsidRPr="008C3F42">
        <w:rPr>
          <w:lang w:val="en-GB"/>
        </w:rPr>
        <w:t xml:space="preserve"> </w:t>
      </w:r>
      <w:r w:rsidR="00397A4B" w:rsidRPr="008C3F42">
        <w:rPr>
          <w:lang w:val="en-GB"/>
        </w:rPr>
        <w:t>of in</w:t>
      </w:r>
      <w:r w:rsidR="00397A4B">
        <w:rPr>
          <w:lang w:val="en-GB"/>
        </w:rPr>
        <w:t>t</w:t>
      </w:r>
      <w:r w:rsidR="00397A4B" w:rsidRPr="008C3F42">
        <w:rPr>
          <w:lang w:val="en-GB"/>
        </w:rPr>
        <w:t>ramural R&amp;</w:t>
      </w:r>
      <w:r w:rsidR="00397A4B">
        <w:rPr>
          <w:lang w:val="en-GB"/>
        </w:rPr>
        <w:t>D</w:t>
      </w:r>
      <w:r w:rsidR="00397A4B" w:rsidRPr="008C3F42">
        <w:rPr>
          <w:lang w:val="en-GB"/>
        </w:rPr>
        <w:t xml:space="preserve"> e</w:t>
      </w:r>
      <w:r w:rsidR="00397A4B">
        <w:rPr>
          <w:lang w:val="en-GB"/>
        </w:rPr>
        <w:t>xpenditure in GDP</w:t>
      </w:r>
      <w:r w:rsidR="0032451B">
        <w:rPr>
          <w:lang w:val="en-GB"/>
        </w:rPr>
        <w:t>,</w:t>
      </w:r>
      <w:r w:rsidR="00397A4B">
        <w:rPr>
          <w:lang w:val="en-GB"/>
        </w:rPr>
        <w:t xml:space="preserve"> </w:t>
      </w:r>
      <w:r w:rsidR="0032451B">
        <w:rPr>
          <w:lang w:val="en-GB"/>
        </w:rPr>
        <w:t>increased</w:t>
      </w:r>
      <w:r w:rsidR="00397A4B">
        <w:rPr>
          <w:lang w:val="en-GB"/>
        </w:rPr>
        <w:t xml:space="preserve"> to </w:t>
      </w:r>
      <w:r w:rsidR="005D4AA8">
        <w:rPr>
          <w:lang w:val="en-GB"/>
        </w:rPr>
        <w:t>1.50</w:t>
      </w:r>
      <w:r w:rsidR="00397A4B">
        <w:rPr>
          <w:lang w:val="en-GB"/>
        </w:rPr>
        <w:t xml:space="preserve">% (in </w:t>
      </w:r>
      <w:r w:rsidR="005D4AA8">
        <w:rPr>
          <w:lang w:val="en-GB"/>
        </w:rPr>
        <w:t>2024</w:t>
      </w:r>
      <w:r w:rsidR="00397A4B">
        <w:rPr>
          <w:lang w:val="en-GB"/>
        </w:rPr>
        <w:t xml:space="preserve"> – </w:t>
      </w:r>
      <w:r w:rsidR="005D4AA8">
        <w:rPr>
          <w:lang w:val="en-GB"/>
        </w:rPr>
        <w:t>1.41</w:t>
      </w:r>
      <w:r w:rsidR="00397A4B" w:rsidRPr="008C3F42">
        <w:rPr>
          <w:lang w:val="en-GB"/>
        </w:rPr>
        <w:t>%). Gross domestic expenditure</w:t>
      </w:r>
      <w:r w:rsidR="00DA5AE3">
        <w:rPr>
          <w:lang w:val="en-GB"/>
        </w:rPr>
        <w:t xml:space="preserve"> </w:t>
      </w:r>
      <w:r w:rsidR="000075AB">
        <w:rPr>
          <w:lang w:val="en-GB"/>
        </w:rPr>
        <w:br/>
      </w:r>
      <w:r w:rsidR="00397A4B" w:rsidRPr="008C3F42">
        <w:rPr>
          <w:lang w:val="en-GB"/>
        </w:rPr>
        <w:t xml:space="preserve">on R&amp;D per capita amounted to </w:t>
      </w:r>
      <w:r w:rsidR="00397A4B">
        <w:rPr>
          <w:lang w:val="en-GB"/>
        </w:rPr>
        <w:t xml:space="preserve">PLN </w:t>
      </w:r>
      <w:r w:rsidR="005D4AA8">
        <w:rPr>
          <w:lang w:val="en-GB"/>
        </w:rPr>
        <w:t>1 571</w:t>
      </w:r>
      <w:r w:rsidR="00397A4B">
        <w:rPr>
          <w:lang w:val="en-GB"/>
        </w:rPr>
        <w:t xml:space="preserve"> and was </w:t>
      </w:r>
      <w:r w:rsidR="00654CD0">
        <w:rPr>
          <w:lang w:val="en-GB"/>
        </w:rPr>
        <w:t>higher</w:t>
      </w:r>
      <w:r w:rsidR="00397A4B">
        <w:rPr>
          <w:lang w:val="en-GB"/>
        </w:rPr>
        <w:t xml:space="preserve"> </w:t>
      </w:r>
      <w:r w:rsidR="000075AB">
        <w:rPr>
          <w:lang w:val="en-GB"/>
        </w:rPr>
        <w:br/>
      </w:r>
      <w:r w:rsidR="00397A4B">
        <w:rPr>
          <w:lang w:val="en-GB"/>
        </w:rPr>
        <w:t xml:space="preserve">by </w:t>
      </w:r>
      <w:r w:rsidR="005D4AA8">
        <w:rPr>
          <w:lang w:val="en-GB"/>
        </w:rPr>
        <w:t>14.6</w:t>
      </w:r>
      <w:r w:rsidR="00397A4B" w:rsidRPr="008C3F42">
        <w:rPr>
          <w:lang w:val="en-GB"/>
        </w:rPr>
        <w:t xml:space="preserve">% than in the previous year. </w:t>
      </w:r>
    </w:p>
    <w:p w14:paraId="3DB10F9F" w14:textId="05F69503" w:rsidR="00E95B8E" w:rsidRPr="008C3F42" w:rsidRDefault="00E95B8E" w:rsidP="00734E2F">
      <w:pPr>
        <w:rPr>
          <w:lang w:val="en-GB"/>
        </w:rPr>
      </w:pPr>
    </w:p>
    <w:p w14:paraId="4E3325B2" w14:textId="1C7B5F81" w:rsidR="00302EE2" w:rsidRPr="008C3F42" w:rsidRDefault="003F57B3" w:rsidP="00302EE2">
      <w:pPr>
        <w:pStyle w:val="tytuwykresu"/>
        <w:rPr>
          <w:lang w:val="en-GB" w:eastAsia="pl-PL"/>
        </w:rPr>
      </w:pPr>
      <w:r>
        <w:rPr>
          <w:noProof/>
          <w:lang w:val="en-GB"/>
        </w:rPr>
        <mc:AlternateContent>
          <mc:Choice Requires="wps">
            <w:drawing>
              <wp:anchor distT="0" distB="0" distL="114300" distR="114300" simplePos="0" relativeHeight="251809792" behindDoc="0" locked="0" layoutInCell="1" allowOverlap="1" wp14:anchorId="440B9348" wp14:editId="12A20B33">
                <wp:simplePos x="0" y="0"/>
                <wp:positionH relativeFrom="column">
                  <wp:posOffset>5248656</wp:posOffset>
                </wp:positionH>
                <wp:positionV relativeFrom="paragraph">
                  <wp:posOffset>257708</wp:posOffset>
                </wp:positionV>
                <wp:extent cx="1676654" cy="1082650"/>
                <wp:effectExtent l="0" t="0" r="0" b="3810"/>
                <wp:wrapNone/>
                <wp:docPr id="3" name="Pole tekstowe 3" descr="Gross domestic expenditure on R&amp;D increased by 14.2% compared to the previous year, while the number of entities decreased by 3.5%"/>
                <wp:cNvGraphicFramePr/>
                <a:graphic xmlns:a="http://schemas.openxmlformats.org/drawingml/2006/main">
                  <a:graphicData uri="http://schemas.microsoft.com/office/word/2010/wordprocessingShape">
                    <wps:wsp>
                      <wps:cNvSpPr txBox="1"/>
                      <wps:spPr bwMode="auto">
                        <a:xfrm>
                          <a:off x="0" y="0"/>
                          <a:ext cx="1676654" cy="1082650"/>
                        </a:xfrm>
                        <a:prstGeom prst="rect">
                          <a:avLst/>
                        </a:prstGeom>
                        <a:noFill/>
                        <a:ln w="9525">
                          <a:noFill/>
                          <a:miter lim="800000"/>
                          <a:headEnd/>
                          <a:tailEnd/>
                        </a:ln>
                      </wps:spPr>
                      <wps:txbx>
                        <w:txbxContent>
                          <w:p w14:paraId="799121CA" w14:textId="6D94647D" w:rsidR="003F57B3" w:rsidRPr="00992D6B" w:rsidRDefault="003F57B3" w:rsidP="000075AB">
                            <w:pPr>
                              <w:pStyle w:val="tekstzboku"/>
                            </w:pPr>
                            <w:r w:rsidRPr="00992D6B">
                              <w:t xml:space="preserve">Gross </w:t>
                            </w:r>
                            <w:proofErr w:type="spellStart"/>
                            <w:r w:rsidRPr="00992D6B">
                              <w:t>domestic</w:t>
                            </w:r>
                            <w:proofErr w:type="spellEnd"/>
                            <w:r w:rsidRPr="00992D6B">
                              <w:t xml:space="preserve"> </w:t>
                            </w:r>
                            <w:proofErr w:type="spellStart"/>
                            <w:r w:rsidRPr="00992D6B">
                              <w:t>expenditure</w:t>
                            </w:r>
                            <w:proofErr w:type="spellEnd"/>
                            <w:r w:rsidRPr="00992D6B">
                              <w:t xml:space="preserve"> on R&amp;D </w:t>
                            </w:r>
                            <w:proofErr w:type="spellStart"/>
                            <w:r w:rsidRPr="00992D6B">
                              <w:t>increased</w:t>
                            </w:r>
                            <w:proofErr w:type="spellEnd"/>
                            <w:r w:rsidRPr="00992D6B">
                              <w:t xml:space="preserve"> by 14.2% </w:t>
                            </w:r>
                            <w:proofErr w:type="spellStart"/>
                            <w:r w:rsidRPr="00992D6B">
                              <w:t>compared</w:t>
                            </w:r>
                            <w:proofErr w:type="spellEnd"/>
                            <w:r w:rsidRPr="00992D6B">
                              <w:t xml:space="preserve"> to the </w:t>
                            </w:r>
                            <w:proofErr w:type="spellStart"/>
                            <w:r w:rsidRPr="00992D6B">
                              <w:t>previous</w:t>
                            </w:r>
                            <w:proofErr w:type="spellEnd"/>
                            <w:r w:rsidRPr="00992D6B">
                              <w:t xml:space="preserve"> </w:t>
                            </w:r>
                            <w:proofErr w:type="spellStart"/>
                            <w:r w:rsidRPr="00992D6B">
                              <w:t>year</w:t>
                            </w:r>
                            <w:proofErr w:type="spellEnd"/>
                            <w:r w:rsidRPr="00992D6B">
                              <w:t xml:space="preserve">, </w:t>
                            </w:r>
                            <w:proofErr w:type="spellStart"/>
                            <w:r w:rsidRPr="00992D6B">
                              <w:t>while</w:t>
                            </w:r>
                            <w:proofErr w:type="spellEnd"/>
                            <w:r w:rsidRPr="00992D6B">
                              <w:t xml:space="preserve"> the </w:t>
                            </w:r>
                            <w:proofErr w:type="spellStart"/>
                            <w:r w:rsidRPr="00992D6B">
                              <w:t>number</w:t>
                            </w:r>
                            <w:proofErr w:type="spellEnd"/>
                            <w:r w:rsidRPr="00992D6B">
                              <w:t xml:space="preserve"> of </w:t>
                            </w:r>
                            <w:proofErr w:type="spellStart"/>
                            <w:r w:rsidRPr="00992D6B">
                              <w:t>entities</w:t>
                            </w:r>
                            <w:proofErr w:type="spellEnd"/>
                            <w:r w:rsidRPr="00992D6B">
                              <w:t xml:space="preserve"> </w:t>
                            </w:r>
                            <w:proofErr w:type="spellStart"/>
                            <w:r w:rsidRPr="00992D6B">
                              <w:t>decreased</w:t>
                            </w:r>
                            <w:proofErr w:type="spellEnd"/>
                            <w:r w:rsidRPr="00992D6B">
                              <w:t xml:space="preserve"> by 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0B9348" id="_x0000_t202" coordsize="21600,21600" o:spt="202" path="m,l,21600r21600,l21600,xe">
                <v:stroke joinstyle="miter"/>
                <v:path gradientshapeok="t" o:connecttype="rect"/>
              </v:shapetype>
              <v:shape id="Pole tekstowe 3" o:spid="_x0000_s1027" type="#_x0000_t202" alt="Gross domestic expenditure on R&amp;D increased by 14.2% compared to the previous year, while the number of entities decreased by 3.5%" style="position:absolute;margin-left:413.3pt;margin-top:20.3pt;width:132pt;height:85.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" filled="f" stroked="f">
                <v:textbox>
                  <w:txbxContent>
                    <w:p w14:paraId="799121CA" w14:textId="6D94647D" w:rsidR="003F57B3" w:rsidRPr="00992D6B" w:rsidRDefault="003F57B3" w:rsidP="000075AB">
                      <w:pPr>
                        <w:pStyle w:val="tekstzboku"/>
                      </w:pPr>
                      <w:r w:rsidRPr="00992D6B">
                        <w:t xml:space="preserve">Gross </w:t>
                      </w:r>
                      <w:proofErr w:type="spellStart"/>
                      <w:r w:rsidRPr="00992D6B">
                        <w:t>domestic</w:t>
                      </w:r>
                      <w:proofErr w:type="spellEnd"/>
                      <w:r w:rsidRPr="00992D6B">
                        <w:t xml:space="preserve"> </w:t>
                      </w:r>
                      <w:proofErr w:type="spellStart"/>
                      <w:r w:rsidRPr="00992D6B">
                        <w:t>expenditure</w:t>
                      </w:r>
                      <w:proofErr w:type="spellEnd"/>
                      <w:r w:rsidRPr="00992D6B">
                        <w:t xml:space="preserve"> on R&amp;D </w:t>
                      </w:r>
                      <w:proofErr w:type="spellStart"/>
                      <w:r w:rsidRPr="00992D6B">
                        <w:t>increased</w:t>
                      </w:r>
                      <w:proofErr w:type="spellEnd"/>
                      <w:r w:rsidRPr="00992D6B">
                        <w:t xml:space="preserve"> by 14.2% </w:t>
                      </w:r>
                      <w:proofErr w:type="spellStart"/>
                      <w:r w:rsidRPr="00992D6B">
                        <w:t>compared</w:t>
                      </w:r>
                      <w:proofErr w:type="spellEnd"/>
                      <w:r w:rsidRPr="00992D6B">
                        <w:t xml:space="preserve"> to the </w:t>
                      </w:r>
                      <w:proofErr w:type="spellStart"/>
                      <w:r w:rsidRPr="00992D6B">
                        <w:t>previous</w:t>
                      </w:r>
                      <w:proofErr w:type="spellEnd"/>
                      <w:r w:rsidRPr="00992D6B">
                        <w:t xml:space="preserve"> </w:t>
                      </w:r>
                      <w:proofErr w:type="spellStart"/>
                      <w:r w:rsidRPr="00992D6B">
                        <w:t>year</w:t>
                      </w:r>
                      <w:proofErr w:type="spellEnd"/>
                      <w:r w:rsidRPr="00992D6B">
                        <w:t xml:space="preserve">, </w:t>
                      </w:r>
                      <w:proofErr w:type="spellStart"/>
                      <w:r w:rsidRPr="00992D6B">
                        <w:t>while</w:t>
                      </w:r>
                      <w:proofErr w:type="spellEnd"/>
                      <w:r w:rsidRPr="00992D6B">
                        <w:t xml:space="preserve"> the </w:t>
                      </w:r>
                      <w:proofErr w:type="spellStart"/>
                      <w:r w:rsidRPr="00992D6B">
                        <w:t>number</w:t>
                      </w:r>
                      <w:proofErr w:type="spellEnd"/>
                      <w:r w:rsidRPr="00992D6B">
                        <w:t xml:space="preserve"> of </w:t>
                      </w:r>
                      <w:proofErr w:type="spellStart"/>
                      <w:r w:rsidRPr="00992D6B">
                        <w:t>entities</w:t>
                      </w:r>
                      <w:proofErr w:type="spellEnd"/>
                      <w:r w:rsidRPr="00992D6B">
                        <w:t xml:space="preserve"> </w:t>
                      </w:r>
                      <w:proofErr w:type="spellStart"/>
                      <w:r w:rsidRPr="00992D6B">
                        <w:t>decreased</w:t>
                      </w:r>
                      <w:proofErr w:type="spellEnd"/>
                      <w:r w:rsidRPr="00992D6B">
                        <w:t xml:space="preserve"> by 3.5%</w:t>
                      </w:r>
                    </w:p>
                  </w:txbxContent>
                </v:textbox>
              </v:shape>
            </w:pict>
          </mc:Fallback>
        </mc:AlternateContent>
      </w:r>
      <w:r w:rsidR="00302EE2" w:rsidRPr="008C3F42">
        <w:rPr>
          <w:lang w:val="en-GB"/>
        </w:rPr>
        <w:t>Tabl</w:t>
      </w:r>
      <w:r w:rsidR="00754122" w:rsidRPr="008C3F42">
        <w:rPr>
          <w:lang w:val="en-GB"/>
        </w:rPr>
        <w:t>e</w:t>
      </w:r>
      <w:r w:rsidR="00302EE2" w:rsidRPr="008C3F42">
        <w:rPr>
          <w:lang w:val="en-GB"/>
        </w:rPr>
        <w:t xml:space="preserve"> 1. </w:t>
      </w:r>
      <w:r w:rsidR="00754122" w:rsidRPr="008C3F42">
        <w:rPr>
          <w:lang w:val="en-GB"/>
        </w:rPr>
        <w:t xml:space="preserve">Selected data on R&amp;D </w:t>
      </w:r>
    </w:p>
    <w:tbl>
      <w:tblPr>
        <w:tblStyle w:val="Tabela-Siatka"/>
        <w:tblpPr w:leftFromText="141" w:rightFromText="141" w:vertAnchor="text" w:horzAnchor="margin" w:tblpY="48"/>
        <w:tblW w:w="7938"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Caption w:val="Table 1. Selected data on R&amp;D "/>
      </w:tblPr>
      <w:tblGrid>
        <w:gridCol w:w="2694"/>
        <w:gridCol w:w="874"/>
        <w:gridCol w:w="874"/>
        <w:gridCol w:w="874"/>
        <w:gridCol w:w="874"/>
        <w:gridCol w:w="874"/>
        <w:gridCol w:w="874"/>
      </w:tblGrid>
      <w:tr w:rsidR="00741956" w:rsidRPr="008C3F42" w14:paraId="5E46162B" w14:textId="6BFA8E8F" w:rsidTr="000075AB">
        <w:trPr>
          <w:trHeight w:val="478"/>
        </w:trPr>
        <w:tc>
          <w:tcPr>
            <w:tcW w:w="2694" w:type="dxa"/>
            <w:tcBorders>
              <w:top w:val="single" w:sz="4" w:space="0" w:color="001D77"/>
              <w:bottom w:val="single" w:sz="4" w:space="0" w:color="001D77"/>
              <w:right w:val="single" w:sz="4" w:space="0" w:color="001D77"/>
            </w:tcBorders>
            <w:shd w:val="clear" w:color="auto" w:fill="auto"/>
            <w:vAlign w:val="center"/>
          </w:tcPr>
          <w:p w14:paraId="1B39F6E8" w14:textId="786332EF" w:rsidR="00741956" w:rsidRPr="007200C1" w:rsidRDefault="00741956" w:rsidP="00AF5FF6">
            <w:pPr>
              <w:pStyle w:val="GWKA"/>
              <w:spacing w:before="120" w:after="120" w:line="240" w:lineRule="exact"/>
              <w:rPr>
                <w:rFonts w:ascii="Fira Sans" w:hAnsi="Fira Sans"/>
                <w:color w:val="000000" w:themeColor="text1"/>
                <w:sz w:val="19"/>
                <w:szCs w:val="19"/>
                <w:lang w:val="en-GB"/>
              </w:rPr>
            </w:pPr>
            <w:r w:rsidRPr="007200C1">
              <w:rPr>
                <w:rFonts w:ascii="Fira Sans" w:hAnsi="Fira Sans"/>
                <w:color w:val="000000" w:themeColor="text1"/>
                <w:sz w:val="19"/>
                <w:szCs w:val="19"/>
                <w:lang w:val="en-GB"/>
              </w:rPr>
              <w:t>Specification</w:t>
            </w:r>
          </w:p>
        </w:tc>
        <w:tc>
          <w:tcPr>
            <w:tcW w:w="874" w:type="dxa"/>
            <w:tcBorders>
              <w:top w:val="single" w:sz="4" w:space="0" w:color="001D77"/>
              <w:left w:val="single" w:sz="4" w:space="0" w:color="001D77"/>
              <w:bottom w:val="single" w:sz="4" w:space="0" w:color="001D77"/>
              <w:right w:val="single" w:sz="4" w:space="0" w:color="001D77"/>
            </w:tcBorders>
            <w:shd w:val="clear" w:color="auto" w:fill="auto"/>
          </w:tcPr>
          <w:p w14:paraId="40D58B10" w14:textId="4AAC9B3E" w:rsidR="00741956" w:rsidRPr="007200C1" w:rsidRDefault="00741956" w:rsidP="00AF5FF6">
            <w:pPr>
              <w:spacing w:line="240" w:lineRule="exact"/>
              <w:jc w:val="center"/>
              <w:rPr>
                <w:rFonts w:cs="Arial"/>
                <w:color w:val="000000" w:themeColor="text1"/>
                <w:szCs w:val="19"/>
                <w:lang w:val="en-GB"/>
              </w:rPr>
            </w:pPr>
            <w:r w:rsidRPr="007200C1">
              <w:rPr>
                <w:rFonts w:cs="Arial"/>
                <w:color w:val="000000" w:themeColor="text1"/>
                <w:szCs w:val="19"/>
                <w:lang w:val="en-GB"/>
              </w:rPr>
              <w:t>2020</w:t>
            </w:r>
          </w:p>
        </w:tc>
        <w:tc>
          <w:tcPr>
            <w:tcW w:w="874" w:type="dxa"/>
            <w:tcBorders>
              <w:top w:val="single" w:sz="4" w:space="0" w:color="001D77"/>
              <w:left w:val="single" w:sz="4" w:space="0" w:color="001D77"/>
              <w:bottom w:val="single" w:sz="4" w:space="0" w:color="001D77"/>
              <w:right w:val="single" w:sz="4" w:space="0" w:color="001D77"/>
            </w:tcBorders>
            <w:shd w:val="clear" w:color="auto" w:fill="auto"/>
          </w:tcPr>
          <w:p w14:paraId="5B44BC2D" w14:textId="70B61574" w:rsidR="00741956" w:rsidRPr="007200C1" w:rsidRDefault="00741956" w:rsidP="00AF5FF6">
            <w:pPr>
              <w:spacing w:line="240" w:lineRule="exact"/>
              <w:jc w:val="center"/>
              <w:rPr>
                <w:rFonts w:cs="Arial"/>
                <w:color w:val="000000" w:themeColor="text1"/>
                <w:szCs w:val="19"/>
                <w:lang w:val="en-GB"/>
              </w:rPr>
            </w:pPr>
            <w:r w:rsidRPr="007200C1">
              <w:rPr>
                <w:rFonts w:cs="Arial"/>
                <w:color w:val="000000" w:themeColor="text1"/>
                <w:szCs w:val="19"/>
                <w:lang w:val="en-GB"/>
              </w:rPr>
              <w:t>2021</w:t>
            </w:r>
          </w:p>
        </w:tc>
        <w:tc>
          <w:tcPr>
            <w:tcW w:w="874" w:type="dxa"/>
            <w:tcBorders>
              <w:top w:val="single" w:sz="4" w:space="0" w:color="001D77"/>
              <w:left w:val="single" w:sz="4" w:space="0" w:color="001D77"/>
              <w:bottom w:val="single" w:sz="4" w:space="0" w:color="001D77"/>
              <w:right w:val="single" w:sz="4" w:space="0" w:color="001D77"/>
            </w:tcBorders>
          </w:tcPr>
          <w:p w14:paraId="76F4029B" w14:textId="0C97B635" w:rsidR="00741956" w:rsidRPr="007200C1" w:rsidRDefault="00741956" w:rsidP="00AF5FF6">
            <w:pPr>
              <w:spacing w:line="240" w:lineRule="exact"/>
              <w:jc w:val="center"/>
              <w:rPr>
                <w:rFonts w:cs="Arial"/>
                <w:color w:val="000000" w:themeColor="text1"/>
                <w:szCs w:val="19"/>
                <w:lang w:val="en-GB"/>
              </w:rPr>
            </w:pPr>
            <w:r w:rsidRPr="007200C1">
              <w:rPr>
                <w:rFonts w:cs="Arial"/>
                <w:color w:val="000000" w:themeColor="text1"/>
                <w:szCs w:val="19"/>
                <w:lang w:val="en-GB"/>
              </w:rPr>
              <w:t>2022</w:t>
            </w:r>
          </w:p>
        </w:tc>
        <w:tc>
          <w:tcPr>
            <w:tcW w:w="874" w:type="dxa"/>
            <w:tcBorders>
              <w:top w:val="single" w:sz="4" w:space="0" w:color="001D77"/>
              <w:left w:val="single" w:sz="4" w:space="0" w:color="001D77"/>
              <w:bottom w:val="single" w:sz="4" w:space="0" w:color="001D77"/>
            </w:tcBorders>
          </w:tcPr>
          <w:p w14:paraId="0A14E29B" w14:textId="2E8B07FB" w:rsidR="00741956" w:rsidRPr="007200C1" w:rsidRDefault="00741956" w:rsidP="00AF5FF6">
            <w:pPr>
              <w:spacing w:line="240" w:lineRule="exact"/>
              <w:jc w:val="center"/>
              <w:rPr>
                <w:rFonts w:cs="Arial"/>
                <w:color w:val="000000" w:themeColor="text1"/>
                <w:szCs w:val="19"/>
                <w:lang w:val="en-GB"/>
              </w:rPr>
            </w:pPr>
            <w:r w:rsidRPr="007200C1">
              <w:rPr>
                <w:rFonts w:cs="Arial"/>
                <w:color w:val="000000" w:themeColor="text1"/>
                <w:szCs w:val="19"/>
                <w:lang w:val="en-GB"/>
              </w:rPr>
              <w:t>2023</w:t>
            </w:r>
          </w:p>
        </w:tc>
        <w:tc>
          <w:tcPr>
            <w:tcW w:w="874" w:type="dxa"/>
            <w:tcBorders>
              <w:top w:val="single" w:sz="4" w:space="0" w:color="001D77"/>
              <w:left w:val="single" w:sz="4" w:space="0" w:color="001D77"/>
              <w:bottom w:val="single" w:sz="4" w:space="0" w:color="001D77"/>
            </w:tcBorders>
          </w:tcPr>
          <w:p w14:paraId="7ABCA2ED" w14:textId="5FEAEE2C" w:rsidR="00741956" w:rsidRPr="007200C1" w:rsidRDefault="00741956" w:rsidP="00AF5FF6">
            <w:pPr>
              <w:spacing w:line="240" w:lineRule="exact"/>
              <w:jc w:val="center"/>
              <w:rPr>
                <w:rFonts w:cs="Arial"/>
                <w:color w:val="000000" w:themeColor="text1"/>
                <w:szCs w:val="19"/>
                <w:lang w:val="en-GB"/>
              </w:rPr>
            </w:pPr>
            <w:r w:rsidRPr="007200C1">
              <w:rPr>
                <w:rFonts w:cs="Arial"/>
                <w:color w:val="000000" w:themeColor="text1"/>
                <w:szCs w:val="19"/>
                <w:lang w:val="en-GB"/>
              </w:rPr>
              <w:t>2024</w:t>
            </w:r>
          </w:p>
        </w:tc>
        <w:tc>
          <w:tcPr>
            <w:tcW w:w="874" w:type="dxa"/>
            <w:tcBorders>
              <w:top w:val="single" w:sz="4" w:space="0" w:color="001D77"/>
              <w:left w:val="single" w:sz="4" w:space="0" w:color="001D77"/>
              <w:bottom w:val="single" w:sz="4" w:space="0" w:color="001D77"/>
              <w:right w:val="nil"/>
            </w:tcBorders>
          </w:tcPr>
          <w:p w14:paraId="32558CDD" w14:textId="3DB8E995" w:rsidR="00741956" w:rsidRPr="007200C1" w:rsidRDefault="00741956" w:rsidP="00AF5FF6">
            <w:pPr>
              <w:spacing w:line="240" w:lineRule="exact"/>
              <w:ind w:left="-57" w:right="-57"/>
              <w:jc w:val="center"/>
              <w:rPr>
                <w:rFonts w:cs="Arial"/>
                <w:color w:val="000000" w:themeColor="text1"/>
                <w:szCs w:val="19"/>
                <w:lang w:val="en-GB"/>
              </w:rPr>
            </w:pPr>
            <w:r w:rsidRPr="007200C1">
              <w:rPr>
                <w:rFonts w:cs="Arial"/>
                <w:color w:val="000000" w:themeColor="text1"/>
                <w:szCs w:val="19"/>
                <w:lang w:val="en-GB"/>
              </w:rPr>
              <w:t>2025</w:t>
            </w:r>
          </w:p>
        </w:tc>
      </w:tr>
      <w:tr w:rsidR="00741956" w:rsidRPr="008C3F42" w14:paraId="23C47582" w14:textId="474A1FFC" w:rsidTr="000075AB">
        <w:trPr>
          <w:trHeight w:val="481"/>
        </w:trPr>
        <w:tc>
          <w:tcPr>
            <w:tcW w:w="2694" w:type="dxa"/>
            <w:tcBorders>
              <w:top w:val="single" w:sz="4" w:space="0" w:color="001D77"/>
              <w:bottom w:val="single" w:sz="4" w:space="0" w:color="001D77"/>
              <w:right w:val="single" w:sz="4" w:space="0" w:color="001D77"/>
            </w:tcBorders>
            <w:vAlign w:val="bottom"/>
          </w:tcPr>
          <w:p w14:paraId="41CD62DC" w14:textId="3C27A825" w:rsidR="00741956" w:rsidRPr="007200C1" w:rsidRDefault="00741956" w:rsidP="00AF5FF6">
            <w:pPr>
              <w:pStyle w:val="BOK0"/>
              <w:spacing w:before="120" w:after="120" w:line="240" w:lineRule="exact"/>
              <w:ind w:left="-57" w:firstLine="0"/>
              <w:rPr>
                <w:rFonts w:ascii="Fira Sans" w:hAnsi="Fira Sans"/>
                <w:color w:val="000000" w:themeColor="text1"/>
                <w:spacing w:val="-4"/>
                <w:sz w:val="19"/>
                <w:szCs w:val="19"/>
                <w:lang w:val="en-GB"/>
              </w:rPr>
            </w:pPr>
            <w:r w:rsidRPr="007200C1">
              <w:rPr>
                <w:rFonts w:ascii="Fira Sans" w:hAnsi="Fira Sans"/>
                <w:color w:val="000000" w:themeColor="text1"/>
                <w:spacing w:val="-4"/>
                <w:sz w:val="19"/>
                <w:szCs w:val="19"/>
                <w:lang w:val="en-GB"/>
              </w:rPr>
              <w:t>Number of entities in R&amp;D</w:t>
            </w:r>
          </w:p>
        </w:tc>
        <w:tc>
          <w:tcPr>
            <w:tcW w:w="874" w:type="dxa"/>
            <w:tcBorders>
              <w:top w:val="single" w:sz="4" w:space="0" w:color="001D77"/>
              <w:left w:val="single" w:sz="4" w:space="0" w:color="001D77"/>
              <w:bottom w:val="single" w:sz="4" w:space="0" w:color="001D77"/>
              <w:right w:val="single" w:sz="4" w:space="0" w:color="001D77"/>
            </w:tcBorders>
            <w:vAlign w:val="center"/>
          </w:tcPr>
          <w:p w14:paraId="3238F420" w14:textId="2DD2F57E"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lang w:val="en-GB"/>
              </w:rPr>
              <w:t>6 381</w:t>
            </w:r>
          </w:p>
        </w:tc>
        <w:tc>
          <w:tcPr>
            <w:tcW w:w="874" w:type="dxa"/>
            <w:tcBorders>
              <w:top w:val="single" w:sz="4" w:space="0" w:color="001D77"/>
              <w:left w:val="single" w:sz="4" w:space="0" w:color="001D77"/>
              <w:bottom w:val="single" w:sz="4" w:space="0" w:color="001D77"/>
            </w:tcBorders>
            <w:vAlign w:val="center"/>
          </w:tcPr>
          <w:p w14:paraId="4DFA38AE" w14:textId="2D97DFBD"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7 370</w:t>
            </w:r>
          </w:p>
        </w:tc>
        <w:tc>
          <w:tcPr>
            <w:tcW w:w="874" w:type="dxa"/>
            <w:tcBorders>
              <w:top w:val="single" w:sz="4" w:space="0" w:color="001D77"/>
              <w:left w:val="single" w:sz="4" w:space="0" w:color="001D77"/>
              <w:bottom w:val="single" w:sz="4" w:space="0" w:color="001D77"/>
            </w:tcBorders>
            <w:vAlign w:val="center"/>
          </w:tcPr>
          <w:p w14:paraId="135D48E0" w14:textId="5F451849"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7 431</w:t>
            </w:r>
          </w:p>
        </w:tc>
        <w:tc>
          <w:tcPr>
            <w:tcW w:w="874" w:type="dxa"/>
            <w:tcBorders>
              <w:top w:val="single" w:sz="4" w:space="0" w:color="001D77"/>
              <w:left w:val="single" w:sz="4" w:space="0" w:color="001D77"/>
              <w:bottom w:val="single" w:sz="4" w:space="0" w:color="001D77"/>
            </w:tcBorders>
            <w:vAlign w:val="center"/>
          </w:tcPr>
          <w:p w14:paraId="7CC16ECC" w14:textId="37673EE8"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7 549</w:t>
            </w:r>
          </w:p>
        </w:tc>
        <w:tc>
          <w:tcPr>
            <w:tcW w:w="874" w:type="dxa"/>
            <w:tcBorders>
              <w:top w:val="single" w:sz="4" w:space="0" w:color="001D77"/>
              <w:left w:val="single" w:sz="4" w:space="0" w:color="001D77"/>
              <w:bottom w:val="single" w:sz="4" w:space="0" w:color="001D77"/>
            </w:tcBorders>
            <w:vAlign w:val="center"/>
          </w:tcPr>
          <w:p w14:paraId="2E44EA50" w14:textId="078ACC3B"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rPr>
            </w:pPr>
            <w:r w:rsidRPr="007200C1">
              <w:rPr>
                <w:rFonts w:ascii="Fira Sans" w:hAnsi="Fira Sans"/>
                <w:color w:val="000000" w:themeColor="text1"/>
                <w:sz w:val="19"/>
                <w:szCs w:val="19"/>
              </w:rPr>
              <w:t>7 272</w:t>
            </w:r>
          </w:p>
        </w:tc>
        <w:tc>
          <w:tcPr>
            <w:tcW w:w="874" w:type="dxa"/>
            <w:tcBorders>
              <w:top w:val="single" w:sz="4" w:space="0" w:color="001D77"/>
              <w:left w:val="single" w:sz="4" w:space="0" w:color="001D77"/>
              <w:bottom w:val="single" w:sz="4" w:space="0" w:color="001D77"/>
              <w:right w:val="nil"/>
            </w:tcBorders>
            <w:vAlign w:val="center"/>
          </w:tcPr>
          <w:p w14:paraId="6F779D28" w14:textId="292D9087"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rPr>
            </w:pPr>
            <w:r w:rsidRPr="007200C1">
              <w:rPr>
                <w:rFonts w:ascii="Fira Sans" w:hAnsi="Fira Sans"/>
                <w:color w:val="000000" w:themeColor="text1"/>
                <w:sz w:val="19"/>
                <w:szCs w:val="19"/>
              </w:rPr>
              <w:t>7 018</w:t>
            </w:r>
          </w:p>
        </w:tc>
      </w:tr>
      <w:tr w:rsidR="00741956" w:rsidRPr="008C3F42" w14:paraId="14F2E86A" w14:textId="523E2F02" w:rsidTr="000075AB">
        <w:trPr>
          <w:trHeight w:val="574"/>
        </w:trPr>
        <w:tc>
          <w:tcPr>
            <w:tcW w:w="2694" w:type="dxa"/>
            <w:tcBorders>
              <w:top w:val="single" w:sz="4" w:space="0" w:color="001D77"/>
              <w:bottom w:val="single" w:sz="4" w:space="0" w:color="001D77"/>
              <w:right w:val="single" w:sz="4" w:space="0" w:color="001D77"/>
            </w:tcBorders>
            <w:vAlign w:val="bottom"/>
          </w:tcPr>
          <w:p w14:paraId="42DCB732" w14:textId="3EB17053" w:rsidR="00741956" w:rsidRPr="007200C1" w:rsidRDefault="00741956" w:rsidP="00AF5FF6">
            <w:pPr>
              <w:pStyle w:val="BOK0"/>
              <w:spacing w:before="120" w:after="120" w:line="240" w:lineRule="exact"/>
              <w:ind w:left="-57" w:firstLine="0"/>
              <w:rPr>
                <w:rFonts w:ascii="Fira Sans" w:hAnsi="Fira Sans"/>
                <w:color w:val="000000" w:themeColor="text1"/>
                <w:sz w:val="19"/>
                <w:szCs w:val="19"/>
                <w:lang w:val="en-GB"/>
              </w:rPr>
            </w:pPr>
            <w:r w:rsidRPr="007200C1">
              <w:rPr>
                <w:rFonts w:ascii="Fira Sans" w:hAnsi="Fira Sans"/>
                <w:color w:val="000000" w:themeColor="text1"/>
                <w:sz w:val="19"/>
                <w:szCs w:val="19"/>
                <w:lang w:val="en-GB"/>
              </w:rPr>
              <w:t xml:space="preserve">Gross domestic expenditure </w:t>
            </w:r>
            <w:r w:rsidRPr="007200C1">
              <w:rPr>
                <w:rFonts w:ascii="Fira Sans" w:hAnsi="Fira Sans"/>
                <w:color w:val="000000" w:themeColor="text1"/>
                <w:spacing w:val="-4"/>
                <w:sz w:val="19"/>
                <w:szCs w:val="19"/>
                <w:lang w:val="en-GB"/>
              </w:rPr>
              <w:t>on R&amp;D (GERD) in million PLN</w:t>
            </w:r>
            <w:r w:rsidRPr="007200C1">
              <w:rPr>
                <w:rFonts w:ascii="Fira Sans" w:hAnsi="Fira Sans"/>
                <w:color w:val="000000" w:themeColor="text1"/>
                <w:sz w:val="19"/>
                <w:szCs w:val="19"/>
                <w:lang w:val="en-GB"/>
              </w:rPr>
              <w:t xml:space="preserve"> </w:t>
            </w:r>
          </w:p>
        </w:tc>
        <w:tc>
          <w:tcPr>
            <w:tcW w:w="874" w:type="dxa"/>
            <w:tcBorders>
              <w:top w:val="single" w:sz="4" w:space="0" w:color="001D77"/>
              <w:left w:val="single" w:sz="4" w:space="0" w:color="001D77"/>
              <w:bottom w:val="single" w:sz="4" w:space="0" w:color="001D77"/>
              <w:right w:val="single" w:sz="4" w:space="0" w:color="001D77"/>
            </w:tcBorders>
            <w:vAlign w:val="center"/>
          </w:tcPr>
          <w:p w14:paraId="48854D8D" w14:textId="373EE8DF" w:rsidR="00741956" w:rsidRPr="007200C1" w:rsidRDefault="00741956" w:rsidP="00AF5FF6">
            <w:pPr>
              <w:pStyle w:val="DANE"/>
              <w:spacing w:before="120" w:after="120" w:line="240" w:lineRule="exact"/>
              <w:ind w:left="-113" w:right="-9"/>
              <w:contextualSpacing w:val="0"/>
              <w:rPr>
                <w:rFonts w:ascii="Fira Sans" w:hAnsi="Fira Sans"/>
                <w:color w:val="000000" w:themeColor="text1"/>
                <w:spacing w:val="-4"/>
                <w:sz w:val="19"/>
                <w:szCs w:val="19"/>
                <w:lang w:val="en-GB"/>
              </w:rPr>
            </w:pPr>
            <w:r w:rsidRPr="007200C1">
              <w:rPr>
                <w:rFonts w:ascii="Fira Sans" w:hAnsi="Fira Sans"/>
                <w:color w:val="000000" w:themeColor="text1"/>
                <w:sz w:val="19"/>
                <w:szCs w:val="19"/>
                <w:lang w:val="en-GB"/>
              </w:rPr>
              <w:t>32 402</w:t>
            </w:r>
          </w:p>
        </w:tc>
        <w:tc>
          <w:tcPr>
            <w:tcW w:w="874" w:type="dxa"/>
            <w:tcBorders>
              <w:top w:val="single" w:sz="4" w:space="0" w:color="001D77"/>
              <w:left w:val="single" w:sz="4" w:space="0" w:color="001D77"/>
              <w:bottom w:val="single" w:sz="4" w:space="0" w:color="001D77"/>
              <w:right w:val="nil"/>
            </w:tcBorders>
            <w:vAlign w:val="center"/>
          </w:tcPr>
          <w:p w14:paraId="3CFCF14A" w14:textId="430B1581"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37 676</w:t>
            </w:r>
          </w:p>
        </w:tc>
        <w:tc>
          <w:tcPr>
            <w:tcW w:w="874" w:type="dxa"/>
            <w:tcBorders>
              <w:top w:val="single" w:sz="4" w:space="0" w:color="001D77"/>
              <w:left w:val="single" w:sz="4" w:space="0" w:color="001D77"/>
              <w:bottom w:val="single" w:sz="4" w:space="0" w:color="001D77"/>
              <w:right w:val="nil"/>
            </w:tcBorders>
            <w:vAlign w:val="center"/>
          </w:tcPr>
          <w:p w14:paraId="4EC18045" w14:textId="3B007121"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44 702</w:t>
            </w:r>
          </w:p>
        </w:tc>
        <w:tc>
          <w:tcPr>
            <w:tcW w:w="874" w:type="dxa"/>
            <w:tcBorders>
              <w:top w:val="single" w:sz="4" w:space="0" w:color="001D77"/>
              <w:left w:val="single" w:sz="4" w:space="0" w:color="001D77"/>
              <w:bottom w:val="single" w:sz="4" w:space="0" w:color="001D77"/>
              <w:right w:val="nil"/>
            </w:tcBorders>
            <w:vAlign w:val="center"/>
          </w:tcPr>
          <w:p w14:paraId="7062AF7B" w14:textId="0BF53E65"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53 116</w:t>
            </w:r>
          </w:p>
        </w:tc>
        <w:tc>
          <w:tcPr>
            <w:tcW w:w="874" w:type="dxa"/>
            <w:tcBorders>
              <w:top w:val="single" w:sz="4" w:space="0" w:color="001D77"/>
              <w:left w:val="single" w:sz="4" w:space="0" w:color="001D77"/>
              <w:bottom w:val="single" w:sz="4" w:space="0" w:color="001D77"/>
              <w:right w:val="single" w:sz="4" w:space="0" w:color="001D77"/>
            </w:tcBorders>
            <w:vAlign w:val="center"/>
          </w:tcPr>
          <w:p w14:paraId="69283D84" w14:textId="4CE2914A"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rPr>
            </w:pPr>
            <w:r w:rsidRPr="007200C1">
              <w:rPr>
                <w:rFonts w:ascii="Fira Sans" w:hAnsi="Fira Sans"/>
                <w:color w:val="000000" w:themeColor="text1"/>
                <w:sz w:val="19"/>
                <w:szCs w:val="19"/>
              </w:rPr>
              <w:t>51 478</w:t>
            </w:r>
          </w:p>
        </w:tc>
        <w:tc>
          <w:tcPr>
            <w:tcW w:w="874" w:type="dxa"/>
            <w:tcBorders>
              <w:top w:val="single" w:sz="4" w:space="0" w:color="001D77"/>
              <w:left w:val="single" w:sz="4" w:space="0" w:color="001D77"/>
              <w:bottom w:val="single" w:sz="4" w:space="0" w:color="001D77"/>
              <w:right w:val="nil"/>
            </w:tcBorders>
            <w:vAlign w:val="center"/>
          </w:tcPr>
          <w:p w14:paraId="370166CA" w14:textId="1876BBC0" w:rsidR="00741956" w:rsidRPr="007200C1" w:rsidRDefault="00741956" w:rsidP="00AF5FF6">
            <w:pPr>
              <w:pStyle w:val="DANE"/>
              <w:spacing w:before="120" w:after="120" w:line="240" w:lineRule="exact"/>
              <w:ind w:left="-57" w:right="-57"/>
              <w:contextualSpacing w:val="0"/>
              <w:rPr>
                <w:rFonts w:ascii="Fira Sans" w:hAnsi="Fira Sans"/>
                <w:color w:val="000000" w:themeColor="text1"/>
                <w:sz w:val="19"/>
                <w:szCs w:val="19"/>
              </w:rPr>
            </w:pPr>
            <w:r w:rsidRPr="007200C1">
              <w:rPr>
                <w:rFonts w:ascii="Fira Sans" w:hAnsi="Fira Sans"/>
                <w:color w:val="000000" w:themeColor="text1"/>
                <w:sz w:val="19"/>
                <w:szCs w:val="19"/>
              </w:rPr>
              <w:t>58 763</w:t>
            </w:r>
          </w:p>
        </w:tc>
      </w:tr>
      <w:tr w:rsidR="00741956" w:rsidRPr="008C3F42" w14:paraId="37C9D4F9" w14:textId="6FB730FA" w:rsidTr="000075AB">
        <w:trPr>
          <w:trHeight w:val="683"/>
        </w:trPr>
        <w:tc>
          <w:tcPr>
            <w:tcW w:w="2694" w:type="dxa"/>
            <w:tcBorders>
              <w:top w:val="single" w:sz="4" w:space="0" w:color="001D77"/>
              <w:bottom w:val="nil"/>
              <w:right w:val="single" w:sz="4" w:space="0" w:color="001D77"/>
            </w:tcBorders>
            <w:vAlign w:val="center"/>
          </w:tcPr>
          <w:p w14:paraId="45CADF2F" w14:textId="53D2BF56" w:rsidR="00741956" w:rsidRPr="007200C1" w:rsidRDefault="00741956" w:rsidP="00AF5FF6">
            <w:pPr>
              <w:pStyle w:val="BOK0"/>
              <w:spacing w:before="120" w:after="120" w:line="240" w:lineRule="exact"/>
              <w:ind w:left="-57" w:firstLine="0"/>
              <w:rPr>
                <w:rFonts w:ascii="Fira Sans" w:hAnsi="Fira Sans"/>
                <w:color w:val="000000" w:themeColor="text1"/>
                <w:spacing w:val="-4"/>
                <w:sz w:val="19"/>
                <w:szCs w:val="19"/>
                <w:lang w:val="en-GB"/>
              </w:rPr>
            </w:pPr>
            <w:r w:rsidRPr="007200C1">
              <w:rPr>
                <w:rFonts w:ascii="Fira Sans" w:hAnsi="Fira Sans"/>
                <w:color w:val="000000" w:themeColor="text1"/>
                <w:spacing w:val="-4"/>
                <w:sz w:val="19"/>
                <w:szCs w:val="19"/>
                <w:lang w:val="en-GB"/>
              </w:rPr>
              <w:t xml:space="preserve">Relation of GERD to GDP </w:t>
            </w:r>
            <w:r w:rsidR="007579DF">
              <w:rPr>
                <w:rFonts w:ascii="Fira Sans" w:hAnsi="Fira Sans"/>
                <w:color w:val="000000" w:themeColor="text1"/>
                <w:spacing w:val="-4"/>
                <w:sz w:val="19"/>
                <w:szCs w:val="19"/>
                <w:lang w:val="en-GB"/>
              </w:rPr>
              <w:t>(</w:t>
            </w:r>
            <w:r w:rsidRPr="007200C1">
              <w:rPr>
                <w:rFonts w:ascii="Fira Sans" w:hAnsi="Fira Sans"/>
                <w:color w:val="000000" w:themeColor="text1"/>
                <w:spacing w:val="-4"/>
                <w:sz w:val="19"/>
                <w:szCs w:val="19"/>
                <w:lang w:val="en-GB"/>
              </w:rPr>
              <w:t>in %</w:t>
            </w:r>
            <w:r w:rsidR="007579DF">
              <w:rPr>
                <w:rFonts w:ascii="Fira Sans" w:hAnsi="Fira Sans"/>
                <w:color w:val="000000" w:themeColor="text1"/>
                <w:spacing w:val="-4"/>
                <w:sz w:val="19"/>
                <w:szCs w:val="19"/>
                <w:lang w:val="en-GB"/>
              </w:rPr>
              <w:t>)</w:t>
            </w:r>
          </w:p>
        </w:tc>
        <w:tc>
          <w:tcPr>
            <w:tcW w:w="874" w:type="dxa"/>
            <w:tcBorders>
              <w:top w:val="single" w:sz="4" w:space="0" w:color="001D77"/>
              <w:left w:val="single" w:sz="4" w:space="0" w:color="001D77"/>
              <w:bottom w:val="nil"/>
              <w:right w:val="single" w:sz="4" w:space="0" w:color="001D77"/>
            </w:tcBorders>
            <w:vAlign w:val="center"/>
          </w:tcPr>
          <w:p w14:paraId="01D16357" w14:textId="0952F5CF" w:rsidR="00741956" w:rsidRPr="007200C1" w:rsidRDefault="00741956" w:rsidP="00AF5FF6">
            <w:pPr>
              <w:spacing w:line="240" w:lineRule="exact"/>
              <w:ind w:left="-113" w:right="-28"/>
              <w:jc w:val="right"/>
              <w:rPr>
                <w:color w:val="000000" w:themeColor="text1"/>
                <w:szCs w:val="19"/>
                <w:lang w:val="en-GB"/>
              </w:rPr>
            </w:pPr>
            <w:r w:rsidRPr="007200C1">
              <w:rPr>
                <w:color w:val="000000" w:themeColor="text1"/>
                <w:szCs w:val="19"/>
              </w:rPr>
              <w:t>1.37</w:t>
            </w:r>
          </w:p>
        </w:tc>
        <w:tc>
          <w:tcPr>
            <w:tcW w:w="874" w:type="dxa"/>
            <w:tcBorders>
              <w:top w:val="single" w:sz="4" w:space="0" w:color="001D77"/>
              <w:left w:val="single" w:sz="4" w:space="0" w:color="001D77"/>
              <w:bottom w:val="nil"/>
            </w:tcBorders>
            <w:vAlign w:val="center"/>
          </w:tcPr>
          <w:p w14:paraId="58DCB5CE" w14:textId="4EACB6FA"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1.42</w:t>
            </w:r>
          </w:p>
        </w:tc>
        <w:tc>
          <w:tcPr>
            <w:tcW w:w="874" w:type="dxa"/>
            <w:tcBorders>
              <w:top w:val="single" w:sz="4" w:space="0" w:color="001D77"/>
              <w:left w:val="single" w:sz="4" w:space="0" w:color="001D77"/>
              <w:bottom w:val="nil"/>
            </w:tcBorders>
            <w:vAlign w:val="center"/>
          </w:tcPr>
          <w:p w14:paraId="26377855" w14:textId="52F4782D"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1.44</w:t>
            </w:r>
          </w:p>
        </w:tc>
        <w:tc>
          <w:tcPr>
            <w:tcW w:w="874" w:type="dxa"/>
            <w:tcBorders>
              <w:top w:val="single" w:sz="4" w:space="0" w:color="001D77"/>
              <w:left w:val="single" w:sz="4" w:space="0" w:color="001D77"/>
              <w:bottom w:val="nil"/>
            </w:tcBorders>
            <w:vAlign w:val="center"/>
          </w:tcPr>
          <w:p w14:paraId="39100CDA" w14:textId="75816249"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lang w:val="en-GB"/>
              </w:rPr>
            </w:pPr>
            <w:r w:rsidRPr="007200C1">
              <w:rPr>
                <w:rFonts w:ascii="Fira Sans" w:hAnsi="Fira Sans"/>
                <w:color w:val="000000" w:themeColor="text1"/>
                <w:sz w:val="19"/>
                <w:szCs w:val="19"/>
              </w:rPr>
              <w:t>1.56</w:t>
            </w:r>
          </w:p>
        </w:tc>
        <w:tc>
          <w:tcPr>
            <w:tcW w:w="874" w:type="dxa"/>
            <w:tcBorders>
              <w:top w:val="single" w:sz="4" w:space="0" w:color="001D77"/>
              <w:left w:val="single" w:sz="4" w:space="0" w:color="001D77"/>
              <w:bottom w:val="nil"/>
            </w:tcBorders>
            <w:vAlign w:val="center"/>
          </w:tcPr>
          <w:p w14:paraId="1B0D4B90" w14:textId="64E3BE8A"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rPr>
            </w:pPr>
            <w:r w:rsidRPr="007200C1">
              <w:rPr>
                <w:rFonts w:ascii="Fira Sans" w:hAnsi="Fira Sans"/>
                <w:color w:val="000000" w:themeColor="text1"/>
                <w:sz w:val="19"/>
                <w:szCs w:val="19"/>
              </w:rPr>
              <w:t>1.41</w:t>
            </w:r>
          </w:p>
        </w:tc>
        <w:tc>
          <w:tcPr>
            <w:tcW w:w="874" w:type="dxa"/>
            <w:tcBorders>
              <w:top w:val="single" w:sz="4" w:space="0" w:color="001D77"/>
              <w:left w:val="single" w:sz="4" w:space="0" w:color="001D77"/>
              <w:bottom w:val="nil"/>
              <w:right w:val="nil"/>
            </w:tcBorders>
            <w:vAlign w:val="center"/>
          </w:tcPr>
          <w:p w14:paraId="320B9D87" w14:textId="2FEB6F77" w:rsidR="00741956" w:rsidRPr="007200C1" w:rsidRDefault="00741956" w:rsidP="00AF5FF6">
            <w:pPr>
              <w:pStyle w:val="DANE"/>
              <w:spacing w:before="120" w:after="120" w:line="240" w:lineRule="exact"/>
              <w:ind w:left="-113" w:right="-28"/>
              <w:contextualSpacing w:val="0"/>
              <w:rPr>
                <w:rFonts w:ascii="Fira Sans" w:hAnsi="Fira Sans"/>
                <w:color w:val="000000" w:themeColor="text1"/>
                <w:sz w:val="19"/>
                <w:szCs w:val="19"/>
              </w:rPr>
            </w:pPr>
            <w:r w:rsidRPr="007200C1">
              <w:rPr>
                <w:rFonts w:ascii="Fira Sans" w:hAnsi="Fira Sans"/>
                <w:color w:val="000000" w:themeColor="text1"/>
                <w:sz w:val="19"/>
                <w:szCs w:val="19"/>
              </w:rPr>
              <w:t>1.50</w:t>
            </w:r>
          </w:p>
        </w:tc>
      </w:tr>
    </w:tbl>
    <w:p w14:paraId="6EC90CE1" w14:textId="7F77BCAD" w:rsidR="00BE3137" w:rsidRPr="001B7EA3" w:rsidRDefault="00BE3137" w:rsidP="002867F8">
      <w:pPr>
        <w:rPr>
          <w:lang w:val="en-US"/>
        </w:rPr>
      </w:pPr>
    </w:p>
    <w:p w14:paraId="79B573C0" w14:textId="5825361B" w:rsidR="00302EE2" w:rsidRPr="00905986" w:rsidRDefault="002867F8">
      <w:pPr>
        <w:pStyle w:val="Nagwek1"/>
        <w:rPr>
          <w:lang w:val="en-US"/>
        </w:rPr>
      </w:pPr>
      <w:r w:rsidRPr="00905986">
        <w:rPr>
          <w:lang w:val="en-US"/>
        </w:rPr>
        <w:t>Intramural expenditure on research and development</w:t>
      </w:r>
    </w:p>
    <w:p w14:paraId="64C64AFB" w14:textId="537E3D51" w:rsidR="00302EE2" w:rsidRDefault="00277294" w:rsidP="00693F73">
      <w:pPr>
        <w:rPr>
          <w:lang w:val="en-GB" w:eastAsia="pl-PL"/>
        </w:rPr>
      </w:pPr>
      <w:r>
        <w:rPr>
          <w:lang w:val="en-GB" w:eastAsia="pl-PL"/>
        </w:rPr>
        <w:t>The</w:t>
      </w:r>
      <w:r w:rsidRPr="008C3F42">
        <w:rPr>
          <w:lang w:val="en-GB" w:eastAsia="pl-PL"/>
        </w:rPr>
        <w:t xml:space="preserve"> structure of intram</w:t>
      </w:r>
      <w:r>
        <w:rPr>
          <w:lang w:val="en-GB" w:eastAsia="pl-PL"/>
        </w:rPr>
        <w:t>ural expenditure on R&amp;D activities by type</w:t>
      </w:r>
      <w:r w:rsidRPr="008C3F42">
        <w:rPr>
          <w:lang w:val="en-GB" w:eastAsia="pl-PL"/>
        </w:rPr>
        <w:t xml:space="preserve"> of costs</w:t>
      </w:r>
      <w:r>
        <w:rPr>
          <w:lang w:val="en-GB" w:eastAsia="pl-PL"/>
        </w:rPr>
        <w:t xml:space="preserve"> </w:t>
      </w:r>
      <w:r w:rsidRPr="00830AC7">
        <w:rPr>
          <w:lang w:val="en-GB" w:eastAsia="pl-PL"/>
        </w:rPr>
        <w:t>was invariably dominated by current expenditure</w:t>
      </w:r>
      <w:r w:rsidRPr="008C3F42">
        <w:rPr>
          <w:lang w:val="en-GB" w:eastAsia="pl-PL"/>
        </w:rPr>
        <w:t xml:space="preserve">. </w:t>
      </w:r>
      <w:r w:rsidR="000F4AA2" w:rsidRPr="000F4AA2">
        <w:rPr>
          <w:lang w:val="en-GB" w:eastAsia="pl-PL"/>
        </w:rPr>
        <w:t>They accounted for 89.7% of all gross domestic expenditure incurred on research and development projects.</w:t>
      </w:r>
    </w:p>
    <w:p w14:paraId="731383C2" w14:textId="79D748DE" w:rsidR="00865117" w:rsidRDefault="00865117" w:rsidP="00865117">
      <w:pPr>
        <w:pStyle w:val="tytuwykresu"/>
        <w:rPr>
          <w:lang w:val="en-GB"/>
        </w:rPr>
      </w:pPr>
      <w:r w:rsidRPr="008C3F42">
        <w:rPr>
          <w:lang w:val="en-GB"/>
        </w:rPr>
        <w:t>Chart 1. Intramural expenditure on R&amp;D by type of costs</w:t>
      </w:r>
    </w:p>
    <w:p w14:paraId="239F091B" w14:textId="67BA8FC5" w:rsidR="00B23B25" w:rsidRDefault="00B23B25" w:rsidP="00B23B25">
      <w:pPr>
        <w:pStyle w:val="Brakstyluakapitowego"/>
      </w:pPr>
      <w:r>
        <w:rPr>
          <w:noProof/>
        </w:rPr>
        <w:drawing>
          <wp:inline distT="0" distB="0" distL="0" distR="0" wp14:anchorId="7B2A7578" wp14:editId="52F6A29F">
            <wp:extent cx="5050546" cy="1089662"/>
            <wp:effectExtent l="0" t="0" r="0" b="0"/>
            <wp:docPr id="28" name="Obraz 28" descr="Chart 1. Intramural expenditure on R&amp;D by type of costs. A bar graph&#10;&#10;The chart presents data on intramural expenditure on R&amp;D by type costs for the years 2024 and 2025. In 2025, current expenditure related to research and development amounted to 52.7 billion PLN (compared to 46.6 billion PLN in the previous year), while capital expenditure amounted to 6.1 billion PLN (compared to 4.9 billion PLN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Chart 1. Intramural expenditure on R&amp;D by type of costs. A bar graph&#10;&#10;The chart presents data on intramural expenditure on R&amp;D by type costs for the years 2024 and 2025. In 2025, current expenditure related to research and development amounted to 52.7 billion PLN (compared to 46.6 billion PLN in the previous year), while capital expenditure amounted to 6.1 billion PLN (compared to 4.9 billion PLN in 2024)."/>
                    <pic:cNvPicPr/>
                  </pic:nvPicPr>
                  <pic:blipFill>
                    <a:blip r:embed="rId8"/>
                    <a:stretch>
                      <a:fillRect/>
                    </a:stretch>
                  </pic:blipFill>
                  <pic:spPr>
                    <a:xfrm>
                      <a:off x="0" y="0"/>
                      <a:ext cx="5050546" cy="1089662"/>
                    </a:xfrm>
                    <a:prstGeom prst="rect">
                      <a:avLst/>
                    </a:prstGeom>
                  </pic:spPr>
                </pic:pic>
              </a:graphicData>
            </a:graphic>
          </wp:inline>
        </w:drawing>
      </w:r>
    </w:p>
    <w:p w14:paraId="257FF352" w14:textId="474122C4" w:rsidR="0031343F" w:rsidRDefault="001210B4" w:rsidP="003464A8">
      <w:r w:rsidRPr="008C3F42">
        <w:rPr>
          <w:noProof/>
          <w:lang w:eastAsia="pl-PL"/>
        </w:rPr>
        <mc:AlternateContent>
          <mc:Choice Requires="wps">
            <w:drawing>
              <wp:anchor distT="0" distB="0" distL="114300" distR="114300" simplePos="0" relativeHeight="251763712" behindDoc="0" locked="0" layoutInCell="1" allowOverlap="1" wp14:anchorId="7D613AA3" wp14:editId="47A0C8F7">
                <wp:simplePos x="0" y="0"/>
                <wp:positionH relativeFrom="column">
                  <wp:posOffset>5221605</wp:posOffset>
                </wp:positionH>
                <wp:positionV relativeFrom="paragraph">
                  <wp:posOffset>186680</wp:posOffset>
                </wp:positionV>
                <wp:extent cx="1801495" cy="1009650"/>
                <wp:effectExtent l="0" t="0" r="0" b="0"/>
                <wp:wrapNone/>
                <wp:docPr id="307" name="Pole tekstowe 2" descr="The business enterprise expenditure on R&amp;D (BERD) accounted for 64.9% of gross domestic expenditure on R&amp;D (GERD)&#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09650"/>
                        </a:xfrm>
                        <a:prstGeom prst="rect">
                          <a:avLst/>
                        </a:prstGeom>
                        <a:noFill/>
                        <a:ln w="0">
                          <a:noFill/>
                          <a:miter lim="800000"/>
                          <a:headEnd/>
                          <a:tailEnd/>
                        </a:ln>
                      </wps:spPr>
                      <wps:txbx>
                        <w:txbxContent>
                          <w:p w14:paraId="725542F6" w14:textId="4D8C17C1"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4F2B0F">
                              <w:rPr>
                                <w:lang w:val="en-US"/>
                              </w:rPr>
                              <w:t>64.9</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3AA3" id="_x0000_s1028" type="#_x0000_t202" alt="The business enterprise expenditure on R&amp;D (BERD) accounted for 64.9% of gross domestic expenditure on R&amp;D (GERD)&#10;" style="position:absolute;margin-left:411.15pt;margin-top:14.7pt;width:141.85pt;height:7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" filled="f" stroked="f" strokeweight="0">
                <v:textbox>
                  <w:txbxContent>
                    <w:p w14:paraId="725542F6" w14:textId="4D8C17C1"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4F2B0F">
                        <w:rPr>
                          <w:lang w:val="en-US"/>
                        </w:rPr>
                        <w:t>64.9</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v:textbox>
              </v:shape>
            </w:pict>
          </mc:Fallback>
        </mc:AlternateContent>
      </w:r>
    </w:p>
    <w:p w14:paraId="7642D7E4" w14:textId="63B84DBF" w:rsidR="00951DD6" w:rsidRDefault="00FF085A" w:rsidP="003464A8">
      <w:pPr>
        <w:rPr>
          <w:lang w:val="en-GB" w:eastAsia="pl-PL"/>
        </w:rPr>
      </w:pPr>
      <w:r w:rsidRPr="00FF085A">
        <w:rPr>
          <w:lang w:val="en-GB"/>
        </w:rPr>
        <w:t>The business enterprise sector was the performing sector with the highest level of intramural R&amp;D expenditure.</w:t>
      </w:r>
      <w:r>
        <w:rPr>
          <w:lang w:val="en-GB"/>
        </w:rPr>
        <w:t xml:space="preserve">  </w:t>
      </w:r>
      <w:r w:rsidRPr="00FF085A">
        <w:rPr>
          <w:lang w:val="en-GB"/>
        </w:rPr>
        <w:t xml:space="preserve">In 2025, it spent PLN 38.2 billion for this purpose (17.1% more than </w:t>
      </w:r>
      <w:r w:rsidR="00E515E0">
        <w:rPr>
          <w:lang w:val="en-GB"/>
        </w:rPr>
        <w:br/>
      </w:r>
      <w:r w:rsidRPr="00FF085A">
        <w:rPr>
          <w:lang w:val="en-GB"/>
        </w:rPr>
        <w:t>a year earlier), which constituted 64.9% of the gross domestic expenditure on R&amp;D activities (in 2024 – 63.3%).</w:t>
      </w:r>
      <w:r w:rsidR="003464A8" w:rsidRPr="00D342DA">
        <w:rPr>
          <w:lang w:val="en-GB"/>
        </w:rPr>
        <w:t xml:space="preserve"> </w:t>
      </w:r>
      <w:r w:rsidR="003464A8">
        <w:rPr>
          <w:lang w:val="en-GB"/>
        </w:rPr>
        <w:t>The</w:t>
      </w:r>
      <w:r w:rsidR="003464A8" w:rsidRPr="00D342DA">
        <w:rPr>
          <w:lang w:val="en-GB"/>
        </w:rPr>
        <w:t xml:space="preserve"> higher education sector </w:t>
      </w:r>
      <w:r w:rsidR="003464A8">
        <w:rPr>
          <w:lang w:val="en-GB"/>
        </w:rPr>
        <w:t>accounted for</w:t>
      </w:r>
      <w:r w:rsidR="003464A8" w:rsidRPr="00D342DA">
        <w:rPr>
          <w:lang w:val="en-GB"/>
        </w:rPr>
        <w:t xml:space="preserve"> </w:t>
      </w:r>
      <w:r w:rsidR="004F2B0F">
        <w:rPr>
          <w:lang w:val="en-GB"/>
        </w:rPr>
        <w:t>32.8</w:t>
      </w:r>
      <w:r w:rsidR="003464A8" w:rsidRPr="00D342DA">
        <w:rPr>
          <w:lang w:val="en-GB"/>
        </w:rPr>
        <w:t>%</w:t>
      </w:r>
      <w:r w:rsidR="003464A8">
        <w:rPr>
          <w:lang w:val="en-GB"/>
        </w:rPr>
        <w:t xml:space="preserve"> of the total </w:t>
      </w:r>
      <w:r w:rsidR="003464A8" w:rsidRPr="00830AC7">
        <w:rPr>
          <w:lang w:val="en-GB"/>
        </w:rPr>
        <w:t xml:space="preserve">domestic </w:t>
      </w:r>
      <w:r w:rsidR="00E515E0">
        <w:rPr>
          <w:lang w:val="en-GB"/>
        </w:rPr>
        <w:br/>
      </w:r>
      <w:r w:rsidR="003464A8" w:rsidRPr="00830AC7">
        <w:rPr>
          <w:lang w:val="en-GB"/>
        </w:rPr>
        <w:t>expenditure on R&amp;</w:t>
      </w:r>
      <w:r w:rsidR="003464A8" w:rsidRPr="00693F73">
        <w:rPr>
          <w:spacing w:val="-2"/>
          <w:lang w:val="en-GB"/>
        </w:rPr>
        <w:t>D</w:t>
      </w:r>
      <w:r>
        <w:rPr>
          <w:spacing w:val="-2"/>
          <w:lang w:val="en-GB"/>
        </w:rPr>
        <w:t xml:space="preserve"> (compared to 34.4% in 2024)</w:t>
      </w:r>
      <w:r w:rsidR="003464A8" w:rsidRPr="00693F73">
        <w:rPr>
          <w:spacing w:val="-2"/>
          <w:lang w:val="en-GB"/>
        </w:rPr>
        <w:t xml:space="preserve">, the government sector for </w:t>
      </w:r>
      <w:r w:rsidR="004F2B0F" w:rsidRPr="00693F73">
        <w:rPr>
          <w:spacing w:val="-2"/>
          <w:lang w:val="en-GB"/>
        </w:rPr>
        <w:t>2.2</w:t>
      </w:r>
      <w:r w:rsidR="003464A8" w:rsidRPr="00693F73">
        <w:rPr>
          <w:spacing w:val="-2"/>
          <w:lang w:val="en-GB"/>
        </w:rPr>
        <w:t xml:space="preserve">% </w:t>
      </w:r>
      <w:r>
        <w:rPr>
          <w:spacing w:val="-2"/>
          <w:lang w:val="en-GB"/>
        </w:rPr>
        <w:t>(</w:t>
      </w:r>
      <w:r w:rsidRPr="00D342DA">
        <w:rPr>
          <w:lang w:val="en-GB"/>
        </w:rPr>
        <w:t>respectively</w:t>
      </w:r>
      <w:r>
        <w:rPr>
          <w:lang w:val="en-GB"/>
        </w:rPr>
        <w:t xml:space="preserve"> 2.1%</w:t>
      </w:r>
      <w:r w:rsidRPr="008C3F42">
        <w:rPr>
          <w:lang w:val="en-GB"/>
        </w:rPr>
        <w:t>)</w:t>
      </w:r>
      <w:r w:rsidR="001B13FF">
        <w:rPr>
          <w:lang w:val="en-GB"/>
        </w:rPr>
        <w:t xml:space="preserve"> </w:t>
      </w:r>
      <w:r w:rsidR="003464A8" w:rsidRPr="00693F73">
        <w:rPr>
          <w:spacing w:val="-2"/>
          <w:lang w:val="en-GB"/>
        </w:rPr>
        <w:t>and the private non-profit sector for</w:t>
      </w:r>
      <w:r w:rsidR="00643755" w:rsidRPr="00693F73">
        <w:rPr>
          <w:spacing w:val="-2"/>
          <w:lang w:val="en-GB"/>
        </w:rPr>
        <w:t xml:space="preserve"> </w:t>
      </w:r>
      <w:r w:rsidR="003464A8" w:rsidRPr="00693F73">
        <w:rPr>
          <w:spacing w:val="-2"/>
          <w:lang w:val="en-GB"/>
        </w:rPr>
        <w:t>0.</w:t>
      </w:r>
      <w:r w:rsidR="004F2B0F" w:rsidRPr="00693F73">
        <w:rPr>
          <w:spacing w:val="-2"/>
          <w:lang w:val="en-GB"/>
        </w:rPr>
        <w:t>1</w:t>
      </w:r>
      <w:r w:rsidR="003464A8" w:rsidRPr="00693F73">
        <w:rPr>
          <w:spacing w:val="-2"/>
          <w:lang w:val="en-GB"/>
        </w:rPr>
        <w:t>% (</w:t>
      </w:r>
      <w:r w:rsidRPr="00FF085A">
        <w:rPr>
          <w:lang w:val="en-GB"/>
        </w:rPr>
        <w:t xml:space="preserve">respectively </w:t>
      </w:r>
      <w:r w:rsidR="003464A8" w:rsidRPr="00D342DA">
        <w:rPr>
          <w:lang w:val="en-GB"/>
        </w:rPr>
        <w:t>0.2%</w:t>
      </w:r>
      <w:r w:rsidR="003464A8" w:rsidRPr="008C3F42">
        <w:rPr>
          <w:lang w:val="en-GB"/>
        </w:rPr>
        <w:t>)</w:t>
      </w:r>
      <w:r w:rsidR="003464A8" w:rsidRPr="008C3F42">
        <w:rPr>
          <w:lang w:val="en-GB" w:eastAsia="pl-PL"/>
        </w:rPr>
        <w:t>.</w:t>
      </w:r>
    </w:p>
    <w:p w14:paraId="70D4C4E4" w14:textId="77777777" w:rsidR="002867F8" w:rsidRDefault="002867F8" w:rsidP="003464A8">
      <w:pPr>
        <w:rPr>
          <w:lang w:val="en-GB" w:eastAsia="pl-PL"/>
        </w:rPr>
      </w:pPr>
    </w:p>
    <w:p w14:paraId="22BF5098" w14:textId="25F1AA97" w:rsidR="00302EE2" w:rsidRPr="008C3F42" w:rsidRDefault="00302EE2" w:rsidP="00302EE2">
      <w:pPr>
        <w:pStyle w:val="tytuwykresu"/>
        <w:rPr>
          <w:lang w:val="en-GB"/>
        </w:rPr>
      </w:pPr>
      <w:r w:rsidRPr="008C3F42">
        <w:rPr>
          <w:lang w:val="en-GB"/>
        </w:rPr>
        <w:lastRenderedPageBreak/>
        <w:t>Tabl</w:t>
      </w:r>
      <w:r w:rsidR="00951DD6" w:rsidRPr="008C3F42">
        <w:rPr>
          <w:lang w:val="en-GB"/>
        </w:rPr>
        <w:t>e</w:t>
      </w:r>
      <w:r w:rsidRPr="008C3F42">
        <w:rPr>
          <w:lang w:val="en-GB"/>
        </w:rPr>
        <w:t xml:space="preserve"> 2. </w:t>
      </w:r>
      <w:r w:rsidR="00B6613E" w:rsidRPr="008C3F42">
        <w:rPr>
          <w:lang w:val="en-GB"/>
        </w:rPr>
        <w:t xml:space="preserve">Intramural expenditure on R&amp;D by sectors of performance </w:t>
      </w:r>
    </w:p>
    <w:tbl>
      <w:tblPr>
        <w:tblW w:w="0" w:type="auto"/>
        <w:jc w:val="center"/>
        <w:tblBorders>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2. Intramural expenditure on R&amp;D by sectors of performance "/>
      </w:tblPr>
      <w:tblGrid>
        <w:gridCol w:w="4353"/>
        <w:gridCol w:w="1772"/>
        <w:gridCol w:w="1772"/>
      </w:tblGrid>
      <w:tr w:rsidR="00302EE2" w:rsidRPr="008C3F42" w14:paraId="1EF68BD4" w14:textId="77777777" w:rsidTr="00107D4C">
        <w:trPr>
          <w:trHeight w:val="283"/>
          <w:jc w:val="center"/>
        </w:trPr>
        <w:tc>
          <w:tcPr>
            <w:tcW w:w="4353" w:type="dxa"/>
            <w:vMerge w:val="restart"/>
            <w:tcBorders>
              <w:top w:val="single" w:sz="4" w:space="0" w:color="001D77"/>
              <w:left w:val="nil"/>
              <w:bottom w:val="single" w:sz="4" w:space="0" w:color="001D77"/>
              <w:right w:val="single" w:sz="4" w:space="0" w:color="001D77"/>
            </w:tcBorders>
            <w:shd w:val="clear" w:color="auto" w:fill="auto"/>
            <w:vAlign w:val="center"/>
            <w:hideMark/>
          </w:tcPr>
          <w:p w14:paraId="2083A05A" w14:textId="55882D69" w:rsidR="00302EE2" w:rsidRPr="008C3F42" w:rsidRDefault="00951DD6">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 xml:space="preserve">Sectors of performance </w:t>
            </w:r>
          </w:p>
        </w:tc>
        <w:tc>
          <w:tcPr>
            <w:tcW w:w="177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AB5AF5" w14:textId="612276F8" w:rsidR="00302EE2" w:rsidRPr="008C3F42" w:rsidRDefault="00DE4D6D" w:rsidP="00B8639F">
            <w:pPr>
              <w:spacing w:line="240" w:lineRule="exact"/>
              <w:jc w:val="center"/>
              <w:rPr>
                <w:szCs w:val="19"/>
                <w:lang w:val="en-GB"/>
              </w:rPr>
            </w:pPr>
            <w:r>
              <w:rPr>
                <w:szCs w:val="19"/>
                <w:lang w:val="en-GB"/>
              </w:rPr>
              <w:t>20</w:t>
            </w:r>
            <w:r w:rsidR="004F2B0F">
              <w:rPr>
                <w:szCs w:val="19"/>
                <w:lang w:val="en-GB"/>
              </w:rPr>
              <w:t>24</w:t>
            </w:r>
          </w:p>
        </w:tc>
        <w:tc>
          <w:tcPr>
            <w:tcW w:w="1772" w:type="dxa"/>
            <w:tcBorders>
              <w:top w:val="single" w:sz="4" w:space="0" w:color="001D77"/>
              <w:left w:val="single" w:sz="4" w:space="0" w:color="001D77"/>
              <w:bottom w:val="single" w:sz="4" w:space="0" w:color="001D77"/>
              <w:right w:val="nil"/>
            </w:tcBorders>
            <w:shd w:val="clear" w:color="auto" w:fill="auto"/>
            <w:vAlign w:val="center"/>
            <w:hideMark/>
          </w:tcPr>
          <w:p w14:paraId="6CCD6708" w14:textId="75656972" w:rsidR="00302EE2" w:rsidRPr="008C3F42" w:rsidRDefault="00DE4D6D" w:rsidP="00B8639F">
            <w:pPr>
              <w:spacing w:line="240" w:lineRule="exact"/>
              <w:jc w:val="center"/>
              <w:rPr>
                <w:szCs w:val="19"/>
                <w:lang w:val="en-GB"/>
              </w:rPr>
            </w:pPr>
            <w:r>
              <w:rPr>
                <w:szCs w:val="19"/>
                <w:lang w:val="en-GB"/>
              </w:rPr>
              <w:t>202</w:t>
            </w:r>
            <w:r w:rsidR="00AF5FF6">
              <w:rPr>
                <w:szCs w:val="19"/>
                <w:lang w:val="en-GB"/>
              </w:rPr>
              <w:t>5</w:t>
            </w:r>
          </w:p>
        </w:tc>
      </w:tr>
      <w:tr w:rsidR="00302EE2" w:rsidRPr="008C3F42" w14:paraId="07222AB7" w14:textId="77777777" w:rsidTr="00107D4C">
        <w:trPr>
          <w:trHeight w:val="283"/>
          <w:jc w:val="center"/>
        </w:trPr>
        <w:tc>
          <w:tcPr>
            <w:tcW w:w="4353" w:type="dxa"/>
            <w:vMerge/>
            <w:tcBorders>
              <w:top w:val="single" w:sz="12" w:space="0" w:color="001D77"/>
              <w:left w:val="nil"/>
              <w:bottom w:val="single" w:sz="4" w:space="0" w:color="001D77"/>
              <w:right w:val="single" w:sz="4" w:space="0" w:color="001D77"/>
            </w:tcBorders>
            <w:shd w:val="clear" w:color="auto" w:fill="auto"/>
            <w:vAlign w:val="center"/>
          </w:tcPr>
          <w:p w14:paraId="735F0979" w14:textId="77777777" w:rsidR="00302EE2" w:rsidRPr="008C3F42" w:rsidRDefault="00302EE2">
            <w:pPr>
              <w:pStyle w:val="GWKA"/>
              <w:spacing w:before="120" w:after="120" w:line="240" w:lineRule="exact"/>
              <w:rPr>
                <w:rFonts w:ascii="Fira Sans" w:hAnsi="Fira Sans"/>
                <w:sz w:val="19"/>
                <w:szCs w:val="19"/>
                <w:lang w:val="en-GB"/>
              </w:rPr>
            </w:pPr>
          </w:p>
        </w:tc>
        <w:tc>
          <w:tcPr>
            <w:tcW w:w="3544" w:type="dxa"/>
            <w:gridSpan w:val="2"/>
            <w:tcBorders>
              <w:top w:val="single" w:sz="4" w:space="0" w:color="001D77"/>
              <w:left w:val="single" w:sz="4" w:space="0" w:color="001D77"/>
              <w:bottom w:val="single" w:sz="4" w:space="0" w:color="001D77"/>
              <w:right w:val="nil"/>
            </w:tcBorders>
            <w:shd w:val="clear" w:color="auto" w:fill="auto"/>
            <w:vAlign w:val="center"/>
          </w:tcPr>
          <w:p w14:paraId="1FFB4F69" w14:textId="2AB29ADE" w:rsidR="00302EE2" w:rsidRPr="008C3F42" w:rsidRDefault="00951DD6" w:rsidP="00E74C60">
            <w:pPr>
              <w:spacing w:line="240" w:lineRule="exact"/>
              <w:jc w:val="center"/>
              <w:rPr>
                <w:szCs w:val="19"/>
                <w:lang w:val="en-GB"/>
              </w:rPr>
            </w:pPr>
            <w:r w:rsidRPr="008C3F42">
              <w:rPr>
                <w:szCs w:val="19"/>
                <w:lang w:val="en-GB"/>
              </w:rPr>
              <w:t xml:space="preserve">in million PLN </w:t>
            </w:r>
          </w:p>
        </w:tc>
      </w:tr>
      <w:tr w:rsidR="00AF5FF6" w:rsidRPr="008C3F42" w14:paraId="065B675D" w14:textId="77777777" w:rsidTr="00261B6A">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44CD7177" w14:textId="4B734064" w:rsidR="00AF5FF6" w:rsidRPr="008C3F42" w:rsidRDefault="00AF5FF6" w:rsidP="00AF5FF6">
            <w:pPr>
              <w:pStyle w:val="BOK0"/>
              <w:spacing w:before="120" w:after="120" w:line="240" w:lineRule="exact"/>
              <w:rPr>
                <w:rFonts w:ascii="Fira Sans" w:hAnsi="Fira Sans"/>
                <w:b/>
                <w:sz w:val="19"/>
                <w:szCs w:val="19"/>
                <w:lang w:val="en-GB"/>
              </w:rPr>
            </w:pPr>
            <w:r w:rsidRPr="008C3F42">
              <w:rPr>
                <w:rFonts w:ascii="Fira Sans" w:hAnsi="Fira Sans"/>
                <w:b/>
                <w:sz w:val="19"/>
                <w:szCs w:val="19"/>
                <w:lang w:val="en-GB"/>
              </w:rPr>
              <w:t>Total (GERD)</w:t>
            </w:r>
          </w:p>
        </w:tc>
        <w:tc>
          <w:tcPr>
            <w:tcW w:w="1772" w:type="dxa"/>
            <w:tcBorders>
              <w:top w:val="single" w:sz="4" w:space="0" w:color="001D77"/>
              <w:left w:val="single" w:sz="4" w:space="0" w:color="001D77"/>
              <w:bottom w:val="single" w:sz="4" w:space="0" w:color="001D77"/>
              <w:right w:val="single" w:sz="4" w:space="0" w:color="001D77"/>
            </w:tcBorders>
            <w:vAlign w:val="center"/>
          </w:tcPr>
          <w:p w14:paraId="1886CAE8" w14:textId="7129FCFA" w:rsidR="00AF5FF6" w:rsidRPr="008C3F42" w:rsidRDefault="00AF5FF6" w:rsidP="00AF5FF6">
            <w:pPr>
              <w:pStyle w:val="DANE"/>
              <w:spacing w:before="120" w:after="120" w:line="240" w:lineRule="exact"/>
              <w:ind w:right="0"/>
              <w:contextualSpacing w:val="0"/>
              <w:rPr>
                <w:rFonts w:ascii="Fira Sans" w:hAnsi="Fira Sans"/>
                <w:b/>
                <w:sz w:val="19"/>
                <w:szCs w:val="19"/>
                <w:lang w:val="en-GB"/>
              </w:rPr>
            </w:pPr>
            <w:r w:rsidRPr="00DF65BA">
              <w:rPr>
                <w:rFonts w:ascii="Fira Sans" w:hAnsi="Fira Sans"/>
                <w:b/>
                <w:sz w:val="19"/>
                <w:szCs w:val="19"/>
                <w:lang w:val="en-GB"/>
              </w:rPr>
              <w:t>51</w:t>
            </w:r>
            <w:r>
              <w:rPr>
                <w:rFonts w:ascii="Fira Sans" w:hAnsi="Fira Sans"/>
                <w:b/>
                <w:sz w:val="19"/>
                <w:szCs w:val="19"/>
                <w:lang w:val="en-GB"/>
              </w:rPr>
              <w:t xml:space="preserve"> </w:t>
            </w:r>
            <w:r w:rsidRPr="00DF65BA">
              <w:rPr>
                <w:rFonts w:ascii="Fira Sans" w:hAnsi="Fira Sans"/>
                <w:b/>
                <w:sz w:val="19"/>
                <w:szCs w:val="19"/>
                <w:lang w:val="en-GB"/>
              </w:rPr>
              <w:t>478</w:t>
            </w:r>
            <w:r>
              <w:rPr>
                <w:rFonts w:ascii="Fira Sans" w:hAnsi="Fira Sans"/>
                <w:b/>
                <w:sz w:val="19"/>
                <w:szCs w:val="19"/>
                <w:lang w:val="en-GB"/>
              </w:rPr>
              <w:t>.</w:t>
            </w:r>
            <w:r w:rsidRPr="00DF65BA">
              <w:rPr>
                <w:rFonts w:ascii="Fira Sans" w:hAnsi="Fira Sans"/>
                <w:b/>
                <w:sz w:val="19"/>
                <w:szCs w:val="19"/>
                <w:lang w:val="en-GB"/>
              </w:rPr>
              <w:t>1</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0622F69C" w14:textId="7B13DC87" w:rsidR="00AF5FF6" w:rsidRPr="008A0948" w:rsidRDefault="004F2B0F" w:rsidP="00AF5FF6">
            <w:pPr>
              <w:pStyle w:val="DANE"/>
              <w:spacing w:before="120" w:after="120" w:line="240" w:lineRule="exact"/>
              <w:ind w:right="0"/>
              <w:contextualSpacing w:val="0"/>
              <w:rPr>
                <w:rFonts w:ascii="Fira Sans" w:hAnsi="Fira Sans"/>
                <w:b/>
                <w:sz w:val="19"/>
                <w:szCs w:val="19"/>
                <w:lang w:val="en-GB"/>
              </w:rPr>
            </w:pPr>
            <w:r w:rsidRPr="004F2B0F">
              <w:rPr>
                <w:rFonts w:ascii="Fira Sans" w:hAnsi="Fira Sans"/>
                <w:b/>
                <w:sz w:val="19"/>
                <w:szCs w:val="19"/>
                <w:lang w:val="en-GB"/>
              </w:rPr>
              <w:t>58</w:t>
            </w:r>
            <w:r w:rsidR="007200C1">
              <w:rPr>
                <w:rFonts w:ascii="Fira Sans" w:hAnsi="Fira Sans"/>
                <w:b/>
                <w:sz w:val="19"/>
                <w:szCs w:val="19"/>
                <w:lang w:val="en-GB"/>
              </w:rPr>
              <w:t xml:space="preserve"> </w:t>
            </w:r>
            <w:r w:rsidRPr="004F2B0F">
              <w:rPr>
                <w:rFonts w:ascii="Fira Sans" w:hAnsi="Fira Sans"/>
                <w:b/>
                <w:sz w:val="19"/>
                <w:szCs w:val="19"/>
                <w:lang w:val="en-GB"/>
              </w:rPr>
              <w:t>763</w:t>
            </w:r>
            <w:r>
              <w:rPr>
                <w:rFonts w:ascii="Fira Sans" w:hAnsi="Fira Sans"/>
                <w:b/>
                <w:sz w:val="19"/>
                <w:szCs w:val="19"/>
                <w:lang w:val="en-GB"/>
              </w:rPr>
              <w:t>.</w:t>
            </w:r>
            <w:r w:rsidRPr="004F2B0F">
              <w:rPr>
                <w:rFonts w:ascii="Fira Sans" w:hAnsi="Fira Sans"/>
                <w:b/>
                <w:sz w:val="19"/>
                <w:szCs w:val="19"/>
                <w:lang w:val="en-GB"/>
              </w:rPr>
              <w:t>2</w:t>
            </w:r>
          </w:p>
        </w:tc>
      </w:tr>
      <w:tr w:rsidR="00AF5FF6" w:rsidRPr="008C3F42" w14:paraId="49338475" w14:textId="77777777" w:rsidTr="00261B6A">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tcPr>
          <w:p w14:paraId="7B990019" w14:textId="09A0FD3E" w:rsidR="00AF5FF6" w:rsidRPr="008C3F42" w:rsidRDefault="00AF5FF6" w:rsidP="00AF5FF6">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Business enterprise</w:t>
            </w:r>
            <w:r w:rsidR="00FF085A">
              <w:rPr>
                <w:rFonts w:ascii="Fira Sans" w:hAnsi="Fira Sans"/>
                <w:sz w:val="19"/>
                <w:szCs w:val="19"/>
                <w:lang w:val="en-GB"/>
              </w:rPr>
              <w:t xml:space="preserve"> sector</w:t>
            </w:r>
            <w:r w:rsidRPr="008C3F42">
              <w:rPr>
                <w:rFonts w:ascii="Fira Sans" w:hAnsi="Fira Sans"/>
                <w:sz w:val="19"/>
                <w:szCs w:val="19"/>
                <w:lang w:val="en-GB"/>
              </w:rPr>
              <w:t xml:space="preserve"> (BERD)</w:t>
            </w:r>
          </w:p>
        </w:tc>
        <w:tc>
          <w:tcPr>
            <w:tcW w:w="1772" w:type="dxa"/>
            <w:tcBorders>
              <w:top w:val="single" w:sz="4" w:space="0" w:color="001D77"/>
              <w:left w:val="single" w:sz="4" w:space="0" w:color="001D77"/>
              <w:bottom w:val="single" w:sz="4" w:space="0" w:color="001D77"/>
              <w:right w:val="single" w:sz="4" w:space="0" w:color="001D77"/>
            </w:tcBorders>
            <w:vAlign w:val="center"/>
          </w:tcPr>
          <w:p w14:paraId="37A5AA75" w14:textId="566356AF" w:rsidR="00AF5FF6" w:rsidRPr="008C3F42" w:rsidRDefault="00AF5FF6" w:rsidP="00AF5FF6">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32</w:t>
            </w:r>
            <w:r>
              <w:rPr>
                <w:rFonts w:ascii="Fira Sans" w:hAnsi="Fira Sans"/>
                <w:sz w:val="19"/>
                <w:szCs w:val="19"/>
                <w:lang w:val="en-GB"/>
              </w:rPr>
              <w:t xml:space="preserve"> </w:t>
            </w:r>
            <w:r w:rsidRPr="00DF65BA">
              <w:rPr>
                <w:rFonts w:ascii="Fira Sans" w:hAnsi="Fira Sans"/>
                <w:sz w:val="19"/>
                <w:szCs w:val="19"/>
                <w:lang w:val="en-GB"/>
              </w:rPr>
              <w:t>584</w:t>
            </w:r>
            <w:r>
              <w:rPr>
                <w:rFonts w:ascii="Fira Sans" w:hAnsi="Fira Sans"/>
                <w:sz w:val="19"/>
                <w:szCs w:val="19"/>
                <w:lang w:val="en-GB"/>
              </w:rPr>
              <w:t>.</w:t>
            </w:r>
            <w:r w:rsidRPr="00DF65BA">
              <w:rPr>
                <w:rFonts w:ascii="Fira Sans" w:hAnsi="Fira Sans"/>
                <w:sz w:val="19"/>
                <w:szCs w:val="19"/>
                <w:lang w:val="en-GB"/>
              </w:rPr>
              <w:t>7</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69890937" w14:textId="263C9B5F" w:rsidR="00AF5FF6" w:rsidRPr="008A0948" w:rsidRDefault="004F2B0F" w:rsidP="00AF5FF6">
            <w:pPr>
              <w:pStyle w:val="DANE"/>
              <w:spacing w:before="120" w:after="120" w:line="240" w:lineRule="exact"/>
              <w:ind w:right="0"/>
              <w:contextualSpacing w:val="0"/>
              <w:rPr>
                <w:rFonts w:ascii="Fira Sans" w:hAnsi="Fira Sans"/>
                <w:sz w:val="19"/>
                <w:szCs w:val="19"/>
                <w:lang w:val="en-GB"/>
              </w:rPr>
            </w:pPr>
            <w:r w:rsidRPr="004F2B0F">
              <w:rPr>
                <w:rFonts w:ascii="Fira Sans" w:hAnsi="Fira Sans"/>
                <w:sz w:val="19"/>
                <w:szCs w:val="19"/>
                <w:lang w:val="en-GB"/>
              </w:rPr>
              <w:t>38</w:t>
            </w:r>
            <w:r w:rsidR="000A455A">
              <w:rPr>
                <w:rFonts w:ascii="Fira Sans" w:hAnsi="Fira Sans"/>
                <w:sz w:val="19"/>
                <w:szCs w:val="19"/>
                <w:lang w:val="en-GB"/>
              </w:rPr>
              <w:t xml:space="preserve"> </w:t>
            </w:r>
            <w:r w:rsidRPr="004F2B0F">
              <w:rPr>
                <w:rFonts w:ascii="Fira Sans" w:hAnsi="Fira Sans"/>
                <w:sz w:val="19"/>
                <w:szCs w:val="19"/>
                <w:lang w:val="en-GB"/>
              </w:rPr>
              <w:t>155</w:t>
            </w:r>
            <w:r>
              <w:rPr>
                <w:rFonts w:ascii="Fira Sans" w:hAnsi="Fira Sans"/>
                <w:sz w:val="19"/>
                <w:szCs w:val="19"/>
                <w:lang w:val="en-GB"/>
              </w:rPr>
              <w:t>.</w:t>
            </w:r>
            <w:r w:rsidRPr="004F2B0F">
              <w:rPr>
                <w:rFonts w:ascii="Fira Sans" w:hAnsi="Fira Sans"/>
                <w:sz w:val="19"/>
                <w:szCs w:val="19"/>
                <w:lang w:val="en-GB"/>
              </w:rPr>
              <w:t>1</w:t>
            </w:r>
          </w:p>
        </w:tc>
      </w:tr>
      <w:tr w:rsidR="00AF5FF6" w:rsidRPr="008C3F42" w14:paraId="73389E6A" w14:textId="77777777" w:rsidTr="00261B6A">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86D518C" w14:textId="0AD325C9" w:rsidR="00AF5FF6" w:rsidRPr="008C3F42" w:rsidRDefault="00AF5FF6" w:rsidP="00AF5FF6">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Government</w:t>
            </w:r>
            <w:r w:rsidR="00FF085A">
              <w:rPr>
                <w:rFonts w:ascii="Fira Sans" w:hAnsi="Fira Sans"/>
                <w:sz w:val="19"/>
                <w:szCs w:val="19"/>
                <w:lang w:val="en-GB"/>
              </w:rPr>
              <w:t xml:space="preserve"> sector</w:t>
            </w:r>
            <w:r w:rsidRPr="008C3F42">
              <w:rPr>
                <w:rFonts w:ascii="Fira Sans" w:hAnsi="Fira Sans"/>
                <w:sz w:val="19"/>
                <w:szCs w:val="19"/>
                <w:lang w:val="en-GB"/>
              </w:rPr>
              <w:t xml:space="preserve"> (GOVERD)</w:t>
            </w:r>
          </w:p>
        </w:tc>
        <w:tc>
          <w:tcPr>
            <w:tcW w:w="1772" w:type="dxa"/>
            <w:tcBorders>
              <w:top w:val="single" w:sz="4" w:space="0" w:color="001D77"/>
              <w:left w:val="single" w:sz="4" w:space="0" w:color="001D77"/>
              <w:bottom w:val="single" w:sz="4" w:space="0" w:color="001D77"/>
              <w:right w:val="single" w:sz="4" w:space="0" w:color="001D77"/>
            </w:tcBorders>
            <w:vAlign w:val="center"/>
          </w:tcPr>
          <w:p w14:paraId="74DE47EA" w14:textId="1D297851" w:rsidR="00AF5FF6" w:rsidRPr="008C3F42" w:rsidRDefault="00AF5FF6" w:rsidP="00AF5FF6">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1</w:t>
            </w:r>
            <w:r>
              <w:rPr>
                <w:rFonts w:ascii="Fira Sans" w:hAnsi="Fira Sans"/>
                <w:sz w:val="19"/>
                <w:szCs w:val="19"/>
                <w:lang w:val="en-GB"/>
              </w:rPr>
              <w:t xml:space="preserve"> </w:t>
            </w:r>
            <w:r w:rsidRPr="00DF65BA">
              <w:rPr>
                <w:rFonts w:ascii="Fira Sans" w:hAnsi="Fira Sans"/>
                <w:sz w:val="19"/>
                <w:szCs w:val="19"/>
                <w:lang w:val="en-GB"/>
              </w:rPr>
              <w:t>076</w:t>
            </w:r>
            <w:r>
              <w:rPr>
                <w:rFonts w:ascii="Fira Sans" w:hAnsi="Fira Sans"/>
                <w:sz w:val="19"/>
                <w:szCs w:val="19"/>
                <w:lang w:val="en-GB"/>
              </w:rPr>
              <w:t>.</w:t>
            </w:r>
            <w:r w:rsidRPr="00DF65BA">
              <w:rPr>
                <w:rFonts w:ascii="Fira Sans" w:hAnsi="Fira Sans"/>
                <w:sz w:val="19"/>
                <w:szCs w:val="19"/>
                <w:lang w:val="en-GB"/>
              </w:rPr>
              <w:t>3</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0E79D6F8" w14:textId="5F09A418" w:rsidR="00AF5FF6" w:rsidRPr="008A0948" w:rsidRDefault="004F2B0F" w:rsidP="00AF5FF6">
            <w:pPr>
              <w:pStyle w:val="DANE"/>
              <w:spacing w:before="120" w:after="120" w:line="240" w:lineRule="exact"/>
              <w:ind w:right="0"/>
              <w:contextualSpacing w:val="0"/>
              <w:rPr>
                <w:rFonts w:ascii="Fira Sans" w:hAnsi="Fira Sans"/>
                <w:sz w:val="19"/>
                <w:szCs w:val="19"/>
                <w:lang w:val="en-GB"/>
              </w:rPr>
            </w:pPr>
            <w:r w:rsidRPr="004F2B0F">
              <w:rPr>
                <w:rFonts w:ascii="Fira Sans" w:hAnsi="Fira Sans"/>
                <w:sz w:val="19"/>
                <w:szCs w:val="19"/>
                <w:lang w:val="en-GB"/>
              </w:rPr>
              <w:t>1</w:t>
            </w:r>
            <w:r w:rsidR="000A455A">
              <w:rPr>
                <w:rFonts w:ascii="Fira Sans" w:hAnsi="Fira Sans"/>
                <w:sz w:val="19"/>
                <w:szCs w:val="19"/>
                <w:lang w:val="en-GB"/>
              </w:rPr>
              <w:t xml:space="preserve"> </w:t>
            </w:r>
            <w:r w:rsidRPr="004F2B0F">
              <w:rPr>
                <w:rFonts w:ascii="Fira Sans" w:hAnsi="Fira Sans"/>
                <w:sz w:val="19"/>
                <w:szCs w:val="19"/>
                <w:lang w:val="en-GB"/>
              </w:rPr>
              <w:t>271</w:t>
            </w:r>
            <w:r>
              <w:rPr>
                <w:rFonts w:ascii="Fira Sans" w:hAnsi="Fira Sans"/>
                <w:sz w:val="19"/>
                <w:szCs w:val="19"/>
                <w:lang w:val="en-GB"/>
              </w:rPr>
              <w:t>.</w:t>
            </w:r>
            <w:r w:rsidRPr="004F2B0F">
              <w:rPr>
                <w:rFonts w:ascii="Fira Sans" w:hAnsi="Fira Sans"/>
                <w:sz w:val="19"/>
                <w:szCs w:val="19"/>
                <w:lang w:val="en-GB"/>
              </w:rPr>
              <w:t>7</w:t>
            </w:r>
          </w:p>
        </w:tc>
      </w:tr>
      <w:tr w:rsidR="00AF5FF6" w:rsidRPr="008C3F42" w14:paraId="5F4306EA" w14:textId="77777777" w:rsidTr="00261B6A">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E223CCC" w14:textId="391CA560" w:rsidR="00AF5FF6" w:rsidRPr="008C3F42" w:rsidRDefault="00AF5FF6" w:rsidP="00AF5FF6">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 xml:space="preserve">Higher education </w:t>
            </w:r>
            <w:r w:rsidR="00FF085A">
              <w:rPr>
                <w:rFonts w:ascii="Fira Sans" w:hAnsi="Fira Sans"/>
                <w:sz w:val="19"/>
                <w:szCs w:val="19"/>
                <w:lang w:val="en-GB"/>
              </w:rPr>
              <w:t xml:space="preserve">sector </w:t>
            </w:r>
            <w:r w:rsidRPr="008C3F42">
              <w:rPr>
                <w:rFonts w:ascii="Fira Sans" w:hAnsi="Fira Sans"/>
                <w:sz w:val="19"/>
                <w:szCs w:val="19"/>
                <w:lang w:val="en-GB"/>
              </w:rPr>
              <w:t>(HERD)</w:t>
            </w:r>
          </w:p>
        </w:tc>
        <w:tc>
          <w:tcPr>
            <w:tcW w:w="1772" w:type="dxa"/>
            <w:tcBorders>
              <w:top w:val="single" w:sz="4" w:space="0" w:color="001D77"/>
              <w:left w:val="single" w:sz="4" w:space="0" w:color="001D77"/>
              <w:bottom w:val="single" w:sz="4" w:space="0" w:color="001D77"/>
              <w:right w:val="single" w:sz="4" w:space="0" w:color="001D77"/>
            </w:tcBorders>
            <w:vAlign w:val="center"/>
          </w:tcPr>
          <w:p w14:paraId="6283345A" w14:textId="2E5FA2BF" w:rsidR="00AF5FF6" w:rsidRPr="008C3F42" w:rsidRDefault="00AF5FF6" w:rsidP="00AF5FF6">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17</w:t>
            </w:r>
            <w:r>
              <w:rPr>
                <w:rFonts w:ascii="Fira Sans" w:hAnsi="Fira Sans"/>
                <w:sz w:val="19"/>
                <w:szCs w:val="19"/>
                <w:lang w:val="en-GB"/>
              </w:rPr>
              <w:t xml:space="preserve"> </w:t>
            </w:r>
            <w:r w:rsidRPr="00DF65BA">
              <w:rPr>
                <w:rFonts w:ascii="Fira Sans" w:hAnsi="Fira Sans"/>
                <w:sz w:val="19"/>
                <w:szCs w:val="19"/>
                <w:lang w:val="en-GB"/>
              </w:rPr>
              <w:t>718</w:t>
            </w:r>
            <w:r>
              <w:rPr>
                <w:rFonts w:ascii="Fira Sans" w:hAnsi="Fira Sans"/>
                <w:sz w:val="19"/>
                <w:szCs w:val="19"/>
                <w:lang w:val="en-GB"/>
              </w:rPr>
              <w:t>.</w:t>
            </w:r>
            <w:r w:rsidRPr="00DF65BA">
              <w:rPr>
                <w:rFonts w:ascii="Fira Sans" w:hAnsi="Fira Sans"/>
                <w:sz w:val="19"/>
                <w:szCs w:val="19"/>
                <w:lang w:val="en-GB"/>
              </w:rPr>
              <w:t>9</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5E7C3D28" w14:textId="7C8D4C83" w:rsidR="00AF5FF6" w:rsidRPr="008A0948" w:rsidRDefault="004F2B0F" w:rsidP="00AF5FF6">
            <w:pPr>
              <w:pStyle w:val="DANE"/>
              <w:spacing w:before="120" w:after="120" w:line="240" w:lineRule="exact"/>
              <w:ind w:right="0"/>
              <w:contextualSpacing w:val="0"/>
              <w:rPr>
                <w:rFonts w:ascii="Fira Sans" w:hAnsi="Fira Sans"/>
                <w:sz w:val="19"/>
                <w:szCs w:val="19"/>
                <w:lang w:val="en-GB"/>
              </w:rPr>
            </w:pPr>
            <w:r w:rsidRPr="004F2B0F">
              <w:rPr>
                <w:rFonts w:ascii="Fira Sans" w:hAnsi="Fira Sans"/>
                <w:sz w:val="19"/>
                <w:szCs w:val="19"/>
                <w:lang w:val="en-GB"/>
              </w:rPr>
              <w:t>19</w:t>
            </w:r>
            <w:r w:rsidR="000A455A">
              <w:rPr>
                <w:rFonts w:ascii="Fira Sans" w:hAnsi="Fira Sans"/>
                <w:sz w:val="19"/>
                <w:szCs w:val="19"/>
                <w:lang w:val="en-GB"/>
              </w:rPr>
              <w:t xml:space="preserve"> </w:t>
            </w:r>
            <w:r w:rsidRPr="004F2B0F">
              <w:rPr>
                <w:rFonts w:ascii="Fira Sans" w:hAnsi="Fira Sans"/>
                <w:sz w:val="19"/>
                <w:szCs w:val="19"/>
                <w:lang w:val="en-GB"/>
              </w:rPr>
              <w:t>251</w:t>
            </w:r>
            <w:r>
              <w:rPr>
                <w:rFonts w:ascii="Fira Sans" w:hAnsi="Fira Sans"/>
                <w:sz w:val="19"/>
                <w:szCs w:val="19"/>
                <w:lang w:val="en-GB"/>
              </w:rPr>
              <w:t>.</w:t>
            </w:r>
            <w:r w:rsidRPr="004F2B0F">
              <w:rPr>
                <w:rFonts w:ascii="Fira Sans" w:hAnsi="Fira Sans"/>
                <w:sz w:val="19"/>
                <w:szCs w:val="19"/>
                <w:lang w:val="en-GB"/>
              </w:rPr>
              <w:t>1</w:t>
            </w:r>
          </w:p>
        </w:tc>
      </w:tr>
      <w:tr w:rsidR="00AF5FF6" w:rsidRPr="008C3F42" w14:paraId="0973E791" w14:textId="77777777" w:rsidTr="00261B6A">
        <w:trPr>
          <w:trHeight w:val="322"/>
          <w:jc w:val="center"/>
        </w:trPr>
        <w:tc>
          <w:tcPr>
            <w:tcW w:w="4353" w:type="dxa"/>
            <w:tcBorders>
              <w:top w:val="single" w:sz="4" w:space="0" w:color="001D77"/>
              <w:left w:val="nil"/>
              <w:bottom w:val="nil"/>
              <w:right w:val="single" w:sz="4" w:space="0" w:color="001D77"/>
            </w:tcBorders>
            <w:shd w:val="clear" w:color="auto" w:fill="auto"/>
            <w:vAlign w:val="center"/>
            <w:hideMark/>
          </w:tcPr>
          <w:p w14:paraId="296D219D" w14:textId="6581C03F" w:rsidR="00AF5FF6" w:rsidRPr="008C3F42" w:rsidRDefault="00AF5FF6" w:rsidP="00AF5FF6">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 xml:space="preserve">Private non-profit </w:t>
            </w:r>
            <w:r w:rsidR="00FF085A">
              <w:rPr>
                <w:rFonts w:ascii="Fira Sans" w:hAnsi="Fira Sans"/>
                <w:sz w:val="19"/>
                <w:szCs w:val="19"/>
                <w:lang w:val="en-GB"/>
              </w:rPr>
              <w:t xml:space="preserve">sector </w:t>
            </w:r>
            <w:r w:rsidRPr="008C3F42">
              <w:rPr>
                <w:rFonts w:ascii="Fira Sans" w:hAnsi="Fira Sans"/>
                <w:sz w:val="19"/>
                <w:szCs w:val="19"/>
                <w:lang w:val="en-GB"/>
              </w:rPr>
              <w:t>(PNPERD)</w:t>
            </w:r>
          </w:p>
        </w:tc>
        <w:tc>
          <w:tcPr>
            <w:tcW w:w="1772" w:type="dxa"/>
            <w:tcBorders>
              <w:top w:val="single" w:sz="4" w:space="0" w:color="001D77"/>
              <w:left w:val="single" w:sz="4" w:space="0" w:color="001D77"/>
              <w:bottom w:val="nil"/>
              <w:right w:val="single" w:sz="4" w:space="0" w:color="001D77"/>
            </w:tcBorders>
            <w:vAlign w:val="center"/>
          </w:tcPr>
          <w:p w14:paraId="5AAF5F5F" w14:textId="00A4C294" w:rsidR="00AF5FF6" w:rsidRPr="008C3F42" w:rsidRDefault="00AF5FF6" w:rsidP="00AF5FF6">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98</w:t>
            </w:r>
            <w:r>
              <w:rPr>
                <w:rFonts w:ascii="Fira Sans" w:hAnsi="Fira Sans"/>
                <w:sz w:val="19"/>
                <w:szCs w:val="19"/>
                <w:lang w:val="en-GB"/>
              </w:rPr>
              <w:t>.</w:t>
            </w:r>
            <w:r w:rsidRPr="00DF65BA">
              <w:rPr>
                <w:rFonts w:ascii="Fira Sans" w:hAnsi="Fira Sans"/>
                <w:sz w:val="19"/>
                <w:szCs w:val="19"/>
                <w:lang w:val="en-GB"/>
              </w:rPr>
              <w:t>2</w:t>
            </w:r>
          </w:p>
        </w:tc>
        <w:tc>
          <w:tcPr>
            <w:tcW w:w="1772" w:type="dxa"/>
            <w:tcBorders>
              <w:top w:val="single" w:sz="4" w:space="0" w:color="001D77"/>
              <w:left w:val="single" w:sz="4" w:space="0" w:color="001D77"/>
              <w:bottom w:val="nil"/>
              <w:right w:val="nil"/>
            </w:tcBorders>
            <w:shd w:val="clear" w:color="auto" w:fill="auto"/>
            <w:vAlign w:val="center"/>
          </w:tcPr>
          <w:p w14:paraId="14EAA977" w14:textId="53BD2A29" w:rsidR="00AF5FF6" w:rsidRPr="008A0948" w:rsidRDefault="004F2B0F" w:rsidP="00AF5FF6">
            <w:pPr>
              <w:pStyle w:val="DANE"/>
              <w:spacing w:before="120" w:after="120" w:line="240" w:lineRule="exact"/>
              <w:ind w:right="0"/>
              <w:contextualSpacing w:val="0"/>
              <w:rPr>
                <w:rFonts w:ascii="Fira Sans" w:hAnsi="Fira Sans"/>
                <w:sz w:val="19"/>
                <w:szCs w:val="19"/>
                <w:lang w:val="en-GB"/>
              </w:rPr>
            </w:pPr>
            <w:r w:rsidRPr="004F2B0F">
              <w:rPr>
                <w:rFonts w:ascii="Fira Sans" w:hAnsi="Fira Sans"/>
                <w:sz w:val="19"/>
                <w:szCs w:val="19"/>
                <w:lang w:val="en-GB"/>
              </w:rPr>
              <w:t>85</w:t>
            </w:r>
            <w:r>
              <w:rPr>
                <w:rFonts w:ascii="Fira Sans" w:hAnsi="Fira Sans"/>
                <w:sz w:val="19"/>
                <w:szCs w:val="19"/>
                <w:lang w:val="en-GB"/>
              </w:rPr>
              <w:t>.</w:t>
            </w:r>
            <w:r w:rsidRPr="004F2B0F">
              <w:rPr>
                <w:rFonts w:ascii="Fira Sans" w:hAnsi="Fira Sans"/>
                <w:sz w:val="19"/>
                <w:szCs w:val="19"/>
                <w:lang w:val="en-GB"/>
              </w:rPr>
              <w:t>3</w:t>
            </w:r>
          </w:p>
        </w:tc>
      </w:tr>
    </w:tbl>
    <w:p w14:paraId="7DDBF53E" w14:textId="6D374AD7" w:rsidR="00553FC3" w:rsidRPr="008C3F42" w:rsidRDefault="003464A8" w:rsidP="000A455A">
      <w:pPr>
        <w:rPr>
          <w:lang w:val="en-GB"/>
        </w:rPr>
      </w:pPr>
      <w:r>
        <w:rPr>
          <w:lang w:val="en-GB" w:eastAsia="pl-PL"/>
        </w:rPr>
        <w:t>As</w:t>
      </w:r>
      <w:r w:rsidRPr="008C3F42">
        <w:rPr>
          <w:lang w:val="en-GB" w:eastAsia="pl-PL"/>
        </w:rPr>
        <w:t xml:space="preserve"> in the previous years, research and experimental development</w:t>
      </w:r>
      <w:r>
        <w:rPr>
          <w:lang w:val="en-GB" w:eastAsia="pl-PL"/>
        </w:rPr>
        <w:t xml:space="preserve"> in Poland was</w:t>
      </w:r>
      <w:r w:rsidRPr="00177BE5">
        <w:rPr>
          <w:lang w:val="en-GB" w:eastAsia="pl-PL"/>
        </w:rPr>
        <w:t xml:space="preserve"> mainly </w:t>
      </w:r>
      <w:r w:rsidR="00643755">
        <w:rPr>
          <w:lang w:val="en-GB" w:eastAsia="pl-PL"/>
        </w:rPr>
        <w:br/>
      </w:r>
      <w:r w:rsidRPr="00177BE5">
        <w:rPr>
          <w:lang w:val="en-GB" w:eastAsia="pl-PL"/>
        </w:rPr>
        <w:t>financed by</w:t>
      </w:r>
      <w:r>
        <w:rPr>
          <w:lang w:val="en-GB" w:eastAsia="pl-PL"/>
        </w:rPr>
        <w:t xml:space="preserve"> the </w:t>
      </w:r>
      <w:r w:rsidRPr="008C3F42">
        <w:rPr>
          <w:lang w:val="en-GB" w:eastAsia="pl-PL"/>
        </w:rPr>
        <w:t>business enterprise and government sector</w:t>
      </w:r>
      <w:r>
        <w:rPr>
          <w:lang w:val="en-GB" w:eastAsia="pl-PL"/>
        </w:rPr>
        <w:t xml:space="preserve">s. In </w:t>
      </w:r>
      <w:r w:rsidR="004F2B0F">
        <w:rPr>
          <w:lang w:val="en-GB" w:eastAsia="pl-PL"/>
        </w:rPr>
        <w:t>2025</w:t>
      </w:r>
      <w:r>
        <w:rPr>
          <w:lang w:val="en-GB" w:eastAsia="pl-PL"/>
        </w:rPr>
        <w:t xml:space="preserve">, the </w:t>
      </w:r>
      <w:r w:rsidRPr="008C3F42">
        <w:rPr>
          <w:lang w:val="en-GB" w:eastAsia="pl-PL"/>
        </w:rPr>
        <w:t>funds</w:t>
      </w:r>
      <w:r>
        <w:rPr>
          <w:lang w:val="en-GB" w:eastAsia="pl-PL"/>
        </w:rPr>
        <w:t xml:space="preserve"> from these sectors </w:t>
      </w:r>
      <w:r w:rsidRPr="008C3F42">
        <w:rPr>
          <w:lang w:val="en-GB" w:eastAsia="pl-PL"/>
        </w:rPr>
        <w:t xml:space="preserve">accounted for </w:t>
      </w:r>
      <w:r w:rsidR="004F2B0F">
        <w:rPr>
          <w:lang w:val="en-GB" w:eastAsia="pl-PL"/>
        </w:rPr>
        <w:t>58.8</w:t>
      </w:r>
      <w:r w:rsidRPr="008C3F42">
        <w:rPr>
          <w:lang w:val="en-GB" w:eastAsia="pl-PL"/>
        </w:rPr>
        <w:t xml:space="preserve">% and </w:t>
      </w:r>
      <w:r w:rsidR="004F2B0F">
        <w:rPr>
          <w:lang w:val="en-GB" w:eastAsia="pl-PL"/>
        </w:rPr>
        <w:t>32.7</w:t>
      </w:r>
      <w:r w:rsidRPr="008C3F42">
        <w:rPr>
          <w:lang w:val="en-GB" w:eastAsia="pl-PL"/>
        </w:rPr>
        <w:t xml:space="preserve">% of </w:t>
      </w:r>
      <w:r w:rsidR="00FF085A">
        <w:rPr>
          <w:lang w:val="en-GB" w:eastAsia="pl-PL"/>
        </w:rPr>
        <w:t>total gross domestic</w:t>
      </w:r>
      <w:r w:rsidRPr="008C3F42">
        <w:rPr>
          <w:lang w:val="en-GB" w:eastAsia="pl-PL"/>
        </w:rPr>
        <w:t xml:space="preserve"> expenditure on R&amp;D</w:t>
      </w:r>
      <w:r w:rsidR="001B13FF">
        <w:rPr>
          <w:lang w:val="en-GB" w:eastAsia="pl-PL"/>
        </w:rPr>
        <w:t xml:space="preserve"> </w:t>
      </w:r>
      <w:r w:rsidRPr="008C3F42">
        <w:rPr>
          <w:lang w:val="en-GB" w:eastAsia="pl-PL"/>
        </w:rPr>
        <w:t xml:space="preserve">(compared to </w:t>
      </w:r>
      <w:r w:rsidR="004F2B0F">
        <w:rPr>
          <w:lang w:val="en-GB" w:eastAsia="pl-PL"/>
        </w:rPr>
        <w:t>57.8</w:t>
      </w:r>
      <w:r w:rsidRPr="008C3F42">
        <w:rPr>
          <w:lang w:val="en-GB" w:eastAsia="pl-PL"/>
        </w:rPr>
        <w:t xml:space="preserve">% and </w:t>
      </w:r>
      <w:r w:rsidR="004F2B0F">
        <w:rPr>
          <w:lang w:val="en-GB" w:eastAsia="pl-PL"/>
        </w:rPr>
        <w:t>35.4</w:t>
      </w:r>
      <w:r>
        <w:rPr>
          <w:lang w:val="en-GB" w:eastAsia="pl-PL"/>
        </w:rPr>
        <w:t>%</w:t>
      </w:r>
      <w:r w:rsidR="00FF085A">
        <w:rPr>
          <w:lang w:val="en-GB" w:eastAsia="pl-PL"/>
        </w:rPr>
        <w:t xml:space="preserve">, </w:t>
      </w:r>
      <w:r w:rsidR="00FF085A" w:rsidRPr="008C3F42">
        <w:rPr>
          <w:lang w:val="en-GB" w:eastAsia="pl-PL"/>
        </w:rPr>
        <w:t>respectively</w:t>
      </w:r>
      <w:r w:rsidR="00FF085A">
        <w:rPr>
          <w:lang w:val="en-GB" w:eastAsia="pl-PL"/>
        </w:rPr>
        <w:t>,</w:t>
      </w:r>
      <w:r>
        <w:rPr>
          <w:lang w:val="en-GB" w:eastAsia="pl-PL"/>
        </w:rPr>
        <w:t xml:space="preserve"> in </w:t>
      </w:r>
      <w:r w:rsidR="004F2B0F">
        <w:rPr>
          <w:lang w:val="en-GB" w:eastAsia="pl-PL"/>
        </w:rPr>
        <w:t>2024</w:t>
      </w:r>
      <w:r w:rsidRPr="008C3F42">
        <w:rPr>
          <w:lang w:val="en-GB" w:eastAsia="pl-PL"/>
        </w:rPr>
        <w:t>).</w:t>
      </w:r>
      <w:r w:rsidR="00553FC3" w:rsidRPr="008C3F42">
        <w:rPr>
          <w:lang w:val="en-GB" w:eastAsia="pl-PL"/>
        </w:rPr>
        <w:t xml:space="preserve"> </w:t>
      </w:r>
    </w:p>
    <w:p w14:paraId="1CC0B024" w14:textId="1AE41DE3" w:rsidR="00523FB3" w:rsidRDefault="00553FC3" w:rsidP="00302EE2">
      <w:pPr>
        <w:pStyle w:val="tytuwykresu"/>
        <w:rPr>
          <w:lang w:val="en-GB"/>
        </w:rPr>
      </w:pPr>
      <w:r w:rsidRPr="008C3F42">
        <w:rPr>
          <w:lang w:val="en-GB"/>
        </w:rPr>
        <w:t xml:space="preserve">Chart </w:t>
      </w:r>
      <w:r w:rsidR="00302EE2" w:rsidRPr="008C3F42">
        <w:rPr>
          <w:lang w:val="en-GB"/>
        </w:rPr>
        <w:t xml:space="preserve">2. </w:t>
      </w:r>
      <w:r w:rsidR="007D31E3">
        <w:rPr>
          <w:lang w:val="en-GB"/>
        </w:rPr>
        <w:t>I</w:t>
      </w:r>
      <w:r w:rsidRPr="008C3F42">
        <w:rPr>
          <w:lang w:val="en-GB"/>
        </w:rPr>
        <w:t xml:space="preserve">ntramural expenditure on R&amp;D by funding sectors </w:t>
      </w:r>
    </w:p>
    <w:p w14:paraId="24F1E4F1" w14:textId="5EBB764F" w:rsidR="00B23B25" w:rsidRDefault="00B23B25" w:rsidP="00B23B25">
      <w:pPr>
        <w:pStyle w:val="Brakstyluakapitowego"/>
      </w:pPr>
      <w:r>
        <w:rPr>
          <w:noProof/>
        </w:rPr>
        <w:drawing>
          <wp:inline distT="0" distB="0" distL="0" distR="0" wp14:anchorId="58B68B9D" wp14:editId="670DBE9F">
            <wp:extent cx="5053228" cy="1224000"/>
            <wp:effectExtent l="0" t="0" r="0" b="0"/>
            <wp:docPr id="29" name="Obraz 29" descr="Chart 2. Intramural expenditure on R&amp;D by funding sectors. A bar graph&#10;&#10;The chart presents data on intramural expenditure on R&amp;D by funding sectors for 2024 and 2025. In 2025, 58.8% of intramural expenditure on R&amp;D was financed from the business enterprise sector, 32.7% – from the government sector, 5.4% – from the rest of the world sector, 2.9% – from the higher education sector and 0.2% – from the private non-profit sector. In 2024, the shares of individual funding sectors amounted to: 57.8%, 35.4%, 3.8%, 2.8% and 0.2% of intramural expenditure on R&amp;D,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Chart 2. Intramural expenditure on R&amp;D by funding sectors. A bar graph&#10;&#10;The chart presents data on intramural expenditure on R&amp;D by funding sectors for 2024 and 2025. In 2025, 58.8% of intramural expenditure on R&amp;D was financed from the business enterprise sector, 32.7% – from the government sector, 5.4% – from the rest of the world sector, 2.9% – from the higher education sector and 0.2% – from the private non-profit sector. In 2024, the shares of individual funding sectors amounted to: 57.8%, 35.4%, 3.8%, 2.8% and 0.2% of intramural expenditure on R&amp;D, respectively."/>
                    <pic:cNvPicPr/>
                  </pic:nvPicPr>
                  <pic:blipFill>
                    <a:blip r:embed="rId9"/>
                    <a:stretch>
                      <a:fillRect/>
                    </a:stretch>
                  </pic:blipFill>
                  <pic:spPr>
                    <a:xfrm>
                      <a:off x="0" y="0"/>
                      <a:ext cx="5053228" cy="1224000"/>
                    </a:xfrm>
                    <a:prstGeom prst="rect">
                      <a:avLst/>
                    </a:prstGeom>
                  </pic:spPr>
                </pic:pic>
              </a:graphicData>
            </a:graphic>
          </wp:inline>
        </w:drawing>
      </w:r>
    </w:p>
    <w:p w14:paraId="3BA7469F" w14:textId="775F8071" w:rsidR="0057661D" w:rsidRPr="008C3F42" w:rsidRDefault="00490619" w:rsidP="0057661D">
      <w:pPr>
        <w:pStyle w:val="Nagwek1"/>
        <w:rPr>
          <w:lang w:val="en-GB"/>
        </w:rPr>
      </w:pPr>
      <w:r w:rsidRPr="008C3F42">
        <w:rPr>
          <w:noProof/>
        </w:rPr>
        <mc:AlternateContent>
          <mc:Choice Requires="wps">
            <w:drawing>
              <wp:anchor distT="45720" distB="45720" distL="114300" distR="114300" simplePos="0" relativeHeight="251765760" behindDoc="1" locked="0" layoutInCell="1" allowOverlap="1" wp14:anchorId="7714C108" wp14:editId="770E3955">
                <wp:simplePos x="0" y="0"/>
                <wp:positionH relativeFrom="column">
                  <wp:posOffset>5220042</wp:posOffset>
                </wp:positionH>
                <wp:positionV relativeFrom="paragraph">
                  <wp:posOffset>271164</wp:posOffset>
                </wp:positionV>
                <wp:extent cx="1753235" cy="701675"/>
                <wp:effectExtent l="0" t="0" r="0" b="3175"/>
                <wp:wrapTight wrapText="bothSides">
                  <wp:wrapPolygon edited="0">
                    <wp:start x="704" y="0"/>
                    <wp:lineTo x="704" y="21111"/>
                    <wp:lineTo x="20653" y="21111"/>
                    <wp:lineTo x="20653" y="0"/>
                    <wp:lineTo x="704" y="0"/>
                  </wp:wrapPolygon>
                </wp:wrapTight>
                <wp:docPr id="25" name="Pole tekstowe 25" descr="Internal personnel accounted for 83.9% of R&amp;D personnel in F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235" cy="701675"/>
                        </a:xfrm>
                        <a:prstGeom prst="rect">
                          <a:avLst/>
                        </a:prstGeom>
                        <a:noFill/>
                        <a:ln w="9525">
                          <a:noFill/>
                          <a:miter lim="800000"/>
                          <a:headEnd/>
                          <a:tailEnd/>
                        </a:ln>
                      </wps:spPr>
                      <wps:txbx>
                        <w:txbxContent>
                          <w:p w14:paraId="28665E9B" w14:textId="19A09DAD"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8F3AED">
                              <w:rPr>
                                <w:lang w:val="en-GB"/>
                              </w:rPr>
                              <w:t>83.9</w:t>
                            </w:r>
                            <w:r w:rsidRPr="00CB5B6D">
                              <w:rPr>
                                <w:lang w:val="en-GB"/>
                              </w:rPr>
                              <w:t xml:space="preserve">% </w:t>
                            </w:r>
                            <w:r>
                              <w:rPr>
                                <w:lang w:val="en-GB"/>
                              </w:rPr>
                              <w:t xml:space="preserve">of R&amp;D personnel </w:t>
                            </w:r>
                            <w:r w:rsidR="009E29FF">
                              <w:rPr>
                                <w:lang w:val="en-GB"/>
                              </w:rPr>
                              <w:br/>
                            </w:r>
                            <w:r>
                              <w:rPr>
                                <w:lang w:val="en-GB"/>
                              </w:rPr>
                              <w:t xml:space="preserve">in FTE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C108" id="Pole tekstowe 25" o:spid="_x0000_s1029" type="#_x0000_t202" alt="Internal personnel accounted for 83.9% of R&amp;D personnel in FTE &#10;" style="position:absolute;margin-left:411.05pt;margin-top:21.35pt;width:138.0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" filled="f" stroked="f">
                <v:textbox>
                  <w:txbxContent>
                    <w:p w14:paraId="28665E9B" w14:textId="19A09DAD"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8F3AED">
                        <w:rPr>
                          <w:lang w:val="en-GB"/>
                        </w:rPr>
                        <w:t>83.9</w:t>
                      </w:r>
                      <w:r w:rsidRPr="00CB5B6D">
                        <w:rPr>
                          <w:lang w:val="en-GB"/>
                        </w:rPr>
                        <w:t xml:space="preserve">% </w:t>
                      </w:r>
                      <w:r>
                        <w:rPr>
                          <w:lang w:val="en-GB"/>
                        </w:rPr>
                        <w:t xml:space="preserve">of R&amp;D personnel </w:t>
                      </w:r>
                      <w:r w:rsidR="009E29FF">
                        <w:rPr>
                          <w:lang w:val="en-GB"/>
                        </w:rPr>
                        <w:br/>
                      </w:r>
                      <w:r>
                        <w:rPr>
                          <w:lang w:val="en-GB"/>
                        </w:rPr>
                        <w:t xml:space="preserve">in FTE </w:t>
                      </w:r>
                    </w:p>
                  </w:txbxContent>
                </v:textbox>
                <w10:wrap type="tight"/>
              </v:shape>
            </w:pict>
          </mc:Fallback>
        </mc:AlternateContent>
      </w:r>
      <w:r w:rsidR="002867F8" w:rsidRPr="008C3F42">
        <w:rPr>
          <w:lang w:val="en-GB"/>
        </w:rPr>
        <w:t xml:space="preserve">Personnel </w:t>
      </w:r>
      <w:r w:rsidR="002867F8">
        <w:rPr>
          <w:lang w:val="en-GB"/>
        </w:rPr>
        <w:t xml:space="preserve">in </w:t>
      </w:r>
      <w:r w:rsidR="002867F8" w:rsidRPr="005217C2">
        <w:rPr>
          <w:lang w:val="en-GB"/>
        </w:rPr>
        <w:t>research and d</w:t>
      </w:r>
      <w:r w:rsidR="002867F8">
        <w:rPr>
          <w:lang w:val="en-GB"/>
        </w:rPr>
        <w:t>evelopment</w:t>
      </w:r>
    </w:p>
    <w:p w14:paraId="6BB9AB5B" w14:textId="7D3F1BF4" w:rsidR="006C07AD" w:rsidRPr="008C3F42" w:rsidRDefault="003464A8" w:rsidP="000A455A">
      <w:pPr>
        <w:rPr>
          <w:lang w:val="en-GB"/>
        </w:rPr>
      </w:pPr>
      <w:r w:rsidRPr="008C3F42">
        <w:rPr>
          <w:lang w:val="en-GB"/>
        </w:rPr>
        <w:t xml:space="preserve">The number of personnel involved in research and </w:t>
      </w:r>
      <w:r>
        <w:rPr>
          <w:lang w:val="en-GB"/>
        </w:rPr>
        <w:t xml:space="preserve">experimental development in </w:t>
      </w:r>
      <w:r w:rsidR="008F3AED">
        <w:rPr>
          <w:lang w:val="en-GB"/>
        </w:rPr>
        <w:t>2025</w:t>
      </w:r>
      <w:r>
        <w:rPr>
          <w:lang w:val="en-GB"/>
        </w:rPr>
        <w:t xml:space="preserve"> amounted to </w:t>
      </w:r>
      <w:r w:rsidR="008F3AED">
        <w:rPr>
          <w:lang w:val="en-GB"/>
        </w:rPr>
        <w:t>329.1</w:t>
      </w:r>
      <w:r w:rsidRPr="008C3F42">
        <w:rPr>
          <w:lang w:val="en-GB"/>
        </w:rPr>
        <w:t xml:space="preserve"> thousand persons, that is, </w:t>
      </w:r>
      <w:r>
        <w:rPr>
          <w:lang w:val="en-GB"/>
        </w:rPr>
        <w:t xml:space="preserve">it </w:t>
      </w:r>
      <w:r w:rsidR="008F3AED">
        <w:rPr>
          <w:lang w:val="en-GB"/>
        </w:rPr>
        <w:t>in</w:t>
      </w:r>
      <w:r>
        <w:rPr>
          <w:lang w:val="en-GB"/>
        </w:rPr>
        <w:t xml:space="preserve">creased </w:t>
      </w:r>
      <w:r w:rsidRPr="008C3F42">
        <w:rPr>
          <w:lang w:val="en-GB"/>
        </w:rPr>
        <w:t xml:space="preserve">by </w:t>
      </w:r>
      <w:r w:rsidR="008F3AED">
        <w:rPr>
          <w:lang w:val="en-GB"/>
        </w:rPr>
        <w:t>2.9</w:t>
      </w:r>
      <w:r w:rsidRPr="008C3F42">
        <w:rPr>
          <w:lang w:val="en-GB"/>
        </w:rPr>
        <w:t xml:space="preserve">% </w:t>
      </w:r>
      <w:r w:rsidR="008F3AED">
        <w:rPr>
          <w:lang w:val="en-GB"/>
        </w:rPr>
        <w:t>more</w:t>
      </w:r>
      <w:r w:rsidRPr="008C3F42">
        <w:rPr>
          <w:lang w:val="en-GB"/>
        </w:rPr>
        <w:t xml:space="preserve"> than </w:t>
      </w:r>
      <w:r>
        <w:rPr>
          <w:lang w:val="en-GB"/>
        </w:rPr>
        <w:t xml:space="preserve">compared </w:t>
      </w:r>
      <w:r w:rsidR="00643755">
        <w:rPr>
          <w:lang w:val="en-GB"/>
        </w:rPr>
        <w:br/>
      </w:r>
      <w:r>
        <w:rPr>
          <w:lang w:val="en-GB"/>
        </w:rPr>
        <w:t xml:space="preserve">to </w:t>
      </w:r>
      <w:r w:rsidR="008F3AED">
        <w:rPr>
          <w:lang w:val="en-GB"/>
        </w:rPr>
        <w:t>2024</w:t>
      </w:r>
      <w:r w:rsidRPr="008C3F42">
        <w:rPr>
          <w:lang w:val="en-GB"/>
        </w:rPr>
        <w:t xml:space="preserve">. Actual involvement of R&amp;D personnel in research and experimental development </w:t>
      </w:r>
      <w:r w:rsidR="00643755">
        <w:rPr>
          <w:lang w:val="en-GB"/>
        </w:rPr>
        <w:br/>
      </w:r>
      <w:r w:rsidRPr="008C3F42">
        <w:rPr>
          <w:lang w:val="en-GB"/>
        </w:rPr>
        <w:t>in full-</w:t>
      </w:r>
      <w:r>
        <w:rPr>
          <w:lang w:val="en-GB"/>
        </w:rPr>
        <w:t xml:space="preserve">time equivalents amounted to </w:t>
      </w:r>
      <w:r w:rsidR="008F3AED">
        <w:rPr>
          <w:lang w:val="en-GB"/>
        </w:rPr>
        <w:t>206.7</w:t>
      </w:r>
      <w:r w:rsidRPr="008C3F42">
        <w:rPr>
          <w:lang w:val="en-GB"/>
        </w:rPr>
        <w:t xml:space="preserve"> </w:t>
      </w:r>
      <w:r w:rsidRPr="007D7CF9">
        <w:rPr>
          <w:rFonts w:ascii="Segoe UI" w:hAnsi="Segoe UI" w:cs="Segoe UI"/>
          <w:color w:val="0A0A0A"/>
          <w:sz w:val="20"/>
          <w:szCs w:val="20"/>
          <w:lang w:val="en-GB"/>
        </w:rPr>
        <w:t>thousand</w:t>
      </w:r>
      <w:r>
        <w:rPr>
          <w:rFonts w:ascii="Segoe UI" w:hAnsi="Segoe UI" w:cs="Segoe UI"/>
          <w:color w:val="0A0A0A"/>
          <w:sz w:val="20"/>
          <w:szCs w:val="20"/>
          <w:lang w:val="en-GB"/>
        </w:rPr>
        <w:t xml:space="preserve"> </w:t>
      </w:r>
      <w:r w:rsidRPr="008C3F42">
        <w:rPr>
          <w:lang w:val="en-GB"/>
        </w:rPr>
        <w:t>FTE</w:t>
      </w:r>
      <w:r>
        <w:rPr>
          <w:lang w:val="en-GB"/>
        </w:rPr>
        <w:t xml:space="preserve">, i.e. </w:t>
      </w:r>
      <w:r w:rsidR="008F3AED">
        <w:rPr>
          <w:lang w:val="en-GB"/>
        </w:rPr>
        <w:t>4.3</w:t>
      </w:r>
      <w:r w:rsidRPr="008C3F42">
        <w:rPr>
          <w:lang w:val="en-GB"/>
        </w:rPr>
        <w:t xml:space="preserve">% </w:t>
      </w:r>
      <w:r w:rsidR="008F3AED">
        <w:rPr>
          <w:lang w:val="en-GB"/>
        </w:rPr>
        <w:t>more</w:t>
      </w:r>
      <w:r>
        <w:rPr>
          <w:lang w:val="en-GB"/>
        </w:rPr>
        <w:t xml:space="preserve"> than a year earlier</w:t>
      </w:r>
      <w:r w:rsidRPr="008C3F42">
        <w:rPr>
          <w:lang w:val="en-GB"/>
        </w:rPr>
        <w:t>. R&amp;D was mainly performe</w:t>
      </w:r>
      <w:r>
        <w:rPr>
          <w:lang w:val="en-GB"/>
        </w:rPr>
        <w:t>d</w:t>
      </w:r>
      <w:r w:rsidRPr="008C3F42">
        <w:rPr>
          <w:lang w:val="en-GB"/>
        </w:rPr>
        <w:t xml:space="preserve"> by internal personnel which accounted for 8</w:t>
      </w:r>
      <w:r>
        <w:rPr>
          <w:lang w:val="en-GB"/>
        </w:rPr>
        <w:t>2.</w:t>
      </w:r>
      <w:r w:rsidR="008F3AED">
        <w:rPr>
          <w:lang w:val="en-GB"/>
        </w:rPr>
        <w:t>2</w:t>
      </w:r>
      <w:r w:rsidRPr="008C3F42">
        <w:rPr>
          <w:lang w:val="en-GB"/>
        </w:rPr>
        <w:t xml:space="preserve">% of personnel </w:t>
      </w:r>
      <w:r>
        <w:rPr>
          <w:lang w:val="en-GB"/>
        </w:rPr>
        <w:br/>
      </w:r>
      <w:r w:rsidRPr="008C3F42">
        <w:rPr>
          <w:lang w:val="en-GB"/>
        </w:rPr>
        <w:t xml:space="preserve">in headcount and </w:t>
      </w:r>
      <w:r w:rsidR="008F3AED">
        <w:rPr>
          <w:lang w:val="en-GB"/>
        </w:rPr>
        <w:t>83.9</w:t>
      </w:r>
      <w:r>
        <w:rPr>
          <w:lang w:val="en-GB"/>
        </w:rPr>
        <w:t xml:space="preserve">% – </w:t>
      </w:r>
      <w:r w:rsidR="006E4914">
        <w:rPr>
          <w:lang w:val="en-GB"/>
        </w:rPr>
        <w:t xml:space="preserve">measured </w:t>
      </w:r>
      <w:r>
        <w:rPr>
          <w:lang w:val="en-GB"/>
        </w:rPr>
        <w:t>in FTE (in 202</w:t>
      </w:r>
      <w:r w:rsidR="008F3AED">
        <w:rPr>
          <w:lang w:val="en-GB"/>
        </w:rPr>
        <w:t>4</w:t>
      </w:r>
      <w:r w:rsidRPr="008C3F42">
        <w:rPr>
          <w:lang w:val="en-GB"/>
        </w:rPr>
        <w:t xml:space="preserve"> these shares amounted to </w:t>
      </w:r>
      <w:r w:rsidR="008F3AED">
        <w:rPr>
          <w:lang w:val="en-GB"/>
        </w:rPr>
        <w:t>82.3</w:t>
      </w:r>
      <w:r w:rsidRPr="008C3F42">
        <w:rPr>
          <w:lang w:val="en-GB"/>
        </w:rPr>
        <w:t xml:space="preserve">% and </w:t>
      </w:r>
      <w:r w:rsidR="008F3AED">
        <w:rPr>
          <w:lang w:val="en-GB"/>
        </w:rPr>
        <w:t>84.4</w:t>
      </w:r>
      <w:r w:rsidRPr="008C3F42">
        <w:rPr>
          <w:lang w:val="en-GB"/>
        </w:rPr>
        <w:t>%, respectively).</w:t>
      </w:r>
    </w:p>
    <w:p w14:paraId="626224F8" w14:textId="4EAC740A" w:rsidR="001E58E7" w:rsidRDefault="0057661D" w:rsidP="00D54E4A">
      <w:pPr>
        <w:pStyle w:val="tytuwykresu"/>
        <w:rPr>
          <w:lang w:val="en-GB"/>
        </w:rPr>
      </w:pPr>
      <w:r w:rsidRPr="008C3F42">
        <w:rPr>
          <w:lang w:val="en-GB"/>
        </w:rPr>
        <w:t xml:space="preserve">Chart </w:t>
      </w:r>
      <w:r w:rsidR="00D54E4A" w:rsidRPr="008C3F42">
        <w:rPr>
          <w:lang w:val="en-GB"/>
        </w:rPr>
        <w:t xml:space="preserve">3. </w:t>
      </w:r>
      <w:r w:rsidR="00631A10" w:rsidRPr="008C3F42">
        <w:rPr>
          <w:lang w:val="en-GB"/>
        </w:rPr>
        <w:t xml:space="preserve">R&amp;D personnel by main groups </w:t>
      </w:r>
    </w:p>
    <w:p w14:paraId="70AF89A8" w14:textId="30F67C14" w:rsidR="00B23B25" w:rsidRDefault="00B23B25" w:rsidP="00B23B25">
      <w:pPr>
        <w:pStyle w:val="Brakstyluakapitowego"/>
      </w:pPr>
      <w:r>
        <w:rPr>
          <w:noProof/>
        </w:rPr>
        <w:drawing>
          <wp:inline distT="0" distB="0" distL="0" distR="0" wp14:anchorId="7B02DA16" wp14:editId="52A85EAE">
            <wp:extent cx="5064656" cy="1584000"/>
            <wp:effectExtent l="0" t="0" r="3175" b="0"/>
            <wp:docPr id="1" name="Obraz 1" descr="Chart 3. R&amp;D personnel by main groups. A bar graph&#10;&#10;The chart presents data on R&amp;D personnel by main groups for the years for 2024 and 2025. In 2025, internal R&amp;D personnel numbered 270.4 thousand people (compared to 263.5 thousand people in the previous year), while the number of external personnel amounted to 58.6 thousand people (compared to 56.5 thousand people in 2024). The actual involvement of R&amp;D personnel in scientific research and experimental development, expressed in full-time equivalents, amounted to 173.4 thousand FTE (compared to 167.2 thousand FTE in the previous year), while in the case of external personnel it amounted to 33.3 thousand FTE (against 31.0 thousand FTE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hart 3. R&amp;D personnel by main groups. A bar graph&#10;&#10;The chart presents data on R&amp;D personnel by main groups for the years for 2024 and 2025. In 2025, internal R&amp;D personnel numbered 270.4 thousand people (compared to 263.5 thousand people in the previous year), while the number of external personnel amounted to 58.6 thousand people (compared to 56.5 thousand people in 2024). The actual involvement of R&amp;D personnel in scientific research and experimental development, expressed in full-time equivalents, amounted to 173.4 thousand FTE (compared to 167.2 thousand FTE in the previous year), while in the case of external personnel it amounted to 33.3 thousand FTE (against 31.0 thousand FTE in 2024)."/>
                    <pic:cNvPicPr/>
                  </pic:nvPicPr>
                  <pic:blipFill>
                    <a:blip r:embed="rId10"/>
                    <a:stretch>
                      <a:fillRect/>
                    </a:stretch>
                  </pic:blipFill>
                  <pic:spPr>
                    <a:xfrm>
                      <a:off x="0" y="0"/>
                      <a:ext cx="5064656" cy="1584000"/>
                    </a:xfrm>
                    <a:prstGeom prst="rect">
                      <a:avLst/>
                    </a:prstGeom>
                  </pic:spPr>
                </pic:pic>
              </a:graphicData>
            </a:graphic>
          </wp:inline>
        </w:drawing>
      </w:r>
    </w:p>
    <w:p w14:paraId="6BC1F7BB" w14:textId="77777777" w:rsidR="00B23B25" w:rsidRDefault="00B23B25" w:rsidP="002867F8">
      <w:pPr>
        <w:rPr>
          <w:lang w:val="en-GB"/>
        </w:rPr>
      </w:pPr>
    </w:p>
    <w:p w14:paraId="64D732B8" w14:textId="77777777" w:rsidR="002867F8" w:rsidRDefault="002867F8" w:rsidP="002867F8">
      <w:pPr>
        <w:rPr>
          <w:lang w:val="en-GB"/>
        </w:rPr>
      </w:pPr>
    </w:p>
    <w:p w14:paraId="5D87A5F2" w14:textId="5AE160BC" w:rsidR="00774928" w:rsidRDefault="00774928" w:rsidP="002867F8"/>
    <w:p w14:paraId="19384F3A" w14:textId="2EEBA571" w:rsidR="0016731F" w:rsidRPr="008C3F42" w:rsidRDefault="003464A8" w:rsidP="00DF2720">
      <w:pPr>
        <w:rPr>
          <w:shd w:val="clear" w:color="auto" w:fill="FFFFFF"/>
          <w:lang w:val="en-GB"/>
        </w:rPr>
      </w:pPr>
      <w:r>
        <w:rPr>
          <w:shd w:val="clear" w:color="auto" w:fill="FFFFFF"/>
          <w:lang w:val="en-GB"/>
        </w:rPr>
        <w:lastRenderedPageBreak/>
        <w:t xml:space="preserve">In </w:t>
      </w:r>
      <w:r w:rsidRPr="008C3F42">
        <w:rPr>
          <w:shd w:val="clear" w:color="auto" w:fill="FFFFFF"/>
          <w:lang w:val="en-GB"/>
        </w:rPr>
        <w:t>the structure of persons engaged in research and experi</w:t>
      </w:r>
      <w:r>
        <w:rPr>
          <w:shd w:val="clear" w:color="auto" w:fill="FFFFFF"/>
          <w:lang w:val="en-GB"/>
        </w:rPr>
        <w:t>m</w:t>
      </w:r>
      <w:r w:rsidRPr="008C3F42">
        <w:rPr>
          <w:shd w:val="clear" w:color="auto" w:fill="FFFFFF"/>
          <w:lang w:val="en-GB"/>
        </w:rPr>
        <w:t>ental development by R&amp;D functions</w:t>
      </w:r>
      <w:r>
        <w:rPr>
          <w:shd w:val="clear" w:color="auto" w:fill="FFFFFF"/>
          <w:lang w:val="en-GB"/>
        </w:rPr>
        <w:t xml:space="preserve">, </w:t>
      </w:r>
      <w:r w:rsidRPr="00D1346A">
        <w:rPr>
          <w:shd w:val="clear" w:color="auto" w:fill="FFFFFF"/>
          <w:lang w:val="en-GB"/>
        </w:rPr>
        <w:t>researchers consistently dominated</w:t>
      </w:r>
      <w:r w:rsidR="006E4914">
        <w:rPr>
          <w:shd w:val="clear" w:color="auto" w:fill="FFFFFF"/>
          <w:lang w:val="en-GB"/>
        </w:rPr>
        <w:t>.</w:t>
      </w:r>
      <w:r w:rsidR="006E4914" w:rsidRPr="008C3F42">
        <w:rPr>
          <w:shd w:val="clear" w:color="auto" w:fill="FFFFFF"/>
          <w:lang w:val="en-GB"/>
        </w:rPr>
        <w:t xml:space="preserve"> </w:t>
      </w:r>
      <w:r w:rsidR="001B13FF">
        <w:rPr>
          <w:shd w:val="clear" w:color="auto" w:fill="FFFFFF"/>
          <w:lang w:val="en-GB"/>
        </w:rPr>
        <w:t>A</w:t>
      </w:r>
      <w:r w:rsidRPr="008C3F42">
        <w:rPr>
          <w:shd w:val="clear" w:color="auto" w:fill="FFFFFF"/>
          <w:lang w:val="en-GB"/>
        </w:rPr>
        <w:t>ccount</w:t>
      </w:r>
      <w:r>
        <w:rPr>
          <w:shd w:val="clear" w:color="auto" w:fill="FFFFFF"/>
          <w:lang w:val="en-GB"/>
        </w:rPr>
        <w:t>ing</w:t>
      </w:r>
      <w:r w:rsidRPr="008C3F42">
        <w:rPr>
          <w:shd w:val="clear" w:color="auto" w:fill="FFFFFF"/>
          <w:lang w:val="en-GB"/>
        </w:rPr>
        <w:t xml:space="preserve"> for </w:t>
      </w:r>
      <w:r w:rsidR="008F3AED">
        <w:rPr>
          <w:shd w:val="clear" w:color="auto" w:fill="FFFFFF"/>
          <w:lang w:val="en-GB"/>
        </w:rPr>
        <w:t>69.6</w:t>
      </w:r>
      <w:r w:rsidRPr="008C3F42">
        <w:rPr>
          <w:shd w:val="clear" w:color="auto" w:fill="FFFFFF"/>
          <w:lang w:val="en-GB"/>
        </w:rPr>
        <w:t xml:space="preserve">% of internal personnel and </w:t>
      </w:r>
      <w:r w:rsidR="008F3AED">
        <w:rPr>
          <w:shd w:val="clear" w:color="auto" w:fill="FFFFFF"/>
          <w:lang w:val="en-GB"/>
        </w:rPr>
        <w:t>68.3</w:t>
      </w:r>
      <w:r w:rsidRPr="008C3F42">
        <w:rPr>
          <w:shd w:val="clear" w:color="auto" w:fill="FFFFFF"/>
          <w:lang w:val="en-GB"/>
        </w:rPr>
        <w:t xml:space="preserve">% of external personnel in headcount (compared to </w:t>
      </w:r>
      <w:r>
        <w:rPr>
          <w:shd w:val="clear" w:color="auto" w:fill="FFFFFF"/>
          <w:lang w:val="en-GB"/>
        </w:rPr>
        <w:t>69.</w:t>
      </w:r>
      <w:r w:rsidR="008F3AED">
        <w:rPr>
          <w:shd w:val="clear" w:color="auto" w:fill="FFFFFF"/>
          <w:lang w:val="en-GB"/>
        </w:rPr>
        <w:t>2</w:t>
      </w:r>
      <w:r w:rsidRPr="008C3F42">
        <w:rPr>
          <w:shd w:val="clear" w:color="auto" w:fill="FFFFFF"/>
          <w:lang w:val="en-GB"/>
        </w:rPr>
        <w:t xml:space="preserve">% and </w:t>
      </w:r>
      <w:r>
        <w:rPr>
          <w:shd w:val="clear" w:color="auto" w:fill="FFFFFF"/>
          <w:lang w:val="en-GB"/>
        </w:rPr>
        <w:t>68.</w:t>
      </w:r>
      <w:r w:rsidR="008F3AED">
        <w:rPr>
          <w:shd w:val="clear" w:color="auto" w:fill="FFFFFF"/>
          <w:lang w:val="en-GB"/>
        </w:rPr>
        <w:t>6</w:t>
      </w:r>
      <w:r w:rsidRPr="008C3F42">
        <w:rPr>
          <w:shd w:val="clear" w:color="auto" w:fill="FFFFFF"/>
          <w:lang w:val="en-GB"/>
        </w:rPr>
        <w:t>% in 202</w:t>
      </w:r>
      <w:r w:rsidR="008F3AED">
        <w:rPr>
          <w:shd w:val="clear" w:color="auto" w:fill="FFFFFF"/>
          <w:lang w:val="en-GB"/>
        </w:rPr>
        <w:t>4</w:t>
      </w:r>
      <w:r w:rsidRPr="008C3F42">
        <w:rPr>
          <w:shd w:val="clear" w:color="auto" w:fill="FFFFFF"/>
          <w:lang w:val="en-GB"/>
        </w:rPr>
        <w:t>)</w:t>
      </w:r>
      <w:r w:rsidRPr="008C3F42">
        <w:rPr>
          <w:color w:val="000000" w:themeColor="text1"/>
          <w:shd w:val="clear" w:color="auto" w:fill="FFFFFF"/>
          <w:lang w:val="en-GB"/>
        </w:rPr>
        <w:t xml:space="preserve">. </w:t>
      </w:r>
      <w:r w:rsidR="00DF2720">
        <w:rPr>
          <w:color w:val="000000" w:themeColor="text1"/>
          <w:shd w:val="clear" w:color="auto" w:fill="FFFFFF"/>
          <w:lang w:val="en-GB"/>
        </w:rPr>
        <w:br/>
      </w:r>
      <w:r w:rsidRPr="008C3F42">
        <w:rPr>
          <w:color w:val="000000" w:themeColor="text1"/>
          <w:shd w:val="clear" w:color="auto" w:fill="FFFFFF"/>
          <w:lang w:val="en-GB"/>
        </w:rPr>
        <w:t xml:space="preserve">In FTE, researchers as the share of persons employed in R&amp;D accounted for </w:t>
      </w:r>
      <w:r w:rsidR="008F3AED">
        <w:rPr>
          <w:color w:val="000000" w:themeColor="text1"/>
          <w:shd w:val="clear" w:color="auto" w:fill="FFFFFF"/>
          <w:lang w:val="en-GB"/>
        </w:rPr>
        <w:t>73.5</w:t>
      </w:r>
      <w:r w:rsidRPr="008C3F42">
        <w:rPr>
          <w:color w:val="000000" w:themeColor="text1"/>
          <w:shd w:val="clear" w:color="auto" w:fill="FFFFFF"/>
          <w:lang w:val="en-GB"/>
        </w:rPr>
        <w:t xml:space="preserve">% and as the share of external contributors </w:t>
      </w:r>
      <w:r w:rsidR="008F3AED">
        <w:rPr>
          <w:color w:val="000000" w:themeColor="text1"/>
          <w:shd w:val="clear" w:color="auto" w:fill="FFFFFF"/>
          <w:lang w:val="en-GB"/>
        </w:rPr>
        <w:t>68.6</w:t>
      </w:r>
      <w:r w:rsidRPr="008C3F42">
        <w:rPr>
          <w:color w:val="000000" w:themeColor="text1"/>
          <w:shd w:val="clear" w:color="auto" w:fill="FFFFFF"/>
          <w:lang w:val="en-GB"/>
        </w:rPr>
        <w:t xml:space="preserve">% (compared to </w:t>
      </w:r>
      <w:r w:rsidR="008F3AED">
        <w:rPr>
          <w:color w:val="000000" w:themeColor="text1"/>
          <w:spacing w:val="-2"/>
          <w:shd w:val="clear" w:color="auto" w:fill="FFFFFF"/>
          <w:lang w:val="en-GB"/>
        </w:rPr>
        <w:t>72.9</w:t>
      </w:r>
      <w:r w:rsidRPr="008C3F42">
        <w:rPr>
          <w:color w:val="000000" w:themeColor="text1"/>
          <w:spacing w:val="-2"/>
          <w:shd w:val="clear" w:color="auto" w:fill="FFFFFF"/>
          <w:lang w:val="en-GB"/>
        </w:rPr>
        <w:t xml:space="preserve">% and </w:t>
      </w:r>
      <w:r w:rsidR="008F3AED">
        <w:rPr>
          <w:color w:val="000000" w:themeColor="text1"/>
          <w:spacing w:val="-2"/>
          <w:shd w:val="clear" w:color="auto" w:fill="FFFFFF"/>
          <w:lang w:val="en-GB"/>
        </w:rPr>
        <w:t>69.9</w:t>
      </w:r>
      <w:r w:rsidRPr="008C3F42">
        <w:rPr>
          <w:color w:val="000000" w:themeColor="text1"/>
          <w:spacing w:val="-2"/>
          <w:shd w:val="clear" w:color="auto" w:fill="FFFFFF"/>
          <w:lang w:val="en-GB"/>
        </w:rPr>
        <w:t xml:space="preserve">% in </w:t>
      </w:r>
      <w:r w:rsidR="008F3AED">
        <w:rPr>
          <w:color w:val="000000" w:themeColor="text1"/>
          <w:spacing w:val="-2"/>
          <w:shd w:val="clear" w:color="auto" w:fill="FFFFFF"/>
          <w:lang w:val="en-GB"/>
        </w:rPr>
        <w:t>2024</w:t>
      </w:r>
      <w:r w:rsidRPr="008C3F42">
        <w:rPr>
          <w:color w:val="000000" w:themeColor="text1"/>
          <w:spacing w:val="-2"/>
          <w:shd w:val="clear" w:color="auto" w:fill="FFFFFF"/>
          <w:lang w:val="en-GB"/>
        </w:rPr>
        <w:t>).</w:t>
      </w:r>
    </w:p>
    <w:p w14:paraId="7321CF4F" w14:textId="308B72E7" w:rsidR="001E58E7" w:rsidRPr="008F4798" w:rsidRDefault="003464A8" w:rsidP="00DF2720">
      <w:pPr>
        <w:rPr>
          <w:shd w:val="clear" w:color="auto" w:fill="FFFFFF"/>
          <w:lang w:val="en-GB"/>
        </w:rPr>
      </w:pPr>
      <w:r>
        <w:rPr>
          <w:shd w:val="clear" w:color="auto" w:fill="FFFFFF"/>
          <w:lang w:val="en-GB"/>
        </w:rPr>
        <w:t>In</w:t>
      </w:r>
      <w:r w:rsidRPr="008C3F42">
        <w:rPr>
          <w:shd w:val="clear" w:color="auto" w:fill="FFFFFF"/>
          <w:lang w:val="en-GB"/>
        </w:rPr>
        <w:t xml:space="preserve"> the structure o</w:t>
      </w:r>
      <w:r>
        <w:rPr>
          <w:shd w:val="clear" w:color="auto" w:fill="FFFFFF"/>
          <w:lang w:val="en-GB"/>
        </w:rPr>
        <w:t>f</w:t>
      </w:r>
      <w:r w:rsidRPr="008C3F42">
        <w:rPr>
          <w:shd w:val="clear" w:color="auto" w:fill="FFFFFF"/>
          <w:lang w:val="en-GB"/>
        </w:rPr>
        <w:t xml:space="preserve"> internal R&amp;D personnel by sectors of performance</w:t>
      </w:r>
      <w:r>
        <w:rPr>
          <w:shd w:val="clear" w:color="auto" w:fill="FFFFFF"/>
          <w:lang w:val="en-GB"/>
        </w:rPr>
        <w:t xml:space="preserve"> was dominated by persons employed in </w:t>
      </w:r>
      <w:r w:rsidRPr="008C3F42">
        <w:rPr>
          <w:shd w:val="clear" w:color="auto" w:fill="FFFFFF"/>
          <w:lang w:val="en-GB"/>
        </w:rPr>
        <w:t>the business enterprise</w:t>
      </w:r>
      <w:r>
        <w:rPr>
          <w:shd w:val="clear" w:color="auto" w:fill="FFFFFF"/>
          <w:lang w:val="en-GB"/>
        </w:rPr>
        <w:t xml:space="preserve"> and </w:t>
      </w:r>
      <w:r w:rsidRPr="008C3F42">
        <w:rPr>
          <w:shd w:val="clear" w:color="auto" w:fill="FFFFFF"/>
          <w:lang w:val="en-GB"/>
        </w:rPr>
        <w:t>higher education sector</w:t>
      </w:r>
      <w:r>
        <w:rPr>
          <w:shd w:val="clear" w:color="auto" w:fill="FFFFFF"/>
          <w:lang w:val="en-GB"/>
        </w:rPr>
        <w:t>s</w:t>
      </w:r>
      <w:r w:rsidRPr="008C3F42">
        <w:rPr>
          <w:shd w:val="clear" w:color="auto" w:fill="FFFFFF"/>
          <w:lang w:val="en-GB"/>
        </w:rPr>
        <w:t xml:space="preserve">. The highest value </w:t>
      </w:r>
      <w:r w:rsidR="00E515E0">
        <w:rPr>
          <w:shd w:val="clear" w:color="auto" w:fill="FFFFFF"/>
          <w:lang w:val="en-GB"/>
        </w:rPr>
        <w:br/>
      </w:r>
      <w:r w:rsidRPr="008C3F42">
        <w:rPr>
          <w:shd w:val="clear" w:color="auto" w:fill="FFFFFF"/>
          <w:lang w:val="en-GB"/>
        </w:rPr>
        <w:t xml:space="preserve">of full-time equivalent was noted in the business enterprise sector </w:t>
      </w:r>
      <w:r w:rsidR="00643755">
        <w:rPr>
          <w:shd w:val="clear" w:color="auto" w:fill="FFFFFF"/>
          <w:lang w:val="en-GB"/>
        </w:rPr>
        <w:t>–</w:t>
      </w:r>
      <w:r>
        <w:rPr>
          <w:shd w:val="clear" w:color="auto" w:fill="FFFFFF"/>
          <w:lang w:val="en-GB"/>
        </w:rPr>
        <w:t xml:space="preserve"> </w:t>
      </w:r>
      <w:r w:rsidR="000F200D">
        <w:rPr>
          <w:shd w:val="clear" w:color="auto" w:fill="FFFFFF"/>
          <w:lang w:val="en-GB"/>
        </w:rPr>
        <w:t>108.6</w:t>
      </w:r>
      <w:r w:rsidRPr="008C3F42">
        <w:rPr>
          <w:shd w:val="clear" w:color="auto" w:fill="FFFFFF"/>
          <w:lang w:val="en-GB"/>
        </w:rPr>
        <w:t xml:space="preserve"> thousand FTE</w:t>
      </w:r>
      <w:r>
        <w:rPr>
          <w:shd w:val="clear" w:color="auto" w:fill="FFFFFF"/>
          <w:lang w:val="en-GB"/>
        </w:rPr>
        <w:t>. i.e.</w:t>
      </w:r>
      <w:r w:rsidRPr="008C3F42">
        <w:rPr>
          <w:shd w:val="clear" w:color="auto" w:fill="FFFFFF"/>
          <w:lang w:val="en-GB"/>
        </w:rPr>
        <w:t xml:space="preserve"> </w:t>
      </w:r>
      <w:r w:rsidR="000F200D">
        <w:rPr>
          <w:shd w:val="clear" w:color="auto" w:fill="FFFFFF"/>
          <w:lang w:val="en-GB"/>
        </w:rPr>
        <w:t>5.2</w:t>
      </w:r>
      <w:r>
        <w:rPr>
          <w:shd w:val="clear" w:color="auto" w:fill="FFFFFF"/>
          <w:lang w:val="en-GB"/>
        </w:rPr>
        <w:t xml:space="preserve">% </w:t>
      </w:r>
      <w:r w:rsidR="000F200D">
        <w:rPr>
          <w:shd w:val="clear" w:color="auto" w:fill="FFFFFF"/>
          <w:lang w:val="en-GB"/>
        </w:rPr>
        <w:t>more</w:t>
      </w:r>
      <w:r>
        <w:rPr>
          <w:shd w:val="clear" w:color="auto" w:fill="FFFFFF"/>
          <w:lang w:val="en-GB"/>
        </w:rPr>
        <w:t xml:space="preserve"> than in 202</w:t>
      </w:r>
      <w:r w:rsidR="000F200D">
        <w:rPr>
          <w:shd w:val="clear" w:color="auto" w:fill="FFFFFF"/>
          <w:lang w:val="en-GB"/>
        </w:rPr>
        <w:t>4</w:t>
      </w:r>
      <w:r w:rsidRPr="008C3F42">
        <w:rPr>
          <w:shd w:val="clear" w:color="auto" w:fill="FFFFFF"/>
          <w:lang w:val="en-GB"/>
        </w:rPr>
        <w:t xml:space="preserve">. </w:t>
      </w:r>
    </w:p>
    <w:p w14:paraId="4846D73F" w14:textId="566D4CC0" w:rsidR="00D54E4A" w:rsidRDefault="00534AF0" w:rsidP="00D54E4A">
      <w:pPr>
        <w:pStyle w:val="tytuwykresu"/>
        <w:rPr>
          <w:lang w:val="en-GB"/>
        </w:rPr>
      </w:pPr>
      <w:r w:rsidRPr="008C3F42">
        <w:rPr>
          <w:lang w:val="en-GB"/>
        </w:rPr>
        <w:t>Chart</w:t>
      </w:r>
      <w:r w:rsidR="00D54E4A" w:rsidRPr="008C3F42">
        <w:rPr>
          <w:lang w:val="en-GB"/>
        </w:rPr>
        <w:t xml:space="preserve"> 4. </w:t>
      </w:r>
      <w:r w:rsidR="00C047A6" w:rsidRPr="00C047A6">
        <w:rPr>
          <w:lang w:val="en-GB"/>
        </w:rPr>
        <w:t>Internal R&amp;D personnel by sectors of performance</w:t>
      </w:r>
      <w:r w:rsidR="00B26EB0" w:rsidRPr="008C3F42">
        <w:rPr>
          <w:lang w:val="en-GB"/>
        </w:rPr>
        <w:t xml:space="preserve"> </w:t>
      </w:r>
    </w:p>
    <w:p w14:paraId="759939AC" w14:textId="52AA5605" w:rsidR="00774928" w:rsidRDefault="00774928" w:rsidP="00774928">
      <w:pPr>
        <w:pStyle w:val="Brakstyluakapitowego"/>
      </w:pPr>
      <w:r>
        <w:rPr>
          <w:noProof/>
        </w:rPr>
        <w:drawing>
          <wp:inline distT="0" distB="0" distL="0" distR="0" wp14:anchorId="6BB2DE8C" wp14:editId="25146554">
            <wp:extent cx="5102362" cy="1744984"/>
            <wp:effectExtent l="0" t="0" r="3175" b="7620"/>
            <wp:docPr id="16" name="Obraz 16" descr="Chart 4. Internal R&amp;D personnel by sectors of performance. A bar graph&#10;&#10;The chart presents data on internal R&amp;D personnel by sectors of performance for the years 2024 and 2025. In 2025, 56.7% of internal R&amp;D personnel came from the business enterprise sector, 40.6% – from the higher education sector, 2.5% – from the government sector and 0.2% – from the private non-profit sector (compared to 56.2%, 41.1%, 2.5% and 0.2% in 2024, respectively).&#10;In 2025, 62.6% of internal R&amp;D personnel expressed in full-time equivalents were employed in the business enterprise sector, 34.9% in the higher education sector, 2.3% in the government sector and 0.2% in the private non-profit sector (compared to 61.6%, 65.7%, 2.5% and 0.2% in 2024,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Chart 4. Internal R&amp;D personnel by sectors of performance. A bar graph&#10;&#10;The chart presents data on internal R&amp;D personnel by sectors of performance for the years 2024 and 2025. In 2025, 56.7% of internal R&amp;D personnel came from the business enterprise sector, 40.6% – from the higher education sector, 2.5% – from the government sector and 0.2% – from the private non-profit sector (compared to 56.2%, 41.1%, 2.5% and 0.2% in 2024, respectively).&#10;In 2025, 62.6% of internal R&amp;D personnel expressed in full-time equivalents were employed in the business enterprise sector, 34.9% in the higher education sector, 2.3% in the government sector and 0.2% in the private non-profit sector (compared to 61.6%, 65.7%, 2.5% and 0.2% in 2024, respectively)."/>
                    <pic:cNvPicPr/>
                  </pic:nvPicPr>
                  <pic:blipFill>
                    <a:blip r:embed="rId11"/>
                    <a:stretch>
                      <a:fillRect/>
                    </a:stretch>
                  </pic:blipFill>
                  <pic:spPr>
                    <a:xfrm>
                      <a:off x="0" y="0"/>
                      <a:ext cx="5102362" cy="1744984"/>
                    </a:xfrm>
                    <a:prstGeom prst="rect">
                      <a:avLst/>
                    </a:prstGeom>
                  </pic:spPr>
                </pic:pic>
              </a:graphicData>
            </a:graphic>
          </wp:inline>
        </w:drawing>
      </w:r>
    </w:p>
    <w:p w14:paraId="35BC177A" w14:textId="77777777" w:rsidR="0094763B" w:rsidRDefault="0094763B" w:rsidP="0094763B">
      <w:pPr>
        <w:rPr>
          <w:rFonts w:eastAsia="Times New Roman" w:cs="Times New Roman"/>
          <w:szCs w:val="19"/>
          <w:lang w:val="en-GB" w:eastAsia="pl-PL"/>
        </w:rPr>
      </w:pPr>
    </w:p>
    <w:p w14:paraId="0BDD6629" w14:textId="77777777" w:rsidR="0094763B" w:rsidRDefault="0094763B" w:rsidP="0094763B">
      <w:pPr>
        <w:rPr>
          <w:rFonts w:eastAsia="Times New Roman" w:cs="Times New Roman"/>
          <w:szCs w:val="19"/>
          <w:lang w:val="en-GB" w:eastAsia="pl-PL"/>
        </w:rPr>
      </w:pPr>
    </w:p>
    <w:p w14:paraId="47A4E745" w14:textId="77777777" w:rsidR="0094763B" w:rsidRDefault="0094763B" w:rsidP="0094763B">
      <w:pPr>
        <w:rPr>
          <w:rFonts w:eastAsia="Times New Roman" w:cs="Times New Roman"/>
          <w:szCs w:val="19"/>
          <w:lang w:val="en-GB" w:eastAsia="pl-PL"/>
        </w:rPr>
      </w:pPr>
    </w:p>
    <w:p w14:paraId="1C491AA2" w14:textId="77777777" w:rsidR="0094763B" w:rsidRDefault="0094763B" w:rsidP="0094763B">
      <w:pPr>
        <w:rPr>
          <w:rFonts w:eastAsia="Times New Roman" w:cs="Times New Roman"/>
          <w:szCs w:val="19"/>
          <w:lang w:val="en-GB" w:eastAsia="pl-PL"/>
        </w:rPr>
      </w:pPr>
    </w:p>
    <w:p w14:paraId="3B8F8727" w14:textId="77777777" w:rsidR="0094763B" w:rsidRDefault="0094763B" w:rsidP="0094763B">
      <w:pPr>
        <w:rPr>
          <w:rFonts w:eastAsia="Times New Roman" w:cs="Times New Roman"/>
          <w:szCs w:val="19"/>
          <w:lang w:val="en-GB" w:eastAsia="pl-PL"/>
        </w:rPr>
      </w:pPr>
    </w:p>
    <w:p w14:paraId="0C40B5E4" w14:textId="77777777" w:rsidR="0094763B" w:rsidRDefault="0094763B" w:rsidP="0094763B">
      <w:pPr>
        <w:rPr>
          <w:rFonts w:eastAsia="Times New Roman" w:cs="Times New Roman"/>
          <w:szCs w:val="19"/>
          <w:lang w:val="en-GB" w:eastAsia="pl-PL"/>
        </w:rPr>
      </w:pPr>
    </w:p>
    <w:p w14:paraId="298EB3B0" w14:textId="77777777" w:rsidR="0094763B" w:rsidRDefault="0094763B" w:rsidP="0094763B">
      <w:pPr>
        <w:rPr>
          <w:rFonts w:eastAsia="Times New Roman" w:cs="Times New Roman"/>
          <w:szCs w:val="19"/>
          <w:lang w:val="en-GB" w:eastAsia="pl-PL"/>
        </w:rPr>
      </w:pPr>
    </w:p>
    <w:p w14:paraId="629021D4" w14:textId="77777777" w:rsidR="0094763B" w:rsidRDefault="0094763B" w:rsidP="0094763B">
      <w:pPr>
        <w:rPr>
          <w:rFonts w:eastAsia="Times New Roman" w:cs="Times New Roman"/>
          <w:szCs w:val="19"/>
          <w:lang w:val="en-GB" w:eastAsia="pl-PL"/>
        </w:rPr>
      </w:pPr>
    </w:p>
    <w:p w14:paraId="150DCEC5" w14:textId="77777777" w:rsidR="0094763B" w:rsidRDefault="0094763B" w:rsidP="0094763B">
      <w:pPr>
        <w:rPr>
          <w:rFonts w:eastAsia="Times New Roman" w:cs="Times New Roman"/>
          <w:szCs w:val="19"/>
          <w:lang w:val="en-GB" w:eastAsia="pl-PL"/>
        </w:rPr>
      </w:pPr>
    </w:p>
    <w:p w14:paraId="4DC220E0" w14:textId="77777777" w:rsidR="0094763B" w:rsidRDefault="0094763B" w:rsidP="0094763B">
      <w:pPr>
        <w:rPr>
          <w:rFonts w:eastAsia="Times New Roman" w:cs="Times New Roman"/>
          <w:szCs w:val="19"/>
          <w:lang w:val="en-GB" w:eastAsia="pl-PL"/>
        </w:rPr>
      </w:pPr>
    </w:p>
    <w:p w14:paraId="1171D395" w14:textId="77777777" w:rsidR="0003064E" w:rsidRDefault="0003064E" w:rsidP="0094763B">
      <w:pPr>
        <w:rPr>
          <w:rFonts w:eastAsia="Times New Roman" w:cs="Times New Roman"/>
          <w:szCs w:val="19"/>
          <w:lang w:val="en-GB" w:eastAsia="pl-PL"/>
        </w:rPr>
      </w:pPr>
    </w:p>
    <w:p w14:paraId="37D247E8" w14:textId="77777777" w:rsidR="00DF2720" w:rsidRDefault="00DF2720" w:rsidP="0094763B">
      <w:pPr>
        <w:rPr>
          <w:rFonts w:eastAsia="Times New Roman" w:cs="Times New Roman"/>
          <w:szCs w:val="19"/>
          <w:lang w:val="en-GB" w:eastAsia="pl-PL"/>
        </w:rPr>
      </w:pPr>
    </w:p>
    <w:p w14:paraId="1978EEE0" w14:textId="77777777" w:rsidR="00DF2720" w:rsidRDefault="00DF2720" w:rsidP="0094763B">
      <w:pPr>
        <w:rPr>
          <w:rFonts w:eastAsia="Times New Roman" w:cs="Times New Roman"/>
          <w:szCs w:val="19"/>
          <w:lang w:val="en-GB" w:eastAsia="pl-PL"/>
        </w:rPr>
      </w:pPr>
    </w:p>
    <w:p w14:paraId="338925B0" w14:textId="77777777" w:rsidR="00DF2720" w:rsidRDefault="00DF2720" w:rsidP="0094763B">
      <w:pPr>
        <w:rPr>
          <w:rFonts w:eastAsia="Times New Roman" w:cs="Times New Roman"/>
          <w:szCs w:val="19"/>
          <w:lang w:val="en-GB" w:eastAsia="pl-PL"/>
        </w:rPr>
      </w:pPr>
    </w:p>
    <w:p w14:paraId="19337042" w14:textId="77777777" w:rsidR="00DF2720" w:rsidRDefault="00DF2720" w:rsidP="0094763B">
      <w:pPr>
        <w:rPr>
          <w:rFonts w:eastAsia="Times New Roman" w:cs="Times New Roman"/>
          <w:szCs w:val="19"/>
          <w:lang w:val="en-GB" w:eastAsia="pl-PL"/>
        </w:rPr>
      </w:pPr>
    </w:p>
    <w:p w14:paraId="2B740BE4" w14:textId="77777777" w:rsidR="0094763B" w:rsidRDefault="0094763B" w:rsidP="0094763B">
      <w:pPr>
        <w:rPr>
          <w:rFonts w:eastAsia="Times New Roman" w:cs="Times New Roman"/>
          <w:szCs w:val="19"/>
          <w:lang w:val="en-GB" w:eastAsia="pl-PL"/>
        </w:rPr>
      </w:pPr>
    </w:p>
    <w:p w14:paraId="71BBAF12" w14:textId="77777777" w:rsidR="0094763B" w:rsidRDefault="0094763B" w:rsidP="0094763B">
      <w:pPr>
        <w:rPr>
          <w:rFonts w:eastAsia="Times New Roman" w:cs="Times New Roman"/>
          <w:szCs w:val="19"/>
          <w:lang w:val="en-GB" w:eastAsia="pl-PL"/>
        </w:rPr>
      </w:pPr>
    </w:p>
    <w:p w14:paraId="1DF8ED7E" w14:textId="77777777" w:rsidR="0094763B" w:rsidRPr="008C3F42" w:rsidRDefault="0094763B" w:rsidP="0094763B">
      <w:pPr>
        <w:rPr>
          <w:rFonts w:eastAsia="Times New Roman" w:cs="Times New Roman"/>
          <w:szCs w:val="19"/>
          <w:lang w:val="en-GB" w:eastAsia="pl-PL"/>
        </w:rPr>
      </w:pPr>
    </w:p>
    <w:p w14:paraId="5B7B9ABE" w14:textId="44A4D6C6" w:rsidR="0094763B" w:rsidRDefault="00B317A4" w:rsidP="0094763B">
      <w:pPr>
        <w:rPr>
          <w:lang w:val="en-GB" w:eastAsia="pl-PL"/>
        </w:rPr>
      </w:pPr>
      <w:r w:rsidRPr="00E33DFC">
        <w:rPr>
          <w:lang w:val="en-US" w:eastAsia="pl-PL"/>
        </w:rPr>
        <w:t xml:space="preserve">When citing this publication, please provide its title and indicate Statistics Poland (GUS) as the author. If you publish your own calculations based on data from this publication, please include the following note: "Own study based on data from the Statistics Poland (GUS) publication </w:t>
      </w:r>
      <w:r w:rsidR="00163E34">
        <w:rPr>
          <w:lang w:val="en-US" w:eastAsia="pl-PL"/>
        </w:rPr>
        <w:t>en</w:t>
      </w:r>
      <w:r w:rsidRPr="00E33DFC">
        <w:rPr>
          <w:lang w:val="en-US" w:eastAsia="pl-PL"/>
        </w:rPr>
        <w:t>tit</w:t>
      </w:r>
      <w:r>
        <w:rPr>
          <w:lang w:val="en-US" w:eastAsia="pl-PL"/>
        </w:rPr>
        <w:t>led</w:t>
      </w:r>
      <w:r w:rsidRPr="00E33DFC">
        <w:rPr>
          <w:lang w:val="en-US" w:eastAsia="pl-PL"/>
        </w:rPr>
        <w:t xml:space="preserve"> </w:t>
      </w:r>
      <w:r>
        <w:rPr>
          <w:lang w:val="en-US" w:eastAsia="pl-PL"/>
        </w:rPr>
        <w:t>“</w:t>
      </w:r>
      <w:r w:rsidRPr="008C3F42">
        <w:rPr>
          <w:lang w:val="en-GB"/>
        </w:rPr>
        <w:t>Research and experimenta</w:t>
      </w:r>
      <w:r>
        <w:rPr>
          <w:lang w:val="en-GB"/>
        </w:rPr>
        <w:t>l development in Poland in 2025</w:t>
      </w:r>
      <w:r w:rsidRPr="00E33DFC">
        <w:rPr>
          <w:lang w:val="en-US" w:eastAsia="pl-PL"/>
        </w:rPr>
        <w:t>.</w:t>
      </w:r>
      <w:r w:rsidR="0094763B" w:rsidRPr="00E822E2">
        <w:rPr>
          <w:lang w:val="en-GB" w:eastAsia="pl-PL"/>
        </w:rPr>
        <w:t>"</w:t>
      </w:r>
    </w:p>
    <w:p w14:paraId="3C222B0C" w14:textId="77777777" w:rsidR="00DA331D" w:rsidRPr="008C3F42" w:rsidRDefault="00DA331D" w:rsidP="0094763B">
      <w:pPr>
        <w:rPr>
          <w:sz w:val="18"/>
          <w:lang w:val="en-GB"/>
        </w:rPr>
        <w:sectPr w:rsidR="00DA331D" w:rsidRPr="008C3F42"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857CB" w:rsidRPr="00905986" w14:paraId="196D0BDA" w14:textId="77777777" w:rsidTr="009E7D31">
        <w:trPr>
          <w:trHeight w:val="1626"/>
        </w:trPr>
        <w:tc>
          <w:tcPr>
            <w:tcW w:w="4926" w:type="dxa"/>
          </w:tcPr>
          <w:p w14:paraId="05233FC3" w14:textId="77777777" w:rsidR="009857CB" w:rsidRPr="00F3383A" w:rsidRDefault="009857CB" w:rsidP="009857CB">
            <w:pPr>
              <w:spacing w:before="0" w:after="0" w:line="276" w:lineRule="auto"/>
              <w:rPr>
                <w:rFonts w:cs="Arial"/>
                <w:sz w:val="20"/>
                <w:lang w:val="en-US"/>
              </w:rPr>
            </w:pPr>
            <w:r w:rsidRPr="00F3383A">
              <w:rPr>
                <w:rFonts w:cs="Arial"/>
                <w:sz w:val="20"/>
                <w:lang w:val="en-US"/>
              </w:rPr>
              <w:lastRenderedPageBreak/>
              <w:t>Prepared by:</w:t>
            </w:r>
          </w:p>
          <w:p w14:paraId="3451D563" w14:textId="77777777" w:rsidR="009857CB" w:rsidRPr="00F3383A" w:rsidRDefault="00000000" w:rsidP="009857CB">
            <w:pPr>
              <w:spacing w:before="0" w:line="276" w:lineRule="auto"/>
              <w:rPr>
                <w:rFonts w:cs="Arial"/>
                <w:b/>
                <w:color w:val="000000" w:themeColor="text1"/>
                <w:sz w:val="20"/>
                <w:lang w:val="en-US"/>
              </w:rPr>
            </w:pPr>
            <w:hyperlink r:id="rId16" w:tgtFrame="_blank" w:history="1">
              <w:r w:rsidR="009857CB" w:rsidRPr="001D2179">
                <w:rPr>
                  <w:b/>
                  <w:sz w:val="20"/>
                  <w:lang w:val="en-GB"/>
                </w:rPr>
                <w:t>Statistical Office in</w:t>
              </w:r>
            </w:hyperlink>
            <w:r w:rsidR="009857CB" w:rsidRPr="001D2179">
              <w:rPr>
                <w:rFonts w:cs="Arial"/>
                <w:b/>
                <w:sz w:val="20"/>
                <w:lang w:val="en-GB"/>
              </w:rPr>
              <w:t xml:space="preserve"> </w:t>
            </w:r>
            <w:r w:rsidR="009857CB">
              <w:rPr>
                <w:rFonts w:cs="Arial"/>
                <w:b/>
                <w:sz w:val="20"/>
                <w:lang w:val="en-GB"/>
              </w:rPr>
              <w:t>Szczecin</w:t>
            </w:r>
            <w:r w:rsidR="009857CB" w:rsidRPr="00F3383A">
              <w:rPr>
                <w:rFonts w:cs="Arial"/>
                <w:b/>
                <w:color w:val="000000" w:themeColor="text1"/>
                <w:sz w:val="20"/>
                <w:lang w:val="en-US"/>
              </w:rPr>
              <w:t xml:space="preserve"> </w:t>
            </w:r>
          </w:p>
          <w:p w14:paraId="4273FD9F" w14:textId="77777777" w:rsidR="009857CB" w:rsidRPr="00AE54DC" w:rsidRDefault="009857CB" w:rsidP="009857CB">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5425F0B4" w14:textId="76D5A19D" w:rsidR="009857CB" w:rsidRPr="008C3F42" w:rsidRDefault="009857CB" w:rsidP="009857CB">
            <w:pPr>
              <w:pStyle w:val="Nagwek3"/>
              <w:spacing w:before="0" w:after="120" w:line="276" w:lineRule="auto"/>
              <w:rPr>
                <w:rFonts w:ascii="Fira Sans" w:hAnsi="Fira Sans" w:cs="Arial"/>
                <w:color w:val="000000" w:themeColor="text1"/>
                <w:sz w:val="20"/>
                <w:lang w:val="en-GB"/>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42572173" w14:textId="77777777" w:rsidR="009857CB" w:rsidRPr="005653EE" w:rsidRDefault="009857CB" w:rsidP="009857CB">
            <w:pPr>
              <w:spacing w:before="0" w:line="276" w:lineRule="auto"/>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23AB020F" w14:textId="77777777" w:rsidR="009857CB" w:rsidRPr="005653EE" w:rsidRDefault="009857CB" w:rsidP="009857CB">
            <w:pPr>
              <w:spacing w:before="0" w:line="276" w:lineRule="auto"/>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727AC5A6" w14:textId="77777777" w:rsidR="009857CB" w:rsidRPr="005653EE" w:rsidRDefault="009857CB" w:rsidP="009857CB">
            <w:pPr>
              <w:spacing w:line="276" w:lineRule="auto"/>
              <w:ind w:left="680" w:hanging="68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r>
              <w:rPr>
                <w:lang w:val="en-GB"/>
              </w:rPr>
              <w:t xml:space="preserve">             (</w:t>
            </w:r>
            <w:r w:rsidRPr="005653EE">
              <w:rPr>
                <w:lang w:val="en-GB"/>
              </w:rPr>
              <w:t>+48 22</w:t>
            </w:r>
            <w:r>
              <w:rPr>
                <w:lang w:val="en-GB"/>
              </w:rPr>
              <w:t>)</w:t>
            </w:r>
            <w:r w:rsidRPr="005653EE">
              <w:rPr>
                <w:lang w:val="en-GB"/>
              </w:rPr>
              <w:t xml:space="preserve"> 608 30 09</w:t>
            </w:r>
          </w:p>
          <w:p w14:paraId="3CC62B04" w14:textId="6AFD6717" w:rsidR="009857CB" w:rsidRPr="008C3F42" w:rsidRDefault="009857CB" w:rsidP="009857CB">
            <w:pPr>
              <w:rPr>
                <w:sz w:val="18"/>
                <w:lang w:val="en-GB"/>
              </w:rPr>
            </w:pPr>
            <w:r w:rsidRPr="00A02966">
              <w:rPr>
                <w:b/>
                <w:color w:val="000000" w:themeColor="text1"/>
                <w:sz w:val="20"/>
                <w:lang w:val="en-GB"/>
              </w:rPr>
              <w:t xml:space="preserve">e-mail: </w:t>
            </w:r>
            <w:hyperlink r:id="rId17" w:history="1">
              <w:r w:rsidRPr="00A02966">
                <w:rPr>
                  <w:rFonts w:cs="Arial"/>
                  <w:b/>
                  <w:color w:val="000000" w:themeColor="text1"/>
                  <w:sz w:val="20"/>
                  <w:szCs w:val="20"/>
                  <w:lang w:val="en-GB"/>
                </w:rPr>
                <w:t>obslugaprasowa@stat.gov.pl</w:t>
              </w:r>
            </w:hyperlink>
          </w:p>
        </w:tc>
      </w:tr>
      <w:tr w:rsidR="009857CB" w:rsidRPr="008C3F42" w14:paraId="28647E7C" w14:textId="77777777" w:rsidTr="009E7D31">
        <w:trPr>
          <w:trHeight w:val="418"/>
        </w:trPr>
        <w:tc>
          <w:tcPr>
            <w:tcW w:w="4926" w:type="dxa"/>
            <w:vMerge w:val="restart"/>
          </w:tcPr>
          <w:p w14:paraId="07C73DA1" w14:textId="024D2E50" w:rsidR="009857CB" w:rsidRPr="008C3F42" w:rsidRDefault="009857CB" w:rsidP="009857CB">
            <w:pPr>
              <w:rPr>
                <w:sz w:val="18"/>
                <w:lang w:val="en-GB"/>
              </w:rPr>
            </w:pPr>
          </w:p>
        </w:tc>
        <w:tc>
          <w:tcPr>
            <w:tcW w:w="4927" w:type="dxa"/>
            <w:vAlign w:val="center"/>
          </w:tcPr>
          <w:p w14:paraId="01941133" w14:textId="16E27C5F" w:rsidR="009857CB" w:rsidRPr="008C3F42" w:rsidRDefault="009857CB" w:rsidP="009857CB">
            <w:pPr>
              <w:spacing w:line="240" w:lineRule="exact"/>
              <w:ind w:firstLine="680"/>
              <w:rPr>
                <w:sz w:val="18"/>
                <w:lang w:val="en-GB"/>
              </w:rPr>
            </w:pPr>
            <w:r>
              <w:rPr>
                <w:noProof/>
                <w:sz w:val="20"/>
                <w:lang w:eastAsia="pl-PL"/>
              </w:rPr>
              <w:drawing>
                <wp:anchor distT="0" distB="0" distL="114300" distR="114300" simplePos="0" relativeHeight="251803648" behindDoc="0" locked="0" layoutInCell="1" allowOverlap="1" wp14:anchorId="09C9FF96" wp14:editId="434013E1">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F7264C">
                <w:rPr>
                  <w:rStyle w:val="Hipercze"/>
                  <w:sz w:val="20"/>
                </w:rPr>
                <w:t>stat.gov.pl/en/</w:t>
              </w:r>
              <w:r w:rsidRPr="00F7264C">
                <w:rPr>
                  <w:rStyle w:val="Hipercze"/>
                  <w:sz w:val="18"/>
                </w:rPr>
                <w:t xml:space="preserve">    </w:t>
              </w:r>
            </w:hyperlink>
            <w:r>
              <w:rPr>
                <w:sz w:val="18"/>
              </w:rPr>
              <w:t xml:space="preserve"> </w:t>
            </w:r>
          </w:p>
        </w:tc>
      </w:tr>
      <w:tr w:rsidR="009857CB" w:rsidRPr="008C3F42" w14:paraId="36A99721" w14:textId="77777777" w:rsidTr="009E7D31">
        <w:trPr>
          <w:trHeight w:val="418"/>
        </w:trPr>
        <w:tc>
          <w:tcPr>
            <w:tcW w:w="4926" w:type="dxa"/>
            <w:vMerge/>
          </w:tcPr>
          <w:p w14:paraId="3255344A" w14:textId="77777777" w:rsidR="009857CB" w:rsidRPr="008C3F42" w:rsidRDefault="009857CB" w:rsidP="009857CB">
            <w:pPr>
              <w:rPr>
                <w:b/>
                <w:sz w:val="20"/>
                <w:lang w:val="en-GB"/>
              </w:rPr>
            </w:pPr>
          </w:p>
        </w:tc>
        <w:tc>
          <w:tcPr>
            <w:tcW w:w="4927" w:type="dxa"/>
            <w:vAlign w:val="center"/>
          </w:tcPr>
          <w:p w14:paraId="09C3C6AD" w14:textId="7FD2D945" w:rsidR="009857CB" w:rsidRPr="008C3F42" w:rsidRDefault="009857CB" w:rsidP="009857CB">
            <w:pPr>
              <w:spacing w:line="240" w:lineRule="exact"/>
              <w:ind w:firstLine="680"/>
              <w:rPr>
                <w:sz w:val="18"/>
                <w:lang w:val="en-GB"/>
              </w:rPr>
            </w:pPr>
            <w:r>
              <w:rPr>
                <w:noProof/>
                <w:sz w:val="20"/>
                <w:lang w:eastAsia="pl-PL"/>
              </w:rPr>
              <w:drawing>
                <wp:anchor distT="0" distB="0" distL="114300" distR="114300" simplePos="0" relativeHeight="251804672" behindDoc="0" locked="0" layoutInCell="1" allowOverlap="1" wp14:anchorId="56E634F6" wp14:editId="588A95CF">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F7264C">
                <w:rPr>
                  <w:rStyle w:val="Hipercze"/>
                  <w:sz w:val="20"/>
                </w:rPr>
                <w:t>@</w:t>
              </w:r>
              <w:r w:rsidRPr="00F7264C">
                <w:rPr>
                  <w:rStyle w:val="Hipercze"/>
                  <w:noProof/>
                  <w:sz w:val="20"/>
                  <w:lang w:eastAsia="pl-PL"/>
                </w:rPr>
                <w:t>StatPoland</w:t>
              </w:r>
            </w:hyperlink>
          </w:p>
        </w:tc>
      </w:tr>
      <w:tr w:rsidR="009857CB" w:rsidRPr="008C3F42" w14:paraId="549C3B1C" w14:textId="77777777" w:rsidTr="009E7D31">
        <w:trPr>
          <w:trHeight w:val="480"/>
        </w:trPr>
        <w:tc>
          <w:tcPr>
            <w:tcW w:w="4926" w:type="dxa"/>
            <w:vMerge/>
          </w:tcPr>
          <w:p w14:paraId="231798A1" w14:textId="77777777" w:rsidR="009857CB" w:rsidRPr="008C3F42" w:rsidRDefault="009857CB" w:rsidP="009857CB">
            <w:pPr>
              <w:rPr>
                <w:b/>
                <w:sz w:val="20"/>
                <w:lang w:val="en-GB"/>
              </w:rPr>
            </w:pPr>
          </w:p>
        </w:tc>
        <w:tc>
          <w:tcPr>
            <w:tcW w:w="4927" w:type="dxa"/>
          </w:tcPr>
          <w:p w14:paraId="5B472D28" w14:textId="00FBC25D" w:rsidR="009857CB" w:rsidRPr="008C3F42" w:rsidRDefault="009857CB" w:rsidP="009857CB">
            <w:pPr>
              <w:spacing w:line="240" w:lineRule="exact"/>
              <w:ind w:firstLine="680"/>
              <w:rPr>
                <w:sz w:val="18"/>
                <w:lang w:val="en-GB"/>
              </w:rPr>
            </w:pPr>
            <w:r>
              <w:rPr>
                <w:noProof/>
                <w:sz w:val="20"/>
                <w:lang w:eastAsia="pl-PL"/>
              </w:rPr>
              <w:drawing>
                <wp:anchor distT="0" distB="0" distL="114300" distR="114300" simplePos="0" relativeHeight="251805696" behindDoc="0" locked="0" layoutInCell="1" allowOverlap="1" wp14:anchorId="555C1D09" wp14:editId="7CC59708">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sz w:val="20"/>
                </w:rPr>
                <w:t>@GlownyUrzadStatystyczny</w:t>
              </w:r>
            </w:hyperlink>
            <w:r>
              <w:rPr>
                <w:noProof/>
                <w:sz w:val="20"/>
                <w:lang w:eastAsia="pl-PL"/>
              </w:rPr>
              <w:t xml:space="preserve"> </w:t>
            </w:r>
          </w:p>
        </w:tc>
      </w:tr>
      <w:tr w:rsidR="009857CB" w:rsidRPr="008C3F42" w14:paraId="06D97269" w14:textId="77777777" w:rsidTr="009E7D31">
        <w:trPr>
          <w:trHeight w:val="480"/>
        </w:trPr>
        <w:tc>
          <w:tcPr>
            <w:tcW w:w="4926" w:type="dxa"/>
          </w:tcPr>
          <w:p w14:paraId="0DD5A4BE" w14:textId="77777777" w:rsidR="009857CB" w:rsidRPr="008C3F42" w:rsidRDefault="009857CB" w:rsidP="009857CB">
            <w:pPr>
              <w:rPr>
                <w:b/>
                <w:sz w:val="20"/>
                <w:lang w:val="en-GB"/>
              </w:rPr>
            </w:pPr>
          </w:p>
        </w:tc>
        <w:tc>
          <w:tcPr>
            <w:tcW w:w="4927" w:type="dxa"/>
          </w:tcPr>
          <w:p w14:paraId="581DB5EF" w14:textId="31E20184" w:rsidR="009857CB" w:rsidRPr="008C3F42" w:rsidRDefault="009857CB" w:rsidP="009857CB">
            <w:pPr>
              <w:spacing w:line="240" w:lineRule="exact"/>
              <w:ind w:firstLine="680"/>
              <w:rPr>
                <w:sz w:val="20"/>
                <w:lang w:val="en-GB"/>
              </w:rPr>
            </w:pPr>
            <w:r>
              <w:rPr>
                <w:noProof/>
                <w:sz w:val="20"/>
                <w:lang w:eastAsia="pl-PL"/>
              </w:rPr>
              <w:drawing>
                <wp:anchor distT="0" distB="0" distL="114300" distR="114300" simplePos="0" relativeHeight="251806720" behindDoc="0" locked="0" layoutInCell="1" allowOverlap="1" wp14:anchorId="4660EA90" wp14:editId="0C8C487D">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sz w:val="20"/>
                </w:rPr>
                <w:t>@gus_stat</w:t>
              </w:r>
            </w:hyperlink>
          </w:p>
        </w:tc>
      </w:tr>
      <w:tr w:rsidR="009857CB" w:rsidRPr="008C3F42" w14:paraId="2B34FEF8" w14:textId="77777777" w:rsidTr="009E7D31">
        <w:trPr>
          <w:trHeight w:val="480"/>
        </w:trPr>
        <w:tc>
          <w:tcPr>
            <w:tcW w:w="4926" w:type="dxa"/>
          </w:tcPr>
          <w:p w14:paraId="327B582C" w14:textId="77777777" w:rsidR="009857CB" w:rsidRPr="008C3F42" w:rsidRDefault="009857CB" w:rsidP="009857CB">
            <w:pPr>
              <w:rPr>
                <w:b/>
                <w:sz w:val="20"/>
                <w:lang w:val="en-GB"/>
              </w:rPr>
            </w:pPr>
          </w:p>
        </w:tc>
        <w:tc>
          <w:tcPr>
            <w:tcW w:w="4927" w:type="dxa"/>
          </w:tcPr>
          <w:p w14:paraId="40F251B2" w14:textId="07F536D2" w:rsidR="009857CB" w:rsidRPr="008C3F42" w:rsidRDefault="009857CB" w:rsidP="009857CB">
            <w:pPr>
              <w:spacing w:line="240" w:lineRule="exact"/>
              <w:ind w:firstLine="680"/>
              <w:rPr>
                <w:sz w:val="20"/>
                <w:lang w:val="en-GB"/>
              </w:rPr>
            </w:pPr>
            <w:r>
              <w:rPr>
                <w:noProof/>
                <w:sz w:val="20"/>
                <w:lang w:eastAsia="pl-PL"/>
              </w:rPr>
              <w:drawing>
                <wp:anchor distT="0" distB="0" distL="114300" distR="114300" simplePos="0" relativeHeight="251807744" behindDoc="0" locked="0" layoutInCell="1" allowOverlap="1" wp14:anchorId="6544D9F3" wp14:editId="1EADCC88">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F7264C">
                <w:rPr>
                  <w:rStyle w:val="Hipercze"/>
                  <w:sz w:val="20"/>
                </w:rPr>
                <w:t>@GłównyUrządStatystycznyGUS</w:t>
              </w:r>
            </w:hyperlink>
          </w:p>
        </w:tc>
      </w:tr>
      <w:tr w:rsidR="009857CB" w:rsidRPr="008C3F42" w14:paraId="16A5698A" w14:textId="77777777" w:rsidTr="009E7D31">
        <w:trPr>
          <w:trHeight w:val="953"/>
        </w:trPr>
        <w:tc>
          <w:tcPr>
            <w:tcW w:w="4926" w:type="dxa"/>
          </w:tcPr>
          <w:p w14:paraId="3605F212" w14:textId="77777777" w:rsidR="009857CB" w:rsidRPr="008C3F42" w:rsidRDefault="009857CB" w:rsidP="009857CB">
            <w:pPr>
              <w:rPr>
                <w:b/>
                <w:sz w:val="20"/>
                <w:lang w:val="en-GB"/>
              </w:rPr>
            </w:pPr>
          </w:p>
        </w:tc>
        <w:tc>
          <w:tcPr>
            <w:tcW w:w="4927" w:type="dxa"/>
          </w:tcPr>
          <w:p w14:paraId="1D245A35" w14:textId="5315F83A" w:rsidR="009857CB" w:rsidRPr="008C3F42" w:rsidRDefault="00000000" w:rsidP="009857CB">
            <w:pPr>
              <w:spacing w:line="240" w:lineRule="exact"/>
              <w:ind w:firstLine="680"/>
              <w:rPr>
                <w:sz w:val="20"/>
                <w:lang w:val="en-GB"/>
              </w:rPr>
            </w:pPr>
            <w:hyperlink r:id="rId28" w:history="1">
              <w:r w:rsidR="009857CB" w:rsidRPr="00F7264C">
                <w:rPr>
                  <w:rStyle w:val="Hipercze"/>
                  <w:noProof/>
                  <w:sz w:val="20"/>
                  <w:lang w:eastAsia="pl-PL"/>
                </w:rPr>
                <w:t>@G</w:t>
              </w:r>
              <w:r w:rsidR="009857CB">
                <w:rPr>
                  <w:rStyle w:val="Hipercze"/>
                  <w:noProof/>
                  <w:sz w:val="20"/>
                  <w:lang w:eastAsia="pl-PL"/>
                </w:rPr>
                <w:t>ł</w:t>
              </w:r>
              <w:r w:rsidR="009857CB" w:rsidRPr="00F7264C">
                <w:rPr>
                  <w:rStyle w:val="Hipercze"/>
                  <w:noProof/>
                  <w:sz w:val="20"/>
                  <w:lang w:eastAsia="pl-PL"/>
                </w:rPr>
                <w:t>ówny Urząd Statystyczny</w:t>
              </w:r>
            </w:hyperlink>
            <w:r w:rsidR="009857CB">
              <w:rPr>
                <w:noProof/>
                <w:sz w:val="20"/>
                <w:lang w:eastAsia="pl-PL"/>
              </w:rPr>
              <w:drawing>
                <wp:anchor distT="0" distB="0" distL="114300" distR="114300" simplePos="0" relativeHeight="251808768" behindDoc="0" locked="0" layoutInCell="1" allowOverlap="1" wp14:anchorId="0CE09B6C" wp14:editId="04B13E40">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90598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047A6" w:rsidRDefault="00CA784C" w:rsidP="00F87D2D">
            <w:pPr>
              <w:shd w:val="clear" w:color="auto" w:fill="D9D9D9" w:themeFill="background1" w:themeFillShade="D9"/>
              <w:spacing w:line="240" w:lineRule="exact"/>
              <w:rPr>
                <w:b/>
                <w:lang w:val="en-GB"/>
              </w:rPr>
            </w:pPr>
            <w:r w:rsidRPr="00C047A6">
              <w:rPr>
                <w:b/>
                <w:lang w:val="en-GB"/>
              </w:rPr>
              <w:t>Related information</w:t>
            </w:r>
          </w:p>
          <w:p w14:paraId="7775FF74" w14:textId="5B9BC2E1" w:rsidR="007344BF" w:rsidRDefault="00000000" w:rsidP="00F87D2D">
            <w:pPr>
              <w:spacing w:line="240" w:lineRule="exact"/>
              <w:rPr>
                <w:lang w:val="en-GB"/>
              </w:rPr>
            </w:pPr>
            <w:hyperlink r:id="rId30" w:tooltip="Link to relase: Research and experimental development in Poland 2024" w:history="1">
              <w:r w:rsidR="007344BF" w:rsidRPr="002C7B0A">
                <w:rPr>
                  <w:rStyle w:val="Hipercze"/>
                  <w:rFonts w:cstheme="minorBidi"/>
                  <w:lang w:val="en-GB"/>
                </w:rPr>
                <w:t>Research and experimental development in Poland 202</w:t>
              </w:r>
              <w:r w:rsidR="002C7B0A" w:rsidRPr="002C7B0A">
                <w:rPr>
                  <w:rStyle w:val="Hipercze"/>
                  <w:rFonts w:cstheme="minorBidi"/>
                  <w:lang w:val="en-GB"/>
                </w:rPr>
                <w:t>4</w:t>
              </w:r>
            </w:hyperlink>
            <w:r w:rsidR="00580F2C">
              <w:rPr>
                <w:rStyle w:val="Hipercze"/>
                <w:rFonts w:cstheme="minorBidi"/>
                <w:lang w:val="en-GB"/>
              </w:rPr>
              <w:t xml:space="preserve"> </w:t>
            </w:r>
          </w:p>
          <w:p w14:paraId="04D5F2B1" w14:textId="3E9B61C9" w:rsidR="007344BF" w:rsidRDefault="00000000" w:rsidP="00F87D2D">
            <w:pPr>
              <w:spacing w:line="240" w:lineRule="exact"/>
              <w:rPr>
                <w:lang w:val="en-GB"/>
              </w:rPr>
            </w:pPr>
            <w:hyperlink r:id="rId31" w:tooltip="Link to relase: Science and technology in 2024" w:history="1">
              <w:r w:rsidR="007344BF" w:rsidRPr="00F1317A">
                <w:rPr>
                  <w:rStyle w:val="Hipercze"/>
                  <w:rFonts w:cstheme="minorBidi"/>
                  <w:lang w:val="en-GB"/>
                </w:rPr>
                <w:t>Science and technology in 202</w:t>
              </w:r>
              <w:r w:rsidR="00F1317A" w:rsidRPr="00F1317A">
                <w:rPr>
                  <w:rStyle w:val="Hipercze"/>
                  <w:rFonts w:cstheme="minorBidi"/>
                  <w:lang w:val="en-GB"/>
                </w:rPr>
                <w:t>4</w:t>
              </w:r>
            </w:hyperlink>
            <w:r w:rsidR="00580F2C">
              <w:rPr>
                <w:rStyle w:val="Hipercze"/>
                <w:rFonts w:cstheme="minorBidi"/>
                <w:lang w:val="en-GB"/>
              </w:rPr>
              <w:t xml:space="preserve"> </w:t>
            </w:r>
          </w:p>
          <w:p w14:paraId="7D9034BF" w14:textId="4CA62FCE" w:rsidR="00B16871" w:rsidRPr="00C047A6" w:rsidRDefault="00000000" w:rsidP="00F87D2D">
            <w:pPr>
              <w:spacing w:line="240" w:lineRule="exact"/>
              <w:rPr>
                <w:rStyle w:val="Hipercze"/>
                <w:lang w:val="en-GB"/>
              </w:rPr>
            </w:pPr>
            <w:hyperlink r:id="rId32" w:tooltip="Link to relase: Methodological report. Research and experimental development" w:history="1">
              <w:r w:rsidR="007344BF" w:rsidRPr="006B4128">
                <w:rPr>
                  <w:rStyle w:val="Hipercze"/>
                  <w:rFonts w:cstheme="minorBidi"/>
                  <w:lang w:val="en-GB"/>
                </w:rPr>
                <w:t>Methodological report. Research and experimental development</w:t>
              </w:r>
            </w:hyperlink>
            <w:r w:rsidR="00580F2C">
              <w:rPr>
                <w:rStyle w:val="Hipercze"/>
                <w:rFonts w:cstheme="minorBidi"/>
                <w:lang w:val="en-GB"/>
              </w:rPr>
              <w:t xml:space="preserve"> </w:t>
            </w:r>
            <w:r w:rsidR="00CF18EE" w:rsidRPr="008C3F42">
              <w:rPr>
                <w:rFonts w:cs="Times New Roman"/>
                <w:lang w:val="en-GB"/>
              </w:rPr>
              <w:fldChar w:fldCharType="begin"/>
            </w:r>
            <w:r w:rsidR="00001862" w:rsidRPr="00446932">
              <w:rPr>
                <w:rFonts w:cs="Times New Roman"/>
                <w:lang w:val="en-GB"/>
              </w:rPr>
              <w:instrText>HYPERLINK "https://stat.gov.pl/" \o "description hyperlink "</w:instrText>
            </w:r>
            <w:r w:rsidR="00CF18EE" w:rsidRPr="008C3F42">
              <w:rPr>
                <w:rFonts w:cs="Times New Roman"/>
                <w:lang w:val="en-GB"/>
              </w:rPr>
            </w:r>
            <w:r w:rsidR="00CF18EE" w:rsidRPr="008C3F42">
              <w:rPr>
                <w:rFonts w:cs="Times New Roman"/>
                <w:lang w:val="en-GB"/>
              </w:rPr>
              <w:fldChar w:fldCharType="separate"/>
            </w:r>
          </w:p>
          <w:p w14:paraId="55DA24D0" w14:textId="23B4228B" w:rsidR="00DE2400" w:rsidRPr="008C3F42" w:rsidRDefault="00CF18EE" w:rsidP="00F87D2D">
            <w:pPr>
              <w:spacing w:before="360" w:line="240" w:lineRule="exact"/>
              <w:rPr>
                <w:b/>
                <w:color w:val="000000" w:themeColor="text1"/>
                <w:szCs w:val="24"/>
                <w:lang w:val="en-GB"/>
              </w:rPr>
            </w:pPr>
            <w:r w:rsidRPr="008C3F42">
              <w:rPr>
                <w:rFonts w:cs="Times New Roman"/>
                <w:lang w:val="en-GB"/>
              </w:rPr>
              <w:fldChar w:fldCharType="end"/>
            </w:r>
            <w:r w:rsidR="000F569C" w:rsidRPr="008C3F42">
              <w:rPr>
                <w:b/>
                <w:color w:val="000000" w:themeColor="text1"/>
                <w:szCs w:val="24"/>
                <w:lang w:val="en-GB"/>
              </w:rPr>
              <w:t>Data available in databases</w:t>
            </w:r>
          </w:p>
          <w:p w14:paraId="673DE94E" w14:textId="302E4333" w:rsidR="00910671" w:rsidRPr="00910671" w:rsidRDefault="00000000" w:rsidP="00910671">
            <w:pPr>
              <w:spacing w:line="240" w:lineRule="exact"/>
              <w:rPr>
                <w:rStyle w:val="Hipercze"/>
                <w:lang w:val="en-GB"/>
              </w:rPr>
            </w:pPr>
            <w:hyperlink r:id="rId33" w:tooltip="Link to: Local Data Bank (BDL) – Science and Technology. Information society – Research and development" w:history="1">
              <w:r w:rsidR="00910671" w:rsidRPr="004A1C18">
                <w:rPr>
                  <w:rStyle w:val="Hipercze"/>
                  <w:lang w:val="en-GB"/>
                </w:rPr>
                <w:t>Local Data Bank (BDL) – Science and Technology. Information society – Research and development</w:t>
              </w:r>
            </w:hyperlink>
          </w:p>
          <w:p w14:paraId="056BABDA" w14:textId="140C530F" w:rsidR="00910671" w:rsidRPr="00705477" w:rsidRDefault="00705477" w:rsidP="00910671">
            <w:pPr>
              <w:spacing w:line="240" w:lineRule="exact"/>
              <w:rPr>
                <w:rStyle w:val="Hipercze"/>
                <w:lang w:val="en-GB"/>
              </w:rPr>
            </w:pPr>
            <w:r>
              <w:rPr>
                <w:rStyle w:val="Hipercze"/>
                <w:lang w:val="en-GB"/>
              </w:rPr>
              <w:fldChar w:fldCharType="begin"/>
            </w:r>
            <w:r>
              <w:rPr>
                <w:rStyle w:val="Hipercze"/>
                <w:lang w:val="en-GB"/>
              </w:rPr>
              <w:instrText>HYPERLINK "https://bdm.stat.gov.pl/" \o "Link to: Macroeconomic Data Bank (BDM) – Research and experimental development, innovation activities of enterprises and information society"</w:instrText>
            </w:r>
            <w:r>
              <w:rPr>
                <w:rStyle w:val="Hipercze"/>
                <w:lang w:val="en-GB"/>
              </w:rPr>
            </w:r>
            <w:r>
              <w:rPr>
                <w:rStyle w:val="Hipercze"/>
                <w:lang w:val="en-GB"/>
              </w:rPr>
              <w:fldChar w:fldCharType="separate"/>
            </w:r>
            <w:r w:rsidR="00910671" w:rsidRPr="00705477">
              <w:rPr>
                <w:rStyle w:val="Hipercze"/>
                <w:lang w:val="en-GB"/>
              </w:rPr>
              <w:t xml:space="preserve">Macroeconomic Data Bank (BDM) – Research and experimental development, innovation activities </w:t>
            </w:r>
            <w:r w:rsidR="00910671" w:rsidRPr="00705477">
              <w:rPr>
                <w:rStyle w:val="Hipercze"/>
                <w:lang w:val="en-GB"/>
              </w:rPr>
              <w:br/>
              <w:t>of enterprises and information society</w:t>
            </w:r>
          </w:p>
          <w:p w14:paraId="428319DE" w14:textId="49C348D9" w:rsidR="007344BF" w:rsidRPr="00D6590C" w:rsidRDefault="00705477" w:rsidP="00F87D2D">
            <w:pPr>
              <w:spacing w:line="240" w:lineRule="exact"/>
              <w:rPr>
                <w:rStyle w:val="Hipercze"/>
                <w:lang w:val="en-GB"/>
              </w:rPr>
            </w:pPr>
            <w:r>
              <w:rPr>
                <w:rStyle w:val="Hipercze"/>
                <w:lang w:val="en-GB"/>
              </w:rPr>
              <w:fldChar w:fldCharType="end"/>
            </w:r>
            <w:hyperlink r:id="rId34" w:tooltip="Link to: Knowledge Databases (DBW) – Science and technology" w:history="1">
              <w:r w:rsidR="007344BF" w:rsidRPr="00D6590C">
                <w:rPr>
                  <w:rStyle w:val="Hipercze"/>
                  <w:lang w:val="en-GB"/>
                </w:rPr>
                <w:t>Knowledge Databases (DBW)</w:t>
              </w:r>
              <w:r w:rsidR="00D6590C" w:rsidRPr="00D6590C">
                <w:rPr>
                  <w:rStyle w:val="Hipercze"/>
                  <w:lang w:val="en-GB"/>
                </w:rPr>
                <w:t xml:space="preserve"> – Science and technology</w:t>
              </w:r>
            </w:hyperlink>
          </w:p>
          <w:p w14:paraId="2CC3343A" w14:textId="4FDB74A0" w:rsidR="00DE2400" w:rsidRPr="003F6749" w:rsidRDefault="003F6749" w:rsidP="00F87D2D">
            <w:pPr>
              <w:spacing w:line="240" w:lineRule="exact"/>
              <w:rPr>
                <w:rStyle w:val="Hipercze"/>
                <w:lang w:val="en-GB"/>
              </w:rPr>
            </w:pPr>
            <w:r>
              <w:rPr>
                <w:rStyle w:val="Hipercze"/>
                <w:lang w:val="en-GB"/>
              </w:rPr>
              <w:fldChar w:fldCharType="begin"/>
            </w:r>
            <w:r w:rsidR="00E1689C">
              <w:rPr>
                <w:rStyle w:val="Hipercze"/>
                <w:lang w:val="en-GB"/>
              </w:rPr>
              <w:instrText>HYPERLINK "https://strateg.stat.gov.pl/" \o "Link to: Strateg – Statistic by theme – Research and innovation"</w:instrText>
            </w:r>
            <w:r>
              <w:rPr>
                <w:rStyle w:val="Hipercze"/>
                <w:lang w:val="en-GB"/>
              </w:rPr>
            </w:r>
            <w:r>
              <w:rPr>
                <w:rStyle w:val="Hipercze"/>
                <w:lang w:val="en-GB"/>
              </w:rPr>
              <w:fldChar w:fldCharType="separate"/>
            </w:r>
            <w:proofErr w:type="spellStart"/>
            <w:r w:rsidR="007344BF" w:rsidRPr="003F6749">
              <w:rPr>
                <w:rStyle w:val="Hipercze"/>
                <w:lang w:val="en-GB"/>
              </w:rPr>
              <w:t>Strateg</w:t>
            </w:r>
            <w:proofErr w:type="spellEnd"/>
            <w:r w:rsidR="00BB5CF6">
              <w:rPr>
                <w:rStyle w:val="Hipercze"/>
                <w:lang w:val="en-GB"/>
              </w:rPr>
              <w:t xml:space="preserve"> – </w:t>
            </w:r>
            <w:r w:rsidR="00E1689C">
              <w:rPr>
                <w:rStyle w:val="Hipercze"/>
                <w:lang w:val="en-GB"/>
              </w:rPr>
              <w:t>Statistic by theme – Research and innovation</w:t>
            </w:r>
          </w:p>
          <w:p w14:paraId="6EC7A51E" w14:textId="14EEA245" w:rsidR="00B16871" w:rsidRPr="008C3F42" w:rsidRDefault="003F6749" w:rsidP="00F87D2D">
            <w:pPr>
              <w:spacing w:before="360" w:line="240" w:lineRule="exact"/>
              <w:rPr>
                <w:b/>
                <w:color w:val="000000" w:themeColor="text1"/>
                <w:szCs w:val="24"/>
                <w:lang w:val="en-GB"/>
              </w:rPr>
            </w:pPr>
            <w:r>
              <w:rPr>
                <w:rStyle w:val="Hipercze"/>
                <w:lang w:val="en-GB"/>
              </w:rPr>
              <w:fldChar w:fldCharType="end"/>
            </w:r>
            <w:r w:rsidR="00CA784C" w:rsidRPr="008C3F42">
              <w:rPr>
                <w:b/>
                <w:color w:val="000000" w:themeColor="text1"/>
                <w:szCs w:val="24"/>
                <w:lang w:val="en-GB"/>
              </w:rPr>
              <w:t>Terms used inn official statistics</w:t>
            </w:r>
          </w:p>
          <w:p w14:paraId="112B144E" w14:textId="786279D2" w:rsidR="007344BF" w:rsidRPr="000A44C8" w:rsidRDefault="000A44C8" w:rsidP="00F87D2D">
            <w:pPr>
              <w:spacing w:line="240" w:lineRule="exact"/>
              <w:rPr>
                <w:rStyle w:val="Hipercze"/>
                <w:rFonts w:cstheme="minorBidi"/>
                <w:lang w:val="en-GB"/>
              </w:rPr>
            </w:pPr>
            <w:r>
              <w:rPr>
                <w:rStyle w:val="Hipercze"/>
                <w:rFonts w:cstheme="minorBidi"/>
                <w:lang w:val="en-GB"/>
              </w:rPr>
              <w:fldChar w:fldCharType="begin"/>
            </w:r>
            <w:r w:rsidR="00A8793B">
              <w:rPr>
                <w:rStyle w:val="Hipercze"/>
                <w:rFonts w:cstheme="minorBidi"/>
                <w:lang w:val="en-GB"/>
              </w:rPr>
              <w:instrText>HYPERLINK "https://stat.gov.pl/en/metainformation/glossary/terms-used-in-official-statistics/76,term.html" \o "Link to term: Research and experimental development (R&amp;D)"</w:instrText>
            </w:r>
            <w:r>
              <w:rPr>
                <w:rStyle w:val="Hipercze"/>
                <w:rFonts w:cstheme="minorBidi"/>
                <w:lang w:val="en-GB"/>
              </w:rPr>
            </w:r>
            <w:r>
              <w:rPr>
                <w:rStyle w:val="Hipercze"/>
                <w:rFonts w:cstheme="minorBidi"/>
                <w:lang w:val="en-GB"/>
              </w:rPr>
              <w:fldChar w:fldCharType="separate"/>
            </w:r>
            <w:r w:rsidR="007344BF" w:rsidRPr="000A44C8">
              <w:rPr>
                <w:rStyle w:val="Hipercze"/>
                <w:rFonts w:cstheme="minorBidi"/>
                <w:lang w:val="en-GB"/>
              </w:rPr>
              <w:t>Research and experimental development (R&amp;D)</w:t>
            </w:r>
          </w:p>
          <w:p w14:paraId="3CB6A39E" w14:textId="144E2FDB" w:rsidR="007344BF" w:rsidRPr="00881997" w:rsidRDefault="000A44C8" w:rsidP="00F87D2D">
            <w:pPr>
              <w:spacing w:line="240" w:lineRule="exact"/>
              <w:rPr>
                <w:lang w:val="en-GB"/>
              </w:rPr>
            </w:pPr>
            <w:r>
              <w:rPr>
                <w:rStyle w:val="Hipercze"/>
                <w:rFonts w:cstheme="minorBidi"/>
                <w:lang w:val="en-GB"/>
              </w:rPr>
              <w:fldChar w:fldCharType="end"/>
            </w:r>
            <w:hyperlink r:id="rId35" w:tooltip="Link to ter: Gross domestic expenditures on research and development (GERD)" w:history="1">
              <w:r w:rsidR="007344BF" w:rsidRPr="00881997">
                <w:rPr>
                  <w:rStyle w:val="Hipercze"/>
                  <w:rFonts w:cstheme="minorBidi"/>
                  <w:lang w:val="en-GB"/>
                </w:rPr>
                <w:t>Gross domestic expenditures on research and development (GERD)</w:t>
              </w:r>
            </w:hyperlink>
          </w:p>
          <w:p w14:paraId="45AFAF7A" w14:textId="6FF65A09" w:rsidR="007344BF" w:rsidRPr="00881997" w:rsidRDefault="00000000" w:rsidP="00F87D2D">
            <w:pPr>
              <w:spacing w:line="240" w:lineRule="exact"/>
              <w:rPr>
                <w:lang w:val="en-GB"/>
              </w:rPr>
            </w:pPr>
            <w:hyperlink r:id="rId36" w:tooltip="Link to term: Intramural expenditures on R&amp;D" w:history="1">
              <w:r w:rsidR="007344BF" w:rsidRPr="00881997">
                <w:rPr>
                  <w:rStyle w:val="Hipercze"/>
                  <w:rFonts w:cstheme="minorBidi"/>
                  <w:lang w:val="en-GB"/>
                </w:rPr>
                <w:t>Intramural expenditures on R&amp;D</w:t>
              </w:r>
            </w:hyperlink>
          </w:p>
          <w:p w14:paraId="7FEBB54E" w14:textId="59566DD6" w:rsidR="007344BF" w:rsidRPr="00881997" w:rsidRDefault="007344BF" w:rsidP="00F87D2D">
            <w:pPr>
              <w:spacing w:line="240" w:lineRule="exact"/>
              <w:rPr>
                <w:rStyle w:val="Hipercze"/>
                <w:rFonts w:cstheme="minorBidi"/>
                <w:szCs w:val="19"/>
                <w:lang w:val="en-GB"/>
              </w:rPr>
            </w:pPr>
            <w:r w:rsidRPr="00881997">
              <w:rPr>
                <w:szCs w:val="19"/>
                <w:lang w:val="en-GB"/>
              </w:rPr>
              <w:fldChar w:fldCharType="begin"/>
            </w:r>
            <w:r w:rsidR="00D539CD">
              <w:rPr>
                <w:szCs w:val="19"/>
                <w:lang w:val="en-GB"/>
              </w:rPr>
              <w:instrText>HYPERLINK "https://stat.gov.pl/en/metainformation/glossary/terms-used-in-official-statistics/10,term.html" \o "Link to term: Basic research"</w:instrText>
            </w:r>
            <w:r w:rsidRPr="00881997">
              <w:rPr>
                <w:szCs w:val="19"/>
                <w:lang w:val="en-GB"/>
              </w:rPr>
            </w:r>
            <w:r w:rsidRPr="00881997">
              <w:rPr>
                <w:szCs w:val="19"/>
                <w:lang w:val="en-GB"/>
              </w:rPr>
              <w:fldChar w:fldCharType="separate"/>
            </w:r>
            <w:r w:rsidRPr="00881997">
              <w:rPr>
                <w:rStyle w:val="Hipercze"/>
                <w:rFonts w:cstheme="minorBidi"/>
                <w:szCs w:val="19"/>
                <w:lang w:val="en-GB"/>
              </w:rPr>
              <w:t>B</w:t>
            </w:r>
            <w:r w:rsidRPr="00881997">
              <w:rPr>
                <w:rStyle w:val="Hipercze"/>
                <w:szCs w:val="19"/>
                <w:lang w:val="en-GB"/>
              </w:rPr>
              <w:t>asic</w:t>
            </w:r>
            <w:r w:rsidRPr="00881997">
              <w:rPr>
                <w:rStyle w:val="Hipercze"/>
                <w:rFonts w:cstheme="minorBidi"/>
                <w:szCs w:val="19"/>
                <w:lang w:val="en-GB"/>
              </w:rPr>
              <w:t xml:space="preserve"> </w:t>
            </w:r>
            <w:r w:rsidRPr="00881997">
              <w:rPr>
                <w:rStyle w:val="Hipercze"/>
                <w:szCs w:val="19"/>
                <w:lang w:val="en-GB"/>
              </w:rPr>
              <w:t>research</w:t>
            </w:r>
          </w:p>
          <w:p w14:paraId="10977750" w14:textId="6D1AC42D" w:rsidR="007344BF" w:rsidRPr="00C54FE8" w:rsidRDefault="007344BF" w:rsidP="00F87D2D">
            <w:pPr>
              <w:spacing w:line="240" w:lineRule="exact"/>
              <w:rPr>
                <w:szCs w:val="19"/>
                <w:lang w:val="en-GB"/>
              </w:rPr>
            </w:pPr>
            <w:r w:rsidRPr="00881997">
              <w:rPr>
                <w:szCs w:val="19"/>
                <w:lang w:val="en-GB"/>
              </w:rPr>
              <w:fldChar w:fldCharType="end"/>
            </w:r>
            <w:hyperlink r:id="rId37" w:tooltip="Link to term: Applied research" w:history="1">
              <w:r w:rsidRPr="00C54FE8">
                <w:rPr>
                  <w:rStyle w:val="Hipercze"/>
                  <w:rFonts w:cstheme="minorBidi"/>
                  <w:szCs w:val="19"/>
                  <w:lang w:val="en-GB"/>
                </w:rPr>
                <w:t>Applied research</w:t>
              </w:r>
            </w:hyperlink>
          </w:p>
          <w:p w14:paraId="1DC8E2D9" w14:textId="0C169A92" w:rsidR="007344BF" w:rsidRPr="00881997" w:rsidRDefault="00000000" w:rsidP="00F87D2D">
            <w:pPr>
              <w:spacing w:line="240" w:lineRule="exact"/>
              <w:rPr>
                <w:color w:val="0000FF"/>
                <w:szCs w:val="19"/>
                <w:lang w:val="en-GB"/>
              </w:rPr>
            </w:pPr>
            <w:hyperlink r:id="rId38" w:tooltip="Link to term: Experimental development" w:history="1">
              <w:r w:rsidR="007344BF" w:rsidRPr="00881997">
                <w:rPr>
                  <w:rStyle w:val="Hipercze"/>
                  <w:rFonts w:cstheme="minorBidi"/>
                  <w:szCs w:val="19"/>
                  <w:lang w:val="en-GB"/>
                </w:rPr>
                <w:t>Experimental development</w:t>
              </w:r>
            </w:hyperlink>
          </w:p>
          <w:p w14:paraId="3EB36DCF" w14:textId="3586C1D2" w:rsidR="007344BF" w:rsidRPr="00881997" w:rsidRDefault="00000000" w:rsidP="00F87D2D">
            <w:pPr>
              <w:spacing w:line="240" w:lineRule="exact"/>
              <w:rPr>
                <w:rStyle w:val="Hipercze"/>
                <w:rFonts w:cstheme="minorBidi"/>
                <w:szCs w:val="19"/>
                <w:u w:val="none"/>
                <w:lang w:val="en-GB"/>
              </w:rPr>
            </w:pPr>
            <w:hyperlink r:id="rId39" w:tooltip="Link to term: R&amp;D personnel" w:history="1">
              <w:r w:rsidR="007344BF" w:rsidRPr="00881997">
                <w:rPr>
                  <w:rStyle w:val="Hipercze"/>
                  <w:rFonts w:cstheme="minorBidi"/>
                  <w:szCs w:val="19"/>
                  <w:lang w:val="en-GB"/>
                </w:rPr>
                <w:t>R</w:t>
              </w:r>
              <w:r w:rsidR="007344BF" w:rsidRPr="00881997">
                <w:rPr>
                  <w:rStyle w:val="Hipercze"/>
                  <w:lang w:val="en-GB"/>
                </w:rPr>
                <w:t>&amp;D personnel</w:t>
              </w:r>
            </w:hyperlink>
          </w:p>
          <w:p w14:paraId="048862EA" w14:textId="0EAD62C1" w:rsidR="007344BF" w:rsidRPr="00881997" w:rsidRDefault="007344BF" w:rsidP="00F87D2D">
            <w:pPr>
              <w:spacing w:line="240" w:lineRule="exact"/>
              <w:rPr>
                <w:rStyle w:val="Hipercze"/>
                <w:rFonts w:cstheme="minorBidi"/>
                <w:szCs w:val="19"/>
                <w:lang w:val="en-GB"/>
              </w:rPr>
            </w:pPr>
            <w:r w:rsidRPr="00881997">
              <w:rPr>
                <w:szCs w:val="19"/>
                <w:lang w:val="en-GB"/>
              </w:rPr>
              <w:fldChar w:fldCharType="begin"/>
            </w:r>
            <w:r w:rsidR="00D539CD">
              <w:rPr>
                <w:szCs w:val="19"/>
                <w:lang w:val="en-GB"/>
              </w:rPr>
              <w:instrText>HYPERLINK "https://stat.gov.pl/en/metainformation/glossary/terms-used-in-official-statistics/4045,term.html" \o "Link to term: Internal R&amp;D personnel"</w:instrText>
            </w:r>
            <w:r w:rsidRPr="00881997">
              <w:rPr>
                <w:szCs w:val="19"/>
                <w:lang w:val="en-GB"/>
              </w:rPr>
            </w:r>
            <w:r w:rsidRPr="00881997">
              <w:rPr>
                <w:szCs w:val="19"/>
                <w:lang w:val="en-GB"/>
              </w:rPr>
              <w:fldChar w:fldCharType="separate"/>
            </w:r>
            <w:r w:rsidRPr="00881997">
              <w:rPr>
                <w:rStyle w:val="Hipercze"/>
                <w:rFonts w:cstheme="minorBidi"/>
                <w:szCs w:val="19"/>
                <w:lang w:val="en-GB"/>
              </w:rPr>
              <w:t>I</w:t>
            </w:r>
            <w:r w:rsidRPr="00881997">
              <w:rPr>
                <w:rStyle w:val="Hipercze"/>
                <w:lang w:val="en-GB"/>
              </w:rPr>
              <w:t>nternal</w:t>
            </w:r>
            <w:r w:rsidRPr="00881997">
              <w:rPr>
                <w:rStyle w:val="Hipercze"/>
                <w:rFonts w:cstheme="minorBidi"/>
                <w:szCs w:val="19"/>
                <w:lang w:val="en-GB"/>
              </w:rPr>
              <w:t xml:space="preserve"> </w:t>
            </w:r>
            <w:r w:rsidRPr="00881997">
              <w:rPr>
                <w:rStyle w:val="Hipercze"/>
                <w:lang w:val="en-GB"/>
              </w:rPr>
              <w:t>R&amp;D personnel</w:t>
            </w:r>
          </w:p>
          <w:p w14:paraId="59EB7117" w14:textId="7A989FEA" w:rsidR="00DE2400" w:rsidRPr="008C3F42" w:rsidRDefault="007344BF" w:rsidP="00F87D2D">
            <w:pPr>
              <w:spacing w:line="240" w:lineRule="exact"/>
              <w:rPr>
                <w:b/>
                <w:color w:val="000000" w:themeColor="text1"/>
                <w:szCs w:val="24"/>
                <w:lang w:val="en-GB"/>
              </w:rPr>
            </w:pPr>
            <w:r w:rsidRPr="00881997">
              <w:rPr>
                <w:szCs w:val="19"/>
                <w:lang w:val="en-GB"/>
              </w:rPr>
              <w:fldChar w:fldCharType="end"/>
            </w:r>
            <w:hyperlink r:id="rId40" w:tooltip="Link to term: External R&amp;D personnel" w:history="1">
              <w:r w:rsidRPr="00881997">
                <w:rPr>
                  <w:rStyle w:val="Hipercze"/>
                  <w:rFonts w:cstheme="minorBidi"/>
                  <w:szCs w:val="19"/>
                  <w:lang w:val="en-GB"/>
                </w:rPr>
                <w:t>E</w:t>
              </w:r>
              <w:r w:rsidRPr="00881997">
                <w:rPr>
                  <w:rStyle w:val="Hipercze"/>
                  <w:lang w:val="en-GB"/>
                </w:rPr>
                <w:t>xternal</w:t>
              </w:r>
              <w:r w:rsidRPr="00881997">
                <w:rPr>
                  <w:rStyle w:val="Hipercze"/>
                  <w:rFonts w:cstheme="minorBidi"/>
                  <w:szCs w:val="19"/>
                  <w:lang w:val="en-GB"/>
                </w:rPr>
                <w:t xml:space="preserve"> </w:t>
              </w:r>
              <w:r w:rsidRPr="00881997">
                <w:rPr>
                  <w:rStyle w:val="Hipercze"/>
                  <w:lang w:val="en-GB"/>
                </w:rPr>
                <w:t>R&amp;D personnel</w:t>
              </w:r>
            </w:hyperlink>
          </w:p>
        </w:tc>
      </w:tr>
    </w:tbl>
    <w:p w14:paraId="1634A8FA" w14:textId="77777777" w:rsidR="000470AA" w:rsidRPr="008C3F42" w:rsidRDefault="000470AA" w:rsidP="000470AA">
      <w:pPr>
        <w:rPr>
          <w:sz w:val="18"/>
          <w:lang w:val="en-GB"/>
        </w:rPr>
      </w:pPr>
    </w:p>
    <w:sectPr w:rsidR="000470AA" w:rsidRPr="008C3F42" w:rsidSect="003B18B6">
      <w:headerReference w:type="default" r:id="rId41"/>
      <w:footerReference w:type="default" r:id="rId42"/>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31314" w14:textId="77777777" w:rsidR="00CD66DC" w:rsidRDefault="00CD66DC" w:rsidP="000662E2">
      <w:pPr>
        <w:spacing w:after="0" w:line="240" w:lineRule="auto"/>
      </w:pPr>
      <w:r>
        <w:separator/>
      </w:r>
    </w:p>
  </w:endnote>
  <w:endnote w:type="continuationSeparator" w:id="0">
    <w:p w14:paraId="3AD3DDBD" w14:textId="77777777" w:rsidR="00CD66DC" w:rsidRDefault="00CD66D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C53245B2-8F3B-477C-A393-ADF35B687358}"/>
    <w:embedBold r:id="rId2" w:fontKey="{30CEF6E8-466A-419D-B397-39FB86B6BA37}"/>
  </w:font>
  <w:font w:name="Fira Sans Light">
    <w:panose1 w:val="020B0403050000020004"/>
    <w:charset w:val="EE"/>
    <w:family w:val="swiss"/>
    <w:pitch w:val="variable"/>
    <w:sig w:usb0="600002FF" w:usb1="02000001" w:usb2="00000000" w:usb3="00000000" w:csb0="0000019F" w:csb1="00000000"/>
    <w:embedRegular r:id="rId3" w:fontKey="{D693AA51-CF92-4BE7-80B8-0448F44B0444}"/>
    <w:embedBold r:id="rId4" w:fontKey="{6C82FDBA-7BE7-43A8-B174-4494D530FC71}"/>
  </w:font>
  <w:font w:name="Fira Sans SemiBold">
    <w:panose1 w:val="020B0603050000020004"/>
    <w:charset w:val="EE"/>
    <w:family w:val="swiss"/>
    <w:pitch w:val="variable"/>
    <w:sig w:usb0="600002FF" w:usb1="02000001" w:usb2="00000000" w:usb3="00000000" w:csb0="0000019F" w:csb1="00000000"/>
    <w:embedRegular r:id="rId5" w:fontKey="{4A752DE4-195C-44DE-BBED-E25A7AA89E8F}"/>
    <w:embedBold r:id="rId6" w:fontKey="{F1B2ECA1-8901-4244-B0CD-10B921ABE593}"/>
  </w:font>
  <w:font w:name="Fira Sans Medium">
    <w:panose1 w:val="020B0603050000020004"/>
    <w:charset w:val="EE"/>
    <w:family w:val="swiss"/>
    <w:pitch w:val="variable"/>
    <w:sig w:usb0="600002FF" w:usb1="02000001" w:usb2="00000000" w:usb3="00000000" w:csb0="0000019F" w:csb1="00000000"/>
    <w:embedRegular r:id="rId7" w:fontKey="{7B89EBAE-5A3D-4A6E-806B-1D83C7BDBB0A}"/>
    <w:embedItalic r:id="rId8" w:fontKey="{B1069C6B-8276-44CB-B25F-CA8F12F08A18}"/>
  </w:font>
  <w:font w:name="Segoe UI">
    <w:panose1 w:val="020B0502040204020203"/>
    <w:charset w:val="EE"/>
    <w:family w:val="swiss"/>
    <w:pitch w:val="variable"/>
    <w:sig w:usb0="E4002EFF" w:usb1="C000E47F" w:usb2="00000009" w:usb3="00000000" w:csb0="000001FF" w:csb1="00000000"/>
    <w:embedRegular r:id="rId9" w:fontKey="{808D11FF-7AB4-4D7E-94B7-85256CE229E1}"/>
  </w:font>
  <w:font w:name="Fira Sans Extra Condensed SemiB">
    <w:panose1 w:val="020B0603050000020004"/>
    <w:charset w:val="EE"/>
    <w:family w:val="swiss"/>
    <w:pitch w:val="variable"/>
    <w:sig w:usb0="600002FF" w:usb1="00000001" w:usb2="00000000" w:usb3="00000000" w:csb0="0000019F" w:csb1="00000000"/>
    <w:embedRegular r:id="rId10" w:fontKey="{6EECB118-DEE2-4CA4-9351-16944B91DE05}"/>
  </w:font>
  <w:font w:name="Calibri">
    <w:panose1 w:val="020F0502020204030204"/>
    <w:charset w:val="EE"/>
    <w:family w:val="swiss"/>
    <w:pitch w:val="variable"/>
    <w:sig w:usb0="E4002EFF" w:usb1="C200247B" w:usb2="00000009" w:usb3="00000000" w:csb0="000001FF" w:csb1="00000000"/>
    <w:embedRegular r:id="rId11" w:fontKey="{FFECA02A-B7DE-49FF-9481-0198CDC476F9}"/>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72847"/>
      <w:docPartObj>
        <w:docPartGallery w:val="Page Numbers (Bottom of Page)"/>
        <w:docPartUnique/>
      </w:docPartObj>
    </w:sdtPr>
    <w:sdtContent>
      <w:p w14:paraId="6E91F2FF" w14:textId="77777777" w:rsidR="00107D4C" w:rsidRDefault="00107D4C" w:rsidP="003B18B6">
        <w:pPr>
          <w:pStyle w:val="Stopka"/>
          <w:jc w:val="center"/>
        </w:pPr>
        <w:r>
          <w:fldChar w:fldCharType="begin"/>
        </w:r>
        <w:r>
          <w:instrText>PAGE   \* MERGEFORMAT</w:instrText>
        </w:r>
        <w:r>
          <w:fldChar w:fldCharType="separate"/>
        </w:r>
        <w:r w:rsidR="00643755">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370886"/>
      <w:docPartObj>
        <w:docPartGallery w:val="Page Numbers (Bottom of Page)"/>
        <w:docPartUnique/>
      </w:docPartObj>
    </w:sdtPr>
    <w:sdtContent>
      <w:p w14:paraId="7A63DCE2" w14:textId="77777777" w:rsidR="00107D4C" w:rsidRDefault="00107D4C" w:rsidP="003B18B6">
        <w:pPr>
          <w:pStyle w:val="Stopka"/>
          <w:jc w:val="center"/>
        </w:pPr>
        <w:r>
          <w:fldChar w:fldCharType="begin"/>
        </w:r>
        <w:r>
          <w:instrText>PAGE   \* MERGEFORMAT</w:instrText>
        </w:r>
        <w:r>
          <w:fldChar w:fldCharType="separate"/>
        </w:r>
        <w:r w:rsidR="00643755">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35B31BF" w14:textId="77777777" w:rsidR="00107D4C" w:rsidRDefault="00107D4C" w:rsidP="003B18B6">
        <w:pPr>
          <w:pStyle w:val="Stopka"/>
          <w:jc w:val="center"/>
        </w:pPr>
        <w:r>
          <w:fldChar w:fldCharType="begin"/>
        </w:r>
        <w:r>
          <w:instrText>PAGE   \* MERGEFORMAT</w:instrText>
        </w:r>
        <w:r>
          <w:fldChar w:fldCharType="separate"/>
        </w:r>
        <w:r w:rsidR="00643755">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5F716" w14:textId="77777777" w:rsidR="00CD66DC" w:rsidRDefault="00CD66DC" w:rsidP="000662E2">
      <w:pPr>
        <w:spacing w:after="0" w:line="240" w:lineRule="auto"/>
      </w:pPr>
      <w:r>
        <w:separator/>
      </w:r>
    </w:p>
  </w:footnote>
  <w:footnote w:type="continuationSeparator" w:id="0">
    <w:p w14:paraId="22DCEA3E" w14:textId="77777777" w:rsidR="00CD66DC" w:rsidRDefault="00CD66DC"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107D4C" w:rsidRDefault="00107D4C">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107D4C" w:rsidRDefault="00107D4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77F68C50" w:rsidR="00107D4C" w:rsidRDefault="00107D4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35EE7776">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107D4C" w:rsidRDefault="00107D4C">
    <w:pPr>
      <w:pStyle w:val="Nagwek"/>
      <w:rPr>
        <w:noProof/>
        <w:lang w:eastAsia="pl-PL"/>
      </w:rPr>
    </w:pPr>
  </w:p>
  <w:p w14:paraId="45C1A999" w14:textId="77777777" w:rsidR="00107D4C" w:rsidRDefault="00107D4C">
    <w:pPr>
      <w:pStyle w:val="Nagwek"/>
      <w:rPr>
        <w:noProof/>
        <w:lang w:eastAsia="pl-PL"/>
      </w:rPr>
    </w:pPr>
  </w:p>
  <w:p w14:paraId="3194277A" w14:textId="5E6F66AE" w:rsidR="00107D4C" w:rsidRDefault="00107D4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6715EF0B">
              <wp:simplePos x="0" y="0"/>
              <wp:positionH relativeFrom="column">
                <wp:posOffset>5221808</wp:posOffset>
              </wp:positionH>
              <wp:positionV relativeFrom="paragraph">
                <wp:posOffset>266065</wp:posOffset>
              </wp:positionV>
              <wp:extent cx="1432293" cy="336589"/>
              <wp:effectExtent l="0" t="0" r="0" b="6350"/>
              <wp:wrapNone/>
              <wp:docPr id="8" name="Pole tekstowe 2" descr="Publication Data&#10;&#10;22.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28FC68E" w:rsidR="00107D4C" w:rsidRPr="00A01B40" w:rsidRDefault="00107D4C" w:rsidP="00F049AB">
                          <w:pPr>
                            <w:pStyle w:val="Datainformacjisygnalnej"/>
                          </w:pPr>
                          <w:r>
                            <w:t>2</w:t>
                          </w:r>
                          <w:r w:rsidR="00AF5FF6">
                            <w:t>2</w:t>
                          </w:r>
                          <w:r>
                            <w:t>.10.202</w:t>
                          </w:r>
                          <w:r w:rsidR="00AF5FF6">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10;&#10;22.10.2026" style="position:absolute;margin-left:411.1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" filled="f" stroked="f">
              <v:textbox>
                <w:txbxContent>
                  <w:p w14:paraId="71967FEA" w14:textId="428FC68E" w:rsidR="00107D4C" w:rsidRPr="00A01B40" w:rsidRDefault="00107D4C" w:rsidP="00F049AB">
                    <w:pPr>
                      <w:pStyle w:val="Datainformacjisygnalnej"/>
                    </w:pPr>
                    <w:r>
                      <w:t>2</w:t>
                    </w:r>
                    <w:r w:rsidR="00AF5FF6">
                      <w:t>2</w:t>
                    </w:r>
                    <w:r>
                      <w:t>.10.202</w:t>
                    </w:r>
                    <w:r w:rsidR="00AF5FF6">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107D4C" w:rsidRDefault="00107D4C">
    <w:pPr>
      <w:pStyle w:val="Nagwek"/>
    </w:pPr>
  </w:p>
  <w:p w14:paraId="0738E4E9" w14:textId="77777777" w:rsidR="00107D4C" w:rsidRDefault="00107D4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19" type="#_x0000_t75" style="width:123.25pt;height:125pt;visibility:visible;mso-wrap-style:square" o:bullet="t">
        <v:imagedata r:id="rId1" o:title=""/>
      </v:shape>
    </w:pict>
  </w:numPicBullet>
  <w:numPicBullet w:numPicBulletId="1">
    <w:pict>
      <v:shape id="_x0000_i1720" type="#_x0000_t75" style="width:124.4pt;height:125pt;visibility:visible;mso-wrap-style:square" o:bullet="t">
        <v:imagedata r:id="rId2" o:title=""/>
      </v:shape>
    </w:pict>
  </w:numPicBullet>
  <w:numPicBullet w:numPicBulletId="2">
    <w:pict>
      <v:shape id="_x0000_i1721" type="#_x0000_t75" style="width:15.55pt;height:23.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919674569">
    <w:abstractNumId w:val="4"/>
  </w:num>
  <w:num w:numId="2" w16cid:durableId="507065187">
    <w:abstractNumId w:val="1"/>
  </w:num>
  <w:num w:numId="3" w16cid:durableId="1817720661">
    <w:abstractNumId w:val="2"/>
  </w:num>
  <w:num w:numId="4" w16cid:durableId="129231962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252806">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5551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TrueTypeFont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BE3"/>
    <w:rsid w:val="00001862"/>
    <w:rsid w:val="00001C5B"/>
    <w:rsid w:val="00003437"/>
    <w:rsid w:val="000067F8"/>
    <w:rsid w:val="0000709F"/>
    <w:rsid w:val="000075AB"/>
    <w:rsid w:val="000108B8"/>
    <w:rsid w:val="000152F5"/>
    <w:rsid w:val="00021CD0"/>
    <w:rsid w:val="0003064E"/>
    <w:rsid w:val="00035825"/>
    <w:rsid w:val="0004277F"/>
    <w:rsid w:val="0004582E"/>
    <w:rsid w:val="000470AA"/>
    <w:rsid w:val="000516E1"/>
    <w:rsid w:val="0005606D"/>
    <w:rsid w:val="00057CA1"/>
    <w:rsid w:val="000647A9"/>
    <w:rsid w:val="000662E2"/>
    <w:rsid w:val="00066883"/>
    <w:rsid w:val="00067B66"/>
    <w:rsid w:val="00071B39"/>
    <w:rsid w:val="00074DD8"/>
    <w:rsid w:val="00075759"/>
    <w:rsid w:val="00075C80"/>
    <w:rsid w:val="000806F7"/>
    <w:rsid w:val="000826C7"/>
    <w:rsid w:val="00091AFA"/>
    <w:rsid w:val="00096147"/>
    <w:rsid w:val="00097840"/>
    <w:rsid w:val="000A2201"/>
    <w:rsid w:val="000A43F1"/>
    <w:rsid w:val="000A44C8"/>
    <w:rsid w:val="000A455A"/>
    <w:rsid w:val="000A6C94"/>
    <w:rsid w:val="000A7F38"/>
    <w:rsid w:val="000B0727"/>
    <w:rsid w:val="000C135D"/>
    <w:rsid w:val="000D1D43"/>
    <w:rsid w:val="000D225C"/>
    <w:rsid w:val="000D2A5C"/>
    <w:rsid w:val="000D39F0"/>
    <w:rsid w:val="000D7FD2"/>
    <w:rsid w:val="000E0918"/>
    <w:rsid w:val="000E74E5"/>
    <w:rsid w:val="000E79A9"/>
    <w:rsid w:val="000F1A30"/>
    <w:rsid w:val="000F200D"/>
    <w:rsid w:val="000F4AA2"/>
    <w:rsid w:val="000F569C"/>
    <w:rsid w:val="00100F7A"/>
    <w:rsid w:val="001011C3"/>
    <w:rsid w:val="00106957"/>
    <w:rsid w:val="00106DA3"/>
    <w:rsid w:val="00107D4C"/>
    <w:rsid w:val="00110214"/>
    <w:rsid w:val="001109F2"/>
    <w:rsid w:val="00110D87"/>
    <w:rsid w:val="00112399"/>
    <w:rsid w:val="00113006"/>
    <w:rsid w:val="00114DB9"/>
    <w:rsid w:val="00116087"/>
    <w:rsid w:val="00117711"/>
    <w:rsid w:val="001210B4"/>
    <w:rsid w:val="001217BF"/>
    <w:rsid w:val="00130283"/>
    <w:rsid w:val="00130296"/>
    <w:rsid w:val="00131795"/>
    <w:rsid w:val="00134145"/>
    <w:rsid w:val="001348AE"/>
    <w:rsid w:val="00136736"/>
    <w:rsid w:val="00136740"/>
    <w:rsid w:val="00136D67"/>
    <w:rsid w:val="001423B6"/>
    <w:rsid w:val="001448A7"/>
    <w:rsid w:val="00146621"/>
    <w:rsid w:val="00146F15"/>
    <w:rsid w:val="00156F04"/>
    <w:rsid w:val="001617E3"/>
    <w:rsid w:val="00162325"/>
    <w:rsid w:val="00163E34"/>
    <w:rsid w:val="0016731F"/>
    <w:rsid w:val="001925BC"/>
    <w:rsid w:val="001951DA"/>
    <w:rsid w:val="001A2657"/>
    <w:rsid w:val="001A3507"/>
    <w:rsid w:val="001B053D"/>
    <w:rsid w:val="001B13FF"/>
    <w:rsid w:val="001B7EA3"/>
    <w:rsid w:val="001C3269"/>
    <w:rsid w:val="001C7236"/>
    <w:rsid w:val="001D19B6"/>
    <w:rsid w:val="001D1DB4"/>
    <w:rsid w:val="001D23F1"/>
    <w:rsid w:val="001D25F9"/>
    <w:rsid w:val="001D4210"/>
    <w:rsid w:val="001D61ED"/>
    <w:rsid w:val="001E135C"/>
    <w:rsid w:val="001E58E7"/>
    <w:rsid w:val="001E5B2D"/>
    <w:rsid w:val="001E7662"/>
    <w:rsid w:val="001F3E6C"/>
    <w:rsid w:val="001F51BB"/>
    <w:rsid w:val="002001F4"/>
    <w:rsid w:val="0020156C"/>
    <w:rsid w:val="002021A6"/>
    <w:rsid w:val="002056EF"/>
    <w:rsid w:val="00205C6D"/>
    <w:rsid w:val="002129D5"/>
    <w:rsid w:val="00216634"/>
    <w:rsid w:val="002314A3"/>
    <w:rsid w:val="00231C6F"/>
    <w:rsid w:val="00242D31"/>
    <w:rsid w:val="002439C5"/>
    <w:rsid w:val="00245F4E"/>
    <w:rsid w:val="0025481E"/>
    <w:rsid w:val="002574F9"/>
    <w:rsid w:val="00260F7D"/>
    <w:rsid w:val="00262B61"/>
    <w:rsid w:val="00262CC6"/>
    <w:rsid w:val="00263E08"/>
    <w:rsid w:val="00270904"/>
    <w:rsid w:val="00276811"/>
    <w:rsid w:val="00277294"/>
    <w:rsid w:val="00277744"/>
    <w:rsid w:val="00282699"/>
    <w:rsid w:val="002867F8"/>
    <w:rsid w:val="002926DF"/>
    <w:rsid w:val="0029311B"/>
    <w:rsid w:val="002937F4"/>
    <w:rsid w:val="00296697"/>
    <w:rsid w:val="002A1599"/>
    <w:rsid w:val="002B0472"/>
    <w:rsid w:val="002B6B12"/>
    <w:rsid w:val="002C1439"/>
    <w:rsid w:val="002C21F0"/>
    <w:rsid w:val="002C3DC6"/>
    <w:rsid w:val="002C7B0A"/>
    <w:rsid w:val="002D01DF"/>
    <w:rsid w:val="002E1A76"/>
    <w:rsid w:val="002E2973"/>
    <w:rsid w:val="002E3A0F"/>
    <w:rsid w:val="002E3EB3"/>
    <w:rsid w:val="002E6140"/>
    <w:rsid w:val="002E6985"/>
    <w:rsid w:val="002E71B6"/>
    <w:rsid w:val="002F35F6"/>
    <w:rsid w:val="002F45CF"/>
    <w:rsid w:val="002F77C8"/>
    <w:rsid w:val="00302EE2"/>
    <w:rsid w:val="00304F22"/>
    <w:rsid w:val="00306C7C"/>
    <w:rsid w:val="00311F82"/>
    <w:rsid w:val="0031343F"/>
    <w:rsid w:val="00314F86"/>
    <w:rsid w:val="00317F4D"/>
    <w:rsid w:val="00322E5D"/>
    <w:rsid w:val="00322EDD"/>
    <w:rsid w:val="0032451B"/>
    <w:rsid w:val="00326752"/>
    <w:rsid w:val="003309FA"/>
    <w:rsid w:val="00332320"/>
    <w:rsid w:val="0034588E"/>
    <w:rsid w:val="003464A8"/>
    <w:rsid w:val="003475FB"/>
    <w:rsid w:val="00347D72"/>
    <w:rsid w:val="003537A0"/>
    <w:rsid w:val="00353F45"/>
    <w:rsid w:val="00357611"/>
    <w:rsid w:val="00360CC4"/>
    <w:rsid w:val="0036432A"/>
    <w:rsid w:val="00364AF9"/>
    <w:rsid w:val="00367237"/>
    <w:rsid w:val="0037077F"/>
    <w:rsid w:val="00372411"/>
    <w:rsid w:val="00373882"/>
    <w:rsid w:val="003758E5"/>
    <w:rsid w:val="00381F02"/>
    <w:rsid w:val="003843DB"/>
    <w:rsid w:val="00385F67"/>
    <w:rsid w:val="0039013C"/>
    <w:rsid w:val="0039117F"/>
    <w:rsid w:val="00393761"/>
    <w:rsid w:val="00394B3A"/>
    <w:rsid w:val="00394E26"/>
    <w:rsid w:val="00395DBD"/>
    <w:rsid w:val="00396691"/>
    <w:rsid w:val="00397A4B"/>
    <w:rsid w:val="00397D18"/>
    <w:rsid w:val="003A1B36"/>
    <w:rsid w:val="003B1454"/>
    <w:rsid w:val="003B18B6"/>
    <w:rsid w:val="003B1CDE"/>
    <w:rsid w:val="003B38BD"/>
    <w:rsid w:val="003C161B"/>
    <w:rsid w:val="003C59E0"/>
    <w:rsid w:val="003C6C8D"/>
    <w:rsid w:val="003D2656"/>
    <w:rsid w:val="003D4F95"/>
    <w:rsid w:val="003D5F42"/>
    <w:rsid w:val="003D60A9"/>
    <w:rsid w:val="003F060F"/>
    <w:rsid w:val="003F4C97"/>
    <w:rsid w:val="003F57B3"/>
    <w:rsid w:val="003F666D"/>
    <w:rsid w:val="003F6749"/>
    <w:rsid w:val="003F7FE6"/>
    <w:rsid w:val="00400193"/>
    <w:rsid w:val="00412829"/>
    <w:rsid w:val="00416742"/>
    <w:rsid w:val="00416EAF"/>
    <w:rsid w:val="00420A09"/>
    <w:rsid w:val="004212E7"/>
    <w:rsid w:val="00423C88"/>
    <w:rsid w:val="0042446D"/>
    <w:rsid w:val="00427BF8"/>
    <w:rsid w:val="00431C02"/>
    <w:rsid w:val="00437395"/>
    <w:rsid w:val="00444F6D"/>
    <w:rsid w:val="00445047"/>
    <w:rsid w:val="00446749"/>
    <w:rsid w:val="00446932"/>
    <w:rsid w:val="00453EB7"/>
    <w:rsid w:val="00463E39"/>
    <w:rsid w:val="004657FC"/>
    <w:rsid w:val="004733F6"/>
    <w:rsid w:val="00474E69"/>
    <w:rsid w:val="00481AF2"/>
    <w:rsid w:val="00483E9F"/>
    <w:rsid w:val="0048482F"/>
    <w:rsid w:val="00485474"/>
    <w:rsid w:val="00485A2C"/>
    <w:rsid w:val="00485AEB"/>
    <w:rsid w:val="00490619"/>
    <w:rsid w:val="00492C3C"/>
    <w:rsid w:val="004950D3"/>
    <w:rsid w:val="0049621B"/>
    <w:rsid w:val="004A1C18"/>
    <w:rsid w:val="004A1D19"/>
    <w:rsid w:val="004A51A1"/>
    <w:rsid w:val="004B3278"/>
    <w:rsid w:val="004C10E3"/>
    <w:rsid w:val="004C1895"/>
    <w:rsid w:val="004C611A"/>
    <w:rsid w:val="004C6D40"/>
    <w:rsid w:val="004E1D24"/>
    <w:rsid w:val="004E3064"/>
    <w:rsid w:val="004E6AA8"/>
    <w:rsid w:val="004F0C3C"/>
    <w:rsid w:val="004F2280"/>
    <w:rsid w:val="004F23BB"/>
    <w:rsid w:val="004F2B0F"/>
    <w:rsid w:val="004F4C4E"/>
    <w:rsid w:val="004F63FC"/>
    <w:rsid w:val="00500516"/>
    <w:rsid w:val="005015CF"/>
    <w:rsid w:val="0050416F"/>
    <w:rsid w:val="00505A92"/>
    <w:rsid w:val="005148CF"/>
    <w:rsid w:val="0051656E"/>
    <w:rsid w:val="005203F1"/>
    <w:rsid w:val="005209DD"/>
    <w:rsid w:val="00521BC3"/>
    <w:rsid w:val="00523FB3"/>
    <w:rsid w:val="005247DF"/>
    <w:rsid w:val="00533632"/>
    <w:rsid w:val="00533A25"/>
    <w:rsid w:val="00534013"/>
    <w:rsid w:val="00534AF0"/>
    <w:rsid w:val="00535305"/>
    <w:rsid w:val="00540C5C"/>
    <w:rsid w:val="00541209"/>
    <w:rsid w:val="00541861"/>
    <w:rsid w:val="00541E6E"/>
    <w:rsid w:val="0054251F"/>
    <w:rsid w:val="00542A29"/>
    <w:rsid w:val="00547831"/>
    <w:rsid w:val="005520D8"/>
    <w:rsid w:val="00553146"/>
    <w:rsid w:val="00553FC3"/>
    <w:rsid w:val="00555CFB"/>
    <w:rsid w:val="00556CF1"/>
    <w:rsid w:val="005653F2"/>
    <w:rsid w:val="00570962"/>
    <w:rsid w:val="005762A7"/>
    <w:rsid w:val="0057661D"/>
    <w:rsid w:val="0057677B"/>
    <w:rsid w:val="005779B8"/>
    <w:rsid w:val="00577EB8"/>
    <w:rsid w:val="00580F2C"/>
    <w:rsid w:val="00583971"/>
    <w:rsid w:val="00586A70"/>
    <w:rsid w:val="00587CEE"/>
    <w:rsid w:val="005916D7"/>
    <w:rsid w:val="0059427F"/>
    <w:rsid w:val="005A698C"/>
    <w:rsid w:val="005B4033"/>
    <w:rsid w:val="005C0CAC"/>
    <w:rsid w:val="005C0F46"/>
    <w:rsid w:val="005D062E"/>
    <w:rsid w:val="005D4AA8"/>
    <w:rsid w:val="005D70E4"/>
    <w:rsid w:val="005E0799"/>
    <w:rsid w:val="005E10F9"/>
    <w:rsid w:val="005E1200"/>
    <w:rsid w:val="005E5493"/>
    <w:rsid w:val="005F403B"/>
    <w:rsid w:val="005F45EE"/>
    <w:rsid w:val="005F5A80"/>
    <w:rsid w:val="006044FF"/>
    <w:rsid w:val="00607CC5"/>
    <w:rsid w:val="0061179B"/>
    <w:rsid w:val="006125F9"/>
    <w:rsid w:val="00620FDE"/>
    <w:rsid w:val="00631A10"/>
    <w:rsid w:val="00633014"/>
    <w:rsid w:val="0063437B"/>
    <w:rsid w:val="006378BC"/>
    <w:rsid w:val="0064017E"/>
    <w:rsid w:val="00642772"/>
    <w:rsid w:val="00643755"/>
    <w:rsid w:val="00645775"/>
    <w:rsid w:val="0065065F"/>
    <w:rsid w:val="00653DC3"/>
    <w:rsid w:val="00654BB6"/>
    <w:rsid w:val="00654CD0"/>
    <w:rsid w:val="0065611B"/>
    <w:rsid w:val="006673CA"/>
    <w:rsid w:val="00673B90"/>
    <w:rsid w:val="00673C26"/>
    <w:rsid w:val="00674DE5"/>
    <w:rsid w:val="00677ACA"/>
    <w:rsid w:val="00680119"/>
    <w:rsid w:val="006812AF"/>
    <w:rsid w:val="0068327D"/>
    <w:rsid w:val="006908FE"/>
    <w:rsid w:val="00691278"/>
    <w:rsid w:val="00691534"/>
    <w:rsid w:val="00692F6D"/>
    <w:rsid w:val="00693880"/>
    <w:rsid w:val="00693F73"/>
    <w:rsid w:val="00694AF0"/>
    <w:rsid w:val="006A4686"/>
    <w:rsid w:val="006A57EB"/>
    <w:rsid w:val="006A671E"/>
    <w:rsid w:val="006B01DB"/>
    <w:rsid w:val="006B0E9E"/>
    <w:rsid w:val="006B39C2"/>
    <w:rsid w:val="006B4128"/>
    <w:rsid w:val="006B486D"/>
    <w:rsid w:val="006B5AE4"/>
    <w:rsid w:val="006C07AD"/>
    <w:rsid w:val="006C197A"/>
    <w:rsid w:val="006C7DCF"/>
    <w:rsid w:val="006D1507"/>
    <w:rsid w:val="006D4054"/>
    <w:rsid w:val="006E02EC"/>
    <w:rsid w:val="006E3C4F"/>
    <w:rsid w:val="006E4914"/>
    <w:rsid w:val="006E6F41"/>
    <w:rsid w:val="006E73E6"/>
    <w:rsid w:val="00702121"/>
    <w:rsid w:val="00705477"/>
    <w:rsid w:val="00710BF3"/>
    <w:rsid w:val="007200C1"/>
    <w:rsid w:val="007211B1"/>
    <w:rsid w:val="00725AD3"/>
    <w:rsid w:val="007267B0"/>
    <w:rsid w:val="007277DA"/>
    <w:rsid w:val="00731D27"/>
    <w:rsid w:val="00734022"/>
    <w:rsid w:val="007344BF"/>
    <w:rsid w:val="00734E2F"/>
    <w:rsid w:val="00741956"/>
    <w:rsid w:val="00746187"/>
    <w:rsid w:val="00747CD7"/>
    <w:rsid w:val="00752858"/>
    <w:rsid w:val="00754122"/>
    <w:rsid w:val="00755BE3"/>
    <w:rsid w:val="007579DF"/>
    <w:rsid w:val="0076254F"/>
    <w:rsid w:val="00770930"/>
    <w:rsid w:val="00774928"/>
    <w:rsid w:val="007757DB"/>
    <w:rsid w:val="007801F5"/>
    <w:rsid w:val="00783CA4"/>
    <w:rsid w:val="007842FB"/>
    <w:rsid w:val="00786124"/>
    <w:rsid w:val="007935C7"/>
    <w:rsid w:val="0079514B"/>
    <w:rsid w:val="00795252"/>
    <w:rsid w:val="007A2DC1"/>
    <w:rsid w:val="007A30B9"/>
    <w:rsid w:val="007A6D7A"/>
    <w:rsid w:val="007C0662"/>
    <w:rsid w:val="007D0869"/>
    <w:rsid w:val="007D131A"/>
    <w:rsid w:val="007D14C4"/>
    <w:rsid w:val="007D31E3"/>
    <w:rsid w:val="007D3319"/>
    <w:rsid w:val="007D335D"/>
    <w:rsid w:val="007D4D10"/>
    <w:rsid w:val="007D605C"/>
    <w:rsid w:val="007D7CF9"/>
    <w:rsid w:val="007E1208"/>
    <w:rsid w:val="007E3314"/>
    <w:rsid w:val="007E3514"/>
    <w:rsid w:val="007E4B03"/>
    <w:rsid w:val="007E6B7E"/>
    <w:rsid w:val="007F324B"/>
    <w:rsid w:val="00803031"/>
    <w:rsid w:val="0080553C"/>
    <w:rsid w:val="00805B46"/>
    <w:rsid w:val="00805DB4"/>
    <w:rsid w:val="00806556"/>
    <w:rsid w:val="00806D38"/>
    <w:rsid w:val="00812731"/>
    <w:rsid w:val="00823593"/>
    <w:rsid w:val="00825DC2"/>
    <w:rsid w:val="00834AD3"/>
    <w:rsid w:val="00843795"/>
    <w:rsid w:val="00847F0F"/>
    <w:rsid w:val="00850B7B"/>
    <w:rsid w:val="00852448"/>
    <w:rsid w:val="00864655"/>
    <w:rsid w:val="00865117"/>
    <w:rsid w:val="00867225"/>
    <w:rsid w:val="0087482D"/>
    <w:rsid w:val="00877815"/>
    <w:rsid w:val="00877F6C"/>
    <w:rsid w:val="0088258A"/>
    <w:rsid w:val="00886332"/>
    <w:rsid w:val="00887544"/>
    <w:rsid w:val="008925F0"/>
    <w:rsid w:val="00893DA9"/>
    <w:rsid w:val="0089448A"/>
    <w:rsid w:val="00894C23"/>
    <w:rsid w:val="00897877"/>
    <w:rsid w:val="008A0948"/>
    <w:rsid w:val="008A26D9"/>
    <w:rsid w:val="008A7B5B"/>
    <w:rsid w:val="008B12D2"/>
    <w:rsid w:val="008C0261"/>
    <w:rsid w:val="008C0C29"/>
    <w:rsid w:val="008C3F42"/>
    <w:rsid w:val="008D02DA"/>
    <w:rsid w:val="008D76BC"/>
    <w:rsid w:val="008D76C3"/>
    <w:rsid w:val="008D78C5"/>
    <w:rsid w:val="008E11CC"/>
    <w:rsid w:val="008E2F02"/>
    <w:rsid w:val="008E7D9E"/>
    <w:rsid w:val="008E7DBA"/>
    <w:rsid w:val="008F0829"/>
    <w:rsid w:val="008F3638"/>
    <w:rsid w:val="008F3AED"/>
    <w:rsid w:val="008F4441"/>
    <w:rsid w:val="008F4798"/>
    <w:rsid w:val="008F6B20"/>
    <w:rsid w:val="008F6F31"/>
    <w:rsid w:val="008F74DF"/>
    <w:rsid w:val="00902274"/>
    <w:rsid w:val="00903621"/>
    <w:rsid w:val="00905986"/>
    <w:rsid w:val="00910671"/>
    <w:rsid w:val="009127BA"/>
    <w:rsid w:val="009132A8"/>
    <w:rsid w:val="009168AB"/>
    <w:rsid w:val="00920AAE"/>
    <w:rsid w:val="009222C6"/>
    <w:rsid w:val="009227A6"/>
    <w:rsid w:val="00925C9D"/>
    <w:rsid w:val="00926D41"/>
    <w:rsid w:val="00933EC1"/>
    <w:rsid w:val="00941B76"/>
    <w:rsid w:val="009446AD"/>
    <w:rsid w:val="009457DA"/>
    <w:rsid w:val="0094763B"/>
    <w:rsid w:val="00947A9C"/>
    <w:rsid w:val="00951DD6"/>
    <w:rsid w:val="009530DB"/>
    <w:rsid w:val="00953676"/>
    <w:rsid w:val="00956F30"/>
    <w:rsid w:val="00962B00"/>
    <w:rsid w:val="00966C9A"/>
    <w:rsid w:val="00966DA3"/>
    <w:rsid w:val="009675B1"/>
    <w:rsid w:val="009705EE"/>
    <w:rsid w:val="009744EA"/>
    <w:rsid w:val="00977927"/>
    <w:rsid w:val="00980C46"/>
    <w:rsid w:val="0098135C"/>
    <w:rsid w:val="0098156A"/>
    <w:rsid w:val="009851FB"/>
    <w:rsid w:val="009857CB"/>
    <w:rsid w:val="00991BAC"/>
    <w:rsid w:val="00992D6B"/>
    <w:rsid w:val="00993AA9"/>
    <w:rsid w:val="00996356"/>
    <w:rsid w:val="009A6EA0"/>
    <w:rsid w:val="009B2453"/>
    <w:rsid w:val="009C1335"/>
    <w:rsid w:val="009C1AB2"/>
    <w:rsid w:val="009C7251"/>
    <w:rsid w:val="009D07C6"/>
    <w:rsid w:val="009D25E0"/>
    <w:rsid w:val="009E29CC"/>
    <w:rsid w:val="009E29FF"/>
    <w:rsid w:val="009E2E91"/>
    <w:rsid w:val="009E7D31"/>
    <w:rsid w:val="009F0AA1"/>
    <w:rsid w:val="009F5DE5"/>
    <w:rsid w:val="00A01B40"/>
    <w:rsid w:val="00A139F5"/>
    <w:rsid w:val="00A176CA"/>
    <w:rsid w:val="00A2174C"/>
    <w:rsid w:val="00A230D6"/>
    <w:rsid w:val="00A30BDB"/>
    <w:rsid w:val="00A319FB"/>
    <w:rsid w:val="00A32E16"/>
    <w:rsid w:val="00A34FEC"/>
    <w:rsid w:val="00A35E67"/>
    <w:rsid w:val="00A365F4"/>
    <w:rsid w:val="00A46847"/>
    <w:rsid w:val="00A47C92"/>
    <w:rsid w:val="00A47D80"/>
    <w:rsid w:val="00A5182A"/>
    <w:rsid w:val="00A53132"/>
    <w:rsid w:val="00A54192"/>
    <w:rsid w:val="00A563F2"/>
    <w:rsid w:val="00A566E8"/>
    <w:rsid w:val="00A6325A"/>
    <w:rsid w:val="00A66347"/>
    <w:rsid w:val="00A7392B"/>
    <w:rsid w:val="00A810F9"/>
    <w:rsid w:val="00A81DC3"/>
    <w:rsid w:val="00A82D31"/>
    <w:rsid w:val="00A83144"/>
    <w:rsid w:val="00A85E7E"/>
    <w:rsid w:val="00A86ECC"/>
    <w:rsid w:val="00A86FCC"/>
    <w:rsid w:val="00A87813"/>
    <w:rsid w:val="00A8793B"/>
    <w:rsid w:val="00A90A6D"/>
    <w:rsid w:val="00A94929"/>
    <w:rsid w:val="00A971E5"/>
    <w:rsid w:val="00AA710D"/>
    <w:rsid w:val="00AB64F3"/>
    <w:rsid w:val="00AB6D25"/>
    <w:rsid w:val="00AB7A94"/>
    <w:rsid w:val="00AC1F64"/>
    <w:rsid w:val="00AC55D5"/>
    <w:rsid w:val="00AC56B1"/>
    <w:rsid w:val="00AC790F"/>
    <w:rsid w:val="00AD0E56"/>
    <w:rsid w:val="00AD3B03"/>
    <w:rsid w:val="00AE109D"/>
    <w:rsid w:val="00AE229B"/>
    <w:rsid w:val="00AE2D4B"/>
    <w:rsid w:val="00AE3C5A"/>
    <w:rsid w:val="00AE4F99"/>
    <w:rsid w:val="00AE54DC"/>
    <w:rsid w:val="00AF1C0D"/>
    <w:rsid w:val="00AF20B1"/>
    <w:rsid w:val="00AF56FE"/>
    <w:rsid w:val="00AF5FF6"/>
    <w:rsid w:val="00AF63BD"/>
    <w:rsid w:val="00B06D09"/>
    <w:rsid w:val="00B11B69"/>
    <w:rsid w:val="00B14952"/>
    <w:rsid w:val="00B16871"/>
    <w:rsid w:val="00B20525"/>
    <w:rsid w:val="00B22A19"/>
    <w:rsid w:val="00B23B25"/>
    <w:rsid w:val="00B25B45"/>
    <w:rsid w:val="00B26EB0"/>
    <w:rsid w:val="00B317A4"/>
    <w:rsid w:val="00B31E5A"/>
    <w:rsid w:val="00B342A3"/>
    <w:rsid w:val="00B45562"/>
    <w:rsid w:val="00B46817"/>
    <w:rsid w:val="00B47359"/>
    <w:rsid w:val="00B526FE"/>
    <w:rsid w:val="00B653AB"/>
    <w:rsid w:val="00B65F9E"/>
    <w:rsid w:val="00B6613E"/>
    <w:rsid w:val="00B66B19"/>
    <w:rsid w:val="00B74649"/>
    <w:rsid w:val="00B80196"/>
    <w:rsid w:val="00B8639F"/>
    <w:rsid w:val="00B86C42"/>
    <w:rsid w:val="00B914E9"/>
    <w:rsid w:val="00B956EE"/>
    <w:rsid w:val="00BA2BA1"/>
    <w:rsid w:val="00BA3447"/>
    <w:rsid w:val="00BA3562"/>
    <w:rsid w:val="00BA7D93"/>
    <w:rsid w:val="00BB0372"/>
    <w:rsid w:val="00BB4F09"/>
    <w:rsid w:val="00BB54B5"/>
    <w:rsid w:val="00BB5CF6"/>
    <w:rsid w:val="00BC25F0"/>
    <w:rsid w:val="00BC5DE4"/>
    <w:rsid w:val="00BC66E5"/>
    <w:rsid w:val="00BC6B54"/>
    <w:rsid w:val="00BD4DD9"/>
    <w:rsid w:val="00BD4E33"/>
    <w:rsid w:val="00BE2538"/>
    <w:rsid w:val="00BE3137"/>
    <w:rsid w:val="00BF7582"/>
    <w:rsid w:val="00C01E38"/>
    <w:rsid w:val="00C030DE"/>
    <w:rsid w:val="00C047A6"/>
    <w:rsid w:val="00C051A8"/>
    <w:rsid w:val="00C13645"/>
    <w:rsid w:val="00C22105"/>
    <w:rsid w:val="00C234D6"/>
    <w:rsid w:val="00C244B6"/>
    <w:rsid w:val="00C2525A"/>
    <w:rsid w:val="00C25C71"/>
    <w:rsid w:val="00C27BF1"/>
    <w:rsid w:val="00C31167"/>
    <w:rsid w:val="00C3702F"/>
    <w:rsid w:val="00C42CDA"/>
    <w:rsid w:val="00C4500A"/>
    <w:rsid w:val="00C51C8C"/>
    <w:rsid w:val="00C54BD0"/>
    <w:rsid w:val="00C54FE8"/>
    <w:rsid w:val="00C60504"/>
    <w:rsid w:val="00C62238"/>
    <w:rsid w:val="00C64A37"/>
    <w:rsid w:val="00C66259"/>
    <w:rsid w:val="00C7158E"/>
    <w:rsid w:val="00C7250B"/>
    <w:rsid w:val="00C7346B"/>
    <w:rsid w:val="00C746C2"/>
    <w:rsid w:val="00C77C0E"/>
    <w:rsid w:val="00C84A95"/>
    <w:rsid w:val="00C853CB"/>
    <w:rsid w:val="00C91687"/>
    <w:rsid w:val="00C924A8"/>
    <w:rsid w:val="00C945FE"/>
    <w:rsid w:val="00C96FAA"/>
    <w:rsid w:val="00C97A04"/>
    <w:rsid w:val="00CA107B"/>
    <w:rsid w:val="00CA38BD"/>
    <w:rsid w:val="00CA484D"/>
    <w:rsid w:val="00CA4BD0"/>
    <w:rsid w:val="00CA4FB6"/>
    <w:rsid w:val="00CA784C"/>
    <w:rsid w:val="00CB03A7"/>
    <w:rsid w:val="00CB0B1F"/>
    <w:rsid w:val="00CB191B"/>
    <w:rsid w:val="00CB2F90"/>
    <w:rsid w:val="00CB5B6D"/>
    <w:rsid w:val="00CB6AD4"/>
    <w:rsid w:val="00CC2D28"/>
    <w:rsid w:val="00CC3C21"/>
    <w:rsid w:val="00CC6B9E"/>
    <w:rsid w:val="00CC739E"/>
    <w:rsid w:val="00CC7C12"/>
    <w:rsid w:val="00CD1EBB"/>
    <w:rsid w:val="00CD28CF"/>
    <w:rsid w:val="00CD58B7"/>
    <w:rsid w:val="00CD66DC"/>
    <w:rsid w:val="00CD7967"/>
    <w:rsid w:val="00CE0F65"/>
    <w:rsid w:val="00CF18EE"/>
    <w:rsid w:val="00CF30BD"/>
    <w:rsid w:val="00CF4099"/>
    <w:rsid w:val="00CF483B"/>
    <w:rsid w:val="00CF5DAE"/>
    <w:rsid w:val="00D00796"/>
    <w:rsid w:val="00D00840"/>
    <w:rsid w:val="00D06110"/>
    <w:rsid w:val="00D261A2"/>
    <w:rsid w:val="00D314EB"/>
    <w:rsid w:val="00D342DA"/>
    <w:rsid w:val="00D364A6"/>
    <w:rsid w:val="00D4006A"/>
    <w:rsid w:val="00D40DC6"/>
    <w:rsid w:val="00D539CD"/>
    <w:rsid w:val="00D54E4A"/>
    <w:rsid w:val="00D616D2"/>
    <w:rsid w:val="00D62162"/>
    <w:rsid w:val="00D63B5F"/>
    <w:rsid w:val="00D6590C"/>
    <w:rsid w:val="00D70EF7"/>
    <w:rsid w:val="00D734A3"/>
    <w:rsid w:val="00D772B7"/>
    <w:rsid w:val="00D80881"/>
    <w:rsid w:val="00D82FEA"/>
    <w:rsid w:val="00D8397C"/>
    <w:rsid w:val="00D87260"/>
    <w:rsid w:val="00D87761"/>
    <w:rsid w:val="00D9052B"/>
    <w:rsid w:val="00D9427A"/>
    <w:rsid w:val="00D94EED"/>
    <w:rsid w:val="00D96026"/>
    <w:rsid w:val="00D96475"/>
    <w:rsid w:val="00D972F6"/>
    <w:rsid w:val="00DA331D"/>
    <w:rsid w:val="00DA5AE3"/>
    <w:rsid w:val="00DA6C83"/>
    <w:rsid w:val="00DA77AD"/>
    <w:rsid w:val="00DA7C1C"/>
    <w:rsid w:val="00DB147A"/>
    <w:rsid w:val="00DB1B7A"/>
    <w:rsid w:val="00DB457C"/>
    <w:rsid w:val="00DB706E"/>
    <w:rsid w:val="00DC0FAF"/>
    <w:rsid w:val="00DC2B61"/>
    <w:rsid w:val="00DC6708"/>
    <w:rsid w:val="00DD011A"/>
    <w:rsid w:val="00DD3C22"/>
    <w:rsid w:val="00DE1D0A"/>
    <w:rsid w:val="00DE2400"/>
    <w:rsid w:val="00DE4D6D"/>
    <w:rsid w:val="00DE58F1"/>
    <w:rsid w:val="00DE6B58"/>
    <w:rsid w:val="00DE75CB"/>
    <w:rsid w:val="00DF1108"/>
    <w:rsid w:val="00DF2720"/>
    <w:rsid w:val="00DF5E32"/>
    <w:rsid w:val="00DF5ECA"/>
    <w:rsid w:val="00DF65BA"/>
    <w:rsid w:val="00E01436"/>
    <w:rsid w:val="00E03E79"/>
    <w:rsid w:val="00E045BD"/>
    <w:rsid w:val="00E04671"/>
    <w:rsid w:val="00E04D6C"/>
    <w:rsid w:val="00E1689C"/>
    <w:rsid w:val="00E17B77"/>
    <w:rsid w:val="00E2243B"/>
    <w:rsid w:val="00E231AB"/>
    <w:rsid w:val="00E23337"/>
    <w:rsid w:val="00E259EA"/>
    <w:rsid w:val="00E25D33"/>
    <w:rsid w:val="00E2769A"/>
    <w:rsid w:val="00E3147C"/>
    <w:rsid w:val="00E32061"/>
    <w:rsid w:val="00E33F48"/>
    <w:rsid w:val="00E360F6"/>
    <w:rsid w:val="00E42FF9"/>
    <w:rsid w:val="00E44790"/>
    <w:rsid w:val="00E45364"/>
    <w:rsid w:val="00E45808"/>
    <w:rsid w:val="00E462A0"/>
    <w:rsid w:val="00E4714C"/>
    <w:rsid w:val="00E515E0"/>
    <w:rsid w:val="00E5178D"/>
    <w:rsid w:val="00E51AEB"/>
    <w:rsid w:val="00E522A7"/>
    <w:rsid w:val="00E52DB9"/>
    <w:rsid w:val="00E5349E"/>
    <w:rsid w:val="00E54452"/>
    <w:rsid w:val="00E62C6C"/>
    <w:rsid w:val="00E63B0C"/>
    <w:rsid w:val="00E65895"/>
    <w:rsid w:val="00E664C5"/>
    <w:rsid w:val="00E671A2"/>
    <w:rsid w:val="00E678D3"/>
    <w:rsid w:val="00E738D7"/>
    <w:rsid w:val="00E74C60"/>
    <w:rsid w:val="00E76D26"/>
    <w:rsid w:val="00E76EE5"/>
    <w:rsid w:val="00E80BD5"/>
    <w:rsid w:val="00E875B5"/>
    <w:rsid w:val="00E95036"/>
    <w:rsid w:val="00E95B8E"/>
    <w:rsid w:val="00EA7AFB"/>
    <w:rsid w:val="00EB0E77"/>
    <w:rsid w:val="00EB1390"/>
    <w:rsid w:val="00EB2C71"/>
    <w:rsid w:val="00EB3333"/>
    <w:rsid w:val="00EB4340"/>
    <w:rsid w:val="00EB556D"/>
    <w:rsid w:val="00EB5A7D"/>
    <w:rsid w:val="00EB6C1E"/>
    <w:rsid w:val="00EC1B09"/>
    <w:rsid w:val="00EC66D8"/>
    <w:rsid w:val="00EC6A13"/>
    <w:rsid w:val="00ED1DF7"/>
    <w:rsid w:val="00ED3BA5"/>
    <w:rsid w:val="00ED55C0"/>
    <w:rsid w:val="00ED66F8"/>
    <w:rsid w:val="00ED682B"/>
    <w:rsid w:val="00EE41D5"/>
    <w:rsid w:val="00EF2AC3"/>
    <w:rsid w:val="00F0166F"/>
    <w:rsid w:val="00F01C75"/>
    <w:rsid w:val="00F03176"/>
    <w:rsid w:val="00F037A4"/>
    <w:rsid w:val="00F049AB"/>
    <w:rsid w:val="00F1317A"/>
    <w:rsid w:val="00F13251"/>
    <w:rsid w:val="00F13F6A"/>
    <w:rsid w:val="00F142DB"/>
    <w:rsid w:val="00F148F7"/>
    <w:rsid w:val="00F22D3F"/>
    <w:rsid w:val="00F269CC"/>
    <w:rsid w:val="00F27C8F"/>
    <w:rsid w:val="00F32749"/>
    <w:rsid w:val="00F34A64"/>
    <w:rsid w:val="00F37172"/>
    <w:rsid w:val="00F40161"/>
    <w:rsid w:val="00F41D0A"/>
    <w:rsid w:val="00F4477E"/>
    <w:rsid w:val="00F46269"/>
    <w:rsid w:val="00F52086"/>
    <w:rsid w:val="00F60BA8"/>
    <w:rsid w:val="00F67D8F"/>
    <w:rsid w:val="00F802BE"/>
    <w:rsid w:val="00F80E93"/>
    <w:rsid w:val="00F84069"/>
    <w:rsid w:val="00F86024"/>
    <w:rsid w:val="00F8611A"/>
    <w:rsid w:val="00F87D2D"/>
    <w:rsid w:val="00F904A4"/>
    <w:rsid w:val="00F93D1A"/>
    <w:rsid w:val="00FA4D6D"/>
    <w:rsid w:val="00FA5128"/>
    <w:rsid w:val="00FB42D4"/>
    <w:rsid w:val="00FB54F5"/>
    <w:rsid w:val="00FB5906"/>
    <w:rsid w:val="00FB762F"/>
    <w:rsid w:val="00FC2AED"/>
    <w:rsid w:val="00FC752E"/>
    <w:rsid w:val="00FD5EA7"/>
    <w:rsid w:val="00FE36CF"/>
    <w:rsid w:val="00FE6849"/>
    <w:rsid w:val="00FF0246"/>
    <w:rsid w:val="00FF08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5C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926D41"/>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1C7236"/>
    <w:pPr>
      <w:spacing w:before="360" w:line="240" w:lineRule="auto"/>
    </w:pPr>
    <w:rPr>
      <w:b/>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702121"/>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702121"/>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ANE">
    <w:name w:val="DANE"/>
    <w:next w:val="Normalny"/>
    <w:qFormat/>
    <w:rsid w:val="00302EE2"/>
    <w:pPr>
      <w:spacing w:before="60" w:after="0" w:line="240" w:lineRule="auto"/>
      <w:ind w:right="113"/>
      <w:contextualSpacing/>
      <w:jc w:val="right"/>
    </w:pPr>
    <w:rPr>
      <w:rFonts w:eastAsiaTheme="minorEastAsia"/>
      <w:lang w:eastAsia="pl-PL"/>
    </w:rPr>
  </w:style>
  <w:style w:type="paragraph" w:customStyle="1" w:styleId="GWKA">
    <w:name w:val="GŁÓWKA"/>
    <w:qFormat/>
    <w:rsid w:val="00302EE2"/>
    <w:pPr>
      <w:spacing w:before="60" w:after="60" w:line="240" w:lineRule="auto"/>
      <w:contextualSpacing/>
      <w:jc w:val="center"/>
    </w:pPr>
    <w:rPr>
      <w:rFonts w:ascii="Calibri" w:eastAsiaTheme="minorEastAsia" w:hAnsi="Calibri"/>
      <w:lang w:eastAsia="pl-PL"/>
    </w:rPr>
  </w:style>
  <w:style w:type="paragraph" w:customStyle="1" w:styleId="BOK0">
    <w:name w:val="BOK 0"/>
    <w:next w:val="Normalny"/>
    <w:qFormat/>
    <w:rsid w:val="00302EE2"/>
    <w:pPr>
      <w:spacing w:before="60" w:after="0" w:line="240" w:lineRule="auto"/>
      <w:ind w:left="227" w:hanging="227"/>
      <w:contextualSpacing/>
    </w:pPr>
    <w:rPr>
      <w:rFonts w:eastAsiaTheme="minorEastAsia"/>
      <w:lang w:eastAsia="pl-PL"/>
    </w:rPr>
  </w:style>
  <w:style w:type="paragraph" w:customStyle="1" w:styleId="Brakstyluakapitowego">
    <w:name w:val="[Brak stylu akapitowego]"/>
    <w:rsid w:val="00302EE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Bok0MODUtablica">
    <w:name w:val="Bok 0 (MODUŁ tablica)"/>
    <w:basedOn w:val="Brakstyluakapitowego"/>
    <w:uiPriority w:val="99"/>
    <w:rsid w:val="00D54E4A"/>
    <w:pPr>
      <w:spacing w:line="180" w:lineRule="atLeast"/>
      <w:ind w:left="113" w:hanging="113"/>
    </w:pPr>
    <w:rPr>
      <w:rFonts w:ascii="Myriad Pro" w:hAnsi="Myriad Pro" w:cs="Myriad Pro"/>
      <w:sz w:val="16"/>
      <w:szCs w:val="16"/>
      <w:lang w:val="pl-PL"/>
    </w:rPr>
  </w:style>
  <w:style w:type="paragraph" w:customStyle="1" w:styleId="DaneMODUtablica">
    <w:name w:val="Dane (MODUŁ tablica)"/>
    <w:basedOn w:val="Brakstyluakapitowego"/>
    <w:uiPriority w:val="99"/>
    <w:rsid w:val="00D54E4A"/>
    <w:pPr>
      <w:spacing w:line="180" w:lineRule="atLeast"/>
      <w:ind w:right="57"/>
      <w:jc w:val="right"/>
    </w:pPr>
    <w:rPr>
      <w:rFonts w:ascii="Myriad Pro" w:hAnsi="Myriad Pro" w:cs="Myriad Pro"/>
      <w:sz w:val="16"/>
      <w:szCs w:val="16"/>
      <w:lang w:val="pl-PL"/>
    </w:rPr>
  </w:style>
  <w:style w:type="character" w:styleId="UyteHipercze">
    <w:name w:val="FollowedHyperlink"/>
    <w:basedOn w:val="Domylnaczcionkaakapitu"/>
    <w:uiPriority w:val="99"/>
    <w:semiHidden/>
    <w:unhideWhenUsed/>
    <w:rsid w:val="001E58E7"/>
    <w:rPr>
      <w:color w:val="954F72" w:themeColor="followedHyperlink"/>
      <w:u w:val="single"/>
    </w:rPr>
  </w:style>
  <w:style w:type="character" w:styleId="Nierozpoznanawzmianka">
    <w:name w:val="Unresolved Mention"/>
    <w:basedOn w:val="Domylnaczcionkaakapitu"/>
    <w:uiPriority w:val="99"/>
    <w:semiHidden/>
    <w:unhideWhenUsed/>
    <w:rsid w:val="002C7B0A"/>
    <w:rPr>
      <w:color w:val="605E5C"/>
      <w:shd w:val="clear" w:color="auto" w:fill="E1DFDD"/>
    </w:rPr>
  </w:style>
  <w:style w:type="paragraph" w:styleId="Poprawka">
    <w:name w:val="Revision"/>
    <w:hidden/>
    <w:uiPriority w:val="99"/>
    <w:semiHidden/>
    <w:rsid w:val="005247DF"/>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1779636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hyperlink" Target="https://stat.gov.pl/en/metainformation/glossary/terms-used-in-official-statistics/4049,term.html" TargetMode="External"/><Relationship Id="rId21" Type="http://schemas.openxmlformats.org/officeDocument/2006/relationships/hyperlink" Target="https://x.com/StatPoland" TargetMode="External"/><Relationship Id="rId34" Type="http://schemas.openxmlformats.org/officeDocument/2006/relationships/hyperlink" Target="https://dbw.stat.gov.pl/en/dashboard/18"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arszawa.stat.gov.pl/en/" TargetMode="External"/><Relationship Id="rId20" Type="http://schemas.openxmlformats.org/officeDocument/2006/relationships/image" Target="media/image10.png"/><Relationship Id="rId29" Type="http://schemas.openxmlformats.org/officeDocument/2006/relationships/image" Target="media/image14.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2.png"/><Relationship Id="rId32" Type="http://schemas.openxmlformats.org/officeDocument/2006/relationships/hyperlink" Target="https://publikacje.new.stat.gov.pl/en/publications-portal/methodological-report-research-and-experimental-development" TargetMode="External"/><Relationship Id="rId37" Type="http://schemas.openxmlformats.org/officeDocument/2006/relationships/hyperlink" Target="https://stat.gov.pl/en/metainformation/glossary/terms-used-in-official-statistics/4044,term.html" TargetMode="External"/><Relationship Id="rId40" Type="http://schemas.openxmlformats.org/officeDocument/2006/relationships/hyperlink" Target="https://stat.gov.pl/en/metainformation/glossary/terms-used-in-official-statistics/4046,term.htm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36" Type="http://schemas.openxmlformats.org/officeDocument/2006/relationships/hyperlink" Target="https://stat.gov.pl/en/metainformation/glossary/terms-used-in-official-statistics/230,term.html" TargetMode="External"/><Relationship Id="rId10" Type="http://schemas.openxmlformats.org/officeDocument/2006/relationships/image" Target="media/image6.png"/><Relationship Id="rId19" Type="http://schemas.openxmlformats.org/officeDocument/2006/relationships/hyperlink" Target="https://new.stat.gov.pl/en" TargetMode="External"/><Relationship Id="rId31" Type="http://schemas.openxmlformats.org/officeDocument/2006/relationships/hyperlink" Target="https://publikacje.new.stat.gov.pl/en/publications-portal/science-and-technology-202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publikacje.new.stat.gov.pl/portal-publikacje/dzialalnosc-badawcza-i-rozwojowa-w-polsce-w-2024-r" TargetMode="External"/><Relationship Id="rId35" Type="http://schemas.openxmlformats.org/officeDocument/2006/relationships/hyperlink" Target="https://stat.gov.pl/en/metainformation/glossary/terms-used-in-official-statistics/767,term.html" TargetMode="External"/><Relationship Id="rId43"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hyperlink" Target="https://bdl.stat.gov.pl/bdl/dane/podgrup/temat" TargetMode="External"/><Relationship Id="rId38" Type="http://schemas.openxmlformats.org/officeDocument/2006/relationships/hyperlink" Target="https://stat.gov.pl/en/metainformation/glossary/terms-used-in-official-statistics/339,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D46E5-6FCA-4290-90A9-552F1CEC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7233</Characters>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experimental development in Poland in 2025</dc:title>
  <dc:subject/>
  <dc:creator>Statistics Poland</dc:creator>
  <cp:keywords/>
  <dc:description/>
  <cp:lastModifiedBy/>
  <dcterms:created xsi:type="dcterms:W3CDTF">2026-10-21T08:44:00Z</dcterms:created>
  <dcterms:modified xsi:type="dcterms:W3CDTF">2026-10-21T08:44:00Z</dcterms:modified>
</cp:coreProperties>
</file>