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341ED7E" w:rsidR="00393761" w:rsidRPr="007D605C" w:rsidRDefault="000233D4" w:rsidP="00F049AB">
      <w:pPr>
        <w:pStyle w:val="Tytuinfomacjisygnalnej"/>
      </w:pPr>
      <w:r>
        <w:t>Dynamika sprzedaży detalicznej w styczniu 2022 r.</w:t>
      </w:r>
    </w:p>
    <w:p w14:paraId="1E690351" w14:textId="1B70D85D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D0081C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84580"/>
                <wp:effectExtent l="0" t="0" r="5715" b="1270"/>
                <wp:wrapSquare wrapText="bothSides"/>
                <wp:docPr id="6" name="Pole tekstowe 2" descr="Wskaźnik - sprzedaż detaliczna w styczniu 2022 roku&#10;10,6% - wzrost  w porównaniu z analogicznym miesiącem roku poprzedniego (w cenach stałych, dane wstępn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499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EC435A0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F049AB">
                              <w:rPr>
                                <w:rStyle w:val="WartowskanikaZnak"/>
                              </w:rPr>
                              <w:t>10,</w:t>
                            </w:r>
                            <w:r w:rsidR="008909E5">
                              <w:rPr>
                                <w:rStyle w:val="WartowskanikaZnak"/>
                              </w:rPr>
                              <w:t>6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styczniu 2022 roku&#10;10,6% - wzrost  w porównaniu z analogicznym miesiącem roku poprzedniego (w cenach stałych, dane wstępne)" style="position:absolute;margin-left:0;margin-top:3.6pt;width:173.55pt;height:85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" fillcolor="#001d77" stroked="f">
                <v:stroke joinstyle="miter"/>
                <v:textbox>
                  <w:txbxContent>
                    <w:p w14:paraId="30951E30" w14:textId="3EC435A0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F049AB">
                        <w:rPr>
                          <w:rStyle w:val="WartowskanikaZnak"/>
                        </w:rPr>
                        <w:t>10,</w:t>
                      </w:r>
                      <w:r w:rsidR="008909E5">
                        <w:rPr>
                          <w:rStyle w:val="WartowskanikaZnak"/>
                        </w:rPr>
                        <w:t>6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>
        <w:t>Sprzedaż detaliczna</w:t>
      </w:r>
      <w:r w:rsidR="005C3686">
        <w:rPr>
          <w:rStyle w:val="Odwoanieprzypisudolnego"/>
        </w:rPr>
        <w:footnoteReference w:id="1"/>
      </w:r>
      <w:r w:rsidR="0065614F">
        <w:t xml:space="preserve"> w cenach stałych</w:t>
      </w:r>
      <w:r w:rsidR="00D455D9">
        <w:rPr>
          <w:rStyle w:val="Odwoanieprzypisudolnego"/>
        </w:rPr>
        <w:footnoteReference w:id="2"/>
      </w:r>
      <w:r w:rsidR="0065614F">
        <w:t xml:space="preserve"> w </w:t>
      </w:r>
      <w:r w:rsidR="0064480C">
        <w:t>styczniu</w:t>
      </w:r>
      <w:r w:rsidR="0065614F">
        <w:t xml:space="preserve"> 202</w:t>
      </w:r>
      <w:r w:rsidR="0064480C">
        <w:t>2</w:t>
      </w:r>
      <w:r w:rsidR="0065614F">
        <w:t xml:space="preserve"> r.</w:t>
      </w:r>
      <w:r w:rsidR="006018D4">
        <w:t xml:space="preserve"> była wyższa niż przed rokiem o </w:t>
      </w:r>
      <w:r w:rsidR="0064480C">
        <w:t>10</w:t>
      </w:r>
      <w:r w:rsidR="006018D4">
        <w:t>,</w:t>
      </w:r>
      <w:r w:rsidR="0064480C">
        <w:t>6</w:t>
      </w:r>
      <w:r w:rsidR="006018D4">
        <w:t xml:space="preserve">% (wobec spadku o </w:t>
      </w:r>
      <w:r w:rsidR="004C714F">
        <w:t>6</w:t>
      </w:r>
      <w:r w:rsidR="006018D4">
        <w:t>,</w:t>
      </w:r>
      <w:r w:rsidR="004C714F">
        <w:t>0</w:t>
      </w:r>
      <w:r w:rsidR="006018D4">
        <w:t xml:space="preserve">% w </w:t>
      </w:r>
      <w:r w:rsidR="004C714F">
        <w:t xml:space="preserve">styczniu </w:t>
      </w:r>
      <w:r w:rsidR="006018D4">
        <w:t>202</w:t>
      </w:r>
      <w:r w:rsidR="00297E30">
        <w:t>1</w:t>
      </w:r>
      <w:r w:rsidR="006018D4">
        <w:t xml:space="preserve"> r.). W porównaniu z </w:t>
      </w:r>
      <w:r w:rsidR="00297E30">
        <w:t>grudniem</w:t>
      </w:r>
      <w:r w:rsidR="006018D4">
        <w:t xml:space="preserve"> 2021 r. miał miejsce </w:t>
      </w:r>
      <w:r w:rsidR="00297E30">
        <w:t>spadek</w:t>
      </w:r>
      <w:r w:rsidR="006018D4">
        <w:t xml:space="preserve"> sprzedaży detalicznej o </w:t>
      </w:r>
      <w:r w:rsidR="00297E30">
        <w:t>22</w:t>
      </w:r>
      <w:r w:rsidR="006018D4">
        <w:t>,</w:t>
      </w:r>
      <w:r w:rsidR="00297E30">
        <w:t>8</w:t>
      </w:r>
      <w:r w:rsidR="006018D4">
        <w:t xml:space="preserve">%. </w:t>
      </w:r>
    </w:p>
    <w:p w14:paraId="3DB10F9F" w14:textId="6EB113C2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44536B1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543050"/>
                <wp:effectExtent l="0" t="0" r="0" b="0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2" name="Pole tekstowe 2" descr="W styczniu 2022 r. odnotowano znaczny wzrost sprzedaży detalicznej w skali roku w grupie „tekstylia, odzież, obuwie”, co spowodowane było m.in. ograniczeniami wprowadzonymi w ub. roku w funkcjonowaniu galerii handl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49170ADF" w:rsidR="00DA312A" w:rsidRPr="00E95B8E" w:rsidRDefault="002517E0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6015C4">
                              <w:t>styczniu</w:t>
                            </w:r>
                            <w:r>
                              <w:t xml:space="preserve"> 202</w:t>
                            </w:r>
                            <w:r w:rsidR="00BA7B8B">
                              <w:t>2</w:t>
                            </w:r>
                            <w:r>
                              <w:t xml:space="preserve"> r.</w:t>
                            </w:r>
                            <w:r w:rsidR="00395331">
                              <w:t xml:space="preserve"> odnotowano znaczny</w:t>
                            </w:r>
                            <w:r>
                              <w:t xml:space="preserve"> wzrost sprzedaży detalicznej w skali roku w </w:t>
                            </w:r>
                            <w:r w:rsidR="00395331">
                              <w:t>grupie „tekstylia, odzież, obuwie”</w:t>
                            </w:r>
                            <w:r w:rsidR="00DA312A">
                              <w:t>, co spowodowane było m.in. ograniczeniami wprowadzonymi w ub. roku w</w:t>
                            </w:r>
                            <w:r w:rsidR="00490C68">
                              <w:t> </w:t>
                            </w:r>
                            <w:r w:rsidR="00DA312A">
                              <w:rPr>
                                <w:bCs w:val="0"/>
                              </w:rPr>
                              <w:t>funkcjonowaniu galerii handlowych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yczniu 2022 r. odnotowano znaczny wzrost sprzedaży detalicznej w skali roku w grupie „tekstylia, odzież, obuwie”, co spowodowane było m.in. ograniczeniami wprowadzonymi w ub. roku w funkcjonowaniu galerii handlowych" style="position:absolute;margin-left:415.5pt;margin-top:16.7pt;width:135.85pt;height:121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" filled="f" stroked="f">
                <v:textbox>
                  <w:txbxContent>
                    <w:p w14:paraId="0B834087" w14:textId="49170ADF" w:rsidR="00DA312A" w:rsidRPr="00E95B8E" w:rsidRDefault="002517E0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6015C4">
                        <w:t>styczniu</w:t>
                      </w:r>
                      <w:r>
                        <w:t xml:space="preserve"> 202</w:t>
                      </w:r>
                      <w:r w:rsidR="00BA7B8B">
                        <w:t>2</w:t>
                      </w:r>
                      <w:r>
                        <w:t xml:space="preserve"> r.</w:t>
                      </w:r>
                      <w:r w:rsidR="00395331">
                        <w:t xml:space="preserve"> odnotowano znaczny</w:t>
                      </w:r>
                      <w:r>
                        <w:t xml:space="preserve"> wzrost sprzedaży detalicznej w skali roku w </w:t>
                      </w:r>
                      <w:r w:rsidR="00395331">
                        <w:t>grupie „tekstylia, odzież, obuwie”</w:t>
                      </w:r>
                      <w:r w:rsidR="00DA312A">
                        <w:t>, co spowodowane było m.in. ograniczeniami wprowadzonymi w ub. roku w</w:t>
                      </w:r>
                      <w:r w:rsidR="00490C68">
                        <w:t> </w:t>
                      </w:r>
                      <w:r w:rsidR="00DA312A">
                        <w:rPr>
                          <w:bCs w:val="0"/>
                        </w:rPr>
                        <w:t>funkcjonowaniu galerii handlowych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CC1DA6">
        <w:rPr>
          <w:rFonts w:ascii="Fira Sans" w:hAnsi="Fira Sans"/>
          <w:b/>
          <w:szCs w:val="19"/>
        </w:rPr>
        <w:t>Sprzedaż detaliczna towarów według rodzajów działalności przedsiębiorstwa</w:t>
      </w:r>
    </w:p>
    <w:p w14:paraId="4ED533A4" w14:textId="41F03F1D" w:rsidR="007D6ECE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B761EE">
        <w:rPr>
          <w:lang w:eastAsia="pl-PL"/>
        </w:rPr>
        <w:t xml:space="preserve">styczniu </w:t>
      </w:r>
      <w:r w:rsidRPr="004A1D4F">
        <w:rPr>
          <w:lang w:eastAsia="pl-PL"/>
        </w:rPr>
        <w:t>202</w:t>
      </w:r>
      <w:r w:rsidR="00DE2217">
        <w:rPr>
          <w:lang w:eastAsia="pl-PL"/>
        </w:rPr>
        <w:t>2</w:t>
      </w:r>
      <w:r w:rsidRPr="004A1D4F">
        <w:rPr>
          <w:lang w:eastAsia="pl-PL"/>
        </w:rPr>
        <w:t xml:space="preserve"> r. największy wzrost sprzedaży detalicznej (w cenach stałych) w porównaniu z analogicznym okresem 202</w:t>
      </w:r>
      <w:r w:rsidR="000435BD">
        <w:rPr>
          <w:lang w:eastAsia="pl-PL"/>
        </w:rPr>
        <w:t>1</w:t>
      </w:r>
      <w:r w:rsidRPr="004A1D4F">
        <w:rPr>
          <w:lang w:eastAsia="pl-PL"/>
        </w:rPr>
        <w:t xml:space="preserve"> r. </w:t>
      </w:r>
      <w:r w:rsidR="000435BD">
        <w:rPr>
          <w:lang w:eastAsia="pl-PL"/>
        </w:rPr>
        <w:t>odnotowały podobnie jak w poprzednich miesiącach</w:t>
      </w:r>
      <w:r w:rsidRPr="004A1D4F">
        <w:rPr>
          <w:lang w:eastAsia="pl-PL"/>
        </w:rPr>
        <w:t xml:space="preserve"> podmiot</w:t>
      </w:r>
      <w:r w:rsidR="000435BD">
        <w:rPr>
          <w:lang w:eastAsia="pl-PL"/>
        </w:rPr>
        <w:t>y</w:t>
      </w:r>
      <w:r w:rsidRPr="004A1D4F">
        <w:rPr>
          <w:lang w:eastAsia="pl-PL"/>
        </w:rPr>
        <w:t xml:space="preserve"> handlując</w:t>
      </w:r>
      <w:r w:rsidR="000435BD">
        <w:rPr>
          <w:lang w:eastAsia="pl-PL"/>
        </w:rPr>
        <w:t>e</w:t>
      </w:r>
      <w:r w:rsidRPr="004A1D4F">
        <w:rPr>
          <w:lang w:eastAsia="pl-PL"/>
        </w:rPr>
        <w:t xml:space="preserve"> tekstyliami, odzieżą, obuwiem (o </w:t>
      </w:r>
      <w:r w:rsidR="005A1BD1">
        <w:rPr>
          <w:lang w:eastAsia="pl-PL"/>
        </w:rPr>
        <w:t>97</w:t>
      </w:r>
      <w:r w:rsidRPr="004A1D4F">
        <w:rPr>
          <w:lang w:eastAsia="pl-PL"/>
        </w:rPr>
        <w:t>,</w:t>
      </w:r>
      <w:r w:rsidR="005A1BD1">
        <w:rPr>
          <w:lang w:eastAsia="pl-PL"/>
        </w:rPr>
        <w:t>7</w:t>
      </w:r>
      <w:r w:rsidRPr="004A1D4F">
        <w:rPr>
          <w:lang w:eastAsia="pl-PL"/>
        </w:rPr>
        <w:t>% wobec spadku o </w:t>
      </w:r>
      <w:r w:rsidR="00506B55">
        <w:rPr>
          <w:lang w:eastAsia="pl-PL"/>
        </w:rPr>
        <w:t>4</w:t>
      </w:r>
      <w:r w:rsidRPr="004A1D4F">
        <w:rPr>
          <w:lang w:eastAsia="pl-PL"/>
        </w:rPr>
        <w:t>0,</w:t>
      </w:r>
      <w:r w:rsidR="00506B55">
        <w:rPr>
          <w:lang w:eastAsia="pl-PL"/>
        </w:rPr>
        <w:t>8</w:t>
      </w:r>
      <w:r w:rsidRPr="004A1D4F">
        <w:rPr>
          <w:lang w:eastAsia="pl-PL"/>
        </w:rPr>
        <w:t xml:space="preserve"> przed rokiem). Wyższą sprzedaż niż sprzedaż „ogółem” spośród prezentowanych grup zaobserwowano </w:t>
      </w:r>
      <w:r w:rsidR="00534C5B">
        <w:rPr>
          <w:lang w:eastAsia="pl-PL"/>
        </w:rPr>
        <w:t xml:space="preserve">także </w:t>
      </w:r>
      <w:r w:rsidRPr="004A1D4F">
        <w:rPr>
          <w:lang w:eastAsia="pl-PL"/>
        </w:rPr>
        <w:t>w grupach: „pozostałe” (o 2</w:t>
      </w:r>
      <w:r w:rsidR="00506B55">
        <w:rPr>
          <w:lang w:eastAsia="pl-PL"/>
        </w:rPr>
        <w:t>4</w:t>
      </w:r>
      <w:r w:rsidRPr="004A1D4F">
        <w:rPr>
          <w:lang w:eastAsia="pl-PL"/>
        </w:rPr>
        <w:t>,</w:t>
      </w:r>
      <w:r w:rsidR="00506B55">
        <w:rPr>
          <w:lang w:eastAsia="pl-PL"/>
        </w:rPr>
        <w:t>4</w:t>
      </w:r>
      <w:r w:rsidRPr="004A1D4F">
        <w:rPr>
          <w:lang w:eastAsia="pl-PL"/>
        </w:rPr>
        <w:t>%)</w:t>
      </w:r>
      <w:r w:rsidR="00506B55">
        <w:rPr>
          <w:lang w:eastAsia="pl-PL"/>
        </w:rPr>
        <w:t xml:space="preserve">, </w:t>
      </w:r>
      <w:r w:rsidRPr="004A1D4F">
        <w:rPr>
          <w:lang w:eastAsia="pl-PL"/>
        </w:rPr>
        <w:t>„farmaceutyki, kosmetyki, sprzęt ortopedyczny” (o 1</w:t>
      </w:r>
      <w:r w:rsidR="00506B55">
        <w:rPr>
          <w:lang w:eastAsia="pl-PL"/>
        </w:rPr>
        <w:t>9</w:t>
      </w:r>
      <w:r w:rsidRPr="004A1D4F">
        <w:rPr>
          <w:lang w:eastAsia="pl-PL"/>
        </w:rPr>
        <w:t>,</w:t>
      </w:r>
      <w:r w:rsidR="00506B55">
        <w:rPr>
          <w:lang w:eastAsia="pl-PL"/>
        </w:rPr>
        <w:t>2</w:t>
      </w:r>
      <w:r w:rsidRPr="004A1D4F">
        <w:rPr>
          <w:lang w:eastAsia="pl-PL"/>
        </w:rPr>
        <w:t>%)</w:t>
      </w:r>
      <w:r w:rsidR="00506B55">
        <w:rPr>
          <w:lang w:eastAsia="pl-PL"/>
        </w:rPr>
        <w:t xml:space="preserve"> oraz</w:t>
      </w:r>
      <w:r w:rsidRPr="004A1D4F">
        <w:rPr>
          <w:lang w:eastAsia="pl-PL"/>
        </w:rPr>
        <w:t xml:space="preserve"> </w:t>
      </w:r>
      <w:r w:rsidR="00534C5B" w:rsidRPr="004A1D4F">
        <w:rPr>
          <w:lang w:eastAsia="pl-PL"/>
        </w:rPr>
        <w:t xml:space="preserve">„prasa, książki, pozostała sprzedaż w wyspecjalizowanych sklepach” </w:t>
      </w:r>
      <w:r w:rsidR="00534C5B">
        <w:rPr>
          <w:lang w:eastAsia="pl-PL"/>
        </w:rPr>
        <w:t xml:space="preserve">(o 17,5%). </w:t>
      </w:r>
      <w:r w:rsidRPr="004A1D4F">
        <w:rPr>
          <w:lang w:eastAsia="pl-PL"/>
        </w:rPr>
        <w:t>Spadek sprzedaży wykazały jednostki sprzedające pojazdy samochodowe, motocykle, części (o</w:t>
      </w:r>
      <w:r w:rsidR="0078230A">
        <w:rPr>
          <w:lang w:eastAsia="pl-PL"/>
        </w:rPr>
        <w:t> </w:t>
      </w:r>
      <w:r w:rsidR="00534C5B">
        <w:rPr>
          <w:lang w:eastAsia="pl-PL"/>
        </w:rPr>
        <w:t>13</w:t>
      </w:r>
      <w:r w:rsidRPr="004A1D4F">
        <w:rPr>
          <w:lang w:eastAsia="pl-PL"/>
        </w:rPr>
        <w:t>,5%)</w:t>
      </w:r>
      <w:r w:rsidR="00534C5B">
        <w:rPr>
          <w:lang w:eastAsia="pl-PL"/>
        </w:rPr>
        <w:t xml:space="preserve">, paliwa stałe, ciekłe i gazowe (o 1,5%), jak również meble, </w:t>
      </w:r>
      <w:proofErr w:type="spellStart"/>
      <w:r w:rsidR="00534C5B">
        <w:rPr>
          <w:lang w:eastAsia="pl-PL"/>
        </w:rPr>
        <w:t>rtv</w:t>
      </w:r>
      <w:proofErr w:type="spellEnd"/>
      <w:r w:rsidR="00534C5B">
        <w:rPr>
          <w:lang w:eastAsia="pl-PL"/>
        </w:rPr>
        <w:t xml:space="preserve">, </w:t>
      </w:r>
      <w:proofErr w:type="spellStart"/>
      <w:r w:rsidR="00534C5B">
        <w:rPr>
          <w:lang w:eastAsia="pl-PL"/>
        </w:rPr>
        <w:t>agd</w:t>
      </w:r>
      <w:proofErr w:type="spellEnd"/>
      <w:r w:rsidR="00534C5B">
        <w:rPr>
          <w:lang w:eastAsia="pl-PL"/>
        </w:rPr>
        <w:t xml:space="preserve"> (o</w:t>
      </w:r>
      <w:r w:rsidR="00ED5558">
        <w:rPr>
          <w:lang w:eastAsia="pl-PL"/>
        </w:rPr>
        <w:t xml:space="preserve"> 0,4%).</w:t>
      </w:r>
    </w:p>
    <w:p w14:paraId="34F1385F" w14:textId="4B7C7F69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DA312A">
        <w:rPr>
          <w:lang w:eastAsia="pl-PL"/>
        </w:rPr>
        <w:t>styczniu 2022 r.</w:t>
      </w:r>
      <w:r w:rsidRPr="004A1D4F">
        <w:rPr>
          <w:lang w:eastAsia="pl-PL"/>
        </w:rPr>
        <w:t xml:space="preserve"> w porównaniu z </w:t>
      </w:r>
      <w:r w:rsidR="00DA312A">
        <w:rPr>
          <w:lang w:eastAsia="pl-PL"/>
        </w:rPr>
        <w:t>grudniem</w:t>
      </w:r>
      <w:r w:rsidRPr="004A1D4F">
        <w:rPr>
          <w:lang w:eastAsia="pl-PL"/>
        </w:rPr>
        <w:t xml:space="preserve"> 202</w:t>
      </w:r>
      <w:r w:rsidR="00DA312A">
        <w:rPr>
          <w:lang w:eastAsia="pl-PL"/>
        </w:rPr>
        <w:t>1</w:t>
      </w:r>
      <w:r w:rsidRPr="004A1D4F">
        <w:rPr>
          <w:lang w:eastAsia="pl-PL"/>
        </w:rPr>
        <w:t xml:space="preserve"> r. odnotowano </w:t>
      </w:r>
      <w:r w:rsidR="00033E17">
        <w:rPr>
          <w:lang w:eastAsia="pl-PL"/>
        </w:rPr>
        <w:t>spadek</w:t>
      </w:r>
      <w:r w:rsidRPr="004A1D4F">
        <w:rPr>
          <w:lang w:eastAsia="pl-PL"/>
        </w:rPr>
        <w:t xml:space="preserve"> wartości sprzedaży detalicznej przez Internet w cenach bieżących (o</w:t>
      </w:r>
      <w:r w:rsidR="00033E17">
        <w:rPr>
          <w:lang w:eastAsia="pl-PL"/>
        </w:rPr>
        <w:t xml:space="preserve"> 15</w:t>
      </w:r>
      <w:r w:rsidRPr="004A1D4F">
        <w:rPr>
          <w:lang w:eastAsia="pl-PL"/>
        </w:rPr>
        <w:t>,</w:t>
      </w:r>
      <w:r w:rsidR="00033E17">
        <w:rPr>
          <w:lang w:eastAsia="pl-PL"/>
        </w:rPr>
        <w:t>5</w:t>
      </w:r>
      <w:r w:rsidRPr="004A1D4F">
        <w:rPr>
          <w:lang w:eastAsia="pl-PL"/>
        </w:rPr>
        <w:t>%). Udział tej sprzedaży z</w:t>
      </w:r>
      <w:r w:rsidR="00DF2BF5">
        <w:rPr>
          <w:lang w:eastAsia="pl-PL"/>
        </w:rPr>
        <w:t>więk</w:t>
      </w:r>
      <w:r w:rsidRPr="004A1D4F">
        <w:rPr>
          <w:lang w:eastAsia="pl-PL"/>
        </w:rPr>
        <w:t>szył się z</w:t>
      </w:r>
      <w:r w:rsidR="004917C2">
        <w:rPr>
          <w:lang w:eastAsia="pl-PL"/>
        </w:rPr>
        <w:t> </w:t>
      </w:r>
      <w:r w:rsidRPr="004A1D4F">
        <w:rPr>
          <w:lang w:eastAsia="pl-PL"/>
        </w:rPr>
        <w:t>1</w:t>
      </w:r>
      <w:r w:rsidR="00DF2BF5">
        <w:rPr>
          <w:lang w:eastAsia="pl-PL"/>
        </w:rPr>
        <w:t>0</w:t>
      </w:r>
      <w:r w:rsidRPr="004A1D4F">
        <w:rPr>
          <w:lang w:eastAsia="pl-PL"/>
        </w:rPr>
        <w:t>,</w:t>
      </w:r>
      <w:r w:rsidR="00DF2BF5">
        <w:rPr>
          <w:lang w:eastAsia="pl-PL"/>
        </w:rPr>
        <w:t>2</w:t>
      </w:r>
      <w:r w:rsidRPr="004A1D4F">
        <w:rPr>
          <w:lang w:eastAsia="pl-PL"/>
        </w:rPr>
        <w:t xml:space="preserve">% w </w:t>
      </w:r>
      <w:r w:rsidR="00DF2BF5">
        <w:rPr>
          <w:lang w:eastAsia="pl-PL"/>
        </w:rPr>
        <w:t>grudniu ub. roku</w:t>
      </w:r>
      <w:r w:rsidRPr="004A1D4F">
        <w:rPr>
          <w:lang w:eastAsia="pl-PL"/>
        </w:rPr>
        <w:t xml:space="preserve"> do 1</w:t>
      </w:r>
      <w:r w:rsidR="00DF2BF5">
        <w:rPr>
          <w:lang w:eastAsia="pl-PL"/>
        </w:rPr>
        <w:t>1</w:t>
      </w:r>
      <w:r w:rsidRPr="004A1D4F">
        <w:rPr>
          <w:lang w:eastAsia="pl-PL"/>
        </w:rPr>
        <w:t>,</w:t>
      </w:r>
      <w:r w:rsidR="00DF2BF5">
        <w:rPr>
          <w:lang w:eastAsia="pl-PL"/>
        </w:rPr>
        <w:t>1</w:t>
      </w:r>
      <w:r w:rsidRPr="004A1D4F">
        <w:rPr>
          <w:lang w:eastAsia="pl-PL"/>
        </w:rPr>
        <w:t>% w</w:t>
      </w:r>
      <w:bookmarkStart w:id="0" w:name="_GoBack"/>
      <w:bookmarkEnd w:id="0"/>
      <w:r w:rsidRPr="004A1D4F">
        <w:rPr>
          <w:lang w:eastAsia="pl-PL"/>
        </w:rPr>
        <w:t xml:space="preserve"> </w:t>
      </w:r>
      <w:r w:rsidR="00DF2BF5">
        <w:rPr>
          <w:lang w:eastAsia="pl-PL"/>
        </w:rPr>
        <w:t>styczniu</w:t>
      </w:r>
      <w:r w:rsidRPr="004A1D4F">
        <w:rPr>
          <w:lang w:eastAsia="pl-PL"/>
        </w:rPr>
        <w:t xml:space="preserve"> </w:t>
      </w:r>
      <w:r w:rsidR="00DF2BF5">
        <w:rPr>
          <w:lang w:eastAsia="pl-PL"/>
        </w:rPr>
        <w:t>b</w:t>
      </w:r>
      <w:r w:rsidRPr="004A1D4F">
        <w:rPr>
          <w:lang w:eastAsia="pl-PL"/>
        </w:rPr>
        <w:t xml:space="preserve">r.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 xml:space="preserve">znaczącym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w</w:t>
      </w:r>
      <w:r w:rsidR="00FC03CE" w:rsidRPr="00BF2E29">
        <w:rPr>
          <w:lang w:eastAsia="pl-PL"/>
        </w:rPr>
        <w:t xml:space="preserve"> </w:t>
      </w:r>
      <w:r w:rsidRPr="00BF2E29">
        <w:rPr>
          <w:lang w:eastAsia="pl-PL"/>
        </w:rPr>
        <w:t xml:space="preserve">sprzedaży </w:t>
      </w:r>
      <w:r w:rsidR="00DA3941" w:rsidRPr="00BF2E29">
        <w:rPr>
          <w:lang w:eastAsia="pl-PL"/>
        </w:rPr>
        <w:t>wzrost</w:t>
      </w:r>
      <w:r w:rsidR="00DF2BF5" w:rsidRPr="00BF2E29">
        <w:rPr>
          <w:lang w:eastAsia="pl-PL"/>
        </w:rPr>
        <w:t xml:space="preserve"> </w:t>
      </w:r>
      <w:r w:rsidRPr="00BF2E29">
        <w:rPr>
          <w:lang w:eastAsia="pl-PL"/>
        </w:rPr>
        <w:t>wykazały przedsiębiorstwa zaklasyfikowane do gru</w:t>
      </w:r>
      <w:r w:rsidRPr="004A1D4F">
        <w:rPr>
          <w:lang w:eastAsia="pl-PL"/>
        </w:rPr>
        <w:t>p: „tekstylia, odzież, obuwie” (z 2</w:t>
      </w:r>
      <w:r w:rsidR="00DA3941">
        <w:rPr>
          <w:lang w:eastAsia="pl-PL"/>
        </w:rPr>
        <w:t>4</w:t>
      </w:r>
      <w:r w:rsidRPr="004A1D4F">
        <w:rPr>
          <w:lang w:eastAsia="pl-PL"/>
        </w:rPr>
        <w:t>,</w:t>
      </w:r>
      <w:r w:rsidR="00DA3941">
        <w:rPr>
          <w:lang w:eastAsia="pl-PL"/>
        </w:rPr>
        <w:t>0</w:t>
      </w:r>
      <w:r w:rsidRPr="004A1D4F">
        <w:rPr>
          <w:lang w:eastAsia="pl-PL"/>
        </w:rPr>
        <w:t>% przed miesiącem  do 2</w:t>
      </w:r>
      <w:r w:rsidR="00DA3941">
        <w:rPr>
          <w:lang w:eastAsia="pl-PL"/>
        </w:rPr>
        <w:t>8</w:t>
      </w:r>
      <w:r w:rsidRPr="004A1D4F">
        <w:rPr>
          <w:lang w:eastAsia="pl-PL"/>
        </w:rPr>
        <w:t>,</w:t>
      </w:r>
      <w:r w:rsidR="00DA3941">
        <w:rPr>
          <w:lang w:eastAsia="pl-PL"/>
        </w:rPr>
        <w:t>8</w:t>
      </w:r>
      <w:r w:rsidRPr="004A1D4F">
        <w:rPr>
          <w:lang w:eastAsia="pl-PL"/>
        </w:rPr>
        <w:t xml:space="preserve">%), </w:t>
      </w:r>
      <w:bookmarkStart w:id="1" w:name="_Hlk95989478"/>
      <w:r w:rsidRPr="004A1D4F">
        <w:rPr>
          <w:lang w:eastAsia="pl-PL"/>
        </w:rPr>
        <w:t xml:space="preserve">„prasa, książki, pozostała sprzedaż w wyspecjalizowanych sklepach” </w:t>
      </w:r>
      <w:bookmarkEnd w:id="1"/>
      <w:r w:rsidRPr="004A1D4F">
        <w:rPr>
          <w:lang w:eastAsia="pl-PL"/>
        </w:rPr>
        <w:t>(odpowiednio z 2</w:t>
      </w:r>
      <w:r w:rsidR="00DA3941">
        <w:rPr>
          <w:lang w:eastAsia="pl-PL"/>
        </w:rPr>
        <w:t>3</w:t>
      </w:r>
      <w:r w:rsidRPr="004A1D4F">
        <w:rPr>
          <w:lang w:eastAsia="pl-PL"/>
        </w:rPr>
        <w:t>,</w:t>
      </w:r>
      <w:r w:rsidR="00DA3941">
        <w:rPr>
          <w:lang w:eastAsia="pl-PL"/>
        </w:rPr>
        <w:t>2</w:t>
      </w:r>
      <w:r w:rsidRPr="004A1D4F">
        <w:rPr>
          <w:lang w:eastAsia="pl-PL"/>
        </w:rPr>
        <w:t>% do 2</w:t>
      </w:r>
      <w:r w:rsidR="00DA3941">
        <w:rPr>
          <w:lang w:eastAsia="pl-PL"/>
        </w:rPr>
        <w:t>5</w:t>
      </w:r>
      <w:r w:rsidRPr="004A1D4F">
        <w:rPr>
          <w:lang w:eastAsia="pl-PL"/>
        </w:rPr>
        <w:t>,</w:t>
      </w:r>
      <w:r w:rsidR="00DA3941">
        <w:rPr>
          <w:lang w:eastAsia="pl-PL"/>
        </w:rPr>
        <w:t>1</w:t>
      </w:r>
      <w:r w:rsidRPr="004A1D4F">
        <w:rPr>
          <w:lang w:eastAsia="pl-PL"/>
        </w:rPr>
        <w:t xml:space="preserve">%) oraz „meble, </w:t>
      </w:r>
      <w:proofErr w:type="spellStart"/>
      <w:r w:rsidRPr="004A1D4F">
        <w:rPr>
          <w:lang w:eastAsia="pl-PL"/>
        </w:rPr>
        <w:t>rtv</w:t>
      </w:r>
      <w:proofErr w:type="spellEnd"/>
      <w:r w:rsidRPr="004A1D4F">
        <w:rPr>
          <w:lang w:eastAsia="pl-PL"/>
        </w:rPr>
        <w:t xml:space="preserve">, </w:t>
      </w:r>
      <w:proofErr w:type="spellStart"/>
      <w:r w:rsidRPr="004A1D4F">
        <w:rPr>
          <w:lang w:eastAsia="pl-PL"/>
        </w:rPr>
        <w:t>agd</w:t>
      </w:r>
      <w:proofErr w:type="spellEnd"/>
      <w:r w:rsidRPr="004A1D4F">
        <w:rPr>
          <w:lang w:eastAsia="pl-PL"/>
        </w:rPr>
        <w:t>” (z</w:t>
      </w:r>
      <w:r w:rsidR="00442204">
        <w:rPr>
          <w:lang w:eastAsia="pl-PL"/>
        </w:rPr>
        <w:t> </w:t>
      </w:r>
      <w:r w:rsidR="00DA3941">
        <w:rPr>
          <w:lang w:eastAsia="pl-PL"/>
        </w:rPr>
        <w:t>17</w:t>
      </w:r>
      <w:r w:rsidRPr="004A1D4F">
        <w:rPr>
          <w:lang w:eastAsia="pl-PL"/>
        </w:rPr>
        <w:t>,</w:t>
      </w:r>
      <w:r w:rsidR="00DA3941">
        <w:rPr>
          <w:lang w:eastAsia="pl-PL"/>
        </w:rPr>
        <w:t>5</w:t>
      </w:r>
      <w:r w:rsidRPr="004A1D4F">
        <w:rPr>
          <w:lang w:eastAsia="pl-PL"/>
        </w:rPr>
        <w:t xml:space="preserve">% do </w:t>
      </w:r>
      <w:r w:rsidR="00DA3941">
        <w:rPr>
          <w:lang w:eastAsia="pl-PL"/>
        </w:rPr>
        <w:t>20</w:t>
      </w:r>
      <w:r w:rsidRPr="004A1D4F">
        <w:rPr>
          <w:lang w:eastAsia="pl-PL"/>
        </w:rPr>
        <w:t>,5%).</w:t>
      </w:r>
    </w:p>
    <w:p w14:paraId="6C4F22F0" w14:textId="6F1FE06A" w:rsidR="004A1D4F" w:rsidRPr="005C3F59" w:rsidRDefault="00385BAB" w:rsidP="004A1D4F">
      <w:pPr>
        <w:rPr>
          <w:b/>
          <w:spacing w:val="-4"/>
          <w:sz w:val="18"/>
          <w:szCs w:val="18"/>
          <w:lang w:eastAsia="pl-PL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59616" behindDoc="0" locked="0" layoutInCell="1" allowOverlap="1" wp14:anchorId="26FE7B2A" wp14:editId="7A4DF270">
            <wp:simplePos x="0" y="0"/>
            <wp:positionH relativeFrom="margin">
              <wp:align>left</wp:align>
            </wp:positionH>
            <wp:positionV relativeFrom="margin">
              <wp:posOffset>4994910</wp:posOffset>
            </wp:positionV>
            <wp:extent cx="5048250" cy="231267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39FBF793" w:rsidR="00994335" w:rsidRDefault="00E95B8E" w:rsidP="00F049AB">
      <w:pPr>
        <w:pStyle w:val="Tytutablicy"/>
      </w:pPr>
      <w:r w:rsidRPr="00F049AB">
        <w:lastRenderedPageBreak/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F013BA">
        <w:t xml:space="preserve">Dynamika </w:t>
      </w:r>
      <w:r w:rsidR="00774D6A">
        <w:t xml:space="preserve">sprzedaży detalicznej </w:t>
      </w:r>
    </w:p>
    <w:tbl>
      <w:tblPr>
        <w:tblW w:w="8051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"/>
        <w:tblDescription w:val="Dynamika sprzedaży detalicznej"/>
      </w:tblPr>
      <w:tblGrid>
        <w:gridCol w:w="3403"/>
        <w:gridCol w:w="1162"/>
        <w:gridCol w:w="1162"/>
        <w:gridCol w:w="1162"/>
        <w:gridCol w:w="1162"/>
      </w:tblGrid>
      <w:tr w:rsidR="00DD6BC7" w:rsidRPr="00C614D7" w14:paraId="5AFF2C30" w14:textId="77777777" w:rsidTr="00FC61C4">
        <w:trPr>
          <w:trHeight w:val="340"/>
        </w:trPr>
        <w:tc>
          <w:tcPr>
            <w:tcW w:w="340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4226E2D" w14:textId="77777777" w:rsidR="00DD6BC7" w:rsidRPr="00C614D7" w:rsidRDefault="00DD6BC7" w:rsidP="00DD6BC7">
            <w:pPr>
              <w:spacing w:before="240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Wyszczególnienie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  <w:hideMark/>
          </w:tcPr>
          <w:p w14:paraId="27E99130" w14:textId="77777777" w:rsidR="00DD6BC7" w:rsidRPr="00C614D7" w:rsidRDefault="00DD6BC7" w:rsidP="00DD6BC7">
            <w:pPr>
              <w:spacing w:after="0" w:line="240" w:lineRule="auto"/>
              <w:jc w:val="center"/>
              <w:rPr>
                <w:rFonts w:cs="Arial"/>
                <w:b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Ceny stałe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67393F0" w14:textId="77777777" w:rsidR="00DD6BC7" w:rsidRPr="00C614D7" w:rsidRDefault="00DD6BC7" w:rsidP="00DD6BC7">
            <w:pPr>
              <w:spacing w:after="0" w:line="240" w:lineRule="auto"/>
              <w:jc w:val="center"/>
              <w:rPr>
                <w:rFonts w:cs="Arial"/>
                <w:b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Ceny bieżące</w:t>
            </w:r>
          </w:p>
        </w:tc>
      </w:tr>
      <w:tr w:rsidR="00DD6BC7" w:rsidRPr="00DD6BC7" w14:paraId="2F56F11D" w14:textId="77777777" w:rsidTr="00FC61C4">
        <w:trPr>
          <w:trHeight w:val="340"/>
        </w:trPr>
        <w:tc>
          <w:tcPr>
            <w:tcW w:w="3403" w:type="dxa"/>
            <w:vMerge/>
            <w:shd w:val="clear" w:color="auto" w:fill="auto"/>
            <w:vAlign w:val="center"/>
          </w:tcPr>
          <w:p w14:paraId="0A4F0AA7" w14:textId="77777777" w:rsidR="00DD6BC7" w:rsidRPr="00DD6BC7" w:rsidRDefault="00DD6BC7" w:rsidP="00DD6BC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5585AA6" w14:textId="3E65E558" w:rsidR="00DD6BC7" w:rsidRPr="00C614D7" w:rsidRDefault="00BB14D2" w:rsidP="00DD6BC7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01 </w:t>
            </w:r>
            <w:r w:rsidR="00DD6BC7" w:rsidRPr="00C614D7">
              <w:rPr>
                <w:rFonts w:cs="Arial"/>
                <w:color w:val="000000"/>
                <w:szCs w:val="19"/>
              </w:rPr>
              <w:t>202</w:t>
            </w:r>
            <w:r w:rsidRPr="00C614D7">
              <w:rPr>
                <w:rFonts w:cs="Arial"/>
                <w:color w:val="000000"/>
                <w:szCs w:val="19"/>
              </w:rPr>
              <w:t>2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99A4BB2" w14:textId="62B2D842" w:rsidR="00DD6BC7" w:rsidRPr="00C614D7" w:rsidRDefault="00BB14D2" w:rsidP="00DD6BC7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01 </w:t>
            </w:r>
            <w:r w:rsidR="00DD6BC7" w:rsidRPr="00C614D7">
              <w:rPr>
                <w:rFonts w:cs="Arial"/>
                <w:color w:val="000000"/>
                <w:szCs w:val="19"/>
              </w:rPr>
              <w:t>202</w:t>
            </w:r>
            <w:r w:rsidRPr="00C614D7">
              <w:rPr>
                <w:rFonts w:cs="Arial"/>
                <w:color w:val="000000"/>
                <w:szCs w:val="19"/>
              </w:rPr>
              <w:t>2</w:t>
            </w:r>
          </w:p>
        </w:tc>
      </w:tr>
      <w:tr w:rsidR="00DD6BC7" w:rsidRPr="00DD6BC7" w14:paraId="4D5D3EA5" w14:textId="77777777" w:rsidTr="00FC61C4">
        <w:trPr>
          <w:trHeight w:val="340"/>
        </w:trPr>
        <w:tc>
          <w:tcPr>
            <w:tcW w:w="3403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6CAC58" w14:textId="77777777" w:rsidR="00DD6BC7" w:rsidRPr="00DD6BC7" w:rsidRDefault="00DD6BC7" w:rsidP="00DD6BC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51C7866" w14:textId="4B4A5A86" w:rsidR="00DD6BC7" w:rsidRPr="00C614D7" w:rsidRDefault="00BB14D2" w:rsidP="00DD6BC7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12 </w:t>
            </w:r>
            <w:r w:rsidR="00DD6BC7" w:rsidRPr="00C614D7">
              <w:rPr>
                <w:rFonts w:cs="Arial"/>
                <w:color w:val="000000"/>
                <w:szCs w:val="19"/>
              </w:rPr>
              <w:t>202</w:t>
            </w:r>
            <w:r w:rsidRPr="00C614D7">
              <w:rPr>
                <w:rFonts w:cs="Arial"/>
                <w:color w:val="000000"/>
                <w:szCs w:val="19"/>
              </w:rPr>
              <w:t>1</w:t>
            </w:r>
            <w:r w:rsidR="00DD6BC7" w:rsidRPr="00C614D7">
              <w:rPr>
                <w:rFonts w:cs="Arial"/>
                <w:color w:val="000000"/>
                <w:szCs w:val="19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0439F05" w14:textId="29AB595D" w:rsidR="00DD6BC7" w:rsidRPr="00C614D7" w:rsidRDefault="00BB14D2" w:rsidP="00DD6BC7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01</w:t>
            </w:r>
            <w:r w:rsidR="00DD6BC7" w:rsidRPr="00C614D7">
              <w:rPr>
                <w:rFonts w:cs="Arial"/>
                <w:color w:val="000000"/>
                <w:szCs w:val="19"/>
              </w:rPr>
              <w:t xml:space="preserve"> 202</w:t>
            </w:r>
            <w:r w:rsidRPr="00C614D7">
              <w:rPr>
                <w:rFonts w:cs="Arial"/>
                <w:color w:val="000000"/>
                <w:szCs w:val="19"/>
              </w:rPr>
              <w:t>1</w:t>
            </w:r>
            <w:r w:rsidR="00DD6BC7" w:rsidRPr="00C614D7">
              <w:rPr>
                <w:rFonts w:cs="Arial"/>
                <w:color w:val="000000"/>
                <w:szCs w:val="19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D3864F9" w14:textId="65794029" w:rsidR="00DD6BC7" w:rsidRPr="00C614D7" w:rsidRDefault="00BB14D2" w:rsidP="00DD6BC7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12</w:t>
            </w:r>
            <w:r w:rsidR="00DD6BC7" w:rsidRPr="00C614D7">
              <w:rPr>
                <w:rFonts w:cs="Arial"/>
                <w:color w:val="000000"/>
                <w:szCs w:val="19"/>
              </w:rPr>
              <w:t xml:space="preserve"> 202</w:t>
            </w:r>
            <w:r w:rsidRPr="00C614D7">
              <w:rPr>
                <w:rFonts w:cs="Arial"/>
                <w:color w:val="000000"/>
                <w:szCs w:val="19"/>
              </w:rPr>
              <w:t>1</w:t>
            </w:r>
            <w:r w:rsidR="00DD6BC7" w:rsidRPr="00C614D7">
              <w:rPr>
                <w:rFonts w:cs="Arial"/>
                <w:color w:val="000000"/>
                <w:szCs w:val="19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7867C5A" w14:textId="67CE6F31" w:rsidR="00DD6BC7" w:rsidRPr="00C614D7" w:rsidRDefault="00BB14D2" w:rsidP="00DD6BC7">
            <w:pPr>
              <w:spacing w:after="0" w:line="240" w:lineRule="auto"/>
              <w:jc w:val="center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01 </w:t>
            </w:r>
            <w:r w:rsidR="00DD6BC7" w:rsidRPr="00C614D7">
              <w:rPr>
                <w:rFonts w:cs="Arial"/>
                <w:color w:val="000000"/>
                <w:szCs w:val="19"/>
              </w:rPr>
              <w:t>202</w:t>
            </w:r>
            <w:r w:rsidRPr="00C614D7">
              <w:rPr>
                <w:rFonts w:cs="Arial"/>
                <w:color w:val="000000"/>
                <w:szCs w:val="19"/>
              </w:rPr>
              <w:t>1</w:t>
            </w:r>
            <w:r w:rsidR="00DD6BC7" w:rsidRPr="00C614D7">
              <w:rPr>
                <w:rFonts w:cs="Arial"/>
                <w:color w:val="000000"/>
                <w:szCs w:val="19"/>
              </w:rPr>
              <w:t>=100</w:t>
            </w:r>
          </w:p>
        </w:tc>
      </w:tr>
      <w:tr w:rsidR="003953ED" w:rsidRPr="00DD6BC7" w14:paraId="2B5A6DA4" w14:textId="77777777" w:rsidTr="00FC61C4">
        <w:trPr>
          <w:trHeight w:val="369"/>
        </w:trPr>
        <w:tc>
          <w:tcPr>
            <w:tcW w:w="3403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D391164" w14:textId="77777777" w:rsidR="003953ED" w:rsidRPr="00C614D7" w:rsidRDefault="003953ED" w:rsidP="003953ED">
            <w:pPr>
              <w:spacing w:before="0" w:after="0"/>
              <w:rPr>
                <w:rFonts w:cs="Arial"/>
                <w:b/>
                <w:bCs/>
                <w:color w:val="000000"/>
                <w:szCs w:val="19"/>
              </w:rPr>
            </w:pPr>
            <w:r w:rsidRPr="00C614D7">
              <w:rPr>
                <w:rFonts w:cs="Arial"/>
                <w:b/>
                <w:bCs/>
                <w:color w:val="000000"/>
                <w:szCs w:val="19"/>
              </w:rPr>
              <w:t xml:space="preserve"> OGÓŁEM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15CEDD0" w14:textId="51C697F1" w:rsidR="003953ED" w:rsidRPr="00522630" w:rsidRDefault="003953ED" w:rsidP="003953E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22630">
              <w:rPr>
                <w:rFonts w:cs="Arial"/>
                <w:b/>
                <w:bCs/>
                <w:color w:val="000000"/>
                <w:szCs w:val="19"/>
              </w:rPr>
              <w:t>77,2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51C1F27" w14:textId="26B05B1F" w:rsidR="003953ED" w:rsidRPr="00522630" w:rsidRDefault="003953ED" w:rsidP="003953E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22630">
              <w:rPr>
                <w:rFonts w:cs="Arial"/>
                <w:b/>
                <w:bCs/>
                <w:color w:val="000000"/>
                <w:szCs w:val="19"/>
              </w:rPr>
              <w:t>110,6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2E3E5CB" w14:textId="710B4D3B" w:rsidR="003953ED" w:rsidRPr="00522630" w:rsidRDefault="003953ED" w:rsidP="003953E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22630">
              <w:rPr>
                <w:rFonts w:cs="Arial"/>
                <w:b/>
                <w:bCs/>
                <w:color w:val="000000"/>
                <w:szCs w:val="19"/>
              </w:rPr>
              <w:t>77,4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BF399A6" w14:textId="4B40C334" w:rsidR="003953ED" w:rsidRPr="00522630" w:rsidRDefault="003953ED" w:rsidP="003953E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22630">
              <w:rPr>
                <w:rFonts w:cs="Arial"/>
                <w:b/>
                <w:bCs/>
                <w:color w:val="000000"/>
                <w:szCs w:val="19"/>
              </w:rPr>
              <w:t>120,0</w:t>
            </w:r>
          </w:p>
        </w:tc>
      </w:tr>
      <w:tr w:rsidR="003953ED" w:rsidRPr="00DD6BC7" w14:paraId="102F1178" w14:textId="77777777" w:rsidTr="00FC61C4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472CFB7A" w14:textId="77777777" w:rsidR="003953ED" w:rsidRPr="00C614D7" w:rsidRDefault="003953ED" w:rsidP="003953ED">
            <w:pPr>
              <w:spacing w:before="0" w:after="0"/>
              <w:ind w:firstLine="176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w tym: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3B85B6D" w14:textId="77777777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729831D9" w14:textId="77777777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3BD3616" w14:textId="77777777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CD0C555" w14:textId="77777777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3953ED" w:rsidRPr="00DD6BC7" w14:paraId="08387B58" w14:textId="77777777" w:rsidTr="00FC61C4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78BDD5EC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Pojazdy samochodowe, motocykle, części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5C4BAD1" w14:textId="285FD652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85,0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73FB5FA" w14:textId="22C68E18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86,5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234E753" w14:textId="72CB884B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85,7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29B3B23" w14:textId="0E8D6FAB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92,6</w:t>
            </w:r>
          </w:p>
        </w:tc>
      </w:tr>
      <w:tr w:rsidR="003953ED" w:rsidRPr="00DD6BC7" w14:paraId="24A9AC16" w14:textId="77777777" w:rsidTr="00FC61C4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79E09956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Paliwa stałe, ciekłe i gazowe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8676530" w14:textId="6629BA23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85,1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1A1C078" w14:textId="4A047698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98,5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561BA38" w14:textId="7D3CAA2C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82,6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131F5A5" w14:textId="6301BB6D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126,4</w:t>
            </w:r>
          </w:p>
        </w:tc>
      </w:tr>
      <w:tr w:rsidR="003953ED" w:rsidRPr="00DD6BC7" w14:paraId="4C2F05A0" w14:textId="77777777" w:rsidTr="00FC61C4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1C3B8643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Żywność, napoje i wyroby tytoniowe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29A69A5" w14:textId="6F5DE9C6" w:rsidR="003953ED" w:rsidRPr="00522630" w:rsidRDefault="003953ED" w:rsidP="003953ED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77,7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8D3A659" w14:textId="3CE51FE6" w:rsidR="003953ED" w:rsidRPr="00522630" w:rsidRDefault="003953ED" w:rsidP="003953ED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103,6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AA18225" w14:textId="0B0FCE7A" w:rsidR="003953ED" w:rsidRPr="00522630" w:rsidRDefault="003953ED" w:rsidP="003953ED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79,6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10A88CD" w14:textId="5480294D" w:rsidR="003953ED" w:rsidRPr="00522630" w:rsidRDefault="003953ED" w:rsidP="003953ED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112,1</w:t>
            </w:r>
          </w:p>
        </w:tc>
      </w:tr>
      <w:tr w:rsidR="003953ED" w:rsidRPr="00DD6BC7" w14:paraId="5748655B" w14:textId="77777777" w:rsidTr="00FC61C4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42F7AD35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Pozostała sprzedaż detaliczna </w:t>
            </w:r>
          </w:p>
          <w:p w14:paraId="32BC9B2D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w niewyspecjalizowanych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899EDC9" w14:textId="77777777" w:rsidR="003953ED" w:rsidRPr="00522630" w:rsidRDefault="003953ED" w:rsidP="003953ED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443E2BB" w14:textId="77777777" w:rsidR="003953ED" w:rsidRPr="00522630" w:rsidRDefault="003953ED" w:rsidP="003953ED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B5DE7F1" w14:textId="77777777" w:rsidR="003953ED" w:rsidRPr="00522630" w:rsidRDefault="003953ED" w:rsidP="003953ED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C97D162" w14:textId="77777777" w:rsidR="003953ED" w:rsidRPr="00522630" w:rsidRDefault="003953ED" w:rsidP="003953ED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.</w:t>
            </w:r>
          </w:p>
        </w:tc>
      </w:tr>
      <w:tr w:rsidR="003953ED" w:rsidRPr="00DD6BC7" w14:paraId="085C4611" w14:textId="77777777" w:rsidTr="00FC61C4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0F653C36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Farmaceutyki, kosmetyki, sprzęt ortopedyczny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9C3A987" w14:textId="2C2CC622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79,0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24B6594" w14:textId="1C4D07B5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119,2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184A7D2" w14:textId="665A8D36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79,2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92700F4" w14:textId="4144434B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121,3</w:t>
            </w:r>
          </w:p>
        </w:tc>
      </w:tr>
      <w:tr w:rsidR="003953ED" w:rsidRPr="00DD6BC7" w14:paraId="3FE27310" w14:textId="77777777" w:rsidTr="00FC61C4">
        <w:trPr>
          <w:trHeight w:val="424"/>
        </w:trPr>
        <w:tc>
          <w:tcPr>
            <w:tcW w:w="3403" w:type="dxa"/>
            <w:shd w:val="clear" w:color="auto" w:fill="auto"/>
            <w:vAlign w:val="center"/>
            <w:hideMark/>
          </w:tcPr>
          <w:p w14:paraId="56F8C135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Tekstylia, odzież, obuwie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018EF97" w14:textId="2EB45E08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72,3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7AC2574" w14:textId="721CD238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197,7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225DCC9" w14:textId="55A45FAA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70,4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193D86C" w14:textId="72D66504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206,2</w:t>
            </w:r>
          </w:p>
        </w:tc>
      </w:tr>
      <w:tr w:rsidR="003953ED" w:rsidRPr="00DD6BC7" w14:paraId="432056A0" w14:textId="77777777" w:rsidTr="00FC61C4">
        <w:trPr>
          <w:trHeight w:val="370"/>
        </w:trPr>
        <w:tc>
          <w:tcPr>
            <w:tcW w:w="3403" w:type="dxa"/>
            <w:shd w:val="clear" w:color="auto" w:fill="auto"/>
            <w:vAlign w:val="center"/>
            <w:hideMark/>
          </w:tcPr>
          <w:p w14:paraId="6D64FFC1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Meble, </w:t>
            </w:r>
            <w:proofErr w:type="spellStart"/>
            <w:r w:rsidRPr="00C614D7">
              <w:rPr>
                <w:rFonts w:cs="Arial"/>
                <w:color w:val="000000"/>
                <w:szCs w:val="19"/>
              </w:rPr>
              <w:t>rtv</w:t>
            </w:r>
            <w:proofErr w:type="spellEnd"/>
            <w:r w:rsidRPr="00C614D7">
              <w:rPr>
                <w:rFonts w:cs="Arial"/>
                <w:color w:val="000000"/>
                <w:szCs w:val="19"/>
              </w:rPr>
              <w:t xml:space="preserve">, </w:t>
            </w:r>
            <w:proofErr w:type="spellStart"/>
            <w:r w:rsidRPr="00C614D7">
              <w:rPr>
                <w:rFonts w:cs="Arial"/>
                <w:color w:val="000000"/>
                <w:szCs w:val="19"/>
              </w:rPr>
              <w:t>agd</w:t>
            </w:r>
            <w:proofErr w:type="spellEnd"/>
          </w:p>
        </w:tc>
        <w:tc>
          <w:tcPr>
            <w:tcW w:w="1162" w:type="dxa"/>
            <w:shd w:val="clear" w:color="auto" w:fill="auto"/>
            <w:vAlign w:val="center"/>
          </w:tcPr>
          <w:p w14:paraId="56B4923D" w14:textId="3D3C591C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66,3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85B0334" w14:textId="4DAD5445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99,6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696C1F4" w14:textId="768A4673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67,2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09B5BDF" w14:textId="25EE4350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106,4</w:t>
            </w:r>
          </w:p>
        </w:tc>
      </w:tr>
      <w:tr w:rsidR="003953ED" w:rsidRPr="00DD6BC7" w14:paraId="05BB5273" w14:textId="77777777" w:rsidTr="00FC61C4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4AA7FF15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Prasa, książki, pozostała sprzedaż </w:t>
            </w:r>
          </w:p>
          <w:p w14:paraId="29F1A2FE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 xml:space="preserve"> w 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606C65C" w14:textId="708D690B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58,5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CF49A54" w14:textId="63607158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117,5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ED1595E" w14:textId="1CAFA0E6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58,5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05E1E41" w14:textId="40992D74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123,3</w:t>
            </w:r>
          </w:p>
        </w:tc>
      </w:tr>
      <w:tr w:rsidR="003953ED" w:rsidRPr="00DD6BC7" w14:paraId="391A001E" w14:textId="77777777" w:rsidTr="00FC61C4">
        <w:trPr>
          <w:trHeight w:val="369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E56A70B" w14:textId="77777777" w:rsidR="003953ED" w:rsidRPr="00C614D7" w:rsidRDefault="003953ED" w:rsidP="003953E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614D7">
              <w:rPr>
                <w:rFonts w:cs="Arial"/>
                <w:color w:val="000000"/>
                <w:szCs w:val="19"/>
              </w:rPr>
              <w:t>Pozostałe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5D5343B6" w14:textId="1E2F8CA1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78,4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5E597A8D" w14:textId="5040386C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124,4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29BF6078" w14:textId="6FC0EEC1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78,9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2DE4AEFE" w14:textId="4F71895D" w:rsidR="003953ED" w:rsidRPr="00522630" w:rsidRDefault="003953ED" w:rsidP="003953ED">
            <w:pPr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22630">
              <w:rPr>
                <w:rFonts w:cs="Arial"/>
                <w:color w:val="000000"/>
                <w:szCs w:val="19"/>
              </w:rPr>
              <w:t>131,4</w:t>
            </w:r>
          </w:p>
        </w:tc>
      </w:tr>
    </w:tbl>
    <w:p w14:paraId="1FAE35FA" w14:textId="00212CAF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>rak informacji, konieczność zachowania tajemnicy statystycznej lub wypełnienie pozycji jest niemożliwe albo niecelowe</w:t>
      </w:r>
    </w:p>
    <w:p w14:paraId="30284480" w14:textId="77777777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1221D46" w14:textId="01865B34" w:rsidR="00215931" w:rsidRDefault="00215931" w:rsidP="00215931">
      <w:pPr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styczniu 2022 r. według rodzajów działalności przedsiębiorstwa (ceny stałe) – analogiczny okres roku poprzedniego=100</w:t>
      </w:r>
    </w:p>
    <w:p w14:paraId="30FFC0EE" w14:textId="6382D53A" w:rsidR="00993681" w:rsidRDefault="00993681" w:rsidP="00215931">
      <w:pPr>
        <w:ind w:left="851" w:hanging="851"/>
        <w:rPr>
          <w:b/>
          <w:sz w:val="18"/>
          <w:szCs w:val="18"/>
          <w:lang w:eastAsia="pl-PL"/>
        </w:rPr>
      </w:pPr>
      <w:r w:rsidRPr="000F52D0"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 wp14:anchorId="2D3B09BB" wp14:editId="6846951E">
            <wp:simplePos x="0" y="0"/>
            <wp:positionH relativeFrom="margin">
              <wp:posOffset>0</wp:posOffset>
            </wp:positionH>
            <wp:positionV relativeFrom="margin">
              <wp:posOffset>5332095</wp:posOffset>
            </wp:positionV>
            <wp:extent cx="5038725" cy="2591435"/>
            <wp:effectExtent l="0" t="0" r="9525" b="0"/>
            <wp:wrapSquare wrapText="bothSides"/>
            <wp:docPr id="19" name="Wykres 19" descr="Wykres 2. Sprzedaż detaliczna towarów w styczni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B6170" w14:textId="6225C66C" w:rsidR="00993681" w:rsidRDefault="00993681" w:rsidP="00215931">
      <w:pPr>
        <w:ind w:left="851" w:hanging="851"/>
        <w:rPr>
          <w:b/>
          <w:sz w:val="18"/>
          <w:szCs w:val="18"/>
          <w:lang w:eastAsia="pl-PL"/>
        </w:rPr>
      </w:pPr>
    </w:p>
    <w:p w14:paraId="5E3A1B0A" w14:textId="77777777" w:rsidR="00993681" w:rsidRPr="00270CA1" w:rsidRDefault="00993681" w:rsidP="00215931">
      <w:pPr>
        <w:ind w:left="851" w:hanging="851"/>
        <w:rPr>
          <w:b/>
          <w:sz w:val="18"/>
          <w:szCs w:val="18"/>
          <w:lang w:eastAsia="pl-PL"/>
        </w:rPr>
      </w:pPr>
    </w:p>
    <w:p w14:paraId="1D382902" w14:textId="0C0F1E3E" w:rsidR="000D7269" w:rsidRDefault="000D7269" w:rsidP="000D7269">
      <w:pPr>
        <w:rPr>
          <w:lang w:eastAsia="pl-PL"/>
        </w:rPr>
      </w:pPr>
    </w:p>
    <w:p w14:paraId="3B07EC2B" w14:textId="1255A6F6" w:rsidR="005F081C" w:rsidRDefault="005F081C" w:rsidP="000D7269">
      <w:pPr>
        <w:rPr>
          <w:lang w:eastAsia="pl-PL"/>
        </w:rPr>
      </w:pPr>
    </w:p>
    <w:p w14:paraId="7AF2D5B3" w14:textId="50FD25EB" w:rsidR="005F081C" w:rsidRDefault="005F081C" w:rsidP="000D7269">
      <w:pPr>
        <w:rPr>
          <w:lang w:eastAsia="pl-PL"/>
        </w:rPr>
      </w:pPr>
    </w:p>
    <w:p w14:paraId="1AA485CF" w14:textId="77777777" w:rsidR="005F081C" w:rsidRDefault="005F081C" w:rsidP="000D7269">
      <w:pPr>
        <w:rPr>
          <w:lang w:eastAsia="pl-PL"/>
        </w:rPr>
      </w:pPr>
    </w:p>
    <w:p w14:paraId="31EB7324" w14:textId="25825877" w:rsidR="00DA331D" w:rsidRDefault="00CD7843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22810F73">
                <wp:simplePos x="0" y="0"/>
                <wp:positionH relativeFrom="column">
                  <wp:posOffset>5272405</wp:posOffset>
                </wp:positionH>
                <wp:positionV relativeFrom="page">
                  <wp:posOffset>813435</wp:posOffset>
                </wp:positionV>
                <wp:extent cx="1725295" cy="1115695"/>
                <wp:effectExtent l="0" t="0" r="0" b="0"/>
                <wp:wrapTight wrapText="bothSides">
                  <wp:wrapPolygon edited="0">
                    <wp:start x="715" y="0"/>
                    <wp:lineTo x="715" y="21022"/>
                    <wp:lineTo x="20749" y="21022"/>
                    <wp:lineTo x="20749" y="0"/>
                    <wp:lineTo x="715" y="0"/>
                  </wp:wrapPolygon>
                </wp:wrapTight>
                <wp:docPr id="13" name="Pole tekstowe 13" descr="W styczniu 2022 r. odnotowano wzrost sprzedaży detalicznej wyrównanej sezonowo o 3,6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63EFB08D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39542E">
                              <w:t xml:space="preserve">styczniu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39542E">
                              <w:t xml:space="preserve">wzrost </w:t>
                            </w:r>
                            <w:r>
                              <w:t>sprzedaży detalicznej wyrównanej sezonowo o 3,</w:t>
                            </w:r>
                            <w:r w:rsidR="0039542E">
                              <w:t>6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styczniu 2022 r. odnotowano wzrost sprzedaży detalicznej wyrównanej sezonowo o 3,6% w porównaniu z poprzednim miesiącem" style="position:absolute;margin-left:415.15pt;margin-top:64.05pt;width:135.85pt;height:87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" filled="f" stroked="f">
                <v:textbox>
                  <w:txbxContent>
                    <w:p w14:paraId="6F82A774" w14:textId="63EFB08D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39542E">
                        <w:t xml:space="preserve">styczniu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39542E">
                        <w:t xml:space="preserve">wzrost </w:t>
                      </w:r>
                      <w:r>
                        <w:t>sprzedaży detalicznej wyrównanej sezonowo o 3,</w:t>
                      </w:r>
                      <w:r w:rsidR="0039542E">
                        <w:t>6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44B447F5" w:rsidR="00C85C36" w:rsidRPr="00C85C36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C85C36">
        <w:rPr>
          <w:rFonts w:cs="Arial"/>
          <w:spacing w:val="-2"/>
          <w:szCs w:val="19"/>
        </w:rPr>
        <w:t xml:space="preserve">Po wyeliminowaniu wpływu czynników o charakterze sezonowym sprzedaż detaliczna w cenach stałych w </w:t>
      </w:r>
      <w:r w:rsidR="0039542E">
        <w:rPr>
          <w:rFonts w:cs="Arial"/>
          <w:spacing w:val="-2"/>
          <w:szCs w:val="19"/>
        </w:rPr>
        <w:t>styczniu</w:t>
      </w:r>
      <w:r w:rsidRPr="00C85C36">
        <w:rPr>
          <w:rFonts w:cs="Arial"/>
          <w:spacing w:val="-2"/>
          <w:szCs w:val="19"/>
        </w:rPr>
        <w:t xml:space="preserve"> 202</w:t>
      </w:r>
      <w:r w:rsidR="0039542E">
        <w:rPr>
          <w:rFonts w:cs="Arial"/>
          <w:spacing w:val="-2"/>
          <w:szCs w:val="19"/>
        </w:rPr>
        <w:t>2</w:t>
      </w:r>
      <w:r w:rsidRPr="00C85C36">
        <w:rPr>
          <w:rFonts w:cs="Arial"/>
          <w:spacing w:val="-2"/>
          <w:szCs w:val="19"/>
        </w:rPr>
        <w:t xml:space="preserve"> r. była o 3,</w:t>
      </w:r>
      <w:r w:rsidR="0039542E">
        <w:rPr>
          <w:rFonts w:cs="Arial"/>
          <w:spacing w:val="-2"/>
          <w:szCs w:val="19"/>
        </w:rPr>
        <w:t>6</w:t>
      </w:r>
      <w:r w:rsidRPr="00C85C36">
        <w:rPr>
          <w:rFonts w:cs="Arial"/>
          <w:spacing w:val="-2"/>
          <w:szCs w:val="19"/>
        </w:rPr>
        <w:t xml:space="preserve">% </w:t>
      </w:r>
      <w:r w:rsidR="0039542E">
        <w:rPr>
          <w:rFonts w:cs="Arial"/>
          <w:spacing w:val="-2"/>
          <w:szCs w:val="19"/>
        </w:rPr>
        <w:t>wy</w:t>
      </w:r>
      <w:r w:rsidRPr="00C85C36">
        <w:rPr>
          <w:rFonts w:cs="Arial"/>
          <w:spacing w:val="-2"/>
          <w:szCs w:val="19"/>
        </w:rPr>
        <w:t xml:space="preserve">ższa w porównaniu z </w:t>
      </w:r>
      <w:r w:rsidR="0039542E">
        <w:rPr>
          <w:rFonts w:cs="Arial"/>
          <w:spacing w:val="-2"/>
          <w:szCs w:val="19"/>
        </w:rPr>
        <w:t>grudniem</w:t>
      </w:r>
      <w:r w:rsidRPr="00C85C36">
        <w:rPr>
          <w:rFonts w:cs="Arial"/>
          <w:spacing w:val="-2"/>
          <w:szCs w:val="19"/>
        </w:rPr>
        <w:t xml:space="preserve"> 2021 r.</w:t>
      </w:r>
      <w:r w:rsidRPr="00C85C36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3223DA46" w:rsidR="000D7269" w:rsidRPr="00270CA1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20D0F1BF" w:rsidR="00694AF0" w:rsidRDefault="00994335" w:rsidP="00E76D26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028DD11F" wp14:editId="07D45082">
            <wp:simplePos x="0" y="0"/>
            <wp:positionH relativeFrom="column">
              <wp:posOffset>-119380</wp:posOffset>
            </wp:positionH>
            <wp:positionV relativeFrom="paragraph">
              <wp:posOffset>180023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7E0814">
              <w:rPr>
                <w:b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E138C2">
              <w:fldChar w:fldCharType="begin"/>
            </w:r>
            <w:r w:rsidR="00E138C2" w:rsidRPr="00BF2E29">
              <w:rPr>
                <w:lang w:val="en-GB"/>
              </w:rPr>
              <w:instrText xml:space="preserve"> HYPERLINK "mailto:obslugaprasowa@stat.gov.pl" </w:instrText>
            </w:r>
            <w:r w:rsidR="00E138C2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E138C2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5E3DC2" w:rsidRDefault="00531873" w:rsidP="00531873">
            <w:pPr>
              <w:shd w:val="clear" w:color="auto" w:fill="D9D9D9" w:themeFill="background1" w:themeFillShade="D9"/>
            </w:pPr>
            <w:r w:rsidRPr="005E3DC2">
              <w:t>Powiązane opracowania</w:t>
            </w:r>
          </w:p>
          <w:p w14:paraId="65BC75DB" w14:textId="70128118" w:rsidR="00531873" w:rsidRPr="00B81424" w:rsidRDefault="00E138C2" w:rsidP="00531873">
            <w:pPr>
              <w:rPr>
                <w:rFonts w:cs="Times New Roman"/>
                <w:color w:val="001D77"/>
              </w:rPr>
            </w:pPr>
            <w:hyperlink r:id="rId23" w:tooltip="Link do publikacji Rynek wewnętrzny w 2020 r." w:history="1">
              <w:r w:rsidR="00B81424">
                <w:rPr>
                  <w:rStyle w:val="Hipercze"/>
                  <w:color w:val="001D77"/>
                </w:rPr>
                <w:t>Rynek wewnętrzny w 2020 roku</w:t>
              </w:r>
            </w:hyperlink>
          </w:p>
          <w:p w14:paraId="55DA24D0" w14:textId="7A585CEB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B81424" w:rsidRDefault="00E138C2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Handel i Usługi" w:history="1">
              <w:r w:rsidR="004E514C" w:rsidRPr="00B81424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0B0198A9" w:rsidR="00531873" w:rsidRPr="004E514C" w:rsidRDefault="00E138C2" w:rsidP="00531873">
            <w:hyperlink r:id="rId25" w:tooltip="Link do Banku Danych Makroekonomicznych" w:history="1">
              <w:r w:rsidR="009C34CC" w:rsidRPr="00B81424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>
              <w:rPr>
                <w:rFonts w:cs="Times New Roman"/>
              </w:rPr>
              <w:t xml:space="preserve"> </w:t>
            </w:r>
          </w:p>
          <w:p w14:paraId="6EC7A51E" w14:textId="140F4A69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E138C2" w:rsidP="00531873">
            <w:pPr>
              <w:rPr>
                <w:rFonts w:cs="Times New Roman"/>
                <w:color w:val="001D77"/>
              </w:rPr>
            </w:pPr>
            <w:hyperlink r:id="rId26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BB5EE" w14:textId="77777777" w:rsidR="00E138C2" w:rsidRDefault="00E138C2" w:rsidP="000662E2">
      <w:pPr>
        <w:spacing w:after="0" w:line="240" w:lineRule="auto"/>
      </w:pPr>
      <w:r>
        <w:separator/>
      </w:r>
    </w:p>
  </w:endnote>
  <w:endnote w:type="continuationSeparator" w:id="0">
    <w:p w14:paraId="50CF5B43" w14:textId="77777777" w:rsidR="00E138C2" w:rsidRDefault="00E138C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2C74785-7B47-4180-8341-13ADE3079F47}"/>
    <w:embedBold r:id="rId2" w:fontKey="{864FDE60-C55B-4607-A88C-AE865A4A6CA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1789888-6B0C-438C-8915-6F214912A87F}"/>
    <w:embedBold r:id="rId4" w:fontKey="{BE17459B-8AA2-413C-A535-196218D6BA6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DA11597-6C22-4FBC-BA1C-EA3DF6B43785}"/>
    <w:embedBold r:id="rId6" w:fontKey="{94AA089A-BA6F-4591-B46E-E7E2988BD6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B172549-46C2-43BD-9E70-A02E625D5146}"/>
    <w:embedItalic r:id="rId8" w:fontKey="{B3E025FC-AADB-485B-A466-CC9371ADF9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EA70678-0053-4902-924A-8C436E45EC0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2300754-EDE7-4CCE-BA68-58D52C4726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630E4DD-CE56-4888-AD3E-4F7A522C6A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51B5E" w14:textId="77777777" w:rsidR="00E138C2" w:rsidRDefault="00E138C2" w:rsidP="000662E2">
      <w:pPr>
        <w:spacing w:after="0" w:line="240" w:lineRule="auto"/>
      </w:pPr>
      <w:r>
        <w:separator/>
      </w:r>
    </w:p>
  </w:footnote>
  <w:footnote w:type="continuationSeparator" w:id="0">
    <w:p w14:paraId="32EE9A19" w14:textId="77777777" w:rsidR="00E138C2" w:rsidRDefault="00E138C2" w:rsidP="000662E2">
      <w:pPr>
        <w:spacing w:after="0" w:line="240" w:lineRule="auto"/>
      </w:pPr>
      <w:r>
        <w:continuationSeparator/>
      </w:r>
    </w:p>
  </w:footnote>
  <w:footnote w:id="1">
    <w:p w14:paraId="04A0DEC0" w14:textId="77777777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 xml:space="preserve">Dane dotyczą przedsiębiorstw handlowych i niehandlowych o liczbie pracujących powyżej 9 </w:t>
      </w:r>
    </w:p>
    <w:p w14:paraId="1E883A9B" w14:textId="2114B133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5329168A" w14:textId="25AB4640" w:rsidR="00D455D9" w:rsidRDefault="00D455D9" w:rsidP="00BF0091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D455D9">
        <w:rPr>
          <w:sz w:val="19"/>
          <w:szCs w:val="19"/>
        </w:rPr>
        <w:t>Dane wstępne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34039C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luty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1693DC5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21</w:t>
                          </w:r>
                          <w:r w:rsidR="00DE6B58">
                            <w:t>.</w:t>
                          </w:r>
                          <w:r>
                            <w:t>02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1 luty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" filled="f" stroked="f">
              <v:textbox>
                <w:txbxContent>
                  <w:p w14:paraId="71967FEA" w14:textId="71693DC5" w:rsidR="00F37172" w:rsidRPr="00A01B40" w:rsidRDefault="000233D4" w:rsidP="00F049AB">
                    <w:pPr>
                      <w:pStyle w:val="Datainformacjisygnalnej"/>
                    </w:pPr>
                    <w:r>
                      <w:t>21</w:t>
                    </w:r>
                    <w:r w:rsidR="00DE6B58">
                      <w:t>.</w:t>
                    </w:r>
                    <w:r>
                      <w:t>02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85pt;height:125.3pt;visibility:visible;mso-wrap-style:square" o:bullet="t">
        <v:imagedata r:id="rId1" o:title=""/>
      </v:shape>
    </w:pict>
  </w:numPicBullet>
  <w:numPicBullet w:numPicBulletId="1">
    <w:pict>
      <v:shape id="_x0000_i1029" type="#_x0000_t75" style="width:124.85pt;height:125.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8B8"/>
    <w:rsid w:val="000152F5"/>
    <w:rsid w:val="000233D4"/>
    <w:rsid w:val="00032FE8"/>
    <w:rsid w:val="00033E17"/>
    <w:rsid w:val="000435BD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A2ACA"/>
    <w:rsid w:val="000B0727"/>
    <w:rsid w:val="000B59D1"/>
    <w:rsid w:val="000C135D"/>
    <w:rsid w:val="000D1D43"/>
    <w:rsid w:val="000D225C"/>
    <w:rsid w:val="000D2A5C"/>
    <w:rsid w:val="000D39F0"/>
    <w:rsid w:val="000D7269"/>
    <w:rsid w:val="000E0918"/>
    <w:rsid w:val="000E3402"/>
    <w:rsid w:val="000E79A9"/>
    <w:rsid w:val="000F4F26"/>
    <w:rsid w:val="001011C3"/>
    <w:rsid w:val="00106DA3"/>
    <w:rsid w:val="00110214"/>
    <w:rsid w:val="00110D87"/>
    <w:rsid w:val="00112399"/>
    <w:rsid w:val="00113503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5A7"/>
    <w:rsid w:val="001448A7"/>
    <w:rsid w:val="00146621"/>
    <w:rsid w:val="001617E3"/>
    <w:rsid w:val="00162325"/>
    <w:rsid w:val="00163EFF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06E12"/>
    <w:rsid w:val="00215931"/>
    <w:rsid w:val="00216634"/>
    <w:rsid w:val="00237F65"/>
    <w:rsid w:val="00242D31"/>
    <w:rsid w:val="002517E0"/>
    <w:rsid w:val="00252458"/>
    <w:rsid w:val="0025481E"/>
    <w:rsid w:val="002574F9"/>
    <w:rsid w:val="00262B61"/>
    <w:rsid w:val="00262CC6"/>
    <w:rsid w:val="00263E08"/>
    <w:rsid w:val="00270CA1"/>
    <w:rsid w:val="00276811"/>
    <w:rsid w:val="00282699"/>
    <w:rsid w:val="00285F4F"/>
    <w:rsid w:val="002926DF"/>
    <w:rsid w:val="00296697"/>
    <w:rsid w:val="00297380"/>
    <w:rsid w:val="00297E30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126D"/>
    <w:rsid w:val="00304F22"/>
    <w:rsid w:val="00306C7C"/>
    <w:rsid w:val="00314F86"/>
    <w:rsid w:val="00317F4D"/>
    <w:rsid w:val="00322EDD"/>
    <w:rsid w:val="003309FA"/>
    <w:rsid w:val="00332320"/>
    <w:rsid w:val="003337DA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5BAB"/>
    <w:rsid w:val="00393761"/>
    <w:rsid w:val="00394E26"/>
    <w:rsid w:val="00395331"/>
    <w:rsid w:val="003953ED"/>
    <w:rsid w:val="0039542E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1747"/>
    <w:rsid w:val="003E4367"/>
    <w:rsid w:val="003F4C97"/>
    <w:rsid w:val="003F666D"/>
    <w:rsid w:val="003F7FE6"/>
    <w:rsid w:val="00400193"/>
    <w:rsid w:val="004017DA"/>
    <w:rsid w:val="00416EAF"/>
    <w:rsid w:val="004212E7"/>
    <w:rsid w:val="00422620"/>
    <w:rsid w:val="00423C88"/>
    <w:rsid w:val="0042446D"/>
    <w:rsid w:val="00427BF8"/>
    <w:rsid w:val="00431C02"/>
    <w:rsid w:val="004358D9"/>
    <w:rsid w:val="00437395"/>
    <w:rsid w:val="00442204"/>
    <w:rsid w:val="00445047"/>
    <w:rsid w:val="00445A25"/>
    <w:rsid w:val="00446749"/>
    <w:rsid w:val="00453EB7"/>
    <w:rsid w:val="00463E39"/>
    <w:rsid w:val="004657FC"/>
    <w:rsid w:val="004733F6"/>
    <w:rsid w:val="00474E69"/>
    <w:rsid w:val="00483E9F"/>
    <w:rsid w:val="00485A2C"/>
    <w:rsid w:val="00490C68"/>
    <w:rsid w:val="004917C2"/>
    <w:rsid w:val="0049621B"/>
    <w:rsid w:val="004A1D19"/>
    <w:rsid w:val="004A1D4F"/>
    <w:rsid w:val="004A6E73"/>
    <w:rsid w:val="004C1895"/>
    <w:rsid w:val="004C24EB"/>
    <w:rsid w:val="004C6D40"/>
    <w:rsid w:val="004C714F"/>
    <w:rsid w:val="004D4C5E"/>
    <w:rsid w:val="004E514C"/>
    <w:rsid w:val="004E6AA8"/>
    <w:rsid w:val="004F0C3C"/>
    <w:rsid w:val="004F2280"/>
    <w:rsid w:val="004F23BB"/>
    <w:rsid w:val="004F63FC"/>
    <w:rsid w:val="00505A92"/>
    <w:rsid w:val="00506B55"/>
    <w:rsid w:val="00510E2C"/>
    <w:rsid w:val="005203F1"/>
    <w:rsid w:val="00521BC3"/>
    <w:rsid w:val="00522630"/>
    <w:rsid w:val="00526820"/>
    <w:rsid w:val="00531873"/>
    <w:rsid w:val="00533632"/>
    <w:rsid w:val="00534013"/>
    <w:rsid w:val="00534C5B"/>
    <w:rsid w:val="00540C5C"/>
    <w:rsid w:val="00541E6E"/>
    <w:rsid w:val="0054251F"/>
    <w:rsid w:val="00550C16"/>
    <w:rsid w:val="005520D8"/>
    <w:rsid w:val="00555CFB"/>
    <w:rsid w:val="00556ADB"/>
    <w:rsid w:val="00556CF1"/>
    <w:rsid w:val="005762A7"/>
    <w:rsid w:val="00587CEE"/>
    <w:rsid w:val="005916D7"/>
    <w:rsid w:val="0059427F"/>
    <w:rsid w:val="005A1BD1"/>
    <w:rsid w:val="005A698C"/>
    <w:rsid w:val="005A6EA7"/>
    <w:rsid w:val="005C0CAC"/>
    <w:rsid w:val="005C1D67"/>
    <w:rsid w:val="005C3686"/>
    <w:rsid w:val="005C3F59"/>
    <w:rsid w:val="005D062E"/>
    <w:rsid w:val="005D2F6B"/>
    <w:rsid w:val="005E0799"/>
    <w:rsid w:val="005E10F9"/>
    <w:rsid w:val="005E1200"/>
    <w:rsid w:val="005E3DC2"/>
    <w:rsid w:val="005F081C"/>
    <w:rsid w:val="005F45EE"/>
    <w:rsid w:val="005F5A80"/>
    <w:rsid w:val="006015C4"/>
    <w:rsid w:val="006018D4"/>
    <w:rsid w:val="006044FF"/>
    <w:rsid w:val="00607CC5"/>
    <w:rsid w:val="0061179B"/>
    <w:rsid w:val="006125F9"/>
    <w:rsid w:val="00633014"/>
    <w:rsid w:val="0063437B"/>
    <w:rsid w:val="00636970"/>
    <w:rsid w:val="0064017E"/>
    <w:rsid w:val="0064480C"/>
    <w:rsid w:val="00654BB6"/>
    <w:rsid w:val="0065614F"/>
    <w:rsid w:val="0065733F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2E8"/>
    <w:rsid w:val="006A4686"/>
    <w:rsid w:val="006A6E42"/>
    <w:rsid w:val="006B0E9E"/>
    <w:rsid w:val="006B486D"/>
    <w:rsid w:val="006B5AE4"/>
    <w:rsid w:val="006C07D3"/>
    <w:rsid w:val="006D1507"/>
    <w:rsid w:val="006D2247"/>
    <w:rsid w:val="006D4054"/>
    <w:rsid w:val="006E02EC"/>
    <w:rsid w:val="006E3C4F"/>
    <w:rsid w:val="006E4249"/>
    <w:rsid w:val="006E6F41"/>
    <w:rsid w:val="006E73E6"/>
    <w:rsid w:val="0071565F"/>
    <w:rsid w:val="007211B1"/>
    <w:rsid w:val="007277DA"/>
    <w:rsid w:val="00731D27"/>
    <w:rsid w:val="00746187"/>
    <w:rsid w:val="0076254F"/>
    <w:rsid w:val="007651A2"/>
    <w:rsid w:val="00771BF9"/>
    <w:rsid w:val="00774D6A"/>
    <w:rsid w:val="007801F5"/>
    <w:rsid w:val="0078230A"/>
    <w:rsid w:val="00783CA4"/>
    <w:rsid w:val="007842FB"/>
    <w:rsid w:val="00786124"/>
    <w:rsid w:val="0079514B"/>
    <w:rsid w:val="00795252"/>
    <w:rsid w:val="007A2DC1"/>
    <w:rsid w:val="007B1537"/>
    <w:rsid w:val="007B698B"/>
    <w:rsid w:val="007C7D79"/>
    <w:rsid w:val="007D0869"/>
    <w:rsid w:val="007D14C4"/>
    <w:rsid w:val="007D3319"/>
    <w:rsid w:val="007D335D"/>
    <w:rsid w:val="007D605C"/>
    <w:rsid w:val="007D6ECE"/>
    <w:rsid w:val="007E0814"/>
    <w:rsid w:val="007E3314"/>
    <w:rsid w:val="007E3514"/>
    <w:rsid w:val="007E4B03"/>
    <w:rsid w:val="007F1309"/>
    <w:rsid w:val="007F324B"/>
    <w:rsid w:val="0080553C"/>
    <w:rsid w:val="00805B46"/>
    <w:rsid w:val="00805DB4"/>
    <w:rsid w:val="0081233D"/>
    <w:rsid w:val="00823593"/>
    <w:rsid w:val="00823F51"/>
    <w:rsid w:val="00825DC2"/>
    <w:rsid w:val="00834AD3"/>
    <w:rsid w:val="00837F76"/>
    <w:rsid w:val="00843795"/>
    <w:rsid w:val="008466B8"/>
    <w:rsid w:val="00847F0F"/>
    <w:rsid w:val="00852448"/>
    <w:rsid w:val="00870F14"/>
    <w:rsid w:val="00877F6C"/>
    <w:rsid w:val="0088258A"/>
    <w:rsid w:val="00886332"/>
    <w:rsid w:val="008909E5"/>
    <w:rsid w:val="008925F0"/>
    <w:rsid w:val="0089448A"/>
    <w:rsid w:val="00897877"/>
    <w:rsid w:val="008A26D9"/>
    <w:rsid w:val="008A27FA"/>
    <w:rsid w:val="008A7B5B"/>
    <w:rsid w:val="008B12D2"/>
    <w:rsid w:val="008C0C29"/>
    <w:rsid w:val="008D02DA"/>
    <w:rsid w:val="008D76BC"/>
    <w:rsid w:val="008E250D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7013"/>
    <w:rsid w:val="0091756A"/>
    <w:rsid w:val="00920AAE"/>
    <w:rsid w:val="009227A6"/>
    <w:rsid w:val="00933EC1"/>
    <w:rsid w:val="009446AD"/>
    <w:rsid w:val="009530DB"/>
    <w:rsid w:val="00953676"/>
    <w:rsid w:val="00956F30"/>
    <w:rsid w:val="009640F6"/>
    <w:rsid w:val="00966C9A"/>
    <w:rsid w:val="009705EE"/>
    <w:rsid w:val="00977927"/>
    <w:rsid w:val="0098135C"/>
    <w:rsid w:val="0098156A"/>
    <w:rsid w:val="00991BAC"/>
    <w:rsid w:val="00993681"/>
    <w:rsid w:val="00994335"/>
    <w:rsid w:val="0099757D"/>
    <w:rsid w:val="009A6EA0"/>
    <w:rsid w:val="009C1335"/>
    <w:rsid w:val="009C1AB2"/>
    <w:rsid w:val="009C34CC"/>
    <w:rsid w:val="009C7251"/>
    <w:rsid w:val="009E2E91"/>
    <w:rsid w:val="00A01B40"/>
    <w:rsid w:val="00A139F5"/>
    <w:rsid w:val="00A32E16"/>
    <w:rsid w:val="00A365F4"/>
    <w:rsid w:val="00A36D58"/>
    <w:rsid w:val="00A47D80"/>
    <w:rsid w:val="00A53132"/>
    <w:rsid w:val="00A563F2"/>
    <w:rsid w:val="00A566E8"/>
    <w:rsid w:val="00A65EF9"/>
    <w:rsid w:val="00A66347"/>
    <w:rsid w:val="00A810F9"/>
    <w:rsid w:val="00A82D31"/>
    <w:rsid w:val="00A85E7E"/>
    <w:rsid w:val="00A86ECC"/>
    <w:rsid w:val="00A86FBE"/>
    <w:rsid w:val="00A86FCC"/>
    <w:rsid w:val="00A90A6D"/>
    <w:rsid w:val="00A971E5"/>
    <w:rsid w:val="00AA710D"/>
    <w:rsid w:val="00AB4247"/>
    <w:rsid w:val="00AB64F3"/>
    <w:rsid w:val="00AB6D25"/>
    <w:rsid w:val="00AD0E56"/>
    <w:rsid w:val="00AE0328"/>
    <w:rsid w:val="00AE229B"/>
    <w:rsid w:val="00AE2D4B"/>
    <w:rsid w:val="00AE4F99"/>
    <w:rsid w:val="00B0439D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761EE"/>
    <w:rsid w:val="00B81424"/>
    <w:rsid w:val="00B84C43"/>
    <w:rsid w:val="00B914E9"/>
    <w:rsid w:val="00B956EE"/>
    <w:rsid w:val="00BA06C7"/>
    <w:rsid w:val="00BA2BA1"/>
    <w:rsid w:val="00BA3447"/>
    <w:rsid w:val="00BA3562"/>
    <w:rsid w:val="00BA7B8B"/>
    <w:rsid w:val="00BB14D2"/>
    <w:rsid w:val="00BB4F09"/>
    <w:rsid w:val="00BB54B5"/>
    <w:rsid w:val="00BD4E33"/>
    <w:rsid w:val="00BF0091"/>
    <w:rsid w:val="00BF2E29"/>
    <w:rsid w:val="00C030DE"/>
    <w:rsid w:val="00C051A8"/>
    <w:rsid w:val="00C22105"/>
    <w:rsid w:val="00C244B6"/>
    <w:rsid w:val="00C27BF1"/>
    <w:rsid w:val="00C3702F"/>
    <w:rsid w:val="00C4500A"/>
    <w:rsid w:val="00C614D7"/>
    <w:rsid w:val="00C62238"/>
    <w:rsid w:val="00C64A37"/>
    <w:rsid w:val="00C7158E"/>
    <w:rsid w:val="00C7250B"/>
    <w:rsid w:val="00C7346B"/>
    <w:rsid w:val="00C77C0E"/>
    <w:rsid w:val="00C80EC3"/>
    <w:rsid w:val="00C85C36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1DA6"/>
    <w:rsid w:val="00CC739E"/>
    <w:rsid w:val="00CD1EBB"/>
    <w:rsid w:val="00CD28CF"/>
    <w:rsid w:val="00CD58B7"/>
    <w:rsid w:val="00CD7843"/>
    <w:rsid w:val="00CD7967"/>
    <w:rsid w:val="00CF18EE"/>
    <w:rsid w:val="00CF2E38"/>
    <w:rsid w:val="00CF30BD"/>
    <w:rsid w:val="00CF4099"/>
    <w:rsid w:val="00D00796"/>
    <w:rsid w:val="00D22BE3"/>
    <w:rsid w:val="00D261A2"/>
    <w:rsid w:val="00D369FA"/>
    <w:rsid w:val="00D455D9"/>
    <w:rsid w:val="00D616D2"/>
    <w:rsid w:val="00D63B5F"/>
    <w:rsid w:val="00D70EF7"/>
    <w:rsid w:val="00D8397C"/>
    <w:rsid w:val="00D94EED"/>
    <w:rsid w:val="00D96026"/>
    <w:rsid w:val="00D972F6"/>
    <w:rsid w:val="00DA312A"/>
    <w:rsid w:val="00DA331D"/>
    <w:rsid w:val="00DA3941"/>
    <w:rsid w:val="00DA7C1C"/>
    <w:rsid w:val="00DB147A"/>
    <w:rsid w:val="00DB1B7A"/>
    <w:rsid w:val="00DB706E"/>
    <w:rsid w:val="00DC6708"/>
    <w:rsid w:val="00DC7E66"/>
    <w:rsid w:val="00DD011A"/>
    <w:rsid w:val="00DD1CFB"/>
    <w:rsid w:val="00DD38E4"/>
    <w:rsid w:val="00DD6BC7"/>
    <w:rsid w:val="00DE2217"/>
    <w:rsid w:val="00DE2400"/>
    <w:rsid w:val="00DE58F1"/>
    <w:rsid w:val="00DE6B58"/>
    <w:rsid w:val="00DF0FDD"/>
    <w:rsid w:val="00DF2BF5"/>
    <w:rsid w:val="00DF5E32"/>
    <w:rsid w:val="00E01436"/>
    <w:rsid w:val="00E03E79"/>
    <w:rsid w:val="00E045BD"/>
    <w:rsid w:val="00E04D6C"/>
    <w:rsid w:val="00E138C2"/>
    <w:rsid w:val="00E17B77"/>
    <w:rsid w:val="00E231AB"/>
    <w:rsid w:val="00E23337"/>
    <w:rsid w:val="00E259EA"/>
    <w:rsid w:val="00E25D33"/>
    <w:rsid w:val="00E32061"/>
    <w:rsid w:val="00E3272A"/>
    <w:rsid w:val="00E33F48"/>
    <w:rsid w:val="00E42FF9"/>
    <w:rsid w:val="00E44790"/>
    <w:rsid w:val="00E4714C"/>
    <w:rsid w:val="00E5178D"/>
    <w:rsid w:val="00E51AEB"/>
    <w:rsid w:val="00E522A7"/>
    <w:rsid w:val="00E5349E"/>
    <w:rsid w:val="00E5398A"/>
    <w:rsid w:val="00E54452"/>
    <w:rsid w:val="00E63B0C"/>
    <w:rsid w:val="00E664C5"/>
    <w:rsid w:val="00E671A2"/>
    <w:rsid w:val="00E71EF0"/>
    <w:rsid w:val="00E76D26"/>
    <w:rsid w:val="00E76EE5"/>
    <w:rsid w:val="00E8668C"/>
    <w:rsid w:val="00E95036"/>
    <w:rsid w:val="00E95B8E"/>
    <w:rsid w:val="00E966BF"/>
    <w:rsid w:val="00EB1390"/>
    <w:rsid w:val="00EB2C71"/>
    <w:rsid w:val="00EB3333"/>
    <w:rsid w:val="00EB4340"/>
    <w:rsid w:val="00EB556D"/>
    <w:rsid w:val="00EB5A7D"/>
    <w:rsid w:val="00ED0DF9"/>
    <w:rsid w:val="00ED5558"/>
    <w:rsid w:val="00ED55C0"/>
    <w:rsid w:val="00ED682B"/>
    <w:rsid w:val="00EE1176"/>
    <w:rsid w:val="00EE41D5"/>
    <w:rsid w:val="00F013BA"/>
    <w:rsid w:val="00F0166F"/>
    <w:rsid w:val="00F037A4"/>
    <w:rsid w:val="00F049AB"/>
    <w:rsid w:val="00F142DB"/>
    <w:rsid w:val="00F27C8F"/>
    <w:rsid w:val="00F32749"/>
    <w:rsid w:val="00F352DF"/>
    <w:rsid w:val="00F37172"/>
    <w:rsid w:val="00F4477E"/>
    <w:rsid w:val="00F46269"/>
    <w:rsid w:val="00F57032"/>
    <w:rsid w:val="00F60BA8"/>
    <w:rsid w:val="00F67D8F"/>
    <w:rsid w:val="00F802BE"/>
    <w:rsid w:val="00F80E93"/>
    <w:rsid w:val="00F86024"/>
    <w:rsid w:val="00F8611A"/>
    <w:rsid w:val="00F86408"/>
    <w:rsid w:val="00FA5128"/>
    <w:rsid w:val="00FB42D4"/>
    <w:rsid w:val="00FB48D7"/>
    <w:rsid w:val="00FB5906"/>
    <w:rsid w:val="00FB762F"/>
    <w:rsid w:val="00FC03CE"/>
    <w:rsid w:val="00FC2AED"/>
    <w:rsid w:val="00FC39A9"/>
    <w:rsid w:val="00FC61C4"/>
    <w:rsid w:val="00FD08AE"/>
    <w:rsid w:val="00FD168B"/>
    <w:rsid w:val="00FD5EA7"/>
    <w:rsid w:val="00FE36CF"/>
    <w:rsid w:val="00FE79E4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metainformacje/slownik-pojec/pojecia-stosowane-w-statystyce-publicznej/47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://swaid.stat.gov.pl/SitePagesDBW/HandelUslugi.aspx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ceny-handel/handel/rynek-wewnetrzny-w-2020-roku,7,27.html" TargetMode="External"/><Relationship Id="rId28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3.357954500400441E-2"/>
          <c:w val="0.93325015595757954"/>
          <c:h val="0.8114790716949854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D8E-4FF1-BEB3-E41E91C01436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8D8E-4FF1-BEB3-E41E91C01436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8D8E-4FF1-BEB3-E41E91C01436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8D8E-4FF1-BEB3-E41E91C01436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8D8E-4FF1-BEB3-E41E91C01436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8D8E-4FF1-BEB3-E41E91C01436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8D8E-4FF1-BEB3-E41E91C01436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8D8E-4FF1-BEB3-E41E91C01436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8D8E-4FF1-BEB3-E41E91C01436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8D8E-4FF1-BEB3-E41E91C01436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8D8E-4FF1-BEB3-E41E91C01436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8D8E-4FF1-BEB3-E41E91C01436}"/>
              </c:ext>
            </c:extLst>
          </c:dPt>
          <c:dPt>
            <c:idx val="36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5E1B-404F-927B-7E64F644CB2C}"/>
              </c:ext>
            </c:extLst>
          </c:dPt>
          <c:cat>
            <c:multiLvlStrRef>
              <c:f>Arkusz1!$B$101:$C$137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Arkusz1!$D$101:$D$137</c:f>
              <c:numCache>
                <c:formatCode>General</c:formatCode>
                <c:ptCount val="37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EFA-4D04-92D9-76ECAAADFD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146554048"/>
        <c:axId val="-146553504"/>
      </c:barChart>
      <c:catAx>
        <c:axId val="-146554048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146553504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146553504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46554048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4.5086988483214893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1AC-4550-A8AB-EB14534DF3C2}"/>
              </c:ext>
            </c:extLst>
          </c:dPt>
          <c:dLbls>
            <c:dLbl>
              <c:idx val="0"/>
              <c:tx>
                <c:rich>
                  <a:bodyPr vertOverflow="overflow" horzOverflow="overflow">
                    <a:noAutofit/>
                  </a:bodyPr>
                  <a:lstStyle/>
                  <a:p>
                    <a:pPr>
                      <a:defRPr sz="800" b="0" i="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</a:defRPr>
                    </a:pPr>
                    <a:r>
                      <a:rPr lang="en-US" sz="800" baseline="0"/>
                      <a:t>86,5</a:t>
                    </a:r>
                    <a:endParaRPr lang="en-US" baseline="0"/>
                  </a:p>
                </c:rich>
              </c:tx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31AC-4550-A8AB-EB14534DF3C2}"/>
                </c:ext>
              </c:extLst>
            </c:dLbl>
            <c:dLbl>
              <c:idx val="1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31AC-4550-A8AB-EB14534DF3C2}"/>
                </c:ext>
              </c:extLst>
            </c:dLbl>
            <c:dLbl>
              <c:idx val="2"/>
              <c:layout>
                <c:manualLayout>
                  <c:x val="5.0409577819785761E-3"/>
                  <c:y val="-3.9206076941926002E-2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31AC-4550-A8AB-EB14534DF3C2}"/>
                </c:ext>
              </c:extLst>
            </c:dLbl>
            <c:dLbl>
              <c:idx val="3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31AC-4550-A8AB-EB14534DF3C2}"/>
                </c:ext>
              </c:extLst>
            </c:dLbl>
            <c:dLbl>
              <c:idx val="4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4-31AC-4550-A8AB-EB14534DF3C2}"/>
                </c:ext>
              </c:extLst>
            </c:dLbl>
            <c:dLbl>
              <c:idx val="5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31AC-4550-A8AB-EB14534DF3C2}"/>
                </c:ext>
              </c:extLst>
            </c:dLbl>
            <c:dLbl>
              <c:idx val="6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31AC-4550-A8AB-EB14534DF3C2}"/>
                </c:ext>
              </c:extLst>
            </c:dLbl>
            <c:dLbl>
              <c:idx val="8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7-31AC-4550-A8AB-EB14534DF3C2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AC-4550-A8AB-EB14534DF3C2}"/>
                </c:ext>
              </c:extLst>
            </c:dLbl>
            <c:numFmt formatCode="0.0" sourceLinked="0"/>
            <c:spPr>
              <a:solidFill>
                <a:schemeClr val="bg1"/>
              </a:solidFill>
              <a:ln w="3175">
                <a:noFill/>
                <a:prstDash val="solid"/>
              </a:ln>
            </c:spPr>
            <c:txPr>
              <a:bodyPr vertOverflow="overflow" horzOverflow="overflow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rodz_dział_miesiąc!$CN$4:$CN$11</c:f>
              <c:numCache>
                <c:formatCode>General</c:formatCode>
                <c:ptCount val="8"/>
                <c:pt idx="0" formatCode="0.0">
                  <c:v>86.5</c:v>
                </c:pt>
                <c:pt idx="1">
                  <c:v>98.5</c:v>
                </c:pt>
                <c:pt idx="2" formatCode="0.0">
                  <c:v>103.6</c:v>
                </c:pt>
                <c:pt idx="3" formatCode="0.0">
                  <c:v>119.2</c:v>
                </c:pt>
                <c:pt idx="4" formatCode="0.0">
                  <c:v>197.7</c:v>
                </c:pt>
                <c:pt idx="5" formatCode="0.0">
                  <c:v>99.6</c:v>
                </c:pt>
                <c:pt idx="6" formatCode="0.0">
                  <c:v>117.5</c:v>
                </c:pt>
                <c:pt idx="7" formatCode="0.0">
                  <c:v>124.4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1AC-4550-A8AB-EB14534DF3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46552960"/>
        <c:axId val="-146551872"/>
      </c:barChart>
      <c:catAx>
        <c:axId val="-14655296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46551872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-146551872"/>
        <c:scaling>
          <c:orientation val="minMax"/>
          <c:max val="200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46552960"/>
        <c:crosses val="autoZero"/>
        <c:crossBetween val="between"/>
        <c:majorUnit val="10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0.10351963283031529"/>
          <c:w val="0.93322113515530225"/>
          <c:h val="0.63834209423767174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niewyrównbane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0"/>
              <c:layout>
                <c:manualLayout>
                  <c:x val="-3.4709309532663941E-2"/>
                  <c:y val="-2.19418540866702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E0-4732-9953-4BFD5F801B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Arkusz1!$A$2:$B$62</c:f>
              <c:multiLvlStrCache>
                <c:ptCount val="6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Arkusz1!$C$2:$C$62</c:f>
              <c:numCache>
                <c:formatCode>General</c:formatCode>
                <c:ptCount val="61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0"/>
              <c:layout>
                <c:manualLayout>
                  <c:x val="-3.0990454939878516E-2"/>
                  <c:y val="6.582556226001097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rgbClr val="339D68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684A431-8318-40F9-A649-749EDF9249C9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>
                        <a:defRPr>
                          <a:solidFill>
                            <a:srgbClr val="339D68"/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339D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265995711116256E-2"/>
                      <c:h val="7.5699396599012619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2E0-4732-9953-4BFD5F801B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Arkusz1!$A$2:$B$62</c:f>
              <c:multiLvlStrCache>
                <c:ptCount val="6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Arkusz1!$D$2:$D$62</c:f>
              <c:numCache>
                <c:formatCode>General</c:formatCode>
                <c:ptCount val="61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124.8</c:v>
                </c:pt>
                <c:pt idx="25">
                  <c:v>125.5</c:v>
                </c:pt>
                <c:pt idx="26">
                  <c:v>125.4</c:v>
                </c:pt>
                <c:pt idx="27">
                  <c:v>127.7</c:v>
                </c:pt>
                <c:pt idx="28">
                  <c:v>125.9</c:v>
                </c:pt>
                <c:pt idx="29">
                  <c:v>128.30000000000001</c:v>
                </c:pt>
                <c:pt idx="30">
                  <c:v>125.8</c:v>
                </c:pt>
                <c:pt idx="31">
                  <c:v>126.4</c:v>
                </c:pt>
                <c:pt idx="32">
                  <c:v>126.8</c:v>
                </c:pt>
                <c:pt idx="33">
                  <c:v>128.80000000000001</c:v>
                </c:pt>
                <c:pt idx="34">
                  <c:v>131.80000000000001</c:v>
                </c:pt>
                <c:pt idx="35">
                  <c:v>130</c:v>
                </c:pt>
                <c:pt idx="36">
                  <c:v>130.80000000000001</c:v>
                </c:pt>
                <c:pt idx="37">
                  <c:v>131.19999999999999</c:v>
                </c:pt>
                <c:pt idx="38">
                  <c:v>113.9</c:v>
                </c:pt>
                <c:pt idx="39">
                  <c:v>97.3</c:v>
                </c:pt>
                <c:pt idx="40">
                  <c:v>116.3</c:v>
                </c:pt>
                <c:pt idx="41">
                  <c:v>125.5</c:v>
                </c:pt>
                <c:pt idx="42">
                  <c:v>128.80000000000001</c:v>
                </c:pt>
                <c:pt idx="43">
                  <c:v>128.9</c:v>
                </c:pt>
                <c:pt idx="44">
                  <c:v>127.9</c:v>
                </c:pt>
                <c:pt idx="45">
                  <c:v>126.1</c:v>
                </c:pt>
                <c:pt idx="46">
                  <c:v>125.4</c:v>
                </c:pt>
                <c:pt idx="47">
                  <c:v>127.2</c:v>
                </c:pt>
                <c:pt idx="48">
                  <c:v>125.3</c:v>
                </c:pt>
                <c:pt idx="49">
                  <c:v>131.9</c:v>
                </c:pt>
                <c:pt idx="50">
                  <c:v>129.19999999999999</c:v>
                </c:pt>
                <c:pt idx="51">
                  <c:v>120.4</c:v>
                </c:pt>
                <c:pt idx="52">
                  <c:v>135.1</c:v>
                </c:pt>
                <c:pt idx="53">
                  <c:v>136.19999999999999</c:v>
                </c:pt>
                <c:pt idx="54">
                  <c:v>134.1</c:v>
                </c:pt>
                <c:pt idx="55">
                  <c:v>134.6</c:v>
                </c:pt>
                <c:pt idx="56">
                  <c:v>134.9</c:v>
                </c:pt>
                <c:pt idx="57">
                  <c:v>136.5</c:v>
                </c:pt>
                <c:pt idx="58">
                  <c:v>139.9</c:v>
                </c:pt>
                <c:pt idx="59">
                  <c:v>135.19999999999999</c:v>
                </c:pt>
                <c:pt idx="60" formatCode="0.0">
                  <c:v>140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366080"/>
        <c:axId val="167361728"/>
      </c:lineChart>
      <c:catAx>
        <c:axId val="16736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7361728"/>
        <c:crosses val="autoZero"/>
        <c:auto val="1"/>
        <c:lblAlgn val="ctr"/>
        <c:lblOffset val="20"/>
        <c:tickMarkSkip val="12"/>
        <c:noMultiLvlLbl val="0"/>
      </c:catAx>
      <c:valAx>
        <c:axId val="167361728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736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0.24652</cdr:x>
      <cdr:y>0.22237</cdr:y>
    </cdr:from>
    <cdr:to>
      <cdr:x>0.4167</cdr:x>
      <cdr:y>0.34367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242135" y="576263"/>
          <a:ext cx="857491" cy="3143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Fira Sans" pitchFamily="34" charset="0"/>
            <a:ea typeface="Fira Sans" pitchFamily="34" charset="0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110,6</a:t>
          </a:r>
        </a:p>
      </cdr:txBody>
    </cdr:sp>
  </cdr:relSizeAnchor>
  <cdr:relSizeAnchor xmlns:cdr="http://schemas.openxmlformats.org/drawingml/2006/chartDrawing">
    <cdr:from>
      <cdr:x>0.27304</cdr:x>
      <cdr:y>0.34357</cdr:y>
    </cdr:from>
    <cdr:to>
      <cdr:x>0.33353</cdr:x>
      <cdr:y>0.53356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375760" y="890349"/>
          <a:ext cx="304792" cy="49234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0.05947</cdr:x>
      <cdr:y>0.5414</cdr:y>
    </cdr:from>
    <cdr:to>
      <cdr:x>0.99818</cdr:x>
      <cdr:y>0.5414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99655" y="1403000"/>
          <a:ext cx="4729901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 HU styczeń _II 2022.docx.docx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STAT\BIERNATJ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07A2B634-1102-40FC-A770-996E2E7199F2}"/>
</file>

<file path=customXml/itemProps3.xml><?xml version="1.0" encoding="utf-8"?>
<ds:datastoreItem xmlns:ds="http://schemas.openxmlformats.org/officeDocument/2006/customXml" ds:itemID="{4DF37BB0-204B-46C5-AC37-B98800CE90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717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2022-02-18T11:58:00Z</dcterms:created>
  <dcterms:modified xsi:type="dcterms:W3CDTF">2022-02-18T11:58:00Z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