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2D644" w14:textId="137ABBB4" w:rsidR="0098135C" w:rsidRPr="00FB5108" w:rsidRDefault="00C12164" w:rsidP="00074DD8">
      <w:pPr>
        <w:pStyle w:val="tytuinformacji"/>
        <w:rPr>
          <w:shd w:val="clear" w:color="auto" w:fill="FFFFFF"/>
        </w:rPr>
      </w:pPr>
      <w:bookmarkStart w:id="0" w:name="_GoBack"/>
      <w:r w:rsidRPr="00FB5108">
        <w:rPr>
          <w:shd w:val="clear" w:color="auto" w:fill="FFFFFF"/>
        </w:rPr>
        <w:t>Usługi biznesowe w 201</w:t>
      </w:r>
      <w:r w:rsidR="003467AB">
        <w:rPr>
          <w:shd w:val="clear" w:color="auto" w:fill="FFFFFF"/>
        </w:rPr>
        <w:t>8</w:t>
      </w:r>
      <w:r w:rsidR="003C7DF8">
        <w:rPr>
          <w:shd w:val="clear" w:color="auto" w:fill="FFFFFF"/>
        </w:rPr>
        <w:t xml:space="preserve"> r.</w:t>
      </w:r>
    </w:p>
    <w:bookmarkEnd w:id="0"/>
    <w:p w14:paraId="28E2AA29" w14:textId="63786BE5" w:rsidR="00393761" w:rsidRPr="00FB5108" w:rsidRDefault="00393761" w:rsidP="00074DD8">
      <w:pPr>
        <w:pStyle w:val="tytuinformacji"/>
        <w:rPr>
          <w:sz w:val="32"/>
        </w:rPr>
      </w:pPr>
    </w:p>
    <w:p w14:paraId="3324E8B5" w14:textId="3ECDA069" w:rsidR="005905F7" w:rsidRDefault="00003437" w:rsidP="00CC2DA1">
      <w:pPr>
        <w:pStyle w:val="LID"/>
      </w:pPr>
      <w:r w:rsidRPr="005905F7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E56DB4" wp14:editId="2F87CA44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4E3B" w14:textId="4163CD74" w:rsidR="006A0F3D" w:rsidRPr="001F1B8A" w:rsidRDefault="009E731F" w:rsidP="00BE78E6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0B5CFE3F">
                                <v:shape id="_x0000_i1025" type="#_x0000_t75" style="width:30pt;height:24pt;visibility:visible" o:bullet="t">
                                  <v:imagedata r:id="rId10" o:title=""/>
                                </v:shape>
                              </w:pict>
                            </w:r>
                            <w:r w:rsidR="006A0F3D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6C32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117</w:t>
                            </w:r>
                            <w:r w:rsidR="006A0F3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6C32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</w:p>
                          <w:p w14:paraId="71E1E268" w14:textId="5A4D7C80" w:rsidR="006A0F3D" w:rsidRPr="0060417C" w:rsidRDefault="006A0F3D" w:rsidP="00BE78E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Dynamika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3209">
                              <w:rPr>
                                <w:lang w:val="en-US"/>
                              </w:rPr>
                              <w:t>eksportu</w:t>
                            </w:r>
                            <w:proofErr w:type="spellEnd"/>
                            <w:r w:rsidR="006C320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3209">
                              <w:rPr>
                                <w:lang w:val="en-US"/>
                              </w:rPr>
                              <w:t>usług</w:t>
                            </w:r>
                            <w:proofErr w:type="spellEnd"/>
                            <w:r w:rsidR="006C3209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r/r</w:t>
                            </w:r>
                          </w:p>
                          <w:p w14:paraId="01B799BC" w14:textId="77777777" w:rsidR="006A0F3D" w:rsidRPr="0060417C" w:rsidRDefault="006A0F3D" w:rsidP="00BE78E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56D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14:paraId="0DCC4E3B" w14:textId="4163CD74" w:rsidR="006A0F3D" w:rsidRPr="001F1B8A" w:rsidRDefault="009E731F" w:rsidP="00BE78E6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0B5CFE3F">
                          <v:shape id="_x0000_i1025" type="#_x0000_t75" style="width:30pt;height:24pt;visibility:visible" o:bullet="t">
                            <v:imagedata r:id="rId10" o:title=""/>
                          </v:shape>
                        </w:pict>
                      </w:r>
                      <w:r w:rsidR="006A0F3D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6C32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117</w:t>
                      </w:r>
                      <w:r w:rsidR="006A0F3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6C32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</w:p>
                    <w:p w14:paraId="71E1E268" w14:textId="5A4D7C80" w:rsidR="006A0F3D" w:rsidRPr="0060417C" w:rsidRDefault="006A0F3D" w:rsidP="00BE78E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Dynamika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C3209">
                        <w:rPr>
                          <w:lang w:val="en-US"/>
                        </w:rPr>
                        <w:t>eksportu</w:t>
                      </w:r>
                      <w:proofErr w:type="spellEnd"/>
                      <w:r w:rsidR="006C320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C3209">
                        <w:rPr>
                          <w:lang w:val="en-US"/>
                        </w:rPr>
                        <w:t>usług</w:t>
                      </w:r>
                      <w:proofErr w:type="spellEnd"/>
                      <w:r w:rsidR="006C3209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r/r</w:t>
                      </w:r>
                    </w:p>
                    <w:p w14:paraId="01B799BC" w14:textId="77777777" w:rsidR="006A0F3D" w:rsidRPr="0060417C" w:rsidRDefault="006A0F3D" w:rsidP="00BE78E6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8E6" w:rsidRPr="005905F7">
        <w:t xml:space="preserve">Wartość obrotów przedsiębiorstw prowadzących działalności związane z obsługą działalności gospodarczej wyniosła </w:t>
      </w:r>
      <w:r w:rsidR="00DF79A6" w:rsidRPr="005905F7">
        <w:t>395,4</w:t>
      </w:r>
      <w:r w:rsidR="00BE78E6" w:rsidRPr="005905F7">
        <w:t xml:space="preserve"> mld zł. </w:t>
      </w:r>
      <w:r w:rsidR="00E86D8F">
        <w:t xml:space="preserve">Zatrudniały one prawie 1,7 mln osób w ponad 531 tys. </w:t>
      </w:r>
      <w:r w:rsidR="00CC2DA1">
        <w:t>p</w:t>
      </w:r>
      <w:r w:rsidR="00E86D8F">
        <w:t>rzedsiębiorstw.</w:t>
      </w:r>
      <w:r w:rsidR="00CC2DA1">
        <w:t xml:space="preserve"> N</w:t>
      </w:r>
      <w:r w:rsidR="00CC2DA1" w:rsidRPr="00CC2DA1">
        <w:t xml:space="preserve">ajbardziej liczną grupę (97,5%) </w:t>
      </w:r>
      <w:r w:rsidR="00CC2DA1">
        <w:t>p</w:t>
      </w:r>
      <w:r w:rsidR="00CC2DA1" w:rsidRPr="00CC2DA1">
        <w:t>od wz</w:t>
      </w:r>
      <w:r w:rsidR="00CC2DA1">
        <w:t>ględem wielkości</w:t>
      </w:r>
      <w:r w:rsidR="00CC2DA1" w:rsidRPr="00CC2DA1">
        <w:t xml:space="preserve"> </w:t>
      </w:r>
      <w:r w:rsidR="00CC2DA1">
        <w:t>stanowiły przed</w:t>
      </w:r>
      <w:r w:rsidR="00CC2DA1" w:rsidRPr="00CC2DA1">
        <w:t>siębiorstwa z liczbą pracujących 9 osób i mniej.</w:t>
      </w:r>
    </w:p>
    <w:p w14:paraId="2477B418" w14:textId="718FAA5E" w:rsidR="00BE78E6" w:rsidRPr="003467AB" w:rsidRDefault="008C0729" w:rsidP="003467AB">
      <w:pPr>
        <w:pStyle w:val="Nagwek1"/>
      </w:pPr>
      <w:r w:rsidRPr="00001C5B">
        <w:rPr>
          <w:b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21B2059" wp14:editId="2A155756">
                <wp:simplePos x="0" y="0"/>
                <wp:positionH relativeFrom="column">
                  <wp:posOffset>5220913</wp:posOffset>
                </wp:positionH>
                <wp:positionV relativeFrom="paragraph">
                  <wp:posOffset>283498</wp:posOffset>
                </wp:positionV>
                <wp:extent cx="1725295" cy="1273810"/>
                <wp:effectExtent l="0" t="0" r="0" b="2540"/>
                <wp:wrapTight wrapText="bothSides">
                  <wp:wrapPolygon edited="0">
                    <wp:start x="715" y="0"/>
                    <wp:lineTo x="715" y="21320"/>
                    <wp:lineTo x="20749" y="21320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73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B0F5E" w14:textId="22CCF4D5" w:rsidR="006A0F3D" w:rsidRPr="000C3ECF" w:rsidRDefault="006A0F3D" w:rsidP="00074DD8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0C3ECF">
                              <w:rPr>
                                <w:color w:val="auto"/>
                              </w:rPr>
                              <w:t xml:space="preserve">W porównaniu z 2017 r. odnotowano wzrost </w:t>
                            </w:r>
                            <w:r w:rsidR="006C3209">
                              <w:rPr>
                                <w:color w:val="auto"/>
                              </w:rPr>
                              <w:t xml:space="preserve">eksportu usług przez </w:t>
                            </w:r>
                            <w:r w:rsidRPr="000C3ECF">
                              <w:rPr>
                                <w:color w:val="auto"/>
                              </w:rPr>
                              <w:t>przedsiębiorstw</w:t>
                            </w:r>
                            <w:r w:rsidR="00746A40">
                              <w:rPr>
                                <w:color w:val="auto"/>
                              </w:rPr>
                              <w:t>a świadczące</w:t>
                            </w:r>
                            <w:r w:rsidRPr="000C3ECF">
                              <w:rPr>
                                <w:color w:val="auto"/>
                              </w:rPr>
                              <w:t xml:space="preserve"> usługi biznesowe </w:t>
                            </w:r>
                            <w:r w:rsidR="000A1552" w:rsidRPr="000C3ECF">
                              <w:rPr>
                                <w:color w:val="auto"/>
                              </w:rPr>
                              <w:t xml:space="preserve">o </w:t>
                            </w:r>
                            <w:r w:rsidR="006C3209">
                              <w:rPr>
                                <w:color w:val="auto"/>
                              </w:rPr>
                              <w:t>17,5%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2059" id="_x0000_s1027" type="#_x0000_t202" style="position:absolute;margin-left:411.1pt;margin-top:22.3pt;width:135.85pt;height:100.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" filled="f" stroked="f">
                <v:textbox>
                  <w:txbxContent>
                    <w:p w14:paraId="1F8B0F5E" w14:textId="22CCF4D5" w:rsidR="006A0F3D" w:rsidRPr="000C3ECF" w:rsidRDefault="006A0F3D" w:rsidP="00074DD8">
                      <w:pPr>
                        <w:pStyle w:val="tekstzboku"/>
                        <w:rPr>
                          <w:color w:val="auto"/>
                        </w:rPr>
                      </w:pPr>
                      <w:r w:rsidRPr="000C3ECF">
                        <w:rPr>
                          <w:color w:val="auto"/>
                        </w:rPr>
                        <w:t xml:space="preserve">W porównaniu z 2017 r. odnotowano wzrost </w:t>
                      </w:r>
                      <w:r w:rsidR="006C3209">
                        <w:rPr>
                          <w:color w:val="auto"/>
                        </w:rPr>
                        <w:t xml:space="preserve">eksportu usług przez </w:t>
                      </w:r>
                      <w:r w:rsidRPr="000C3ECF">
                        <w:rPr>
                          <w:color w:val="auto"/>
                        </w:rPr>
                        <w:t>przedsiębiorstw</w:t>
                      </w:r>
                      <w:r w:rsidR="00746A40">
                        <w:rPr>
                          <w:color w:val="auto"/>
                        </w:rPr>
                        <w:t>a świadczące</w:t>
                      </w:r>
                      <w:r w:rsidRPr="000C3ECF">
                        <w:rPr>
                          <w:color w:val="auto"/>
                        </w:rPr>
                        <w:t xml:space="preserve"> usługi biznesowe </w:t>
                      </w:r>
                      <w:r w:rsidR="000A1552" w:rsidRPr="000C3ECF">
                        <w:rPr>
                          <w:color w:val="auto"/>
                        </w:rPr>
                        <w:t xml:space="preserve">o </w:t>
                      </w:r>
                      <w:r w:rsidR="006C3209">
                        <w:rPr>
                          <w:color w:val="auto"/>
                        </w:rPr>
                        <w:t>17,5%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E78E6" w:rsidRPr="00977025">
        <w:t xml:space="preserve">Usługi biznesowe w </w:t>
      </w:r>
      <w:r w:rsidR="00BE78E6" w:rsidRPr="00AC0A79">
        <w:t>201</w:t>
      </w:r>
      <w:r w:rsidR="003467AB">
        <w:t>8</w:t>
      </w:r>
      <w:r w:rsidR="003C7DF8">
        <w:t xml:space="preserve"> r.</w:t>
      </w:r>
    </w:p>
    <w:p w14:paraId="1F44D10E" w14:textId="7D4C66AE" w:rsidR="00BE78E6" w:rsidRPr="003467AB" w:rsidRDefault="00BE78E6" w:rsidP="00BE78E6">
      <w:pPr>
        <w:rPr>
          <w:color w:val="A6A6A6" w:themeColor="background1" w:themeShade="A6"/>
          <w:shd w:val="clear" w:color="auto" w:fill="FFFFFF"/>
        </w:rPr>
      </w:pPr>
      <w:r w:rsidRPr="00D732D4">
        <w:rPr>
          <w:shd w:val="clear" w:color="auto" w:fill="FFFFFF"/>
        </w:rPr>
        <w:t xml:space="preserve">W analizowanym roku na rynku krajowym funkcjonowało ponad </w:t>
      </w:r>
      <w:r w:rsidR="00DF79A6" w:rsidRPr="00D732D4">
        <w:rPr>
          <w:shd w:val="clear" w:color="auto" w:fill="FFFFFF"/>
        </w:rPr>
        <w:t>531</w:t>
      </w:r>
      <w:r w:rsidRPr="00D732D4">
        <w:rPr>
          <w:shd w:val="clear" w:color="auto" w:fill="FFFFFF"/>
        </w:rPr>
        <w:t xml:space="preserve"> tys. przedsiębiorstw, które w ramach swojej podstawowej działalności świadczyły usługi biznesowe</w:t>
      </w:r>
      <w:r w:rsidR="00EB1C99">
        <w:rPr>
          <w:rStyle w:val="Odwoanieprzypisudolnego"/>
          <w:shd w:val="clear" w:color="auto" w:fill="FFFFFF"/>
        </w:rPr>
        <w:footnoteReference w:id="1"/>
      </w:r>
      <w:r w:rsidRPr="00D732D4">
        <w:rPr>
          <w:shd w:val="clear" w:color="auto" w:fill="FFFFFF"/>
        </w:rPr>
        <w:t xml:space="preserve">. Podmioty te </w:t>
      </w:r>
      <w:r w:rsidR="00D36281" w:rsidRPr="00D732D4">
        <w:rPr>
          <w:shd w:val="clear" w:color="auto" w:fill="FFFFFF"/>
        </w:rPr>
        <w:t>stanowiły 27,1% z</w:t>
      </w:r>
      <w:r w:rsidR="004D2EDB" w:rsidRPr="00D732D4">
        <w:rPr>
          <w:shd w:val="clear" w:color="auto" w:fill="FFFFFF"/>
        </w:rPr>
        <w:t xml:space="preserve"> ponad</w:t>
      </w:r>
      <w:r w:rsidRPr="00D732D4">
        <w:rPr>
          <w:shd w:val="clear" w:color="auto" w:fill="FFFFFF"/>
        </w:rPr>
        <w:t xml:space="preserve"> 1,</w:t>
      </w:r>
      <w:r w:rsidR="00DF757C" w:rsidRPr="00D732D4">
        <w:rPr>
          <w:shd w:val="clear" w:color="auto" w:fill="FFFFFF"/>
        </w:rPr>
        <w:t>9</w:t>
      </w:r>
      <w:r w:rsidRPr="00D732D4">
        <w:rPr>
          <w:shd w:val="clear" w:color="auto" w:fill="FFFFFF"/>
        </w:rPr>
        <w:t xml:space="preserve"> mln przedsiębiorstw prowadzących działalność gospodarczą</w:t>
      </w:r>
      <w:bookmarkStart w:id="1" w:name="_Ref519664371"/>
      <w:r w:rsidRPr="00D732D4">
        <w:rPr>
          <w:rStyle w:val="Odwoanieprzypisudolnego"/>
          <w:shd w:val="clear" w:color="auto" w:fill="FFFFFF"/>
        </w:rPr>
        <w:footnoteReference w:id="2"/>
      </w:r>
      <w:bookmarkEnd w:id="1"/>
      <w:r w:rsidRPr="00D732D4">
        <w:rPr>
          <w:shd w:val="clear" w:color="auto" w:fill="FFFFFF"/>
        </w:rPr>
        <w:t xml:space="preserve">. </w:t>
      </w:r>
    </w:p>
    <w:p w14:paraId="2E14B721" w14:textId="1E49CAAB" w:rsidR="006F6834" w:rsidRPr="001C31AE" w:rsidRDefault="00BE78E6" w:rsidP="00BE78E6">
      <w:pPr>
        <w:rPr>
          <w:lang w:eastAsia="pl-PL"/>
        </w:rPr>
      </w:pPr>
      <w:r w:rsidRPr="001C31AE">
        <w:rPr>
          <w:shd w:val="clear" w:color="auto" w:fill="FFFFFF"/>
        </w:rPr>
        <w:t>W 201</w:t>
      </w:r>
      <w:r w:rsidR="00DF757C" w:rsidRPr="001C31AE">
        <w:rPr>
          <w:shd w:val="clear" w:color="auto" w:fill="FFFFFF"/>
        </w:rPr>
        <w:t>8</w:t>
      </w:r>
      <w:r w:rsidRPr="001C31AE">
        <w:rPr>
          <w:shd w:val="clear" w:color="auto" w:fill="FFFFFF"/>
        </w:rPr>
        <w:t xml:space="preserve"> r. w sektorze </w:t>
      </w:r>
      <w:r w:rsidR="004E5830" w:rsidRPr="001C31AE">
        <w:rPr>
          <w:shd w:val="clear" w:color="auto" w:fill="FFFFFF"/>
        </w:rPr>
        <w:t xml:space="preserve">przedsiębiorstw świadczących w ramach swojej podstawowej działalności </w:t>
      </w:r>
      <w:r w:rsidRPr="001C31AE">
        <w:rPr>
          <w:shd w:val="clear" w:color="auto" w:fill="FFFFFF"/>
        </w:rPr>
        <w:t>usług</w:t>
      </w:r>
      <w:r w:rsidR="004E5830" w:rsidRPr="001C31AE">
        <w:rPr>
          <w:shd w:val="clear" w:color="auto" w:fill="FFFFFF"/>
        </w:rPr>
        <w:t>i</w:t>
      </w:r>
      <w:r w:rsidRPr="001C31AE">
        <w:rPr>
          <w:shd w:val="clear" w:color="auto" w:fill="FFFFFF"/>
        </w:rPr>
        <w:t xml:space="preserve"> biznesow</w:t>
      </w:r>
      <w:r w:rsidR="00630A7D" w:rsidRPr="001C31AE">
        <w:rPr>
          <w:shd w:val="clear" w:color="auto" w:fill="FFFFFF"/>
        </w:rPr>
        <w:t>e</w:t>
      </w:r>
      <w:r w:rsidR="00541D6E" w:rsidRPr="001C31AE">
        <w:rPr>
          <w:shd w:val="clear" w:color="auto" w:fill="FFFFFF"/>
        </w:rPr>
        <w:t xml:space="preserve"> </w:t>
      </w:r>
      <w:r w:rsidRPr="001C31AE">
        <w:rPr>
          <w:shd w:val="clear" w:color="auto" w:fill="FFFFFF"/>
        </w:rPr>
        <w:t xml:space="preserve">pracowało </w:t>
      </w:r>
      <w:r w:rsidR="00DF757C" w:rsidRPr="001C31AE">
        <w:rPr>
          <w:shd w:val="clear" w:color="auto" w:fill="FFFFFF"/>
        </w:rPr>
        <w:t xml:space="preserve">prawie </w:t>
      </w:r>
      <w:r w:rsidRPr="001C31AE">
        <w:rPr>
          <w:shd w:val="clear" w:color="auto" w:fill="FFFFFF"/>
        </w:rPr>
        <w:t>1,</w:t>
      </w:r>
      <w:r w:rsidR="00DF757C" w:rsidRPr="001C31AE">
        <w:rPr>
          <w:shd w:val="clear" w:color="auto" w:fill="FFFFFF"/>
        </w:rPr>
        <w:t>7</w:t>
      </w:r>
      <w:r w:rsidRPr="001C31AE">
        <w:rPr>
          <w:shd w:val="clear" w:color="auto" w:fill="FFFFFF"/>
        </w:rPr>
        <w:t xml:space="preserve"> mln osób, co stanowiło 17,</w:t>
      </w:r>
      <w:r w:rsidR="00DF757C" w:rsidRPr="001C31AE">
        <w:rPr>
          <w:shd w:val="clear" w:color="auto" w:fill="FFFFFF"/>
        </w:rPr>
        <w:t>2</w:t>
      </w:r>
      <w:r w:rsidRPr="001C31AE">
        <w:rPr>
          <w:shd w:val="clear" w:color="auto" w:fill="FFFFFF"/>
        </w:rPr>
        <w:t>% pracujących w przedsiębiorstwach niefinansowych ogółem</w:t>
      </w:r>
      <w:r w:rsidRPr="001C31AE">
        <w:rPr>
          <w:shd w:val="clear" w:color="auto" w:fill="FFFFFF"/>
          <w:vertAlign w:val="superscript"/>
        </w:rPr>
        <w:fldChar w:fldCharType="begin"/>
      </w:r>
      <w:r w:rsidRPr="001C31AE">
        <w:rPr>
          <w:shd w:val="clear" w:color="auto" w:fill="FFFFFF"/>
          <w:vertAlign w:val="superscript"/>
        </w:rPr>
        <w:instrText xml:space="preserve"> NOTEREF _Ref519664371 \h  \* MERGEFORMAT </w:instrText>
      </w:r>
      <w:r w:rsidRPr="001C31AE">
        <w:rPr>
          <w:shd w:val="clear" w:color="auto" w:fill="FFFFFF"/>
          <w:vertAlign w:val="superscript"/>
        </w:rPr>
      </w:r>
      <w:r w:rsidRPr="001C31AE">
        <w:rPr>
          <w:shd w:val="clear" w:color="auto" w:fill="FFFFFF"/>
          <w:vertAlign w:val="superscript"/>
        </w:rPr>
        <w:fldChar w:fldCharType="separate"/>
      </w:r>
      <w:r w:rsidR="003D1A16">
        <w:rPr>
          <w:shd w:val="clear" w:color="auto" w:fill="FFFFFF"/>
          <w:vertAlign w:val="superscript"/>
        </w:rPr>
        <w:t>2</w:t>
      </w:r>
      <w:r w:rsidRPr="001C31AE">
        <w:rPr>
          <w:shd w:val="clear" w:color="auto" w:fill="FFFFFF"/>
          <w:vertAlign w:val="superscript"/>
        </w:rPr>
        <w:fldChar w:fldCharType="end"/>
      </w:r>
      <w:r w:rsidR="001C31AE" w:rsidRPr="001C31AE">
        <w:rPr>
          <w:shd w:val="clear" w:color="auto" w:fill="FFFFFF"/>
        </w:rPr>
        <w:t>.</w:t>
      </w:r>
    </w:p>
    <w:p w14:paraId="6BC22F2F" w14:textId="517E4CF6" w:rsidR="00BE78E6" w:rsidRPr="00D22D90" w:rsidRDefault="00BE78E6" w:rsidP="00BE78E6">
      <w:pPr>
        <w:rPr>
          <w:lang w:eastAsia="pl-PL"/>
        </w:rPr>
      </w:pPr>
      <w:r w:rsidRPr="00D22D90">
        <w:t xml:space="preserve">Obroty przedsiębiorstw zaklasyfikowanych do branż usługowych związanych z obsługą działalności gospodarczej </w:t>
      </w:r>
      <w:r w:rsidR="00985418" w:rsidRPr="00D22D90">
        <w:t>wyniosły</w:t>
      </w:r>
      <w:r w:rsidRPr="00D22D90">
        <w:t xml:space="preserve"> w analizowanym roku 3</w:t>
      </w:r>
      <w:r w:rsidR="007A1363" w:rsidRPr="00D22D90">
        <w:t>95</w:t>
      </w:r>
      <w:r w:rsidRPr="00D22D90">
        <w:t>,</w:t>
      </w:r>
      <w:r w:rsidR="007A1363" w:rsidRPr="00D22D90">
        <w:t>4</w:t>
      </w:r>
      <w:r w:rsidRPr="00D22D90">
        <w:t xml:space="preserve"> mld zł, co stanowiło </w:t>
      </w:r>
      <w:r w:rsidR="007A1363" w:rsidRPr="00D22D90">
        <w:t>8,2</w:t>
      </w:r>
      <w:r w:rsidRPr="00D22D90">
        <w:t xml:space="preserve">% wartości obrotów </w:t>
      </w:r>
      <w:r w:rsidR="000E3E70" w:rsidRPr="00D22D90">
        <w:t xml:space="preserve">ogółem </w:t>
      </w:r>
      <w:r w:rsidRPr="00D22D90">
        <w:t>przedsiębiorstw niefinansowych prowadzących działalność gospodarczą</w:t>
      </w:r>
      <w:r w:rsidR="008D0B01" w:rsidRPr="00D22D90">
        <w:rPr>
          <w:vertAlign w:val="superscript"/>
        </w:rPr>
        <w:fldChar w:fldCharType="begin"/>
      </w:r>
      <w:r w:rsidR="008D0B01" w:rsidRPr="00D22D90">
        <w:rPr>
          <w:vertAlign w:val="superscript"/>
        </w:rPr>
        <w:instrText xml:space="preserve"> NOTEREF _Ref519664371 \h  \* MERGEFORMAT </w:instrText>
      </w:r>
      <w:r w:rsidR="008D0B01" w:rsidRPr="00D22D90">
        <w:rPr>
          <w:vertAlign w:val="superscript"/>
        </w:rPr>
      </w:r>
      <w:r w:rsidR="008D0B01" w:rsidRPr="00D22D90">
        <w:rPr>
          <w:vertAlign w:val="superscript"/>
        </w:rPr>
        <w:fldChar w:fldCharType="separate"/>
      </w:r>
      <w:r w:rsidR="003D1A16">
        <w:rPr>
          <w:vertAlign w:val="superscript"/>
        </w:rPr>
        <w:t>2</w:t>
      </w:r>
      <w:r w:rsidR="008D0B01" w:rsidRPr="00D22D90">
        <w:rPr>
          <w:vertAlign w:val="superscript"/>
        </w:rPr>
        <w:fldChar w:fldCharType="end"/>
      </w:r>
      <w:r w:rsidRPr="00D22D90">
        <w:t xml:space="preserve">. </w:t>
      </w:r>
    </w:p>
    <w:p w14:paraId="740D2CEF" w14:textId="7F4C1D04" w:rsidR="00BE78E6" w:rsidRPr="00D22D90" w:rsidRDefault="00985418" w:rsidP="00BE78E6">
      <w:pPr>
        <w:rPr>
          <w:lang w:eastAsia="pl-PL"/>
        </w:rPr>
      </w:pPr>
      <w:r w:rsidRPr="00D22D90">
        <w:rPr>
          <w:lang w:eastAsia="pl-PL"/>
        </w:rPr>
        <w:t>Spoś</w:t>
      </w:r>
      <w:r w:rsidR="00EE353C" w:rsidRPr="00D22D90">
        <w:rPr>
          <w:lang w:eastAsia="pl-PL"/>
        </w:rPr>
        <w:t>r</w:t>
      </w:r>
      <w:r w:rsidR="00BE78E6" w:rsidRPr="00D22D90">
        <w:rPr>
          <w:lang w:eastAsia="pl-PL"/>
        </w:rPr>
        <w:t xml:space="preserve">ód przedsiębiorstw świadczących usługi biznesowe największe znaczenie pod względem uzyskiwanych obrotów miały podmioty prowadzące działalność związaną z obsługą rynku nieruchomości, które w </w:t>
      </w:r>
      <w:r w:rsidR="007A1363" w:rsidRPr="00D22D90">
        <w:rPr>
          <w:lang w:eastAsia="pl-PL"/>
        </w:rPr>
        <w:t xml:space="preserve">2018 </w:t>
      </w:r>
      <w:r w:rsidR="000A1552">
        <w:rPr>
          <w:lang w:eastAsia="pl-PL"/>
        </w:rPr>
        <w:t>r. osiągnęły</w:t>
      </w:r>
      <w:r w:rsidR="00FD1823" w:rsidRPr="00D22D90">
        <w:rPr>
          <w:lang w:eastAsia="pl-PL"/>
        </w:rPr>
        <w:t xml:space="preserve"> </w:t>
      </w:r>
      <w:r w:rsidR="007A1363" w:rsidRPr="00D22D90">
        <w:rPr>
          <w:lang w:eastAsia="pl-PL"/>
        </w:rPr>
        <w:t>22,3</w:t>
      </w:r>
      <w:r w:rsidR="00BE78E6" w:rsidRPr="00D22D90">
        <w:rPr>
          <w:lang w:eastAsia="pl-PL"/>
        </w:rPr>
        <w:t xml:space="preserve">% obrotów </w:t>
      </w:r>
      <w:r w:rsidR="004E5830" w:rsidRPr="00D22D90">
        <w:rPr>
          <w:lang w:eastAsia="pl-PL"/>
        </w:rPr>
        <w:t xml:space="preserve">sektora </w:t>
      </w:r>
      <w:r w:rsidR="00BE78E6" w:rsidRPr="00D22D90">
        <w:rPr>
          <w:lang w:eastAsia="pl-PL"/>
        </w:rPr>
        <w:t>usług biznesowych. Przedsiębiorstwa prowadzące działalność związaną z</w:t>
      </w:r>
      <w:r w:rsidR="00786F1B" w:rsidRPr="00D22D90">
        <w:rPr>
          <w:lang w:eastAsia="pl-PL"/>
        </w:rPr>
        <w:t> </w:t>
      </w:r>
      <w:r w:rsidR="00BE78E6" w:rsidRPr="00D22D90">
        <w:rPr>
          <w:lang w:eastAsia="pl-PL"/>
        </w:rPr>
        <w:t xml:space="preserve">oprogramowaniem i doradztwem w zakresie informatyki oraz działalnością </w:t>
      </w:r>
      <w:r w:rsidR="001A4C98" w:rsidRPr="00D22D90">
        <w:rPr>
          <w:lang w:eastAsia="pl-PL"/>
        </w:rPr>
        <w:t>powiązaną wygenerowały</w:t>
      </w:r>
      <w:r w:rsidR="00BE78E6" w:rsidRPr="00D22D90">
        <w:rPr>
          <w:lang w:eastAsia="pl-PL"/>
        </w:rPr>
        <w:t xml:space="preserve"> 1</w:t>
      </w:r>
      <w:r w:rsidR="00FD1823" w:rsidRPr="00D22D90">
        <w:rPr>
          <w:lang w:eastAsia="pl-PL"/>
        </w:rPr>
        <w:t>6,</w:t>
      </w:r>
      <w:r w:rsidR="007A1363" w:rsidRPr="00D22D90">
        <w:rPr>
          <w:lang w:eastAsia="pl-PL"/>
        </w:rPr>
        <w:t>9</w:t>
      </w:r>
      <w:r w:rsidR="00BE78E6" w:rsidRPr="00D22D90">
        <w:rPr>
          <w:lang w:eastAsia="pl-PL"/>
        </w:rPr>
        <w:t>% obrotów ogółem</w:t>
      </w:r>
      <w:r w:rsidRPr="00D22D90">
        <w:rPr>
          <w:lang w:eastAsia="pl-PL"/>
        </w:rPr>
        <w:t xml:space="preserve">, a </w:t>
      </w:r>
      <w:r w:rsidR="007A1363" w:rsidRPr="00D22D90">
        <w:rPr>
          <w:lang w:eastAsia="pl-PL"/>
        </w:rPr>
        <w:t>9,2</w:t>
      </w:r>
      <w:r w:rsidRPr="00D22D90">
        <w:rPr>
          <w:lang w:eastAsia="pl-PL"/>
        </w:rPr>
        <w:t>% - przedsiębiorstwa zaklasyfikowane</w:t>
      </w:r>
      <w:r w:rsidR="00BE78E6" w:rsidRPr="00D22D90">
        <w:rPr>
          <w:lang w:eastAsia="pl-PL"/>
        </w:rPr>
        <w:t xml:space="preserve"> do działu 73 „Reklama, badania rynku i opinii publicznej”.</w:t>
      </w:r>
      <w:r w:rsidR="006F6834" w:rsidRPr="00D22D90">
        <w:rPr>
          <w:lang w:eastAsia="pl-PL"/>
        </w:rPr>
        <w:t xml:space="preserve"> </w:t>
      </w:r>
    </w:p>
    <w:p w14:paraId="324D4130" w14:textId="6D6C7632" w:rsidR="00D22D90" w:rsidRDefault="00D22D90" w:rsidP="00AD634D">
      <w:pPr>
        <w:ind w:left="851" w:hanging="851"/>
        <w:rPr>
          <w:b/>
          <w:sz w:val="18"/>
          <w:szCs w:val="18"/>
          <w:shd w:val="clear" w:color="auto" w:fill="FFFFFF"/>
        </w:rPr>
      </w:pPr>
      <w:r w:rsidRPr="00D22D90">
        <w:rPr>
          <w:noProof/>
          <w:lang w:eastAsia="pl-PL"/>
        </w:rPr>
        <w:lastRenderedPageBreak/>
        <w:drawing>
          <wp:anchor distT="0" distB="0" distL="114300" distR="114300" simplePos="0" relativeHeight="251806720" behindDoc="0" locked="0" layoutInCell="1" allowOverlap="1" wp14:anchorId="45EB64EA" wp14:editId="5C3842A4">
            <wp:simplePos x="0" y="0"/>
            <wp:positionH relativeFrom="margin">
              <wp:posOffset>-121920</wp:posOffset>
            </wp:positionH>
            <wp:positionV relativeFrom="paragraph">
              <wp:posOffset>345440</wp:posOffset>
            </wp:positionV>
            <wp:extent cx="5327650" cy="2926080"/>
            <wp:effectExtent l="0" t="0" r="6350" b="762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E6" w:rsidRPr="00D22D90">
        <w:rPr>
          <w:b/>
          <w:sz w:val="18"/>
          <w:szCs w:val="18"/>
        </w:rPr>
        <w:t>Wykres</w:t>
      </w:r>
      <w:r w:rsidR="00D734B0">
        <w:rPr>
          <w:b/>
          <w:sz w:val="18"/>
          <w:szCs w:val="18"/>
        </w:rPr>
        <w:t xml:space="preserve"> </w:t>
      </w:r>
      <w:r w:rsidR="00DE5B17" w:rsidRPr="00D22D90">
        <w:rPr>
          <w:b/>
          <w:sz w:val="18"/>
          <w:szCs w:val="18"/>
        </w:rPr>
        <w:t>1</w:t>
      </w:r>
      <w:r w:rsidR="00BE78E6" w:rsidRPr="00D22D90">
        <w:rPr>
          <w:b/>
          <w:sz w:val="18"/>
          <w:szCs w:val="18"/>
        </w:rPr>
        <w:t>.</w:t>
      </w:r>
      <w:r w:rsidR="00BE78E6" w:rsidRPr="00D22D90">
        <w:rPr>
          <w:b/>
          <w:sz w:val="18"/>
          <w:szCs w:val="18"/>
          <w:shd w:val="clear" w:color="auto" w:fill="FFFFFF"/>
        </w:rPr>
        <w:t xml:space="preserve"> Struktura obrotów w sektorze przedsiębiorstw świadczących usługi </w:t>
      </w:r>
      <w:r w:rsidR="001A4C98" w:rsidRPr="00D22D90">
        <w:rPr>
          <w:b/>
          <w:sz w:val="18"/>
          <w:szCs w:val="18"/>
          <w:shd w:val="clear" w:color="auto" w:fill="FFFFFF"/>
        </w:rPr>
        <w:t>biznesowe</w:t>
      </w:r>
      <w:r w:rsidR="00E708B1" w:rsidRPr="00D22D90">
        <w:rPr>
          <w:b/>
          <w:sz w:val="18"/>
          <w:szCs w:val="18"/>
          <w:shd w:val="clear" w:color="auto" w:fill="FFFFFF"/>
        </w:rPr>
        <w:t xml:space="preserve"> według</w:t>
      </w:r>
      <w:r w:rsidR="00B93E4E" w:rsidRPr="00D22D90">
        <w:rPr>
          <w:b/>
          <w:sz w:val="18"/>
          <w:szCs w:val="18"/>
          <w:shd w:val="clear" w:color="auto" w:fill="FFFFFF"/>
        </w:rPr>
        <w:t xml:space="preserve"> podstawowego rodzaju działalności</w:t>
      </w:r>
      <w:r w:rsidR="001A4C98" w:rsidRPr="00D22D90">
        <w:rPr>
          <w:b/>
          <w:sz w:val="18"/>
          <w:szCs w:val="18"/>
          <w:shd w:val="clear" w:color="auto" w:fill="FFFFFF"/>
        </w:rPr>
        <w:t xml:space="preserve"> w</w:t>
      </w:r>
      <w:r w:rsidR="00BE78E6" w:rsidRPr="00D22D90">
        <w:rPr>
          <w:b/>
          <w:sz w:val="18"/>
          <w:szCs w:val="18"/>
          <w:shd w:val="clear" w:color="auto" w:fill="FFFFFF"/>
        </w:rPr>
        <w:t> 201</w:t>
      </w:r>
      <w:r w:rsidR="001E1E25" w:rsidRPr="00D22D90">
        <w:rPr>
          <w:b/>
          <w:sz w:val="18"/>
          <w:szCs w:val="18"/>
          <w:shd w:val="clear" w:color="auto" w:fill="FFFFFF"/>
        </w:rPr>
        <w:t>8</w:t>
      </w:r>
      <w:r w:rsidR="00BE78E6" w:rsidRPr="00D22D90">
        <w:rPr>
          <w:b/>
          <w:sz w:val="18"/>
          <w:szCs w:val="18"/>
          <w:shd w:val="clear" w:color="auto" w:fill="FFFFFF"/>
        </w:rPr>
        <w:t> r</w:t>
      </w:r>
      <w:r w:rsidR="003C7DF8">
        <w:rPr>
          <w:b/>
          <w:sz w:val="18"/>
          <w:szCs w:val="18"/>
          <w:shd w:val="clear" w:color="auto" w:fill="FFFFFF"/>
        </w:rPr>
        <w:t>.</w:t>
      </w:r>
      <w:r w:rsidR="00BE78E6" w:rsidRPr="00D22D90">
        <w:rPr>
          <w:rStyle w:val="Odwoanieprzypisudolnego"/>
          <w:b/>
          <w:sz w:val="18"/>
          <w:szCs w:val="18"/>
          <w:shd w:val="clear" w:color="auto" w:fill="FFFFFF"/>
        </w:rPr>
        <w:footnoteReference w:id="3"/>
      </w:r>
    </w:p>
    <w:p w14:paraId="631F9FD8" w14:textId="23F737C7" w:rsidR="004E5830" w:rsidRPr="00AD634D" w:rsidRDefault="00BE78E6" w:rsidP="00BE78E6">
      <w:pPr>
        <w:rPr>
          <w:lang w:eastAsia="pl-PL"/>
        </w:rPr>
      </w:pPr>
      <w:r w:rsidRPr="00AD634D">
        <w:rPr>
          <w:lang w:eastAsia="pl-PL"/>
        </w:rPr>
        <w:t>Pod wzg</w:t>
      </w:r>
      <w:r w:rsidR="000A1552">
        <w:rPr>
          <w:lang w:eastAsia="pl-PL"/>
        </w:rPr>
        <w:t>lędem wielkości przedsiębiorstw</w:t>
      </w:r>
      <w:r w:rsidRPr="00AD634D">
        <w:rPr>
          <w:lang w:eastAsia="pl-PL"/>
        </w:rPr>
        <w:t xml:space="preserve"> najbardziej liczną grupę (97,</w:t>
      </w:r>
      <w:r w:rsidR="00B5197F" w:rsidRPr="00AD634D">
        <w:rPr>
          <w:lang w:eastAsia="pl-PL"/>
        </w:rPr>
        <w:t>5</w:t>
      </w:r>
      <w:r w:rsidRPr="00AD634D">
        <w:rPr>
          <w:lang w:eastAsia="pl-PL"/>
        </w:rPr>
        <w:t>%</w:t>
      </w:r>
      <w:r w:rsidR="00B5197F" w:rsidRPr="00AD634D">
        <w:rPr>
          <w:lang w:eastAsia="pl-PL"/>
        </w:rPr>
        <w:t>)</w:t>
      </w:r>
      <w:r w:rsidR="00AD634D" w:rsidRPr="00AD634D">
        <w:rPr>
          <w:lang w:eastAsia="pl-PL"/>
        </w:rPr>
        <w:t xml:space="preserve"> </w:t>
      </w:r>
      <w:r w:rsidRPr="00AD634D">
        <w:rPr>
          <w:lang w:eastAsia="pl-PL"/>
        </w:rPr>
        <w:t>stanowiły przedsiębiorstwa z liczbą pracujących 9</w:t>
      </w:r>
      <w:r w:rsidR="00C8517F" w:rsidRPr="00AD634D">
        <w:rPr>
          <w:lang w:eastAsia="pl-PL"/>
        </w:rPr>
        <w:t> </w:t>
      </w:r>
      <w:r w:rsidRPr="00AD634D">
        <w:rPr>
          <w:lang w:eastAsia="pl-PL"/>
        </w:rPr>
        <w:t xml:space="preserve">osób i mniej. Podmioty te zatrudniały </w:t>
      </w:r>
      <w:r w:rsidR="00B5197F" w:rsidRPr="00AD634D">
        <w:rPr>
          <w:lang w:eastAsia="pl-PL"/>
        </w:rPr>
        <w:t>45</w:t>
      </w:r>
      <w:r w:rsidRPr="00AD634D">
        <w:rPr>
          <w:lang w:eastAsia="pl-PL"/>
        </w:rPr>
        <w:t>,</w:t>
      </w:r>
      <w:r w:rsidR="00B5197F" w:rsidRPr="00AD634D">
        <w:rPr>
          <w:lang w:eastAsia="pl-PL"/>
        </w:rPr>
        <w:t>5</w:t>
      </w:r>
      <w:r w:rsidRPr="00AD634D">
        <w:rPr>
          <w:lang w:eastAsia="pl-PL"/>
        </w:rPr>
        <w:t xml:space="preserve">% ogółu pracujących w </w:t>
      </w:r>
      <w:r w:rsidR="004E5830" w:rsidRPr="00AD634D">
        <w:rPr>
          <w:lang w:eastAsia="pl-PL"/>
        </w:rPr>
        <w:t xml:space="preserve">sektorze </w:t>
      </w:r>
      <w:r w:rsidRPr="00AD634D">
        <w:rPr>
          <w:lang w:eastAsia="pl-PL"/>
        </w:rPr>
        <w:t xml:space="preserve">usług biznesowych </w:t>
      </w:r>
      <w:r w:rsidR="00916F85" w:rsidRPr="00AD634D">
        <w:rPr>
          <w:lang w:eastAsia="pl-PL"/>
        </w:rPr>
        <w:t>oraz wy</w:t>
      </w:r>
      <w:r w:rsidR="00433B63" w:rsidRPr="00AD634D">
        <w:rPr>
          <w:lang w:eastAsia="pl-PL"/>
        </w:rPr>
        <w:t>generowały</w:t>
      </w:r>
      <w:r w:rsidR="00916F85" w:rsidRPr="00AD634D">
        <w:rPr>
          <w:lang w:eastAsia="pl-PL"/>
        </w:rPr>
        <w:t xml:space="preserve"> 4</w:t>
      </w:r>
      <w:r w:rsidR="00B5197F" w:rsidRPr="00AD634D">
        <w:rPr>
          <w:lang w:eastAsia="pl-PL"/>
        </w:rPr>
        <w:t>6</w:t>
      </w:r>
      <w:r w:rsidR="00916F85" w:rsidRPr="00AD634D">
        <w:rPr>
          <w:lang w:eastAsia="pl-PL"/>
        </w:rPr>
        <w:t>,</w:t>
      </w:r>
      <w:r w:rsidR="00B5197F" w:rsidRPr="00AD634D">
        <w:rPr>
          <w:lang w:eastAsia="pl-PL"/>
        </w:rPr>
        <w:t>8</w:t>
      </w:r>
      <w:r w:rsidRPr="00AD634D">
        <w:rPr>
          <w:lang w:eastAsia="pl-PL"/>
        </w:rPr>
        <w:t>% wartości obrotów tych przedsiębiorstw</w:t>
      </w:r>
      <w:r w:rsidR="00AD634D" w:rsidRPr="00AD634D">
        <w:rPr>
          <w:lang w:eastAsia="pl-PL"/>
        </w:rPr>
        <w:t>.</w:t>
      </w:r>
    </w:p>
    <w:p w14:paraId="4F43FA55" w14:textId="663654A8" w:rsidR="00BE78E6" w:rsidRPr="00AD634D" w:rsidRDefault="00BE78E6" w:rsidP="00BE78E6">
      <w:pPr>
        <w:rPr>
          <w:lang w:eastAsia="pl-PL"/>
        </w:rPr>
      </w:pPr>
      <w:r w:rsidRPr="00AD634D">
        <w:rPr>
          <w:lang w:eastAsia="pl-PL"/>
        </w:rPr>
        <w:t>Podmioty z liczbą pracujących 9 osób i mniej miały największe znaczenie w pozostałej działalności profesjonalnej, naukowej i technicznej. W 201</w:t>
      </w:r>
      <w:r w:rsidR="00DB5AD5" w:rsidRPr="00AD634D">
        <w:rPr>
          <w:lang w:eastAsia="pl-PL"/>
        </w:rPr>
        <w:t>8</w:t>
      </w:r>
      <w:r w:rsidRPr="00AD634D">
        <w:rPr>
          <w:lang w:eastAsia="pl-PL"/>
        </w:rPr>
        <w:t xml:space="preserve"> r. udział podmiotów </w:t>
      </w:r>
      <w:r w:rsidR="004E5830" w:rsidRPr="00AD634D">
        <w:rPr>
          <w:lang w:eastAsia="pl-PL"/>
        </w:rPr>
        <w:t xml:space="preserve">z liczbą pracujących 9 osób i mniej </w:t>
      </w:r>
      <w:r w:rsidRPr="00AD634D">
        <w:rPr>
          <w:lang w:eastAsia="pl-PL"/>
        </w:rPr>
        <w:t xml:space="preserve">deklarujących tę działalność jako podstawową </w:t>
      </w:r>
      <w:r w:rsidR="00E23ECE" w:rsidRPr="00AD634D">
        <w:rPr>
          <w:lang w:eastAsia="pl-PL"/>
        </w:rPr>
        <w:t>wyniósł 99,2%</w:t>
      </w:r>
      <w:r w:rsidR="0021626F">
        <w:rPr>
          <w:lang w:eastAsia="pl-PL"/>
        </w:rPr>
        <w:t xml:space="preserve"> </w:t>
      </w:r>
      <w:r w:rsidRPr="00AD634D">
        <w:rPr>
          <w:lang w:eastAsia="pl-PL"/>
        </w:rPr>
        <w:t xml:space="preserve">w ogólnej liczbie przedsiębiorstw </w:t>
      </w:r>
      <w:r w:rsidR="00F11FA7" w:rsidRPr="00AD634D">
        <w:rPr>
          <w:lang w:eastAsia="pl-PL"/>
        </w:rPr>
        <w:t>prowadzących tę</w:t>
      </w:r>
      <w:r w:rsidR="006E4163" w:rsidRPr="00AD634D">
        <w:rPr>
          <w:lang w:eastAsia="pl-PL"/>
        </w:rPr>
        <w:t xml:space="preserve"> działalność</w:t>
      </w:r>
      <w:r w:rsidR="003C5374" w:rsidRPr="00AD634D">
        <w:rPr>
          <w:lang w:eastAsia="pl-PL"/>
        </w:rPr>
        <w:t>. Jednocześnie</w:t>
      </w:r>
      <w:r w:rsidRPr="00AD634D">
        <w:rPr>
          <w:lang w:eastAsia="pl-PL"/>
        </w:rPr>
        <w:t xml:space="preserve"> </w:t>
      </w:r>
      <w:r w:rsidR="00985418" w:rsidRPr="00AD634D">
        <w:rPr>
          <w:lang w:eastAsia="pl-PL"/>
        </w:rPr>
        <w:t>utworzyły</w:t>
      </w:r>
      <w:r w:rsidRPr="00AD634D">
        <w:rPr>
          <w:lang w:eastAsia="pl-PL"/>
        </w:rPr>
        <w:t xml:space="preserve"> one miejsca pracy dla </w:t>
      </w:r>
      <w:r w:rsidR="00DB5AD5" w:rsidRPr="00AD634D">
        <w:rPr>
          <w:lang w:eastAsia="pl-PL"/>
        </w:rPr>
        <w:t>81</w:t>
      </w:r>
      <w:r w:rsidRPr="00AD634D">
        <w:rPr>
          <w:lang w:eastAsia="pl-PL"/>
        </w:rPr>
        <w:t>,</w:t>
      </w:r>
      <w:r w:rsidR="00DB5AD5" w:rsidRPr="00AD634D">
        <w:rPr>
          <w:lang w:eastAsia="pl-PL"/>
        </w:rPr>
        <w:t>2</w:t>
      </w:r>
      <w:r w:rsidRPr="00AD634D">
        <w:rPr>
          <w:lang w:eastAsia="pl-PL"/>
        </w:rPr>
        <w:t xml:space="preserve">% ogółu pracujących w </w:t>
      </w:r>
      <w:r w:rsidR="00263334" w:rsidRPr="00AD634D">
        <w:rPr>
          <w:lang w:eastAsia="pl-PL"/>
        </w:rPr>
        <w:t xml:space="preserve">tej działalności i uzyskały </w:t>
      </w:r>
      <w:r w:rsidR="00DB5AD5" w:rsidRPr="00AD634D">
        <w:rPr>
          <w:lang w:eastAsia="pl-PL"/>
        </w:rPr>
        <w:t>70</w:t>
      </w:r>
      <w:r w:rsidR="00263334" w:rsidRPr="00AD634D">
        <w:rPr>
          <w:lang w:eastAsia="pl-PL"/>
        </w:rPr>
        <w:t>,</w:t>
      </w:r>
      <w:r w:rsidR="00DB5AD5" w:rsidRPr="00AD634D">
        <w:rPr>
          <w:lang w:eastAsia="pl-PL"/>
        </w:rPr>
        <w:t>6</w:t>
      </w:r>
      <w:r w:rsidRPr="00AD634D">
        <w:rPr>
          <w:lang w:eastAsia="pl-PL"/>
        </w:rPr>
        <w:t xml:space="preserve">% obrotów wygenerowanych przez całą zbiorowość tych przedsiębiorstw. </w:t>
      </w:r>
      <w:r w:rsidR="00985418" w:rsidRPr="00AD634D">
        <w:rPr>
          <w:lang w:eastAsia="pl-PL"/>
        </w:rPr>
        <w:t xml:space="preserve">Dla porównania, </w:t>
      </w:r>
      <w:r w:rsidR="006E4163" w:rsidRPr="00AD634D">
        <w:rPr>
          <w:lang w:eastAsia="pl-PL"/>
        </w:rPr>
        <w:t xml:space="preserve">w przypadku działalności </w:t>
      </w:r>
      <w:r w:rsidR="00281906" w:rsidRPr="00AD634D">
        <w:rPr>
          <w:lang w:eastAsia="pl-PL"/>
        </w:rPr>
        <w:t>detektywistycznej i ochrony</w:t>
      </w:r>
      <w:r w:rsidR="006E4163" w:rsidRPr="00AD634D">
        <w:rPr>
          <w:lang w:eastAsia="pl-PL"/>
        </w:rPr>
        <w:t xml:space="preserve"> </w:t>
      </w:r>
      <w:r w:rsidRPr="00AD634D">
        <w:rPr>
          <w:lang w:eastAsia="pl-PL"/>
        </w:rPr>
        <w:t xml:space="preserve">udział przedsiębiorstw z liczbą pracujących 9 osób i mniej stanowił </w:t>
      </w:r>
      <w:r w:rsidR="00DB5AD5" w:rsidRPr="00AD634D">
        <w:rPr>
          <w:lang w:eastAsia="pl-PL"/>
        </w:rPr>
        <w:t>82</w:t>
      </w:r>
      <w:r w:rsidRPr="00AD634D">
        <w:rPr>
          <w:lang w:eastAsia="pl-PL"/>
        </w:rPr>
        <w:t>,</w:t>
      </w:r>
      <w:r w:rsidR="00DB5AD5" w:rsidRPr="00AD634D">
        <w:rPr>
          <w:lang w:eastAsia="pl-PL"/>
        </w:rPr>
        <w:t>3</w:t>
      </w:r>
      <w:r w:rsidRPr="00AD634D">
        <w:rPr>
          <w:lang w:eastAsia="pl-PL"/>
        </w:rPr>
        <w:t>%</w:t>
      </w:r>
      <w:r w:rsidR="00AD634D" w:rsidRPr="00AD634D">
        <w:rPr>
          <w:lang w:eastAsia="pl-PL"/>
        </w:rPr>
        <w:t xml:space="preserve"> </w:t>
      </w:r>
      <w:r w:rsidRPr="00AD634D">
        <w:rPr>
          <w:lang w:eastAsia="pl-PL"/>
        </w:rPr>
        <w:t>ogółu przedsiębiorstw z tej branży. Pracowało w ni</w:t>
      </w:r>
      <w:r w:rsidR="00112F9F" w:rsidRPr="00AD634D">
        <w:rPr>
          <w:lang w:eastAsia="pl-PL"/>
        </w:rPr>
        <w:t>ch</w:t>
      </w:r>
      <w:r w:rsidRPr="00AD634D">
        <w:rPr>
          <w:lang w:eastAsia="pl-PL"/>
        </w:rPr>
        <w:t xml:space="preserve"> </w:t>
      </w:r>
      <w:r w:rsidR="00DB5AD5" w:rsidRPr="00AD634D">
        <w:rPr>
          <w:lang w:eastAsia="pl-PL"/>
        </w:rPr>
        <w:t>5,5</w:t>
      </w:r>
      <w:r w:rsidRPr="00AD634D">
        <w:rPr>
          <w:lang w:eastAsia="pl-PL"/>
        </w:rPr>
        <w:t>% ogółu pracujących, a</w:t>
      </w:r>
      <w:r w:rsidR="00C8517F" w:rsidRPr="00AD634D">
        <w:rPr>
          <w:lang w:eastAsia="pl-PL"/>
        </w:rPr>
        <w:t> </w:t>
      </w:r>
      <w:r w:rsidR="003300B1">
        <w:rPr>
          <w:lang w:eastAsia="pl-PL"/>
        </w:rPr>
        <w:t>ich obroty stanowiły</w:t>
      </w:r>
      <w:r w:rsidRPr="00AD634D">
        <w:rPr>
          <w:lang w:eastAsia="pl-PL"/>
        </w:rPr>
        <w:t xml:space="preserve"> </w:t>
      </w:r>
      <w:r w:rsidR="00DB5AD5" w:rsidRPr="00AD634D">
        <w:rPr>
          <w:lang w:eastAsia="pl-PL"/>
        </w:rPr>
        <w:t>12,0</w:t>
      </w:r>
      <w:r w:rsidRPr="00AD634D">
        <w:rPr>
          <w:lang w:eastAsia="pl-PL"/>
        </w:rPr>
        <w:t>% ogółu obrotów tej działalności.</w:t>
      </w:r>
    </w:p>
    <w:p w14:paraId="7DE7790D" w14:textId="7C096EB6" w:rsidR="00BE78E6" w:rsidRPr="00AD634D" w:rsidRDefault="00BE78E6" w:rsidP="00D4626A">
      <w:pPr>
        <w:ind w:left="851" w:hanging="851"/>
        <w:rPr>
          <w:b/>
          <w:sz w:val="18"/>
          <w:szCs w:val="18"/>
          <w:shd w:val="clear" w:color="auto" w:fill="FFFFFF"/>
        </w:rPr>
      </w:pPr>
      <w:r w:rsidRPr="00AD634D">
        <w:rPr>
          <w:noProof/>
          <w:lang w:eastAsia="pl-PL"/>
        </w:rPr>
        <w:drawing>
          <wp:anchor distT="0" distB="0" distL="114300" distR="114300" simplePos="0" relativeHeight="251776000" behindDoc="0" locked="0" layoutInCell="1" allowOverlap="1" wp14:anchorId="65276349" wp14:editId="63638D96">
            <wp:simplePos x="0" y="0"/>
            <wp:positionH relativeFrom="margin">
              <wp:align>left</wp:align>
            </wp:positionH>
            <wp:positionV relativeFrom="paragraph">
              <wp:posOffset>518160</wp:posOffset>
            </wp:positionV>
            <wp:extent cx="5196840" cy="2781300"/>
            <wp:effectExtent l="0" t="0" r="3810" b="0"/>
            <wp:wrapSquare wrapText="bothSides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34D">
        <w:rPr>
          <w:b/>
          <w:sz w:val="18"/>
          <w:szCs w:val="18"/>
        </w:rPr>
        <w:t>Wykres</w:t>
      </w:r>
      <w:r w:rsidR="00D734B0">
        <w:rPr>
          <w:b/>
          <w:sz w:val="18"/>
          <w:szCs w:val="18"/>
        </w:rPr>
        <w:t xml:space="preserve"> </w:t>
      </w:r>
      <w:r w:rsidR="002277D2" w:rsidRPr="00AD634D">
        <w:rPr>
          <w:b/>
          <w:sz w:val="18"/>
          <w:szCs w:val="18"/>
        </w:rPr>
        <w:t>2</w:t>
      </w:r>
      <w:r w:rsidRPr="00AD634D">
        <w:rPr>
          <w:b/>
          <w:sz w:val="18"/>
          <w:szCs w:val="18"/>
        </w:rPr>
        <w:t>.</w:t>
      </w:r>
      <w:r w:rsidRPr="00AD634D">
        <w:rPr>
          <w:b/>
          <w:sz w:val="18"/>
          <w:szCs w:val="18"/>
          <w:shd w:val="clear" w:color="auto" w:fill="FFFFFF"/>
        </w:rPr>
        <w:t xml:space="preserve"> Struktura liczby przedsiębiorstw, liczby pracujących i obrotów w </w:t>
      </w:r>
      <w:r w:rsidR="001A4C98" w:rsidRPr="00AD634D">
        <w:rPr>
          <w:b/>
          <w:sz w:val="18"/>
          <w:szCs w:val="18"/>
          <w:shd w:val="clear" w:color="auto" w:fill="FFFFFF"/>
        </w:rPr>
        <w:t>przedsiębiorstwach świadczących</w:t>
      </w:r>
      <w:r w:rsidRPr="00AD634D">
        <w:rPr>
          <w:b/>
          <w:sz w:val="18"/>
          <w:szCs w:val="18"/>
          <w:shd w:val="clear" w:color="auto" w:fill="FFFFFF"/>
        </w:rPr>
        <w:t xml:space="preserve"> usługi biznesowe według klasy wielkości przedsiębiorstw określonej liczbą pracujących w </w:t>
      </w:r>
      <w:r w:rsidR="00DB5AD5" w:rsidRPr="00AD634D">
        <w:rPr>
          <w:b/>
          <w:sz w:val="18"/>
          <w:szCs w:val="18"/>
          <w:shd w:val="clear" w:color="auto" w:fill="FFFFFF"/>
        </w:rPr>
        <w:t xml:space="preserve">2018 </w:t>
      </w:r>
      <w:r w:rsidR="00EB149E">
        <w:rPr>
          <w:b/>
          <w:sz w:val="18"/>
          <w:szCs w:val="18"/>
          <w:shd w:val="clear" w:color="auto" w:fill="FFFFFF"/>
        </w:rPr>
        <w:t>r.</w:t>
      </w:r>
    </w:p>
    <w:p w14:paraId="341BD053" w14:textId="7601B3F6" w:rsidR="00BE78E6" w:rsidRDefault="00BE78E6" w:rsidP="00BE78E6">
      <w:pPr>
        <w:rPr>
          <w:lang w:eastAsia="pl-PL"/>
        </w:rPr>
      </w:pPr>
      <w:r w:rsidRPr="00AD634D">
        <w:rPr>
          <w:lang w:eastAsia="pl-PL"/>
        </w:rPr>
        <w:lastRenderedPageBreak/>
        <w:t xml:space="preserve">Przedsiębiorstwa </w:t>
      </w:r>
      <w:r w:rsidR="00731E84" w:rsidRPr="00AD634D">
        <w:rPr>
          <w:lang w:eastAsia="pl-PL"/>
        </w:rPr>
        <w:t xml:space="preserve">z liczbą pracujących 10 osób i </w:t>
      </w:r>
      <w:r w:rsidR="0003050C" w:rsidRPr="00AD634D">
        <w:rPr>
          <w:lang w:eastAsia="pl-PL"/>
        </w:rPr>
        <w:t>więc</w:t>
      </w:r>
      <w:r w:rsidR="00731E84" w:rsidRPr="00AD634D">
        <w:rPr>
          <w:lang w:eastAsia="pl-PL"/>
        </w:rPr>
        <w:t xml:space="preserve">ej </w:t>
      </w:r>
      <w:r w:rsidRPr="00AD634D">
        <w:rPr>
          <w:lang w:eastAsia="pl-PL"/>
        </w:rPr>
        <w:t xml:space="preserve">prowadzące działalności zaliczane do </w:t>
      </w:r>
      <w:r w:rsidR="006E4163" w:rsidRPr="00AD634D">
        <w:rPr>
          <w:lang w:eastAsia="pl-PL"/>
        </w:rPr>
        <w:t xml:space="preserve">sektora </w:t>
      </w:r>
      <w:r w:rsidRPr="00AD634D">
        <w:rPr>
          <w:lang w:eastAsia="pl-PL"/>
        </w:rPr>
        <w:t>usług biznesowych koncentrowały swoją aktywność głównie na rynku krajowym. W</w:t>
      </w:r>
      <w:r w:rsidR="00F11FA7" w:rsidRPr="00AD634D">
        <w:rPr>
          <w:lang w:eastAsia="pl-PL"/>
        </w:rPr>
        <w:t> </w:t>
      </w:r>
      <w:r w:rsidRPr="00AD634D">
        <w:rPr>
          <w:lang w:eastAsia="pl-PL"/>
        </w:rPr>
        <w:t>201</w:t>
      </w:r>
      <w:r w:rsidR="003515C2" w:rsidRPr="00AD634D">
        <w:rPr>
          <w:lang w:eastAsia="pl-PL"/>
        </w:rPr>
        <w:t>8</w:t>
      </w:r>
      <w:r w:rsidRPr="00AD634D">
        <w:rPr>
          <w:lang w:eastAsia="pl-PL"/>
        </w:rPr>
        <w:t xml:space="preserve"> r. </w:t>
      </w:r>
      <w:r w:rsidR="003515C2" w:rsidRPr="00AD634D">
        <w:rPr>
          <w:lang w:eastAsia="pl-PL"/>
        </w:rPr>
        <w:t>63,0</w:t>
      </w:r>
      <w:r w:rsidRPr="00AD634D">
        <w:rPr>
          <w:lang w:eastAsia="pl-PL"/>
        </w:rPr>
        <w:t xml:space="preserve">% obrotów ogółem pochodziło z tytułu świadczenia usług podmiotom mającym siedzibę na terenie Rzeczypospolitej Polskiej. Źródłem </w:t>
      </w:r>
      <w:r w:rsidR="003515C2" w:rsidRPr="00AD634D">
        <w:rPr>
          <w:lang w:eastAsia="pl-PL"/>
        </w:rPr>
        <w:t>24,6</w:t>
      </w:r>
      <w:r w:rsidRPr="00AD634D">
        <w:rPr>
          <w:lang w:eastAsia="pl-PL"/>
        </w:rPr>
        <w:t xml:space="preserve">% obrotów były transakcje zawarte z usługobiorcami posiadającymi siedzibę w krajach członkowskich UE, a dla pozostałych </w:t>
      </w:r>
      <w:r w:rsidR="003515C2" w:rsidRPr="00AD634D">
        <w:rPr>
          <w:lang w:eastAsia="pl-PL"/>
        </w:rPr>
        <w:t>12,5</w:t>
      </w:r>
      <w:r w:rsidRPr="00AD634D">
        <w:rPr>
          <w:lang w:eastAsia="pl-PL"/>
        </w:rPr>
        <w:t xml:space="preserve">% – podmioty z siedzibą zlokalizowaną poza obszarem UE. </w:t>
      </w:r>
    </w:p>
    <w:p w14:paraId="782234B2" w14:textId="4E16DE61" w:rsidR="00A248F5" w:rsidRDefault="00A248F5" w:rsidP="00A248F5">
      <w:pPr>
        <w:rPr>
          <w:szCs w:val="19"/>
        </w:rPr>
      </w:pPr>
      <w:r w:rsidRPr="0016262A">
        <w:rPr>
          <w:szCs w:val="19"/>
        </w:rPr>
        <w:t>W 2018 r. wartość usług dostarczonych nierezydentom</w:t>
      </w:r>
      <w:bookmarkStart w:id="2" w:name="_Ref48217100"/>
      <w:r w:rsidRPr="0016262A">
        <w:rPr>
          <w:rStyle w:val="Odwoanieprzypisudolnego"/>
          <w:szCs w:val="19"/>
        </w:rPr>
        <w:footnoteReference w:id="4"/>
      </w:r>
      <w:bookmarkEnd w:id="2"/>
      <w:r w:rsidRPr="0016262A">
        <w:rPr>
          <w:szCs w:val="19"/>
        </w:rPr>
        <w:t xml:space="preserve"> przez podmioty </w:t>
      </w:r>
      <w:r>
        <w:rPr>
          <w:szCs w:val="19"/>
        </w:rPr>
        <w:t>świadczące usługi biznesowe wyniosła 49</w:t>
      </w:r>
      <w:r w:rsidRPr="0016262A">
        <w:rPr>
          <w:szCs w:val="19"/>
        </w:rPr>
        <w:t>,</w:t>
      </w:r>
      <w:r>
        <w:rPr>
          <w:szCs w:val="19"/>
        </w:rPr>
        <w:t>3 mld zł (wzrost o 17</w:t>
      </w:r>
      <w:r w:rsidRPr="0016262A">
        <w:rPr>
          <w:szCs w:val="19"/>
        </w:rPr>
        <w:t>,</w:t>
      </w:r>
      <w:r>
        <w:rPr>
          <w:szCs w:val="19"/>
        </w:rPr>
        <w:t>5</w:t>
      </w:r>
      <w:r w:rsidRPr="0016262A">
        <w:rPr>
          <w:szCs w:val="19"/>
        </w:rPr>
        <w:t>%</w:t>
      </w:r>
      <w:r w:rsidR="00525D60">
        <w:rPr>
          <w:szCs w:val="19"/>
        </w:rPr>
        <w:t xml:space="preserve"> w porównaniu z rokiem poprzednim</w:t>
      </w:r>
      <w:r w:rsidRPr="0016262A">
        <w:rPr>
          <w:szCs w:val="19"/>
        </w:rPr>
        <w:t xml:space="preserve">), </w:t>
      </w:r>
      <w:r w:rsidR="00922A42">
        <w:rPr>
          <w:szCs w:val="19"/>
        </w:rPr>
        <w:t>co stanowiło 19</w:t>
      </w:r>
      <w:r>
        <w:rPr>
          <w:szCs w:val="19"/>
        </w:rPr>
        <w:t>,8% wartości usług dosta</w:t>
      </w:r>
      <w:r w:rsidR="00922A42">
        <w:rPr>
          <w:szCs w:val="19"/>
        </w:rPr>
        <w:t>r</w:t>
      </w:r>
      <w:r>
        <w:rPr>
          <w:szCs w:val="19"/>
        </w:rPr>
        <w:t xml:space="preserve">czonych </w:t>
      </w:r>
      <w:r w:rsidR="003300B1">
        <w:rPr>
          <w:szCs w:val="19"/>
        </w:rPr>
        <w:t xml:space="preserve">nierezydentom </w:t>
      </w:r>
      <w:r>
        <w:rPr>
          <w:szCs w:val="19"/>
        </w:rPr>
        <w:t xml:space="preserve">ogółem. </w:t>
      </w:r>
      <w:r w:rsidR="003300B1">
        <w:rPr>
          <w:szCs w:val="19"/>
        </w:rPr>
        <w:t xml:space="preserve">Jednocześnie </w:t>
      </w:r>
      <w:r w:rsidR="00922A42">
        <w:rPr>
          <w:szCs w:val="19"/>
        </w:rPr>
        <w:t xml:space="preserve">podmioty te </w:t>
      </w:r>
      <w:r w:rsidRPr="0016262A">
        <w:rPr>
          <w:szCs w:val="19"/>
        </w:rPr>
        <w:t>nabyły od n</w:t>
      </w:r>
      <w:r>
        <w:rPr>
          <w:szCs w:val="19"/>
        </w:rPr>
        <w:t>ierezydentów usługi o wartości 12,3 mld zł (wzrost o 10,6</w:t>
      </w:r>
      <w:r w:rsidRPr="0016262A">
        <w:rPr>
          <w:szCs w:val="19"/>
        </w:rPr>
        <w:t>%)</w:t>
      </w:r>
      <w:r w:rsidR="00922A42">
        <w:rPr>
          <w:szCs w:val="19"/>
        </w:rPr>
        <w:t xml:space="preserve">, co stanowiło 7,8% wartości usług </w:t>
      </w:r>
      <w:r w:rsidR="006E3D1B">
        <w:rPr>
          <w:szCs w:val="19"/>
        </w:rPr>
        <w:t xml:space="preserve">ogółem </w:t>
      </w:r>
      <w:r w:rsidR="00922A42">
        <w:rPr>
          <w:szCs w:val="19"/>
        </w:rPr>
        <w:t xml:space="preserve">nabytych </w:t>
      </w:r>
      <w:r w:rsidR="003300B1">
        <w:rPr>
          <w:szCs w:val="19"/>
        </w:rPr>
        <w:t>od nierezydentów</w:t>
      </w:r>
      <w:r w:rsidRPr="0016262A">
        <w:rPr>
          <w:szCs w:val="19"/>
        </w:rPr>
        <w:t>.</w:t>
      </w:r>
      <w:r>
        <w:rPr>
          <w:szCs w:val="19"/>
        </w:rPr>
        <w:t xml:space="preserve"> </w:t>
      </w:r>
    </w:p>
    <w:p w14:paraId="0C27ED73" w14:textId="6F9BE6F6" w:rsidR="00922A42" w:rsidRPr="0016262A" w:rsidRDefault="00922A42" w:rsidP="00922A42">
      <w:pPr>
        <w:rPr>
          <w:szCs w:val="19"/>
        </w:rPr>
      </w:pPr>
      <w:r w:rsidRPr="0016262A">
        <w:rPr>
          <w:szCs w:val="19"/>
        </w:rPr>
        <w:t xml:space="preserve">W 2018 r. głównym partnerem handlowym </w:t>
      </w:r>
      <w:r w:rsidR="003300B1">
        <w:rPr>
          <w:szCs w:val="19"/>
        </w:rPr>
        <w:t xml:space="preserve">w międzynarodowej wymianie usług </w:t>
      </w:r>
      <w:r w:rsidRPr="0016262A">
        <w:rPr>
          <w:szCs w:val="19"/>
        </w:rPr>
        <w:t xml:space="preserve">przedsiębiorstw </w:t>
      </w:r>
      <w:r>
        <w:rPr>
          <w:szCs w:val="19"/>
        </w:rPr>
        <w:t>prowadzących działalności zaliczane do usług biznesowych</w:t>
      </w:r>
      <w:r w:rsidRPr="0016262A">
        <w:rPr>
          <w:szCs w:val="19"/>
        </w:rPr>
        <w:t xml:space="preserve"> były </w:t>
      </w:r>
      <w:r w:rsidR="003300B1">
        <w:rPr>
          <w:szCs w:val="19"/>
        </w:rPr>
        <w:t xml:space="preserve">– w przypadku </w:t>
      </w:r>
      <w:r w:rsidR="00677FFC">
        <w:rPr>
          <w:szCs w:val="19"/>
        </w:rPr>
        <w:t xml:space="preserve">dostarczania usług nierezydentom - </w:t>
      </w:r>
      <w:r w:rsidRPr="0016262A">
        <w:rPr>
          <w:szCs w:val="19"/>
        </w:rPr>
        <w:t xml:space="preserve">podmioty mające swoją siedzibę w </w:t>
      </w:r>
      <w:r>
        <w:rPr>
          <w:szCs w:val="19"/>
        </w:rPr>
        <w:t>Niemczech</w:t>
      </w:r>
      <w:r w:rsidRPr="0016262A">
        <w:rPr>
          <w:szCs w:val="19"/>
        </w:rPr>
        <w:t xml:space="preserve"> (udział wyni</w:t>
      </w:r>
      <w:r>
        <w:rPr>
          <w:szCs w:val="19"/>
        </w:rPr>
        <w:t>ósł 14</w:t>
      </w:r>
      <w:r w:rsidR="001C1792">
        <w:rPr>
          <w:szCs w:val="19"/>
        </w:rPr>
        <w:t>,</w:t>
      </w:r>
      <w:r>
        <w:rPr>
          <w:szCs w:val="19"/>
        </w:rPr>
        <w:t>8</w:t>
      </w:r>
      <w:r w:rsidRPr="0016262A">
        <w:rPr>
          <w:szCs w:val="19"/>
        </w:rPr>
        <w:t>%</w:t>
      </w:r>
      <w:r w:rsidR="00B207AA">
        <w:rPr>
          <w:szCs w:val="19"/>
        </w:rPr>
        <w:t xml:space="preserve">; spadek o 0,1 p. proc. </w:t>
      </w:r>
      <w:r w:rsidR="001C1792">
        <w:rPr>
          <w:szCs w:val="19"/>
        </w:rPr>
        <w:t>w</w:t>
      </w:r>
      <w:r w:rsidR="00B207AA">
        <w:rPr>
          <w:szCs w:val="19"/>
        </w:rPr>
        <w:t xml:space="preserve"> stosunku do roku poprzedniego</w:t>
      </w:r>
      <w:r w:rsidRPr="0016262A">
        <w:rPr>
          <w:szCs w:val="19"/>
        </w:rPr>
        <w:t xml:space="preserve">), natomiast </w:t>
      </w:r>
      <w:r w:rsidR="00677FFC">
        <w:rPr>
          <w:szCs w:val="19"/>
        </w:rPr>
        <w:t xml:space="preserve">– w przypadku nabywania usług od nierezydentów - </w:t>
      </w:r>
      <w:r w:rsidRPr="0016262A">
        <w:rPr>
          <w:szCs w:val="19"/>
        </w:rPr>
        <w:t>podmioty maj</w:t>
      </w:r>
      <w:r>
        <w:rPr>
          <w:szCs w:val="19"/>
        </w:rPr>
        <w:t>ące swoją siedzibę w Irlandii (udział wyn</w:t>
      </w:r>
      <w:r w:rsidRPr="0016262A">
        <w:rPr>
          <w:szCs w:val="19"/>
        </w:rPr>
        <w:t>i</w:t>
      </w:r>
      <w:r>
        <w:rPr>
          <w:szCs w:val="19"/>
        </w:rPr>
        <w:t>ó</w:t>
      </w:r>
      <w:r w:rsidR="00B207AA">
        <w:rPr>
          <w:szCs w:val="19"/>
        </w:rPr>
        <w:t>sł 16,7</w:t>
      </w:r>
      <w:r w:rsidRPr="0016262A">
        <w:rPr>
          <w:szCs w:val="19"/>
        </w:rPr>
        <w:t>%</w:t>
      </w:r>
      <w:r w:rsidR="00B207AA">
        <w:rPr>
          <w:szCs w:val="19"/>
        </w:rPr>
        <w:t>; wzrost o 3,0 p. proc. w porównaniu z rokiem poprzednim</w:t>
      </w:r>
      <w:r w:rsidRPr="0016262A">
        <w:rPr>
          <w:szCs w:val="19"/>
        </w:rPr>
        <w:t>). Usługi informatyczne stanowiły główne źródło p</w:t>
      </w:r>
      <w:r w:rsidR="00B207AA">
        <w:rPr>
          <w:szCs w:val="19"/>
        </w:rPr>
        <w:t xml:space="preserve">rzychodów, jak i rozchodów tych </w:t>
      </w:r>
      <w:r w:rsidRPr="0016262A">
        <w:rPr>
          <w:szCs w:val="19"/>
        </w:rPr>
        <w:t>podmi</w:t>
      </w:r>
      <w:r w:rsidR="00B207AA">
        <w:rPr>
          <w:szCs w:val="19"/>
        </w:rPr>
        <w:t>otów</w:t>
      </w:r>
      <w:r w:rsidR="00284E91">
        <w:rPr>
          <w:szCs w:val="19"/>
        </w:rPr>
        <w:t>, a ich</w:t>
      </w:r>
      <w:r w:rsidR="00B207AA">
        <w:rPr>
          <w:szCs w:val="19"/>
        </w:rPr>
        <w:t xml:space="preserve"> </w:t>
      </w:r>
      <w:r w:rsidRPr="0016262A">
        <w:rPr>
          <w:szCs w:val="19"/>
        </w:rPr>
        <w:t>udział w strukturze</w:t>
      </w:r>
      <w:r w:rsidR="00B207AA">
        <w:rPr>
          <w:szCs w:val="19"/>
        </w:rPr>
        <w:t xml:space="preserve"> usług dostarczonych stanowił 36</w:t>
      </w:r>
      <w:r w:rsidRPr="0016262A">
        <w:rPr>
          <w:szCs w:val="19"/>
        </w:rPr>
        <w:t>,</w:t>
      </w:r>
      <w:r w:rsidR="00B207AA">
        <w:rPr>
          <w:szCs w:val="19"/>
        </w:rPr>
        <w:t>0</w:t>
      </w:r>
      <w:r w:rsidRPr="0016262A">
        <w:rPr>
          <w:szCs w:val="19"/>
        </w:rPr>
        <w:t>%</w:t>
      </w:r>
      <w:r w:rsidR="00B207AA">
        <w:rPr>
          <w:szCs w:val="19"/>
        </w:rPr>
        <w:t xml:space="preserve"> (wzrost o 0,8 p. proc. w porównani</w:t>
      </w:r>
      <w:r w:rsidR="006E3D1B">
        <w:rPr>
          <w:szCs w:val="19"/>
        </w:rPr>
        <w:t>u z 2017 r.</w:t>
      </w:r>
      <w:r w:rsidR="00C05127">
        <w:rPr>
          <w:szCs w:val="19"/>
        </w:rPr>
        <w:t>)</w:t>
      </w:r>
      <w:r w:rsidRPr="0016262A">
        <w:rPr>
          <w:szCs w:val="19"/>
        </w:rPr>
        <w:t xml:space="preserve">, natomiast </w:t>
      </w:r>
      <w:r w:rsidR="000D574C">
        <w:rPr>
          <w:szCs w:val="19"/>
        </w:rPr>
        <w:t>nabytych – 33,0</w:t>
      </w:r>
      <w:r w:rsidRPr="0016262A">
        <w:rPr>
          <w:szCs w:val="19"/>
        </w:rPr>
        <w:t>%</w:t>
      </w:r>
      <w:r w:rsidR="000D574C">
        <w:rPr>
          <w:szCs w:val="19"/>
        </w:rPr>
        <w:t xml:space="preserve"> (wzrost o 1,5 p. proc. w porównaniu z rokiem poprzednim)</w:t>
      </w:r>
      <w:r w:rsidRPr="0016262A">
        <w:rPr>
          <w:szCs w:val="19"/>
        </w:rPr>
        <w:t>.</w:t>
      </w:r>
    </w:p>
    <w:p w14:paraId="4132912F" w14:textId="037BD46B" w:rsidR="00EB1C99" w:rsidRDefault="00EB1C99" w:rsidP="00EB1C99">
      <w:pPr>
        <w:ind w:left="851" w:hanging="851"/>
        <w:rPr>
          <w:b/>
          <w:sz w:val="18"/>
          <w:szCs w:val="18"/>
          <w:shd w:val="clear" w:color="auto" w:fill="FFFFFF"/>
          <w:vertAlign w:val="superscript"/>
        </w:rPr>
      </w:pPr>
      <w:r w:rsidRPr="0016262A">
        <w:rPr>
          <w:noProof/>
          <w:lang w:eastAsia="pl-PL"/>
        </w:rPr>
        <w:drawing>
          <wp:anchor distT="0" distB="0" distL="114300" distR="114300" simplePos="0" relativeHeight="251833344" behindDoc="0" locked="0" layoutInCell="1" allowOverlap="1" wp14:anchorId="183F43FD" wp14:editId="4F474A0F">
            <wp:simplePos x="0" y="0"/>
            <wp:positionH relativeFrom="margin">
              <wp:align>left</wp:align>
            </wp:positionH>
            <wp:positionV relativeFrom="paragraph">
              <wp:posOffset>368300</wp:posOffset>
            </wp:positionV>
            <wp:extent cx="5173980" cy="3710940"/>
            <wp:effectExtent l="0" t="0" r="7620" b="381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3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 xml:space="preserve">Struktura geograficzna usług dostarczonych i nabytych w obrocie międzynarodowym przez podmioty </w:t>
      </w:r>
      <w:r w:rsidR="00525D60">
        <w:rPr>
          <w:b/>
          <w:sz w:val="18"/>
          <w:szCs w:val="18"/>
          <w:shd w:val="clear" w:color="auto" w:fill="FFFFFF"/>
        </w:rPr>
        <w:t>świadczące</w:t>
      </w:r>
      <w:r>
        <w:rPr>
          <w:b/>
          <w:sz w:val="18"/>
          <w:szCs w:val="18"/>
          <w:shd w:val="clear" w:color="auto" w:fill="FFFFFF"/>
        </w:rPr>
        <w:t xml:space="preserve"> usług</w:t>
      </w:r>
      <w:r w:rsidR="00525D60">
        <w:rPr>
          <w:b/>
          <w:sz w:val="18"/>
          <w:szCs w:val="18"/>
          <w:shd w:val="clear" w:color="auto" w:fill="FFFFFF"/>
        </w:rPr>
        <w:t>i</w:t>
      </w:r>
      <w:r>
        <w:rPr>
          <w:b/>
          <w:sz w:val="18"/>
          <w:szCs w:val="18"/>
          <w:shd w:val="clear" w:color="auto" w:fill="FFFFFF"/>
        </w:rPr>
        <w:t xml:space="preserve"> biznesow</w:t>
      </w:r>
      <w:r w:rsidR="00525D60">
        <w:rPr>
          <w:b/>
          <w:sz w:val="18"/>
          <w:szCs w:val="18"/>
          <w:shd w:val="clear" w:color="auto" w:fill="FFFFFF"/>
        </w:rPr>
        <w:t>e</w:t>
      </w:r>
      <w:r w:rsidR="003C7DF8">
        <w:rPr>
          <w:b/>
          <w:sz w:val="18"/>
          <w:szCs w:val="18"/>
          <w:shd w:val="clear" w:color="auto" w:fill="FFFFFF"/>
        </w:rPr>
        <w:t xml:space="preserve"> w 2018 r.</w:t>
      </w:r>
    </w:p>
    <w:p w14:paraId="10686669" w14:textId="77777777" w:rsidR="00D6333E" w:rsidRDefault="00D6333E" w:rsidP="00A248F5">
      <w:pPr>
        <w:rPr>
          <w:szCs w:val="19"/>
        </w:rPr>
      </w:pPr>
    </w:p>
    <w:p w14:paraId="333196A5" w14:textId="09E58264" w:rsidR="00D6333E" w:rsidRDefault="00D6333E" w:rsidP="00D6333E">
      <w:pPr>
        <w:ind w:left="851" w:hanging="851"/>
        <w:rPr>
          <w:b/>
          <w:sz w:val="18"/>
          <w:szCs w:val="18"/>
          <w:shd w:val="clear" w:color="auto" w:fill="FFFFFF"/>
        </w:rPr>
      </w:pPr>
      <w:r w:rsidRPr="00CB4AF0">
        <w:rPr>
          <w:noProof/>
          <w:lang w:eastAsia="pl-PL"/>
        </w:rPr>
        <w:lastRenderedPageBreak/>
        <w:drawing>
          <wp:anchor distT="0" distB="0" distL="114300" distR="114300" simplePos="0" relativeHeight="251835392" behindDoc="0" locked="0" layoutInCell="1" allowOverlap="1" wp14:anchorId="404D99FD" wp14:editId="05642C62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5173345" cy="2766060"/>
            <wp:effectExtent l="0" t="0" r="8255" b="0"/>
            <wp:wrapSquare wrapText="bothSides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>Wykres 4</w:t>
      </w:r>
      <w:r w:rsidRPr="00C96FAB">
        <w:rPr>
          <w:b/>
          <w:sz w:val="18"/>
          <w:szCs w:val="18"/>
        </w:rPr>
        <w:t>.</w:t>
      </w:r>
      <w:r w:rsidRPr="00C96FAB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 xml:space="preserve">Struktura usług dostarczonych i nabytych w obrocie międzynarodowym przez podmioty </w:t>
      </w:r>
      <w:r w:rsidR="008D195A">
        <w:rPr>
          <w:b/>
          <w:sz w:val="18"/>
          <w:szCs w:val="18"/>
          <w:shd w:val="clear" w:color="auto" w:fill="FFFFFF"/>
        </w:rPr>
        <w:t>świadczące</w:t>
      </w:r>
      <w:r>
        <w:rPr>
          <w:b/>
          <w:sz w:val="18"/>
          <w:szCs w:val="18"/>
          <w:shd w:val="clear" w:color="auto" w:fill="FFFFFF"/>
        </w:rPr>
        <w:t xml:space="preserve"> usług</w:t>
      </w:r>
      <w:r w:rsidR="008D195A">
        <w:rPr>
          <w:b/>
          <w:sz w:val="18"/>
          <w:szCs w:val="18"/>
          <w:shd w:val="clear" w:color="auto" w:fill="FFFFFF"/>
        </w:rPr>
        <w:t>i</w:t>
      </w:r>
      <w:r>
        <w:rPr>
          <w:b/>
          <w:sz w:val="18"/>
          <w:szCs w:val="18"/>
          <w:shd w:val="clear" w:color="auto" w:fill="FFFFFF"/>
        </w:rPr>
        <w:t xml:space="preserve"> biznesow</w:t>
      </w:r>
      <w:r w:rsidR="008D195A">
        <w:rPr>
          <w:b/>
          <w:sz w:val="18"/>
          <w:szCs w:val="18"/>
          <w:shd w:val="clear" w:color="auto" w:fill="FFFFFF"/>
        </w:rPr>
        <w:t>e</w:t>
      </w:r>
      <w:r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  <w:vertAlign w:val="superscript"/>
        </w:rPr>
        <w:t xml:space="preserve"> </w:t>
      </w:r>
      <w:r w:rsidRPr="00754059">
        <w:rPr>
          <w:b/>
          <w:sz w:val="18"/>
          <w:szCs w:val="18"/>
          <w:shd w:val="clear" w:color="auto" w:fill="FFFFFF"/>
        </w:rPr>
        <w:t xml:space="preserve">według rodzaju </w:t>
      </w:r>
      <w:r>
        <w:rPr>
          <w:b/>
          <w:sz w:val="18"/>
          <w:szCs w:val="18"/>
          <w:shd w:val="clear" w:color="auto" w:fill="FFFFFF"/>
        </w:rPr>
        <w:t xml:space="preserve">świadczonych </w:t>
      </w:r>
      <w:r w:rsidRPr="00754059">
        <w:rPr>
          <w:b/>
          <w:sz w:val="18"/>
          <w:szCs w:val="18"/>
          <w:shd w:val="clear" w:color="auto" w:fill="FFFFFF"/>
        </w:rPr>
        <w:t>usług</w:t>
      </w:r>
      <w:r w:rsidR="003C7DF8">
        <w:rPr>
          <w:b/>
          <w:sz w:val="18"/>
          <w:szCs w:val="18"/>
          <w:shd w:val="clear" w:color="auto" w:fill="FFFFFF"/>
        </w:rPr>
        <w:t xml:space="preserve"> w 2018 r.</w:t>
      </w:r>
    </w:p>
    <w:p w14:paraId="22B5A044" w14:textId="5F8C8E9C" w:rsidR="00A248F5" w:rsidRPr="00561734" w:rsidRDefault="00D6333E" w:rsidP="00561734">
      <w:pPr>
        <w:pStyle w:val="Nagwek1"/>
        <w:rPr>
          <w:rFonts w:ascii="Fira Sans" w:hAnsi="Fira Sans"/>
          <w:color w:val="auto"/>
          <w:sz w:val="18"/>
          <w:szCs w:val="18"/>
        </w:rPr>
      </w:pPr>
      <w:r w:rsidRPr="00C553C0">
        <w:rPr>
          <w:rFonts w:ascii="Fira Sans" w:hAnsi="Fira Sans"/>
          <w:color w:val="auto"/>
          <w:sz w:val="18"/>
          <w:szCs w:val="18"/>
        </w:rPr>
        <w:t>u. - usługi</w:t>
      </w:r>
    </w:p>
    <w:p w14:paraId="2A13C982" w14:textId="77777777" w:rsidR="00BE78E6" w:rsidRPr="00977025" w:rsidRDefault="00BE78E6" w:rsidP="00BE78E6">
      <w:pPr>
        <w:pStyle w:val="Nagwek1"/>
      </w:pPr>
      <w:r w:rsidRPr="00977025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57FDF53F" wp14:editId="44B663B4">
                <wp:simplePos x="0" y="0"/>
                <wp:positionH relativeFrom="column">
                  <wp:posOffset>5234906</wp:posOffset>
                </wp:positionH>
                <wp:positionV relativeFrom="paragraph">
                  <wp:posOffset>89672</wp:posOffset>
                </wp:positionV>
                <wp:extent cx="1725295" cy="1284605"/>
                <wp:effectExtent l="0" t="0" r="0" b="0"/>
                <wp:wrapTight wrapText="bothSides">
                  <wp:wrapPolygon edited="0">
                    <wp:start x="715" y="0"/>
                    <wp:lineTo x="715" y="21141"/>
                    <wp:lineTo x="20749" y="21141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84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6727" w14:textId="4D4A8068" w:rsidR="006A0F3D" w:rsidRPr="00381FF6" w:rsidRDefault="006A0F3D" w:rsidP="00BE78E6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381FF6">
                              <w:rPr>
                                <w:color w:val="auto"/>
                              </w:rPr>
                              <w:t>Odnotowano poprawę wskaźników rentowności brutto i netto oraz poziomu kosztów z całokształtu działalności podmiotów prowadzących działalności z branży informatycznej</w:t>
                            </w:r>
                          </w:p>
                          <w:p w14:paraId="11360E40" w14:textId="77777777" w:rsidR="006A0F3D" w:rsidRPr="00D616D2" w:rsidRDefault="006A0F3D" w:rsidP="00BE78E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c="http://schemas.openxmlformats.org/drawingml/2006/chart" xmlns:a="http://schemas.openxmlformats.org/drawingml/2006/main">
            <w:pict>
              <v:shape id="Pole tekstowe 16" style="position:absolute;margin-left:412.2pt;margin-top:7.05pt;width:135.85pt;height:101.1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" w14:anchorId="57FDF53F">
                <v:textbox>
                  <w:txbxContent>
                    <w:p w:rsidRPr="00381FF6" w:rsidR="006A0F3D" w:rsidP="00BE78E6" w:rsidRDefault="006A0F3D" w14:paraId="2E446727" w14:textId="4D4A8068">
                      <w:pPr>
                        <w:pStyle w:val="tekstzboku"/>
                        <w:rPr>
                          <w:color w:val="auto"/>
                        </w:rPr>
                      </w:pPr>
                      <w:r w:rsidRPr="00381FF6">
                        <w:rPr>
                          <w:color w:val="auto"/>
                        </w:rPr>
                        <w:t>Odnotowano poprawę wskaźników rentowności brutto i netto oraz poziomu kosztów z całokształtu działalności podmiotów prowadzących działalności z branży informatycznej</w:t>
                      </w:r>
                    </w:p>
                    <w:p w:rsidRPr="00D616D2" w:rsidR="006A0F3D" w:rsidP="00BE78E6" w:rsidRDefault="006A0F3D" w14:paraId="11360E40" w14:textId="7777777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77025">
        <w:t>Działalności z branży informatycznej</w:t>
      </w:r>
      <w:bookmarkStart w:id="3" w:name="_Ref524339216"/>
      <w:r w:rsidRPr="00977025">
        <w:rPr>
          <w:rStyle w:val="Odwoanieprzypisudolnego"/>
        </w:rPr>
        <w:footnoteReference w:id="5"/>
      </w:r>
      <w:bookmarkEnd w:id="3"/>
    </w:p>
    <w:p w14:paraId="54265365" w14:textId="638EE1EC" w:rsidR="00BE78E6" w:rsidRPr="00381FF6" w:rsidRDefault="003F73BA" w:rsidP="00BE78E6">
      <w:pPr>
        <w:rPr>
          <w:szCs w:val="19"/>
          <w:shd w:val="clear" w:color="auto" w:fill="FFFFFF"/>
        </w:rPr>
      </w:pPr>
      <w:r w:rsidRPr="009575EB">
        <w:rPr>
          <w:szCs w:val="19"/>
          <w:shd w:val="clear" w:color="auto" w:fill="FFFFFF"/>
        </w:rPr>
        <w:t>W 201</w:t>
      </w:r>
      <w:r w:rsidR="005E273F" w:rsidRPr="009575EB">
        <w:rPr>
          <w:szCs w:val="19"/>
          <w:shd w:val="clear" w:color="auto" w:fill="FFFFFF"/>
        </w:rPr>
        <w:t>8</w:t>
      </w:r>
      <w:r w:rsidR="00BE78E6" w:rsidRPr="009575EB">
        <w:rPr>
          <w:szCs w:val="19"/>
          <w:shd w:val="clear" w:color="auto" w:fill="FFFFFF"/>
        </w:rPr>
        <w:t xml:space="preserve"> r. wartość obrotów wygenerowanych przez przedsiębiorstwa</w:t>
      </w:r>
      <w:r w:rsidR="00C442E5" w:rsidRPr="009575EB">
        <w:rPr>
          <w:szCs w:val="19"/>
          <w:shd w:val="clear" w:color="auto" w:fill="FFFFFF"/>
          <w:vertAlign w:val="superscript"/>
        </w:rPr>
        <w:t xml:space="preserve"> </w:t>
      </w:r>
      <w:r w:rsidR="00C442E5" w:rsidRPr="009575EB">
        <w:rPr>
          <w:szCs w:val="19"/>
          <w:shd w:val="clear" w:color="auto" w:fill="FFFFFF"/>
        </w:rPr>
        <w:t xml:space="preserve">prowadzące działalności </w:t>
      </w:r>
      <w:r w:rsidR="000A1552">
        <w:rPr>
          <w:szCs w:val="19"/>
          <w:shd w:val="clear" w:color="auto" w:fill="FFFFFF"/>
        </w:rPr>
        <w:t xml:space="preserve">z branży </w:t>
      </w:r>
      <w:r w:rsidR="00C442E5" w:rsidRPr="009575EB">
        <w:rPr>
          <w:szCs w:val="19"/>
          <w:shd w:val="clear" w:color="auto" w:fill="FFFFFF"/>
        </w:rPr>
        <w:t>informatyczne</w:t>
      </w:r>
      <w:r w:rsidR="000A1552">
        <w:rPr>
          <w:szCs w:val="19"/>
          <w:shd w:val="clear" w:color="auto" w:fill="FFFFFF"/>
        </w:rPr>
        <w:t>j</w:t>
      </w:r>
      <w:r w:rsidR="004A2A5D" w:rsidRPr="009575EB">
        <w:rPr>
          <w:szCs w:val="19"/>
          <w:shd w:val="clear" w:color="auto" w:fill="FFFFFF"/>
          <w:vertAlign w:val="superscript"/>
        </w:rPr>
        <w:t xml:space="preserve"> </w:t>
      </w:r>
      <w:r w:rsidR="00BE78E6" w:rsidRPr="009575EB">
        <w:rPr>
          <w:szCs w:val="19"/>
          <w:shd w:val="clear" w:color="auto" w:fill="FFFFFF"/>
        </w:rPr>
        <w:t>osiągnęła</w:t>
      </w:r>
      <w:r w:rsidR="009575EB" w:rsidRPr="009575EB">
        <w:rPr>
          <w:szCs w:val="19"/>
          <w:shd w:val="clear" w:color="auto" w:fill="FFFFFF"/>
        </w:rPr>
        <w:t xml:space="preserve"> </w:t>
      </w:r>
      <w:r w:rsidR="005E273F" w:rsidRPr="009575EB">
        <w:rPr>
          <w:szCs w:val="19"/>
          <w:shd w:val="clear" w:color="auto" w:fill="FFFFFF"/>
        </w:rPr>
        <w:t>82,0</w:t>
      </w:r>
      <w:r w:rsidR="000A1552">
        <w:rPr>
          <w:szCs w:val="19"/>
          <w:shd w:val="clear" w:color="auto" w:fill="FFFFFF"/>
        </w:rPr>
        <w:t xml:space="preserve"> </w:t>
      </w:r>
      <w:r w:rsidR="00BE78E6" w:rsidRPr="009575EB">
        <w:rPr>
          <w:szCs w:val="19"/>
          <w:shd w:val="clear" w:color="auto" w:fill="FFFFFF"/>
        </w:rPr>
        <w:t xml:space="preserve">mld zł </w:t>
      </w:r>
      <w:r w:rsidR="009575EB" w:rsidRPr="009575EB">
        <w:rPr>
          <w:szCs w:val="19"/>
          <w:shd w:val="clear" w:color="auto" w:fill="FFFFFF"/>
        </w:rPr>
        <w:t>p</w:t>
      </w:r>
      <w:r w:rsidR="00BE78E6" w:rsidRPr="009575EB">
        <w:rPr>
          <w:szCs w:val="19"/>
          <w:shd w:val="clear" w:color="auto" w:fill="FFFFFF"/>
        </w:rPr>
        <w:t>rzy liczb</w:t>
      </w:r>
      <w:r w:rsidR="0077422E" w:rsidRPr="009575EB">
        <w:rPr>
          <w:szCs w:val="19"/>
          <w:shd w:val="clear" w:color="auto" w:fill="FFFFFF"/>
        </w:rPr>
        <w:t>ie</w:t>
      </w:r>
      <w:r w:rsidR="00BE78E6" w:rsidRPr="009575EB">
        <w:rPr>
          <w:szCs w:val="19"/>
          <w:shd w:val="clear" w:color="auto" w:fill="FFFFFF"/>
        </w:rPr>
        <w:t xml:space="preserve"> przedsiębiorstw </w:t>
      </w:r>
      <w:r w:rsidR="0077422E" w:rsidRPr="009575EB">
        <w:rPr>
          <w:szCs w:val="19"/>
          <w:shd w:val="clear" w:color="auto" w:fill="FFFFFF"/>
        </w:rPr>
        <w:t>na</w:t>
      </w:r>
      <w:r w:rsidR="009575EB" w:rsidRPr="009575EB">
        <w:rPr>
          <w:szCs w:val="19"/>
          <w:shd w:val="clear" w:color="auto" w:fill="FFFFFF"/>
        </w:rPr>
        <w:t xml:space="preserve"> </w:t>
      </w:r>
      <w:r w:rsidR="00BE78E6" w:rsidRPr="009575EB">
        <w:rPr>
          <w:szCs w:val="19"/>
          <w:shd w:val="clear" w:color="auto" w:fill="FFFFFF"/>
        </w:rPr>
        <w:t>poziom</w:t>
      </w:r>
      <w:r w:rsidR="0077422E" w:rsidRPr="009575EB">
        <w:rPr>
          <w:szCs w:val="19"/>
          <w:shd w:val="clear" w:color="auto" w:fill="FFFFFF"/>
        </w:rPr>
        <w:t>ie</w:t>
      </w:r>
      <w:r w:rsidR="009575EB" w:rsidRPr="009575EB">
        <w:rPr>
          <w:szCs w:val="19"/>
          <w:shd w:val="clear" w:color="auto" w:fill="FFFFFF"/>
        </w:rPr>
        <w:t xml:space="preserve"> </w:t>
      </w:r>
      <w:r w:rsidR="0077422E" w:rsidRPr="009575EB">
        <w:rPr>
          <w:szCs w:val="19"/>
          <w:shd w:val="clear" w:color="auto" w:fill="FFFFFF"/>
        </w:rPr>
        <w:t>94,4</w:t>
      </w:r>
      <w:r w:rsidR="000A1552">
        <w:rPr>
          <w:szCs w:val="19"/>
          <w:shd w:val="clear" w:color="auto" w:fill="FFFFFF"/>
        </w:rPr>
        <w:t> </w:t>
      </w:r>
      <w:r w:rsidR="00BE78E6" w:rsidRPr="009575EB">
        <w:rPr>
          <w:szCs w:val="19"/>
          <w:shd w:val="clear" w:color="auto" w:fill="FFFFFF"/>
        </w:rPr>
        <w:t xml:space="preserve">tys. oraz </w:t>
      </w:r>
      <w:r w:rsidR="0077422E" w:rsidRPr="009575EB">
        <w:rPr>
          <w:szCs w:val="19"/>
          <w:shd w:val="clear" w:color="auto" w:fill="FFFFFF"/>
        </w:rPr>
        <w:t xml:space="preserve">liczbie </w:t>
      </w:r>
      <w:r w:rsidR="00BE78E6" w:rsidRPr="009575EB">
        <w:rPr>
          <w:szCs w:val="19"/>
          <w:shd w:val="clear" w:color="auto" w:fill="FFFFFF"/>
        </w:rPr>
        <w:t xml:space="preserve">pracujących </w:t>
      </w:r>
      <w:r w:rsidR="0077422E" w:rsidRPr="009575EB">
        <w:rPr>
          <w:szCs w:val="19"/>
          <w:shd w:val="clear" w:color="auto" w:fill="FFFFFF"/>
        </w:rPr>
        <w:t>na poziomie 270 tys.</w:t>
      </w:r>
      <w:r w:rsidR="009575EB" w:rsidRPr="009575EB">
        <w:rPr>
          <w:szCs w:val="19"/>
          <w:shd w:val="clear" w:color="auto" w:fill="FFFFFF"/>
        </w:rPr>
        <w:t xml:space="preserve"> </w:t>
      </w:r>
      <w:r w:rsidR="00BE78E6" w:rsidRPr="00381FF6">
        <w:rPr>
          <w:szCs w:val="19"/>
          <w:shd w:val="clear" w:color="auto" w:fill="FFFFFF"/>
        </w:rPr>
        <w:t xml:space="preserve">Zaobserwowano </w:t>
      </w:r>
      <w:r w:rsidR="00D36281" w:rsidRPr="00381FF6">
        <w:rPr>
          <w:szCs w:val="19"/>
          <w:shd w:val="clear" w:color="auto" w:fill="FFFFFF"/>
        </w:rPr>
        <w:t>poprawę zarówno</w:t>
      </w:r>
      <w:r w:rsidR="00BE78E6" w:rsidRPr="00381FF6">
        <w:rPr>
          <w:szCs w:val="19"/>
          <w:shd w:val="clear" w:color="auto" w:fill="FFFFFF"/>
        </w:rPr>
        <w:t xml:space="preserve"> wskaźnika rentowności obrotu brutto</w:t>
      </w:r>
      <w:bookmarkStart w:id="4" w:name="_Ref524335706"/>
      <w:r w:rsidR="00891D75" w:rsidRPr="00381FF6">
        <w:rPr>
          <w:rStyle w:val="Odwoanieprzypisudolnego"/>
          <w:szCs w:val="19"/>
          <w:shd w:val="clear" w:color="auto" w:fill="FFFFFF"/>
        </w:rPr>
        <w:footnoteReference w:id="6"/>
      </w:r>
      <w:bookmarkEnd w:id="4"/>
      <w:r w:rsidR="00102CE8" w:rsidRPr="00381FF6">
        <w:rPr>
          <w:szCs w:val="19"/>
          <w:shd w:val="clear" w:color="auto" w:fill="FFFFFF"/>
        </w:rPr>
        <w:t xml:space="preserve"> (z </w:t>
      </w:r>
      <w:r w:rsidR="00381FF6" w:rsidRPr="00381FF6">
        <w:rPr>
          <w:szCs w:val="19"/>
          <w:shd w:val="clear" w:color="auto" w:fill="FFFFFF"/>
        </w:rPr>
        <w:t>6</w:t>
      </w:r>
      <w:r w:rsidR="00BE78E6" w:rsidRPr="00381FF6">
        <w:rPr>
          <w:szCs w:val="19"/>
          <w:shd w:val="clear" w:color="auto" w:fill="FFFFFF"/>
        </w:rPr>
        <w:t>,</w:t>
      </w:r>
      <w:r w:rsidR="00381FF6" w:rsidRPr="00381FF6">
        <w:rPr>
          <w:szCs w:val="19"/>
          <w:shd w:val="clear" w:color="auto" w:fill="FFFFFF"/>
        </w:rPr>
        <w:t>5</w:t>
      </w:r>
      <w:r w:rsidR="00BE78E6" w:rsidRPr="00381FF6">
        <w:rPr>
          <w:szCs w:val="19"/>
          <w:shd w:val="clear" w:color="auto" w:fill="FFFFFF"/>
        </w:rPr>
        <w:t>% w 201</w:t>
      </w:r>
      <w:r w:rsidR="00381FF6" w:rsidRPr="00381FF6">
        <w:rPr>
          <w:szCs w:val="19"/>
          <w:shd w:val="clear" w:color="auto" w:fill="FFFFFF"/>
        </w:rPr>
        <w:t>7</w:t>
      </w:r>
      <w:r w:rsidR="00BE78E6" w:rsidRPr="00381FF6">
        <w:rPr>
          <w:szCs w:val="19"/>
          <w:shd w:val="clear" w:color="auto" w:fill="FFFFFF"/>
        </w:rPr>
        <w:t xml:space="preserve"> r. do </w:t>
      </w:r>
      <w:r w:rsidR="00381FF6" w:rsidRPr="00381FF6">
        <w:rPr>
          <w:szCs w:val="19"/>
          <w:shd w:val="clear" w:color="auto" w:fill="FFFFFF"/>
        </w:rPr>
        <w:t>9</w:t>
      </w:r>
      <w:r w:rsidR="00BE78E6" w:rsidRPr="00381FF6">
        <w:rPr>
          <w:szCs w:val="19"/>
          <w:shd w:val="clear" w:color="auto" w:fill="FFFFFF"/>
        </w:rPr>
        <w:t>,</w:t>
      </w:r>
      <w:r w:rsidR="00381FF6" w:rsidRPr="00381FF6">
        <w:rPr>
          <w:szCs w:val="19"/>
          <w:shd w:val="clear" w:color="auto" w:fill="FFFFFF"/>
        </w:rPr>
        <w:t>1</w:t>
      </w:r>
      <w:r w:rsidR="00BE78E6" w:rsidRPr="00381FF6">
        <w:rPr>
          <w:szCs w:val="19"/>
          <w:shd w:val="clear" w:color="auto" w:fill="FFFFFF"/>
        </w:rPr>
        <w:t>% w 201</w:t>
      </w:r>
      <w:r w:rsidR="00381FF6" w:rsidRPr="00381FF6">
        <w:rPr>
          <w:szCs w:val="19"/>
          <w:shd w:val="clear" w:color="auto" w:fill="FFFFFF"/>
        </w:rPr>
        <w:t>8</w:t>
      </w:r>
      <w:r w:rsidR="00BE78E6" w:rsidRPr="00381FF6">
        <w:rPr>
          <w:szCs w:val="19"/>
          <w:shd w:val="clear" w:color="auto" w:fill="FFFFFF"/>
        </w:rPr>
        <w:t xml:space="preserve"> r.), jak i netto</w:t>
      </w:r>
      <w:bookmarkStart w:id="5" w:name="_Ref524335721"/>
      <w:r w:rsidR="00891D75" w:rsidRPr="00381FF6">
        <w:rPr>
          <w:rStyle w:val="Odwoanieprzypisudolnego"/>
          <w:szCs w:val="19"/>
          <w:shd w:val="clear" w:color="auto" w:fill="FFFFFF"/>
        </w:rPr>
        <w:footnoteReference w:id="7"/>
      </w:r>
      <w:bookmarkEnd w:id="5"/>
      <w:r w:rsidR="00BE78E6" w:rsidRPr="00381FF6">
        <w:rPr>
          <w:szCs w:val="19"/>
          <w:shd w:val="clear" w:color="auto" w:fill="FFFFFF"/>
        </w:rPr>
        <w:t xml:space="preserve"> (z </w:t>
      </w:r>
      <w:r w:rsidR="00381FF6">
        <w:rPr>
          <w:szCs w:val="19"/>
          <w:shd w:val="clear" w:color="auto" w:fill="FFFFFF"/>
        </w:rPr>
        <w:t>5</w:t>
      </w:r>
      <w:r w:rsidR="00102CE8" w:rsidRPr="00381FF6">
        <w:rPr>
          <w:szCs w:val="19"/>
          <w:shd w:val="clear" w:color="auto" w:fill="FFFFFF"/>
        </w:rPr>
        <w:t>,</w:t>
      </w:r>
      <w:r w:rsidR="00381FF6">
        <w:rPr>
          <w:szCs w:val="19"/>
          <w:shd w:val="clear" w:color="auto" w:fill="FFFFFF"/>
        </w:rPr>
        <w:t>5</w:t>
      </w:r>
      <w:r w:rsidR="00BE78E6" w:rsidRPr="00381FF6">
        <w:rPr>
          <w:szCs w:val="19"/>
          <w:shd w:val="clear" w:color="auto" w:fill="FFFFFF"/>
        </w:rPr>
        <w:t>% w 201</w:t>
      </w:r>
      <w:r w:rsidR="00381FF6" w:rsidRPr="00381FF6">
        <w:rPr>
          <w:szCs w:val="19"/>
          <w:shd w:val="clear" w:color="auto" w:fill="FFFFFF"/>
        </w:rPr>
        <w:t>7</w:t>
      </w:r>
      <w:r w:rsidR="00BE78E6" w:rsidRPr="00381FF6">
        <w:rPr>
          <w:szCs w:val="19"/>
          <w:shd w:val="clear" w:color="auto" w:fill="FFFFFF"/>
        </w:rPr>
        <w:t xml:space="preserve"> r. do </w:t>
      </w:r>
      <w:r w:rsidR="00381FF6" w:rsidRPr="00381FF6">
        <w:rPr>
          <w:szCs w:val="19"/>
          <w:shd w:val="clear" w:color="auto" w:fill="FFFFFF"/>
        </w:rPr>
        <w:t>7</w:t>
      </w:r>
      <w:r w:rsidR="00BE78E6" w:rsidRPr="00381FF6">
        <w:rPr>
          <w:szCs w:val="19"/>
          <w:shd w:val="clear" w:color="auto" w:fill="FFFFFF"/>
        </w:rPr>
        <w:t>,</w:t>
      </w:r>
      <w:r w:rsidR="00102CE8" w:rsidRPr="00381FF6">
        <w:rPr>
          <w:szCs w:val="19"/>
          <w:shd w:val="clear" w:color="auto" w:fill="FFFFFF"/>
        </w:rPr>
        <w:t>5</w:t>
      </w:r>
      <w:r w:rsidR="00BE78E6" w:rsidRPr="00381FF6">
        <w:rPr>
          <w:szCs w:val="19"/>
          <w:shd w:val="clear" w:color="auto" w:fill="FFFFFF"/>
        </w:rPr>
        <w:t>%</w:t>
      </w:r>
      <w:r w:rsidR="00012C83" w:rsidRPr="00381FF6">
        <w:rPr>
          <w:szCs w:val="19"/>
          <w:shd w:val="clear" w:color="auto" w:fill="FFFFFF"/>
        </w:rPr>
        <w:t xml:space="preserve"> </w:t>
      </w:r>
      <w:r w:rsidR="00BE78E6" w:rsidRPr="00381FF6">
        <w:rPr>
          <w:szCs w:val="19"/>
          <w:shd w:val="clear" w:color="auto" w:fill="FFFFFF"/>
        </w:rPr>
        <w:t>w</w:t>
      </w:r>
      <w:r w:rsidR="0064184F" w:rsidRPr="00381FF6">
        <w:rPr>
          <w:szCs w:val="19"/>
          <w:shd w:val="clear" w:color="auto" w:fill="FFFFFF"/>
        </w:rPr>
        <w:t> </w:t>
      </w:r>
      <w:r w:rsidR="00102CE8" w:rsidRPr="00381FF6">
        <w:rPr>
          <w:szCs w:val="19"/>
          <w:shd w:val="clear" w:color="auto" w:fill="FFFFFF"/>
        </w:rPr>
        <w:t>201</w:t>
      </w:r>
      <w:r w:rsidR="00381FF6" w:rsidRPr="00381FF6">
        <w:rPr>
          <w:szCs w:val="19"/>
          <w:shd w:val="clear" w:color="auto" w:fill="FFFFFF"/>
        </w:rPr>
        <w:t>8</w:t>
      </w:r>
      <w:r w:rsidR="0064184F" w:rsidRPr="00381FF6">
        <w:rPr>
          <w:szCs w:val="19"/>
          <w:shd w:val="clear" w:color="auto" w:fill="FFFFFF"/>
        </w:rPr>
        <w:t> </w:t>
      </w:r>
      <w:r w:rsidR="00BE78E6" w:rsidRPr="00381FF6">
        <w:rPr>
          <w:szCs w:val="19"/>
          <w:shd w:val="clear" w:color="auto" w:fill="FFFFFF"/>
        </w:rPr>
        <w:t xml:space="preserve">r.). </w:t>
      </w:r>
      <w:r w:rsidR="00284E91">
        <w:rPr>
          <w:szCs w:val="19"/>
          <w:shd w:val="clear" w:color="auto" w:fill="FFFFFF"/>
        </w:rPr>
        <w:t>Odnotowano także</w:t>
      </w:r>
      <w:r w:rsidR="00985418" w:rsidRPr="00381FF6">
        <w:rPr>
          <w:szCs w:val="19"/>
          <w:shd w:val="clear" w:color="auto" w:fill="FFFFFF"/>
        </w:rPr>
        <w:t xml:space="preserve"> po</w:t>
      </w:r>
      <w:r w:rsidR="00381FF6" w:rsidRPr="00381FF6">
        <w:rPr>
          <w:szCs w:val="19"/>
          <w:shd w:val="clear" w:color="auto" w:fill="FFFFFF"/>
        </w:rPr>
        <w:t>prawę</w:t>
      </w:r>
      <w:r w:rsidR="00985418" w:rsidRPr="00381FF6">
        <w:rPr>
          <w:szCs w:val="19"/>
          <w:shd w:val="clear" w:color="auto" w:fill="FFFFFF"/>
        </w:rPr>
        <w:t xml:space="preserve"> w</w:t>
      </w:r>
      <w:r w:rsidR="00BE78E6" w:rsidRPr="00381FF6">
        <w:rPr>
          <w:szCs w:val="19"/>
          <w:shd w:val="clear" w:color="auto" w:fill="FFFFFF"/>
        </w:rPr>
        <w:t>skaźnik</w:t>
      </w:r>
      <w:r w:rsidR="00985418" w:rsidRPr="00381FF6">
        <w:rPr>
          <w:szCs w:val="19"/>
          <w:shd w:val="clear" w:color="auto" w:fill="FFFFFF"/>
        </w:rPr>
        <w:t>a</w:t>
      </w:r>
      <w:r w:rsidR="00BE78E6" w:rsidRPr="00381FF6">
        <w:rPr>
          <w:szCs w:val="19"/>
          <w:shd w:val="clear" w:color="auto" w:fill="FFFFFF"/>
        </w:rPr>
        <w:t xml:space="preserve"> poziomu kosztów z całokształtu działalności</w:t>
      </w:r>
      <w:bookmarkStart w:id="6" w:name="_Ref524335741"/>
      <w:r w:rsidR="00916383" w:rsidRPr="00381FF6">
        <w:rPr>
          <w:rStyle w:val="Odwoanieprzypisudolnego"/>
          <w:szCs w:val="19"/>
          <w:shd w:val="clear" w:color="auto" w:fill="FFFFFF"/>
        </w:rPr>
        <w:footnoteReference w:id="8"/>
      </w:r>
      <w:bookmarkEnd w:id="6"/>
      <w:r w:rsidR="00985418" w:rsidRPr="00381FF6">
        <w:rPr>
          <w:szCs w:val="19"/>
          <w:shd w:val="clear" w:color="auto" w:fill="FFFFFF"/>
        </w:rPr>
        <w:t>, który</w:t>
      </w:r>
      <w:r w:rsidR="00102CE8" w:rsidRPr="00381FF6">
        <w:rPr>
          <w:szCs w:val="19"/>
          <w:shd w:val="clear" w:color="auto" w:fill="FFFFFF"/>
        </w:rPr>
        <w:t xml:space="preserve"> wyniósł 9</w:t>
      </w:r>
      <w:r w:rsidR="00381FF6" w:rsidRPr="00381FF6">
        <w:rPr>
          <w:szCs w:val="19"/>
          <w:shd w:val="clear" w:color="auto" w:fill="FFFFFF"/>
        </w:rPr>
        <w:t>1</w:t>
      </w:r>
      <w:r w:rsidR="00BE78E6" w:rsidRPr="00381FF6">
        <w:rPr>
          <w:szCs w:val="19"/>
          <w:shd w:val="clear" w:color="auto" w:fill="FFFFFF"/>
        </w:rPr>
        <w:t>,</w:t>
      </w:r>
      <w:r w:rsidR="00381FF6" w:rsidRPr="00381FF6">
        <w:rPr>
          <w:szCs w:val="19"/>
          <w:shd w:val="clear" w:color="auto" w:fill="FFFFFF"/>
        </w:rPr>
        <w:t>5</w:t>
      </w:r>
      <w:r w:rsidR="00BE78E6" w:rsidRPr="00381FF6">
        <w:rPr>
          <w:szCs w:val="19"/>
          <w:shd w:val="clear" w:color="auto" w:fill="FFFFFF"/>
        </w:rPr>
        <w:t>% w 201</w:t>
      </w:r>
      <w:r w:rsidR="00381FF6" w:rsidRPr="00381FF6">
        <w:rPr>
          <w:szCs w:val="19"/>
          <w:shd w:val="clear" w:color="auto" w:fill="FFFFFF"/>
        </w:rPr>
        <w:t>8</w:t>
      </w:r>
      <w:r w:rsidR="00BE78E6" w:rsidRPr="00381FF6">
        <w:rPr>
          <w:szCs w:val="19"/>
          <w:shd w:val="clear" w:color="auto" w:fill="FFFFFF"/>
        </w:rPr>
        <w:t xml:space="preserve"> r. wobec 9</w:t>
      </w:r>
      <w:r w:rsidR="00381FF6" w:rsidRPr="00381FF6">
        <w:rPr>
          <w:szCs w:val="19"/>
          <w:shd w:val="clear" w:color="auto" w:fill="FFFFFF"/>
        </w:rPr>
        <w:t>3</w:t>
      </w:r>
      <w:r w:rsidR="00BE78E6" w:rsidRPr="00381FF6">
        <w:rPr>
          <w:szCs w:val="19"/>
          <w:shd w:val="clear" w:color="auto" w:fill="FFFFFF"/>
        </w:rPr>
        <w:t>,</w:t>
      </w:r>
      <w:r w:rsidR="00381FF6" w:rsidRPr="00381FF6">
        <w:rPr>
          <w:szCs w:val="19"/>
          <w:shd w:val="clear" w:color="auto" w:fill="FFFFFF"/>
        </w:rPr>
        <w:t>4</w:t>
      </w:r>
      <w:r w:rsidR="00BE78E6" w:rsidRPr="00381FF6">
        <w:rPr>
          <w:szCs w:val="19"/>
          <w:shd w:val="clear" w:color="auto" w:fill="FFFFFF"/>
        </w:rPr>
        <w:t>% w poprzednim roku.</w:t>
      </w:r>
    </w:p>
    <w:p w14:paraId="5D5A3B5B" w14:textId="0C857234" w:rsidR="00BE78E6" w:rsidRPr="0031372F" w:rsidRDefault="00BE78E6" w:rsidP="00BE78E6">
      <w:pPr>
        <w:rPr>
          <w:color w:val="A6A6A6" w:themeColor="background1" w:themeShade="A6"/>
          <w:szCs w:val="19"/>
          <w:shd w:val="clear" w:color="auto" w:fill="FFFFFF"/>
        </w:rPr>
      </w:pPr>
      <w:r w:rsidRPr="009575EB">
        <w:rPr>
          <w:szCs w:val="19"/>
        </w:rPr>
        <w:t>Podmioty</w:t>
      </w:r>
      <w:r w:rsidR="00053A4F" w:rsidRPr="009575EB">
        <w:rPr>
          <w:szCs w:val="19"/>
          <w:vertAlign w:val="superscript"/>
        </w:rPr>
        <w:t xml:space="preserve"> </w:t>
      </w:r>
      <w:r w:rsidR="00891D75" w:rsidRPr="009575EB">
        <w:rPr>
          <w:szCs w:val="19"/>
        </w:rPr>
        <w:t>z liczbą pracujących 10 osób i więcej</w:t>
      </w:r>
      <w:r w:rsidR="00891D75" w:rsidRPr="009575EB">
        <w:rPr>
          <w:szCs w:val="19"/>
          <w:vertAlign w:val="superscript"/>
        </w:rPr>
        <w:t xml:space="preserve"> </w:t>
      </w:r>
      <w:r w:rsidRPr="009575EB">
        <w:rPr>
          <w:szCs w:val="19"/>
        </w:rPr>
        <w:t>sprzedawały swoje usługi głównie odbiorcom zlokalizowanym w kraju</w:t>
      </w:r>
      <w:r w:rsidR="00B93E4E" w:rsidRPr="009575EB">
        <w:rPr>
          <w:szCs w:val="19"/>
        </w:rPr>
        <w:t xml:space="preserve">. Udział ten wyniósł </w:t>
      </w:r>
      <w:r w:rsidR="00F0207B" w:rsidRPr="009575EB">
        <w:rPr>
          <w:szCs w:val="19"/>
        </w:rPr>
        <w:t>53</w:t>
      </w:r>
      <w:r w:rsidRPr="009575EB">
        <w:rPr>
          <w:szCs w:val="19"/>
        </w:rPr>
        <w:t>,</w:t>
      </w:r>
      <w:r w:rsidR="00F0207B" w:rsidRPr="009575EB">
        <w:rPr>
          <w:szCs w:val="19"/>
        </w:rPr>
        <w:t>0</w:t>
      </w:r>
      <w:r w:rsidRPr="009575EB">
        <w:rPr>
          <w:szCs w:val="19"/>
        </w:rPr>
        <w:t xml:space="preserve">% </w:t>
      </w:r>
      <w:r w:rsidR="00B93E4E" w:rsidRPr="009575EB">
        <w:rPr>
          <w:szCs w:val="19"/>
        </w:rPr>
        <w:t>wartości obrotów ogółem</w:t>
      </w:r>
      <w:r w:rsidR="009575EB" w:rsidRPr="009575EB">
        <w:rPr>
          <w:szCs w:val="19"/>
        </w:rPr>
        <w:t>.</w:t>
      </w:r>
      <w:r w:rsidRPr="009575EB">
        <w:rPr>
          <w:szCs w:val="19"/>
        </w:rPr>
        <w:t xml:space="preserve"> Transakcje z</w:t>
      </w:r>
      <w:r w:rsidR="00916383" w:rsidRPr="009575EB">
        <w:rPr>
          <w:szCs w:val="19"/>
        </w:rPr>
        <w:t> </w:t>
      </w:r>
      <w:r w:rsidRPr="009575EB">
        <w:rPr>
          <w:szCs w:val="19"/>
        </w:rPr>
        <w:t>podmiotami, których siedziby były zlokalizowane na terenie krajów UE</w:t>
      </w:r>
      <w:r w:rsidR="00B93E4E" w:rsidRPr="009575EB">
        <w:rPr>
          <w:szCs w:val="19"/>
        </w:rPr>
        <w:t>,</w:t>
      </w:r>
      <w:r w:rsidRPr="009575EB">
        <w:rPr>
          <w:szCs w:val="19"/>
        </w:rPr>
        <w:t xml:space="preserve"> stanowiły </w:t>
      </w:r>
      <w:r w:rsidR="00F0207B" w:rsidRPr="009575EB">
        <w:rPr>
          <w:szCs w:val="19"/>
        </w:rPr>
        <w:t>29,8</w:t>
      </w:r>
      <w:r w:rsidRPr="009575EB">
        <w:rPr>
          <w:szCs w:val="19"/>
        </w:rPr>
        <w:t>% obrotów ogółem. Największy udział w sprzedaży ogółem stanowiła sprzedaż</w:t>
      </w:r>
      <w:r w:rsidRPr="009575EB">
        <w:rPr>
          <w:szCs w:val="19"/>
          <w:shd w:val="clear" w:color="auto" w:fill="FFFFFF"/>
        </w:rPr>
        <w:t xml:space="preserve"> usług związanych z oprogramowaniem – 3</w:t>
      </w:r>
      <w:r w:rsidR="00B57AD4" w:rsidRPr="009575EB">
        <w:rPr>
          <w:szCs w:val="19"/>
          <w:shd w:val="clear" w:color="auto" w:fill="FFFFFF"/>
        </w:rPr>
        <w:t>8</w:t>
      </w:r>
      <w:r w:rsidRPr="009575EB">
        <w:rPr>
          <w:szCs w:val="19"/>
          <w:shd w:val="clear" w:color="auto" w:fill="FFFFFF"/>
        </w:rPr>
        <w:t xml:space="preserve">,6%. Kolejny udział pod względem </w:t>
      </w:r>
      <w:r w:rsidR="00D67092" w:rsidRPr="009575EB">
        <w:rPr>
          <w:szCs w:val="19"/>
          <w:shd w:val="clear" w:color="auto" w:fill="FFFFFF"/>
        </w:rPr>
        <w:t>wielkości sprzedaży</w:t>
      </w:r>
      <w:r w:rsidR="00D7190B" w:rsidRPr="009575EB">
        <w:rPr>
          <w:szCs w:val="19"/>
          <w:shd w:val="clear" w:color="auto" w:fill="FFFFFF"/>
        </w:rPr>
        <w:t xml:space="preserve"> </w:t>
      </w:r>
      <w:r w:rsidRPr="009575EB">
        <w:rPr>
          <w:szCs w:val="19"/>
          <w:shd w:val="clear" w:color="auto" w:fill="FFFFFF"/>
        </w:rPr>
        <w:t>(1</w:t>
      </w:r>
      <w:r w:rsidR="00B57AD4" w:rsidRPr="009575EB">
        <w:rPr>
          <w:szCs w:val="19"/>
          <w:shd w:val="clear" w:color="auto" w:fill="FFFFFF"/>
        </w:rPr>
        <w:t>1,</w:t>
      </w:r>
      <w:r w:rsidR="00956219" w:rsidRPr="009575EB">
        <w:rPr>
          <w:szCs w:val="19"/>
          <w:shd w:val="clear" w:color="auto" w:fill="FFFFFF"/>
        </w:rPr>
        <w:t>4</w:t>
      </w:r>
      <w:r w:rsidRPr="009575EB">
        <w:rPr>
          <w:szCs w:val="19"/>
          <w:shd w:val="clear" w:color="auto" w:fill="FFFFFF"/>
        </w:rPr>
        <w:t>%) odnotowano w przypadku pozostałych usług w zakresie technologii informatycznych i komputerowych.</w:t>
      </w:r>
    </w:p>
    <w:p w14:paraId="69A400F3" w14:textId="74256C8C" w:rsidR="003467AB" w:rsidRPr="0016262A" w:rsidRDefault="003467AB" w:rsidP="003467AB">
      <w:pPr>
        <w:rPr>
          <w:szCs w:val="19"/>
        </w:rPr>
      </w:pPr>
      <w:r w:rsidRPr="0016262A">
        <w:rPr>
          <w:szCs w:val="19"/>
        </w:rPr>
        <w:t>W 2018 r. wartość usług dostarczonych nierezydentom</w:t>
      </w:r>
      <w:r w:rsidR="00703754" w:rsidRPr="00703754">
        <w:rPr>
          <w:szCs w:val="19"/>
          <w:vertAlign w:val="superscript"/>
        </w:rPr>
        <w:fldChar w:fldCharType="begin"/>
      </w:r>
      <w:r w:rsidR="00703754" w:rsidRPr="00703754">
        <w:rPr>
          <w:szCs w:val="19"/>
          <w:vertAlign w:val="superscript"/>
        </w:rPr>
        <w:instrText xml:space="preserve"> NOTEREF _Ref48217100 \h </w:instrText>
      </w:r>
      <w:r w:rsidR="00703754">
        <w:rPr>
          <w:szCs w:val="19"/>
          <w:vertAlign w:val="superscript"/>
        </w:rPr>
        <w:instrText xml:space="preserve"> \* MERGEFORMAT </w:instrText>
      </w:r>
      <w:r w:rsidR="00703754" w:rsidRPr="00703754">
        <w:rPr>
          <w:szCs w:val="19"/>
          <w:vertAlign w:val="superscript"/>
        </w:rPr>
      </w:r>
      <w:r w:rsidR="00703754" w:rsidRPr="00703754">
        <w:rPr>
          <w:szCs w:val="19"/>
          <w:vertAlign w:val="superscript"/>
        </w:rPr>
        <w:fldChar w:fldCharType="separate"/>
      </w:r>
      <w:r w:rsidR="003D1A16">
        <w:rPr>
          <w:szCs w:val="19"/>
          <w:vertAlign w:val="superscript"/>
        </w:rPr>
        <w:t>4</w:t>
      </w:r>
      <w:r w:rsidR="00703754" w:rsidRPr="00703754">
        <w:rPr>
          <w:szCs w:val="19"/>
          <w:vertAlign w:val="superscript"/>
        </w:rPr>
        <w:fldChar w:fldCharType="end"/>
      </w:r>
      <w:r w:rsidRPr="0016262A">
        <w:rPr>
          <w:szCs w:val="19"/>
        </w:rPr>
        <w:t xml:space="preserve"> przez podmioty </w:t>
      </w:r>
      <w:r w:rsidRPr="0016262A">
        <w:rPr>
          <w:szCs w:val="19"/>
          <w:shd w:val="clear" w:color="auto" w:fill="FFFFFF"/>
        </w:rPr>
        <w:t>prowadzące działalności informatyczne</w:t>
      </w:r>
      <w:r w:rsidRPr="0016262A">
        <w:rPr>
          <w:szCs w:val="19"/>
        </w:rPr>
        <w:t xml:space="preserve"> wyniosła 22,7 mld zł (wzrost o 8,6%), natomiast nabyły one od nierezydentów usługi o wartości 5,3 mld zł (wzrost o 10,0%).</w:t>
      </w:r>
    </w:p>
    <w:p w14:paraId="724B0DEF" w14:textId="2EB3F847" w:rsidR="0031372F" w:rsidRPr="00EB1C99" w:rsidRDefault="000429B4" w:rsidP="00EB1C99">
      <w:pPr>
        <w:rPr>
          <w:szCs w:val="19"/>
        </w:rPr>
      </w:pPr>
      <w:r>
        <w:rPr>
          <w:szCs w:val="19"/>
        </w:rPr>
        <w:t>G</w:t>
      </w:r>
      <w:r w:rsidR="0031372F" w:rsidRPr="0016262A">
        <w:rPr>
          <w:szCs w:val="19"/>
        </w:rPr>
        <w:t xml:space="preserve">łównym partnerem handlowym przedsiębiorstw informatycznych w </w:t>
      </w:r>
      <w:r w:rsidR="00284E91">
        <w:rPr>
          <w:szCs w:val="19"/>
        </w:rPr>
        <w:t xml:space="preserve">eksporcie usług </w:t>
      </w:r>
      <w:r w:rsidR="0031372F" w:rsidRPr="0016262A">
        <w:rPr>
          <w:szCs w:val="19"/>
        </w:rPr>
        <w:t>były podmioty mające swoją siedzibę w Stanach Zjednoczonych (udział wyni</w:t>
      </w:r>
      <w:r w:rsidR="000A1552">
        <w:rPr>
          <w:szCs w:val="19"/>
        </w:rPr>
        <w:t>ó</w:t>
      </w:r>
      <w:r w:rsidR="0031372F" w:rsidRPr="0016262A">
        <w:rPr>
          <w:szCs w:val="19"/>
        </w:rPr>
        <w:t>sł 19,</w:t>
      </w:r>
      <w:r w:rsidR="0031372F">
        <w:rPr>
          <w:szCs w:val="19"/>
        </w:rPr>
        <w:t>7</w:t>
      </w:r>
      <w:r w:rsidR="0031372F" w:rsidRPr="0016262A">
        <w:rPr>
          <w:szCs w:val="19"/>
        </w:rPr>
        <w:t xml:space="preserve">%), </w:t>
      </w:r>
      <w:r w:rsidR="00D36281" w:rsidRPr="0016262A">
        <w:rPr>
          <w:szCs w:val="19"/>
        </w:rPr>
        <w:t xml:space="preserve">natomiast </w:t>
      </w:r>
      <w:r w:rsidR="00DC3313">
        <w:rPr>
          <w:szCs w:val="19"/>
        </w:rPr>
        <w:t xml:space="preserve">w imporcie </w:t>
      </w:r>
      <w:r w:rsidR="00284E91">
        <w:rPr>
          <w:szCs w:val="19"/>
        </w:rPr>
        <w:t xml:space="preserve">usług </w:t>
      </w:r>
      <w:r w:rsidR="0031372F" w:rsidRPr="0016262A">
        <w:rPr>
          <w:szCs w:val="19"/>
        </w:rPr>
        <w:t>podmioty maj</w:t>
      </w:r>
      <w:r w:rsidR="000A1552">
        <w:rPr>
          <w:szCs w:val="19"/>
        </w:rPr>
        <w:t>ące swoją siedzibę w Irlandii (udział wyn</w:t>
      </w:r>
      <w:r w:rsidR="0031372F" w:rsidRPr="0016262A">
        <w:rPr>
          <w:szCs w:val="19"/>
        </w:rPr>
        <w:t>i</w:t>
      </w:r>
      <w:r w:rsidR="000A1552">
        <w:rPr>
          <w:szCs w:val="19"/>
        </w:rPr>
        <w:t>ó</w:t>
      </w:r>
      <w:r w:rsidR="0031372F" w:rsidRPr="0016262A">
        <w:rPr>
          <w:szCs w:val="19"/>
        </w:rPr>
        <w:t>sł 16,6%). Usługi informatyczne stanowiły główne źródło przychodów, jak i rozchodów tych podmiotów, co było zgodne z ich podstawowymi rodzajami działalności (udział w strukturze usług dostarczonych stanowił 69,6%, natomiast nabytych – 53,6%).</w:t>
      </w:r>
    </w:p>
    <w:p w14:paraId="5695CDBC" w14:textId="43D19BF9" w:rsidR="00541D6E" w:rsidRPr="00561734" w:rsidRDefault="00A2369E" w:rsidP="0031372F">
      <w:pPr>
        <w:ind w:left="851" w:hanging="851"/>
        <w:rPr>
          <w:b/>
          <w:sz w:val="18"/>
          <w:szCs w:val="18"/>
          <w:shd w:val="clear" w:color="auto" w:fill="FFFFFF"/>
        </w:rPr>
      </w:pPr>
      <w:r w:rsidRPr="0016262A">
        <w:rPr>
          <w:noProof/>
          <w:lang w:eastAsia="pl-PL"/>
        </w:rPr>
        <w:lastRenderedPageBreak/>
        <w:drawing>
          <wp:anchor distT="0" distB="0" distL="114300" distR="114300" simplePos="0" relativeHeight="251829248" behindDoc="0" locked="0" layoutInCell="1" allowOverlap="1" wp14:anchorId="241BC6DC" wp14:editId="29395F58">
            <wp:simplePos x="0" y="0"/>
            <wp:positionH relativeFrom="margin">
              <wp:align>left</wp:align>
            </wp:positionH>
            <wp:positionV relativeFrom="paragraph">
              <wp:posOffset>368300</wp:posOffset>
            </wp:positionV>
            <wp:extent cx="5173980" cy="3589020"/>
            <wp:effectExtent l="0" t="0" r="7620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E6">
        <w:rPr>
          <w:b/>
          <w:sz w:val="18"/>
          <w:szCs w:val="18"/>
        </w:rPr>
        <w:t xml:space="preserve">Wykres </w:t>
      </w:r>
      <w:r w:rsidR="00561734">
        <w:rPr>
          <w:b/>
          <w:sz w:val="18"/>
          <w:szCs w:val="18"/>
        </w:rPr>
        <w:t>5</w:t>
      </w:r>
      <w:r w:rsidR="00BE78E6" w:rsidRPr="00C96FAB">
        <w:rPr>
          <w:b/>
          <w:sz w:val="18"/>
          <w:szCs w:val="18"/>
        </w:rPr>
        <w:t>.</w:t>
      </w:r>
      <w:r w:rsidR="00BE78E6" w:rsidRPr="00C96FAB">
        <w:rPr>
          <w:b/>
          <w:sz w:val="18"/>
          <w:szCs w:val="18"/>
          <w:shd w:val="clear" w:color="auto" w:fill="FFFFFF"/>
        </w:rPr>
        <w:t xml:space="preserve"> </w:t>
      </w:r>
      <w:r w:rsidR="00BE78E6">
        <w:rPr>
          <w:b/>
          <w:sz w:val="18"/>
          <w:szCs w:val="18"/>
          <w:shd w:val="clear" w:color="auto" w:fill="FFFFFF"/>
        </w:rPr>
        <w:t>Struktura geograficzna usług dostarczonych i nabytych w obrocie międzynarodowym przez podmioty prowadzące działalności z branży informatycznej</w:t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_Ref524339216 \h </w:instrText>
      </w:r>
      <w:r w:rsidR="0064184F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sz w:val="18"/>
          <w:szCs w:val="18"/>
          <w:shd w:val="clear" w:color="auto" w:fill="FFFFFF"/>
          <w:vertAlign w:val="superscript"/>
        </w:rPr>
        <w:t>5</w:t>
      </w:r>
      <w:r w:rsidR="0064184F" w:rsidRPr="0064184F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  <w:r w:rsidR="00561734">
        <w:rPr>
          <w:b/>
          <w:sz w:val="18"/>
          <w:szCs w:val="18"/>
          <w:shd w:val="clear" w:color="auto" w:fill="FFFFFF"/>
          <w:vertAlign w:val="superscript"/>
        </w:rPr>
        <w:t xml:space="preserve"> </w:t>
      </w:r>
      <w:r w:rsidR="00561734">
        <w:rPr>
          <w:b/>
          <w:sz w:val="18"/>
          <w:szCs w:val="18"/>
          <w:shd w:val="clear" w:color="auto" w:fill="FFFFFF"/>
        </w:rPr>
        <w:t xml:space="preserve">w 2018 </w:t>
      </w:r>
      <w:r w:rsidR="003C7DF8">
        <w:rPr>
          <w:b/>
          <w:sz w:val="18"/>
          <w:szCs w:val="18"/>
          <w:shd w:val="clear" w:color="auto" w:fill="FFFFFF"/>
        </w:rPr>
        <w:t>r.</w:t>
      </w:r>
    </w:p>
    <w:p w14:paraId="776D8DB6" w14:textId="14A0127D" w:rsidR="00561734" w:rsidRDefault="001C1792" w:rsidP="00561734">
      <w:pPr>
        <w:ind w:left="851" w:hanging="851"/>
        <w:rPr>
          <w:b/>
          <w:sz w:val="18"/>
          <w:szCs w:val="18"/>
          <w:shd w:val="clear" w:color="auto" w:fill="FFFFFF"/>
        </w:rPr>
      </w:pPr>
      <w:r w:rsidRPr="00CB4AF0">
        <w:rPr>
          <w:noProof/>
          <w:lang w:eastAsia="pl-PL"/>
        </w:rPr>
        <w:drawing>
          <wp:anchor distT="0" distB="0" distL="114300" distR="114300" simplePos="0" relativeHeight="251831296" behindDoc="0" locked="0" layoutInCell="1" allowOverlap="1" wp14:anchorId="5A98471E" wp14:editId="2E940897">
            <wp:simplePos x="0" y="0"/>
            <wp:positionH relativeFrom="margin">
              <wp:posOffset>-60960</wp:posOffset>
            </wp:positionH>
            <wp:positionV relativeFrom="paragraph">
              <wp:posOffset>4071620</wp:posOffset>
            </wp:positionV>
            <wp:extent cx="5280660" cy="2621280"/>
            <wp:effectExtent l="0" t="0" r="0" b="7620"/>
            <wp:wrapSquare wrapText="bothSides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E6">
        <w:rPr>
          <w:b/>
          <w:sz w:val="18"/>
          <w:szCs w:val="18"/>
        </w:rPr>
        <w:t>Wykres</w:t>
      </w:r>
      <w:r w:rsidR="003C7337">
        <w:rPr>
          <w:b/>
          <w:sz w:val="18"/>
          <w:szCs w:val="18"/>
        </w:rPr>
        <w:t xml:space="preserve"> </w:t>
      </w:r>
      <w:r w:rsidR="00561734">
        <w:rPr>
          <w:b/>
          <w:sz w:val="18"/>
          <w:szCs w:val="18"/>
        </w:rPr>
        <w:t>6</w:t>
      </w:r>
      <w:r w:rsidR="00BE78E6" w:rsidRPr="00C96FAB">
        <w:rPr>
          <w:b/>
          <w:sz w:val="18"/>
          <w:szCs w:val="18"/>
        </w:rPr>
        <w:t>.</w:t>
      </w:r>
      <w:r w:rsidR="00BE78E6" w:rsidRPr="00C96FAB">
        <w:rPr>
          <w:b/>
          <w:sz w:val="18"/>
          <w:szCs w:val="18"/>
          <w:shd w:val="clear" w:color="auto" w:fill="FFFFFF"/>
        </w:rPr>
        <w:t xml:space="preserve"> </w:t>
      </w:r>
      <w:r w:rsidR="00BE78E6">
        <w:rPr>
          <w:b/>
          <w:sz w:val="18"/>
          <w:szCs w:val="18"/>
          <w:shd w:val="clear" w:color="auto" w:fill="FFFFFF"/>
        </w:rPr>
        <w:t>Struktura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 w:rsidR="00BE78E6"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 w:rsidR="00BE78E6">
        <w:rPr>
          <w:b/>
          <w:sz w:val="18"/>
          <w:szCs w:val="18"/>
          <w:shd w:val="clear" w:color="auto" w:fill="FFFFFF"/>
        </w:rPr>
        <w:t>ych w obrocie międzynarodowym przez podmioty prowadzące działalności z branży informatycznej</w:t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_Ref524339216 \h </w:instrText>
      </w:r>
      <w:r w:rsidR="00492ED5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sz w:val="18"/>
          <w:szCs w:val="18"/>
          <w:shd w:val="clear" w:color="auto" w:fill="FFFFFF"/>
          <w:vertAlign w:val="superscript"/>
        </w:rPr>
        <w:t>5</w:t>
      </w:r>
      <w:r w:rsidR="00492ED5" w:rsidRPr="00492ED5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  <w:r w:rsidR="00E708B1">
        <w:rPr>
          <w:b/>
          <w:sz w:val="18"/>
          <w:szCs w:val="18"/>
          <w:shd w:val="clear" w:color="auto" w:fill="FFFFFF"/>
          <w:vertAlign w:val="superscript"/>
        </w:rPr>
        <w:t xml:space="preserve"> </w:t>
      </w:r>
      <w:r w:rsidR="00E708B1" w:rsidRPr="00754059">
        <w:rPr>
          <w:b/>
          <w:sz w:val="18"/>
          <w:szCs w:val="18"/>
          <w:shd w:val="clear" w:color="auto" w:fill="FFFFFF"/>
        </w:rPr>
        <w:t xml:space="preserve">według rodzaju </w:t>
      </w:r>
      <w:r w:rsidR="00754059">
        <w:rPr>
          <w:b/>
          <w:sz w:val="18"/>
          <w:szCs w:val="18"/>
          <w:shd w:val="clear" w:color="auto" w:fill="FFFFFF"/>
        </w:rPr>
        <w:t xml:space="preserve">świadczonych </w:t>
      </w:r>
      <w:r w:rsidR="00E708B1" w:rsidRPr="00754059">
        <w:rPr>
          <w:b/>
          <w:sz w:val="18"/>
          <w:szCs w:val="18"/>
          <w:shd w:val="clear" w:color="auto" w:fill="FFFFFF"/>
        </w:rPr>
        <w:t>usług</w:t>
      </w:r>
      <w:r w:rsidR="00754059">
        <w:rPr>
          <w:b/>
          <w:sz w:val="18"/>
          <w:szCs w:val="18"/>
          <w:shd w:val="clear" w:color="auto" w:fill="FFFFFF"/>
        </w:rPr>
        <w:t xml:space="preserve"> </w:t>
      </w:r>
      <w:r w:rsidR="003C7DF8">
        <w:rPr>
          <w:b/>
          <w:sz w:val="18"/>
          <w:szCs w:val="18"/>
          <w:shd w:val="clear" w:color="auto" w:fill="FFFFFF"/>
        </w:rPr>
        <w:t>w 2018 r.</w:t>
      </w:r>
    </w:p>
    <w:p w14:paraId="063A938E" w14:textId="61A33457" w:rsidR="005153D2" w:rsidRPr="005153D2" w:rsidRDefault="00BE78E6" w:rsidP="005153D2">
      <w:pPr>
        <w:ind w:left="851" w:hanging="851"/>
        <w:rPr>
          <w:b/>
          <w:sz w:val="18"/>
          <w:szCs w:val="18"/>
          <w:shd w:val="clear" w:color="auto" w:fill="FFFFFF"/>
        </w:rPr>
      </w:pPr>
      <w:r w:rsidRPr="00C553C0">
        <w:rPr>
          <w:sz w:val="18"/>
          <w:szCs w:val="18"/>
        </w:rPr>
        <w:t>u. - usługi</w:t>
      </w:r>
    </w:p>
    <w:p w14:paraId="796CE0F9" w14:textId="4D1BDC0D" w:rsidR="003C4069" w:rsidRPr="00CB4AF0" w:rsidRDefault="002A659B" w:rsidP="003C4069">
      <w:pPr>
        <w:pStyle w:val="Nagwek1"/>
      </w:pPr>
      <w:r w:rsidRPr="00CB4AF0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4982B3A9" wp14:editId="56686747">
                <wp:simplePos x="0" y="0"/>
                <wp:positionH relativeFrom="page">
                  <wp:posOffset>5697855</wp:posOffset>
                </wp:positionH>
                <wp:positionV relativeFrom="paragraph">
                  <wp:posOffset>8890</wp:posOffset>
                </wp:positionV>
                <wp:extent cx="1725295" cy="1169670"/>
                <wp:effectExtent l="0" t="0" r="0" b="0"/>
                <wp:wrapTight wrapText="bothSides">
                  <wp:wrapPolygon edited="0">
                    <wp:start x="715" y="0"/>
                    <wp:lineTo x="715" y="21107"/>
                    <wp:lineTo x="20749" y="21107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BF5E1" w14:textId="77777777" w:rsidR="003C4069" w:rsidRPr="00CB4AF0" w:rsidRDefault="003C4069" w:rsidP="003C4069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CB4AF0">
                              <w:rPr>
                                <w:color w:val="auto"/>
                              </w:rPr>
                              <w:t>Pogorszenie wskaźników rentowności podmiotów prowadzących działalność prawniczą, rachunkowo-księgową oraz związaną z zarządzaniem</w:t>
                            </w:r>
                          </w:p>
                          <w:p w14:paraId="650484F0" w14:textId="77777777" w:rsidR="003C4069" w:rsidRPr="003D2581" w:rsidRDefault="003C4069" w:rsidP="003C4069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c="http://schemas.openxmlformats.org/drawingml/2006/chart" xmlns:a="http://schemas.openxmlformats.org/drawingml/2006/main">
            <w:pict>
              <v:shape id="Pole tekstowe 4" style="position:absolute;margin-left:448.65pt;margin-top:.7pt;width:135.85pt;height:92.1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" w14:anchorId="4982B3A9">
                <v:textbox>
                  <w:txbxContent>
                    <w:p w:rsidRPr="00CB4AF0" w:rsidR="003C4069" w:rsidP="003C4069" w:rsidRDefault="003C4069" w14:paraId="49ABF5E1" w14:textId="77777777">
                      <w:pPr>
                        <w:pStyle w:val="tekstzboku"/>
                        <w:rPr>
                          <w:color w:val="auto"/>
                        </w:rPr>
                      </w:pPr>
                      <w:r w:rsidRPr="00CB4AF0">
                        <w:rPr>
                          <w:color w:val="auto"/>
                        </w:rPr>
                        <w:t>Pogorszenie wskaźników rentowności podmiotów prowadzących działalność prawniczą, rachunkowo-księgową oraz związaną z zarządzaniem</w:t>
                      </w:r>
                    </w:p>
                    <w:p w:rsidRPr="003D2581" w:rsidR="003C4069" w:rsidP="003C4069" w:rsidRDefault="003C4069" w14:paraId="650484F0" w14:textId="7777777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C4069" w:rsidRPr="00CB4AF0">
        <w:t>Działalność prawnicza, rachunkowo-księgowa oraz związana z zarządzaniem</w:t>
      </w:r>
      <w:bookmarkStart w:id="7" w:name="_Ref524343595"/>
      <w:r w:rsidR="003C4069" w:rsidRPr="00CB4AF0">
        <w:rPr>
          <w:rStyle w:val="Odwoanieprzypisudolnego"/>
        </w:rPr>
        <w:footnoteReference w:id="9"/>
      </w:r>
      <w:bookmarkEnd w:id="7"/>
    </w:p>
    <w:p w14:paraId="60FF9EF9" w14:textId="20389765" w:rsidR="003C4069" w:rsidRPr="00CB4AF0" w:rsidRDefault="003C4069" w:rsidP="003C4069">
      <w:pPr>
        <w:rPr>
          <w:shd w:val="clear" w:color="auto" w:fill="FFFFFF"/>
        </w:rPr>
      </w:pPr>
      <w:r w:rsidRPr="003C7337">
        <w:rPr>
          <w:szCs w:val="19"/>
        </w:rPr>
        <w:t>W analizowanym okresie podmioty prowadzące działalność prawniczą, rachunkowo-księgową oraz związaną z zarządzaniem</w:t>
      </w:r>
      <w:r w:rsidRPr="003C7337" w:rsidDel="00C442E5">
        <w:rPr>
          <w:szCs w:val="19"/>
        </w:rPr>
        <w:t xml:space="preserve"> </w:t>
      </w:r>
      <w:r w:rsidRPr="003C7337">
        <w:rPr>
          <w:szCs w:val="19"/>
        </w:rPr>
        <w:t>osiągnęły obroty na poziomie 68,4</w:t>
      </w:r>
      <w:r>
        <w:rPr>
          <w:szCs w:val="19"/>
        </w:rPr>
        <w:t xml:space="preserve"> </w:t>
      </w:r>
      <w:r w:rsidRPr="003C7337">
        <w:rPr>
          <w:szCs w:val="19"/>
        </w:rPr>
        <w:t xml:space="preserve">mld zł przy liczbie zarejestrowanych przedsiębiorstw na poziomie 149,8 tys. zatrudniających 350,1 tys. osób. </w:t>
      </w:r>
      <w:r w:rsidRPr="00CB4AF0">
        <w:rPr>
          <w:szCs w:val="19"/>
        </w:rPr>
        <w:t>Zaobserwowano pogorszenie zarówno wskaźnika rentowności obrotu brutto</w:t>
      </w:r>
      <w:r w:rsidRPr="00CB4AF0">
        <w:rPr>
          <w:szCs w:val="19"/>
          <w:vertAlign w:val="superscript"/>
        </w:rPr>
        <w:fldChar w:fldCharType="begin"/>
      </w:r>
      <w:r w:rsidRPr="00CB4AF0">
        <w:rPr>
          <w:szCs w:val="19"/>
          <w:vertAlign w:val="superscript"/>
        </w:rPr>
        <w:instrText xml:space="preserve"> NOTEREF _Ref524335706 \h  \* MERGEFORMAT </w:instrText>
      </w:r>
      <w:r w:rsidRPr="00CB4AF0">
        <w:rPr>
          <w:szCs w:val="19"/>
          <w:vertAlign w:val="superscript"/>
        </w:rPr>
      </w:r>
      <w:r w:rsidRPr="00CB4AF0">
        <w:rPr>
          <w:szCs w:val="19"/>
          <w:vertAlign w:val="superscript"/>
        </w:rPr>
        <w:fldChar w:fldCharType="separate"/>
      </w:r>
      <w:r w:rsidR="003D1A16">
        <w:rPr>
          <w:szCs w:val="19"/>
          <w:vertAlign w:val="superscript"/>
        </w:rPr>
        <w:t>6</w:t>
      </w:r>
      <w:r w:rsidRPr="00CB4AF0">
        <w:rPr>
          <w:szCs w:val="19"/>
          <w:vertAlign w:val="superscript"/>
        </w:rPr>
        <w:fldChar w:fldCharType="end"/>
      </w:r>
      <w:r w:rsidRPr="00CB4AF0">
        <w:rPr>
          <w:szCs w:val="19"/>
        </w:rPr>
        <w:t xml:space="preserve"> </w:t>
      </w:r>
      <w:r w:rsidRPr="00CB4AF0">
        <w:rPr>
          <w:szCs w:val="19"/>
          <w:shd w:val="clear" w:color="auto" w:fill="FFFFFF"/>
        </w:rPr>
        <w:t>(z 16,3% w 2017 r. do 8,3% w 2018 r.), jak i netto</w:t>
      </w:r>
      <w:r w:rsidRPr="00CB4AF0">
        <w:rPr>
          <w:szCs w:val="19"/>
          <w:shd w:val="clear" w:color="auto" w:fill="FFFFFF"/>
          <w:vertAlign w:val="superscript"/>
        </w:rPr>
        <w:fldChar w:fldCharType="begin"/>
      </w:r>
      <w:r w:rsidRPr="00CB4AF0">
        <w:rPr>
          <w:szCs w:val="19"/>
          <w:shd w:val="clear" w:color="auto" w:fill="FFFFFF"/>
          <w:vertAlign w:val="superscript"/>
        </w:rPr>
        <w:instrText xml:space="preserve"> NOTEREF _Ref524335721 \h  \* MERGEFORMAT </w:instrText>
      </w:r>
      <w:r w:rsidRPr="00CB4AF0">
        <w:rPr>
          <w:szCs w:val="19"/>
          <w:shd w:val="clear" w:color="auto" w:fill="FFFFFF"/>
          <w:vertAlign w:val="superscript"/>
        </w:rPr>
      </w:r>
      <w:r w:rsidRPr="00CB4AF0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7</w:t>
      </w:r>
      <w:r w:rsidRPr="00CB4AF0">
        <w:rPr>
          <w:szCs w:val="19"/>
          <w:shd w:val="clear" w:color="auto" w:fill="FFFFFF"/>
          <w:vertAlign w:val="superscript"/>
        </w:rPr>
        <w:fldChar w:fldCharType="end"/>
      </w:r>
      <w:r w:rsidRPr="00CB4AF0">
        <w:rPr>
          <w:szCs w:val="19"/>
          <w:shd w:val="clear" w:color="auto" w:fill="FFFFFF"/>
        </w:rPr>
        <w:t xml:space="preserve"> (z 15,2% w 2017 r. do 7,1% w 2018 r.). Wskaźnik poziomu kosztów z </w:t>
      </w:r>
      <w:r w:rsidRPr="00CB4AF0">
        <w:rPr>
          <w:szCs w:val="19"/>
          <w:shd w:val="clear" w:color="auto" w:fill="FFFFFF"/>
        </w:rPr>
        <w:lastRenderedPageBreak/>
        <w:t>całokształtu działalności</w:t>
      </w:r>
      <w:r w:rsidRPr="00CB4AF0">
        <w:rPr>
          <w:szCs w:val="19"/>
          <w:shd w:val="clear" w:color="auto" w:fill="FFFFFF"/>
          <w:vertAlign w:val="superscript"/>
        </w:rPr>
        <w:fldChar w:fldCharType="begin"/>
      </w:r>
      <w:r w:rsidRPr="00CB4AF0">
        <w:rPr>
          <w:szCs w:val="19"/>
          <w:shd w:val="clear" w:color="auto" w:fill="FFFFFF"/>
          <w:vertAlign w:val="superscript"/>
        </w:rPr>
        <w:instrText xml:space="preserve"> NOTEREF _Ref524335741 \h  \* MERGEFORMAT </w:instrText>
      </w:r>
      <w:r w:rsidRPr="00CB4AF0">
        <w:rPr>
          <w:szCs w:val="19"/>
          <w:shd w:val="clear" w:color="auto" w:fill="FFFFFF"/>
          <w:vertAlign w:val="superscript"/>
        </w:rPr>
      </w:r>
      <w:r w:rsidRPr="00CB4AF0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8</w:t>
      </w:r>
      <w:r w:rsidRPr="00CB4AF0">
        <w:rPr>
          <w:szCs w:val="19"/>
          <w:shd w:val="clear" w:color="auto" w:fill="FFFFFF"/>
          <w:vertAlign w:val="superscript"/>
        </w:rPr>
        <w:fldChar w:fldCharType="end"/>
      </w:r>
      <w:r w:rsidRPr="00CB4AF0">
        <w:rPr>
          <w:szCs w:val="19"/>
          <w:shd w:val="clear" w:color="auto" w:fill="FFFFFF"/>
        </w:rPr>
        <w:t xml:space="preserve"> uległ również pogorszeniu i wyniósł 94,2% w 2018 r. wobec 86,1% w poprzednim roku</w:t>
      </w:r>
      <w:r w:rsidRPr="00CB4AF0">
        <w:rPr>
          <w:shd w:val="clear" w:color="auto" w:fill="FFFFFF"/>
        </w:rPr>
        <w:t>.</w:t>
      </w:r>
    </w:p>
    <w:p w14:paraId="481A6D43" w14:textId="4376110A" w:rsidR="00BE78E6" w:rsidRPr="003C7337" w:rsidRDefault="00BE78E6" w:rsidP="00BE78E6">
      <w:pPr>
        <w:rPr>
          <w:szCs w:val="19"/>
          <w:shd w:val="clear" w:color="auto" w:fill="FFFFFF"/>
        </w:rPr>
      </w:pPr>
      <w:r w:rsidRPr="003C7337">
        <w:rPr>
          <w:szCs w:val="19"/>
        </w:rPr>
        <w:t xml:space="preserve">Podmioty </w:t>
      </w:r>
      <w:r w:rsidR="00C06A10" w:rsidRPr="003C7337">
        <w:rPr>
          <w:szCs w:val="19"/>
          <w:shd w:val="clear" w:color="auto" w:fill="FFFFFF"/>
        </w:rPr>
        <w:t xml:space="preserve">z liczbą pracujących 10 osób i więcej </w:t>
      </w:r>
      <w:r w:rsidRPr="003C7337">
        <w:rPr>
          <w:szCs w:val="19"/>
          <w:shd w:val="clear" w:color="auto" w:fill="FFFFFF"/>
        </w:rPr>
        <w:t>koncentrowały swoją podstawową działalność na rynku krajowym</w:t>
      </w:r>
      <w:r w:rsidR="00754059" w:rsidRPr="003C7337">
        <w:rPr>
          <w:szCs w:val="19"/>
          <w:shd w:val="clear" w:color="auto" w:fill="FFFFFF"/>
        </w:rPr>
        <w:t>. Udział ten wyniósł</w:t>
      </w:r>
      <w:r w:rsidRPr="003C7337">
        <w:rPr>
          <w:szCs w:val="19"/>
          <w:shd w:val="clear" w:color="auto" w:fill="FFFFFF"/>
        </w:rPr>
        <w:t xml:space="preserve"> </w:t>
      </w:r>
      <w:r w:rsidR="00A834DA" w:rsidRPr="003C7337">
        <w:rPr>
          <w:szCs w:val="19"/>
          <w:shd w:val="clear" w:color="auto" w:fill="FFFFFF"/>
        </w:rPr>
        <w:t>55,1</w:t>
      </w:r>
      <w:r w:rsidRPr="003C7337">
        <w:rPr>
          <w:szCs w:val="19"/>
          <w:shd w:val="clear" w:color="auto" w:fill="FFFFFF"/>
        </w:rPr>
        <w:t xml:space="preserve">% </w:t>
      </w:r>
      <w:r w:rsidR="00754059" w:rsidRPr="003C7337">
        <w:rPr>
          <w:szCs w:val="19"/>
          <w:shd w:val="clear" w:color="auto" w:fill="FFFFFF"/>
        </w:rPr>
        <w:t>obrotów ogółem</w:t>
      </w:r>
      <w:r w:rsidR="000A1552">
        <w:rPr>
          <w:szCs w:val="19"/>
          <w:shd w:val="clear" w:color="auto" w:fill="FFFFFF"/>
        </w:rPr>
        <w:t>, natomiast u</w:t>
      </w:r>
      <w:r w:rsidRPr="003C7337">
        <w:rPr>
          <w:szCs w:val="19"/>
          <w:shd w:val="clear" w:color="auto" w:fill="FFFFFF"/>
        </w:rPr>
        <w:t xml:space="preserve">dział sprzedaży usług do podmiotów z krajów UE </w:t>
      </w:r>
      <w:r w:rsidR="00D43E5A">
        <w:rPr>
          <w:szCs w:val="19"/>
          <w:shd w:val="clear" w:color="auto" w:fill="FFFFFF"/>
        </w:rPr>
        <w:t xml:space="preserve">- </w:t>
      </w:r>
      <w:r w:rsidR="00A834DA" w:rsidRPr="003C7337">
        <w:rPr>
          <w:szCs w:val="19"/>
          <w:shd w:val="clear" w:color="auto" w:fill="FFFFFF"/>
        </w:rPr>
        <w:t>30,7</w:t>
      </w:r>
      <w:r w:rsidR="00C66B19" w:rsidRPr="003C7337">
        <w:rPr>
          <w:szCs w:val="19"/>
          <w:shd w:val="clear" w:color="auto" w:fill="FFFFFF"/>
        </w:rPr>
        <w:t>%</w:t>
      </w:r>
      <w:r w:rsidR="000A1552">
        <w:rPr>
          <w:szCs w:val="19"/>
          <w:shd w:val="clear" w:color="auto" w:fill="FFFFFF"/>
        </w:rPr>
        <w:t>.</w:t>
      </w:r>
      <w:r w:rsidR="00C66B19" w:rsidRPr="003C7337">
        <w:rPr>
          <w:szCs w:val="19"/>
          <w:shd w:val="clear" w:color="auto" w:fill="FFFFFF"/>
        </w:rPr>
        <w:t xml:space="preserve"> </w:t>
      </w:r>
      <w:r w:rsidRPr="003C7337">
        <w:rPr>
          <w:szCs w:val="19"/>
          <w:shd w:val="clear" w:color="auto" w:fill="FFFFFF"/>
        </w:rPr>
        <w:t xml:space="preserve">Podstawowym rodzajem usług oferowanych </w:t>
      </w:r>
      <w:r w:rsidR="004C6693" w:rsidRPr="003C7337">
        <w:rPr>
          <w:szCs w:val="19"/>
          <w:shd w:val="clear" w:color="auto" w:fill="FFFFFF"/>
        </w:rPr>
        <w:t xml:space="preserve">kontrahentom </w:t>
      </w:r>
      <w:r w:rsidRPr="003C7337">
        <w:rPr>
          <w:szCs w:val="19"/>
          <w:shd w:val="clear" w:color="auto" w:fill="FFFFFF"/>
        </w:rPr>
        <w:t>były pozostałe usługi doradztwa związane z prowadzeniem działalności gospodarczej i usługi zarządzania</w:t>
      </w:r>
      <w:r w:rsidR="000C1A7F" w:rsidRPr="000C1A7F">
        <w:rPr>
          <w:szCs w:val="19"/>
          <w:shd w:val="clear" w:color="auto" w:fill="FFFFFF"/>
          <w:vertAlign w:val="superscript"/>
        </w:rPr>
        <w:fldChar w:fldCharType="begin"/>
      </w:r>
      <w:r w:rsidR="000C1A7F" w:rsidRPr="000C1A7F">
        <w:rPr>
          <w:szCs w:val="19"/>
          <w:shd w:val="clear" w:color="auto" w:fill="FFFFFF"/>
          <w:vertAlign w:val="superscript"/>
        </w:rPr>
        <w:instrText xml:space="preserve"> NOTEREF _Ref519689725 \h </w:instrText>
      </w:r>
      <w:r w:rsidR="000C1A7F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0C1A7F" w:rsidRPr="000C1A7F">
        <w:rPr>
          <w:szCs w:val="19"/>
          <w:shd w:val="clear" w:color="auto" w:fill="FFFFFF"/>
          <w:vertAlign w:val="superscript"/>
        </w:rPr>
      </w:r>
      <w:r w:rsidR="000C1A7F" w:rsidRPr="000C1A7F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10</w:t>
      </w:r>
      <w:r w:rsidR="000C1A7F" w:rsidRPr="000C1A7F">
        <w:rPr>
          <w:szCs w:val="19"/>
          <w:shd w:val="clear" w:color="auto" w:fill="FFFFFF"/>
          <w:vertAlign w:val="superscript"/>
        </w:rPr>
        <w:fldChar w:fldCharType="end"/>
      </w:r>
      <w:r w:rsidRPr="003C7337">
        <w:rPr>
          <w:szCs w:val="19"/>
          <w:shd w:val="clear" w:color="auto" w:fill="FFFFFF"/>
        </w:rPr>
        <w:t>. Kolejnym rodzajem usług pod względem wielkości udziałów były usługi rachunkowo-księgowe</w:t>
      </w:r>
      <w:bookmarkStart w:id="8" w:name="_Ref519689725"/>
      <w:r w:rsidRPr="003C7337">
        <w:rPr>
          <w:rStyle w:val="Odwoanieprzypisudolnego"/>
          <w:szCs w:val="19"/>
          <w:shd w:val="clear" w:color="auto" w:fill="FFFFFF"/>
        </w:rPr>
        <w:footnoteReference w:id="10"/>
      </w:r>
      <w:bookmarkEnd w:id="8"/>
      <w:r w:rsidRPr="003C7337">
        <w:rPr>
          <w:szCs w:val="19"/>
          <w:shd w:val="clear" w:color="auto" w:fill="FFFFFF"/>
        </w:rPr>
        <w:t xml:space="preserve">. </w:t>
      </w:r>
    </w:p>
    <w:p w14:paraId="38DE8592" w14:textId="73616CE0" w:rsidR="00611523" w:rsidRPr="00CB4AF0" w:rsidRDefault="00D43E5A" w:rsidP="00611523">
      <w:pPr>
        <w:rPr>
          <w:szCs w:val="19"/>
        </w:rPr>
      </w:pPr>
      <w:r>
        <w:rPr>
          <w:szCs w:val="19"/>
        </w:rPr>
        <w:t>W</w:t>
      </w:r>
      <w:r w:rsidR="00611523" w:rsidRPr="00CB4AF0">
        <w:rPr>
          <w:szCs w:val="19"/>
        </w:rPr>
        <w:t xml:space="preserve"> 2018 r. wartość usług dostarczonych nierezydentom</w:t>
      </w:r>
      <w:r w:rsidR="00703754" w:rsidRPr="00703754">
        <w:rPr>
          <w:szCs w:val="19"/>
          <w:vertAlign w:val="superscript"/>
        </w:rPr>
        <w:fldChar w:fldCharType="begin"/>
      </w:r>
      <w:r w:rsidR="00703754" w:rsidRPr="00703754">
        <w:rPr>
          <w:szCs w:val="19"/>
          <w:vertAlign w:val="superscript"/>
        </w:rPr>
        <w:instrText xml:space="preserve"> NOTEREF _Ref48217100 \h </w:instrText>
      </w:r>
      <w:r w:rsidR="00703754">
        <w:rPr>
          <w:szCs w:val="19"/>
          <w:vertAlign w:val="superscript"/>
        </w:rPr>
        <w:instrText xml:space="preserve"> \* MERGEFORMAT </w:instrText>
      </w:r>
      <w:r w:rsidR="00703754" w:rsidRPr="00703754">
        <w:rPr>
          <w:szCs w:val="19"/>
          <w:vertAlign w:val="superscript"/>
        </w:rPr>
      </w:r>
      <w:r w:rsidR="00703754" w:rsidRPr="00703754">
        <w:rPr>
          <w:szCs w:val="19"/>
          <w:vertAlign w:val="superscript"/>
        </w:rPr>
        <w:fldChar w:fldCharType="separate"/>
      </w:r>
      <w:r w:rsidR="003D1A16">
        <w:rPr>
          <w:szCs w:val="19"/>
          <w:vertAlign w:val="superscript"/>
        </w:rPr>
        <w:t>4</w:t>
      </w:r>
      <w:r w:rsidR="00703754" w:rsidRPr="00703754">
        <w:rPr>
          <w:szCs w:val="19"/>
          <w:vertAlign w:val="superscript"/>
        </w:rPr>
        <w:fldChar w:fldCharType="end"/>
      </w:r>
      <w:r w:rsidR="00611523" w:rsidRPr="00CB4AF0">
        <w:rPr>
          <w:szCs w:val="19"/>
        </w:rPr>
        <w:t xml:space="preserve"> </w:t>
      </w:r>
      <w:r>
        <w:rPr>
          <w:szCs w:val="19"/>
        </w:rPr>
        <w:t xml:space="preserve">przez te </w:t>
      </w:r>
      <w:r w:rsidRPr="00D43E5A">
        <w:rPr>
          <w:spacing w:val="-2"/>
          <w:szCs w:val="19"/>
        </w:rPr>
        <w:t xml:space="preserve">podmioty </w:t>
      </w:r>
      <w:r w:rsidR="00611523" w:rsidRPr="00D43E5A">
        <w:rPr>
          <w:spacing w:val="-2"/>
          <w:szCs w:val="19"/>
        </w:rPr>
        <w:t>wyniosła</w:t>
      </w:r>
      <w:r w:rsidR="00611523" w:rsidRPr="00CB4AF0">
        <w:rPr>
          <w:szCs w:val="19"/>
        </w:rPr>
        <w:t xml:space="preserve"> 10,9 mld</w:t>
      </w:r>
      <w:r>
        <w:rPr>
          <w:szCs w:val="19"/>
        </w:rPr>
        <w:t xml:space="preserve"> </w:t>
      </w:r>
      <w:r w:rsidR="00611523" w:rsidRPr="00CB4AF0">
        <w:rPr>
          <w:szCs w:val="19"/>
        </w:rPr>
        <w:t xml:space="preserve">zł (wzrost o 17,7%), natomiast nabyły one od nierezydentów usługi o wartości ponad 2,1 mld zł (wzrost o 4,7%). </w:t>
      </w:r>
    </w:p>
    <w:p w14:paraId="4BB710E6" w14:textId="016A707A" w:rsidR="00611523" w:rsidRPr="00CB4AF0" w:rsidRDefault="000429B4" w:rsidP="00611523">
      <w:pPr>
        <w:rPr>
          <w:szCs w:val="19"/>
        </w:rPr>
      </w:pPr>
      <w:r>
        <w:rPr>
          <w:szCs w:val="19"/>
        </w:rPr>
        <w:t>G</w:t>
      </w:r>
      <w:r w:rsidR="00611523" w:rsidRPr="00CB4AF0">
        <w:rPr>
          <w:szCs w:val="19"/>
        </w:rPr>
        <w:t>łównym partnerem handlowym w międzynarodowej wymianie usług były podmioty mające swoją siedzibę w Wielkiej Brytanii (udział w strukturze usług dostarczonych stanowił 16,8%, natomiast nabytych – 20,8%). Usługi prawne, księgowe, doradztwo w zakresie zarządzania i public relations stanowiły główne źródło przychodów, jak i rozchodów tych podmiotów, co było zgodne z ich podstawowym rodzajem działalności (udział w strukturze usług dostarczonych stanowił 75</w:t>
      </w:r>
      <w:r w:rsidR="00987C85">
        <w:rPr>
          <w:szCs w:val="19"/>
        </w:rPr>
        <w:t>,</w:t>
      </w:r>
      <w:r w:rsidR="00611523" w:rsidRPr="00CB4AF0">
        <w:rPr>
          <w:szCs w:val="19"/>
        </w:rPr>
        <w:t>8%, natomiast nabytych – 46,1%).</w:t>
      </w:r>
    </w:p>
    <w:p w14:paraId="49101FBF" w14:textId="6E2D9F64" w:rsidR="00BE78E6" w:rsidRPr="00F048EC" w:rsidRDefault="00F048EC" w:rsidP="00D4626A">
      <w:pPr>
        <w:ind w:left="851" w:hanging="851"/>
        <w:rPr>
          <w:b/>
          <w:bCs/>
          <w:sz w:val="18"/>
          <w:szCs w:val="18"/>
          <w:shd w:val="clear" w:color="auto" w:fill="FFFFFF"/>
        </w:rPr>
      </w:pPr>
      <w:r w:rsidRPr="00CB4AF0">
        <w:rPr>
          <w:noProof/>
          <w:lang w:eastAsia="pl-PL"/>
        </w:rPr>
        <w:drawing>
          <wp:anchor distT="0" distB="0" distL="114300" distR="114300" simplePos="0" relativeHeight="251821056" behindDoc="0" locked="0" layoutInCell="1" allowOverlap="1" wp14:anchorId="38DAF10F" wp14:editId="0CD92D37">
            <wp:simplePos x="0" y="0"/>
            <wp:positionH relativeFrom="margin">
              <wp:align>left</wp:align>
            </wp:positionH>
            <wp:positionV relativeFrom="paragraph">
              <wp:posOffset>467360</wp:posOffset>
            </wp:positionV>
            <wp:extent cx="5193665" cy="3863340"/>
            <wp:effectExtent l="0" t="0" r="6985" b="3810"/>
            <wp:wrapSquare wrapText="bothSides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E6">
        <w:rPr>
          <w:b/>
          <w:sz w:val="18"/>
          <w:szCs w:val="18"/>
        </w:rPr>
        <w:t>Wykres</w:t>
      </w:r>
      <w:r w:rsidR="003C733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7</w:t>
      </w:r>
      <w:r w:rsidR="00BE78E6" w:rsidRPr="00C96FAB">
        <w:rPr>
          <w:b/>
          <w:sz w:val="18"/>
          <w:szCs w:val="18"/>
        </w:rPr>
        <w:t>.</w:t>
      </w:r>
      <w:r w:rsidR="00BE78E6" w:rsidRPr="00C96FAB">
        <w:rPr>
          <w:b/>
          <w:sz w:val="18"/>
          <w:szCs w:val="18"/>
          <w:shd w:val="clear" w:color="auto" w:fill="FFFFFF"/>
        </w:rPr>
        <w:t xml:space="preserve"> </w:t>
      </w:r>
      <w:r w:rsidR="00BE78E6">
        <w:rPr>
          <w:b/>
          <w:sz w:val="18"/>
          <w:szCs w:val="18"/>
          <w:shd w:val="clear" w:color="auto" w:fill="FFFFFF"/>
        </w:rPr>
        <w:t>Struktura geograficzna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 w:rsidR="00BE78E6"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 w:rsidR="00BE78E6">
        <w:rPr>
          <w:b/>
          <w:sz w:val="18"/>
          <w:szCs w:val="18"/>
          <w:shd w:val="clear" w:color="auto" w:fill="FFFFFF"/>
        </w:rPr>
        <w:t xml:space="preserve">ych w obrocie międzynarodowym przez podmioty prowadzące działalność </w:t>
      </w:r>
      <w:r w:rsidR="00BE78E6">
        <w:rPr>
          <w:b/>
          <w:bCs/>
          <w:sz w:val="18"/>
          <w:szCs w:val="18"/>
          <w:shd w:val="clear" w:color="auto" w:fill="FFFFFF"/>
        </w:rPr>
        <w:t>prawniczą</w:t>
      </w:r>
      <w:r w:rsidR="00BE78E6" w:rsidRPr="00C96FAB">
        <w:rPr>
          <w:b/>
          <w:bCs/>
          <w:sz w:val="18"/>
          <w:szCs w:val="18"/>
          <w:shd w:val="clear" w:color="auto" w:fill="FFFFFF"/>
        </w:rPr>
        <w:t>, rachunkowo-księgow</w:t>
      </w:r>
      <w:r w:rsidR="00BE78E6">
        <w:rPr>
          <w:b/>
          <w:bCs/>
          <w:sz w:val="18"/>
          <w:szCs w:val="18"/>
          <w:shd w:val="clear" w:color="auto" w:fill="FFFFFF"/>
        </w:rPr>
        <w:t>ą</w:t>
      </w:r>
      <w:r w:rsidR="00BE78E6" w:rsidRPr="00C96FAB">
        <w:rPr>
          <w:b/>
          <w:bCs/>
          <w:sz w:val="18"/>
          <w:szCs w:val="18"/>
          <w:shd w:val="clear" w:color="auto" w:fill="FFFFFF"/>
        </w:rPr>
        <w:t xml:space="preserve"> oraz związan</w:t>
      </w:r>
      <w:r w:rsidR="00BE78E6">
        <w:rPr>
          <w:b/>
          <w:bCs/>
          <w:sz w:val="18"/>
          <w:szCs w:val="18"/>
          <w:shd w:val="clear" w:color="auto" w:fill="FFFFFF"/>
        </w:rPr>
        <w:t>ą</w:t>
      </w:r>
      <w:r w:rsidR="00BE78E6" w:rsidRPr="00C96FAB">
        <w:rPr>
          <w:b/>
          <w:bCs/>
          <w:sz w:val="18"/>
          <w:szCs w:val="18"/>
          <w:shd w:val="clear" w:color="auto" w:fill="FFFFFF"/>
        </w:rPr>
        <w:t xml:space="preserve"> z zarządzaniem</w: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begin"/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instrText xml:space="preserve"> NOTEREF _Ref524343595 \h </w:instrText>
      </w:r>
      <w:r w:rsidR="00CE3A2F">
        <w:rPr>
          <w:b/>
          <w:bCs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bCs/>
          <w:sz w:val="18"/>
          <w:szCs w:val="18"/>
          <w:shd w:val="clear" w:color="auto" w:fill="FFFFFF"/>
          <w:vertAlign w:val="superscript"/>
        </w:rPr>
        <w:t>9</w: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end"/>
      </w:r>
      <w:r>
        <w:rPr>
          <w:b/>
          <w:bCs/>
          <w:sz w:val="18"/>
          <w:szCs w:val="18"/>
          <w:shd w:val="clear" w:color="auto" w:fill="FFFFFF"/>
          <w:vertAlign w:val="superscript"/>
        </w:rPr>
        <w:t xml:space="preserve"> </w:t>
      </w:r>
      <w:r w:rsidR="003C7DF8">
        <w:rPr>
          <w:b/>
          <w:bCs/>
          <w:sz w:val="18"/>
          <w:szCs w:val="18"/>
          <w:shd w:val="clear" w:color="auto" w:fill="FFFFFF"/>
        </w:rPr>
        <w:t>w 2018 r.</w:t>
      </w:r>
    </w:p>
    <w:p w14:paraId="17C0D8FF" w14:textId="77777777" w:rsidR="00D43E5A" w:rsidRDefault="00D43E5A" w:rsidP="00D4626A">
      <w:pPr>
        <w:ind w:left="851" w:hanging="851"/>
        <w:rPr>
          <w:b/>
          <w:sz w:val="18"/>
          <w:szCs w:val="18"/>
        </w:rPr>
      </w:pPr>
    </w:p>
    <w:p w14:paraId="0A9EB436" w14:textId="6B6D2739" w:rsidR="00D4626A" w:rsidRPr="00754059" w:rsidRDefault="00D43E5A" w:rsidP="00D4626A">
      <w:pPr>
        <w:ind w:left="851" w:hanging="851"/>
        <w:rPr>
          <w:b/>
          <w:bCs/>
          <w:sz w:val="18"/>
          <w:szCs w:val="18"/>
          <w:shd w:val="clear" w:color="auto" w:fill="FFFFFF"/>
        </w:rPr>
      </w:pPr>
      <w:r w:rsidRPr="00CB4AF0">
        <w:rPr>
          <w:noProof/>
          <w:lang w:eastAsia="pl-PL"/>
        </w:rPr>
        <w:lastRenderedPageBreak/>
        <w:drawing>
          <wp:anchor distT="0" distB="0" distL="114300" distR="114300" simplePos="0" relativeHeight="251823104" behindDoc="0" locked="0" layoutInCell="1" allowOverlap="1" wp14:anchorId="415556A1" wp14:editId="3A3A90A5">
            <wp:simplePos x="0" y="0"/>
            <wp:positionH relativeFrom="margin">
              <wp:align>center</wp:align>
            </wp:positionH>
            <wp:positionV relativeFrom="paragraph">
              <wp:posOffset>505460</wp:posOffset>
            </wp:positionV>
            <wp:extent cx="5196840" cy="2628900"/>
            <wp:effectExtent l="0" t="0" r="3810" b="0"/>
            <wp:wrapSquare wrapText="bothSides"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E6">
        <w:rPr>
          <w:b/>
          <w:sz w:val="18"/>
          <w:szCs w:val="18"/>
        </w:rPr>
        <w:t>Wykres</w:t>
      </w:r>
      <w:r w:rsidR="006A0F3D">
        <w:rPr>
          <w:b/>
          <w:sz w:val="18"/>
          <w:szCs w:val="18"/>
        </w:rPr>
        <w:t xml:space="preserve"> </w:t>
      </w:r>
      <w:r w:rsidR="00B531C5">
        <w:rPr>
          <w:b/>
          <w:sz w:val="18"/>
          <w:szCs w:val="18"/>
        </w:rPr>
        <w:t>8</w:t>
      </w:r>
      <w:r w:rsidR="00BE78E6" w:rsidRPr="00C96FAB">
        <w:rPr>
          <w:b/>
          <w:sz w:val="18"/>
          <w:szCs w:val="18"/>
        </w:rPr>
        <w:t>.</w:t>
      </w:r>
      <w:r w:rsidR="00BE78E6" w:rsidRPr="00C96FAB">
        <w:rPr>
          <w:b/>
          <w:sz w:val="18"/>
          <w:szCs w:val="18"/>
          <w:shd w:val="clear" w:color="auto" w:fill="FFFFFF"/>
        </w:rPr>
        <w:t xml:space="preserve"> </w:t>
      </w:r>
      <w:r w:rsidR="00BE78E6">
        <w:rPr>
          <w:b/>
          <w:sz w:val="18"/>
          <w:szCs w:val="18"/>
          <w:shd w:val="clear" w:color="auto" w:fill="FFFFFF"/>
        </w:rPr>
        <w:t>Struktura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 w:rsidR="00BE78E6"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 w:rsidR="00BE78E6">
        <w:rPr>
          <w:b/>
          <w:sz w:val="18"/>
          <w:szCs w:val="18"/>
          <w:shd w:val="clear" w:color="auto" w:fill="FFFFFF"/>
        </w:rPr>
        <w:t xml:space="preserve">ych w obrocie międzynarodowym przez podmioty prowadzące działalność </w:t>
      </w:r>
      <w:r w:rsidR="00BE78E6">
        <w:rPr>
          <w:b/>
          <w:bCs/>
          <w:sz w:val="18"/>
          <w:szCs w:val="18"/>
          <w:shd w:val="clear" w:color="auto" w:fill="FFFFFF"/>
        </w:rPr>
        <w:t>prawniczą</w:t>
      </w:r>
      <w:r w:rsidR="00BE78E6" w:rsidRPr="00C96FAB">
        <w:rPr>
          <w:b/>
          <w:bCs/>
          <w:sz w:val="18"/>
          <w:szCs w:val="18"/>
          <w:shd w:val="clear" w:color="auto" w:fill="FFFFFF"/>
        </w:rPr>
        <w:t>, rachunkowo-księgow</w:t>
      </w:r>
      <w:r w:rsidR="00BE78E6">
        <w:rPr>
          <w:b/>
          <w:bCs/>
          <w:sz w:val="18"/>
          <w:szCs w:val="18"/>
          <w:shd w:val="clear" w:color="auto" w:fill="FFFFFF"/>
        </w:rPr>
        <w:t>ą</w:t>
      </w:r>
      <w:r w:rsidR="00BE78E6" w:rsidRPr="00C96FAB">
        <w:rPr>
          <w:b/>
          <w:bCs/>
          <w:sz w:val="18"/>
          <w:szCs w:val="18"/>
          <w:shd w:val="clear" w:color="auto" w:fill="FFFFFF"/>
        </w:rPr>
        <w:t xml:space="preserve"> oraz związan</w:t>
      </w:r>
      <w:r w:rsidR="00BE78E6">
        <w:rPr>
          <w:b/>
          <w:bCs/>
          <w:sz w:val="18"/>
          <w:szCs w:val="18"/>
          <w:shd w:val="clear" w:color="auto" w:fill="FFFFFF"/>
        </w:rPr>
        <w:t>ą</w:t>
      </w:r>
      <w:r w:rsidR="00BE78E6" w:rsidRPr="00C96FAB">
        <w:rPr>
          <w:b/>
          <w:bCs/>
          <w:sz w:val="18"/>
          <w:szCs w:val="18"/>
          <w:shd w:val="clear" w:color="auto" w:fill="FFFFFF"/>
        </w:rPr>
        <w:t xml:space="preserve"> z zarządzaniem</w: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begin"/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instrText xml:space="preserve"> NOTEREF _Ref524343595 \h </w:instrText>
      </w:r>
      <w:r w:rsidR="00CE3A2F">
        <w:rPr>
          <w:b/>
          <w:bCs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bCs/>
          <w:sz w:val="18"/>
          <w:szCs w:val="18"/>
          <w:shd w:val="clear" w:color="auto" w:fill="FFFFFF"/>
          <w:vertAlign w:val="superscript"/>
        </w:rPr>
        <w:t>9</w:t>
      </w:r>
      <w:r w:rsidR="00CE3A2F" w:rsidRPr="00CE3A2F">
        <w:rPr>
          <w:b/>
          <w:bCs/>
          <w:sz w:val="18"/>
          <w:szCs w:val="18"/>
          <w:shd w:val="clear" w:color="auto" w:fill="FFFFFF"/>
          <w:vertAlign w:val="superscript"/>
        </w:rPr>
        <w:fldChar w:fldCharType="end"/>
      </w:r>
      <w:r w:rsidR="00754059">
        <w:rPr>
          <w:b/>
          <w:bCs/>
          <w:sz w:val="18"/>
          <w:szCs w:val="18"/>
          <w:shd w:val="clear" w:color="auto" w:fill="FFFFFF"/>
          <w:vertAlign w:val="superscript"/>
        </w:rPr>
        <w:t xml:space="preserve"> </w:t>
      </w:r>
      <w:r w:rsidR="00754059">
        <w:rPr>
          <w:b/>
          <w:bCs/>
          <w:sz w:val="18"/>
          <w:szCs w:val="18"/>
          <w:shd w:val="clear" w:color="auto" w:fill="FFFFFF"/>
        </w:rPr>
        <w:t>według rodzaju świadczonych usług</w:t>
      </w:r>
      <w:r w:rsidR="003C7DF8">
        <w:rPr>
          <w:b/>
          <w:bCs/>
          <w:sz w:val="18"/>
          <w:szCs w:val="18"/>
          <w:shd w:val="clear" w:color="auto" w:fill="FFFFFF"/>
        </w:rPr>
        <w:t xml:space="preserve"> w 2018 r.</w:t>
      </w:r>
    </w:p>
    <w:p w14:paraId="05743C95" w14:textId="63626F3B" w:rsidR="00BE78E6" w:rsidRPr="00D4626A" w:rsidRDefault="00BE78E6" w:rsidP="00D4626A">
      <w:pPr>
        <w:ind w:left="851" w:hanging="851"/>
        <w:rPr>
          <w:b/>
          <w:bCs/>
          <w:sz w:val="18"/>
          <w:szCs w:val="18"/>
          <w:shd w:val="clear" w:color="auto" w:fill="FFFFFF"/>
        </w:rPr>
      </w:pPr>
      <w:r w:rsidRPr="00C553C0">
        <w:rPr>
          <w:sz w:val="18"/>
          <w:szCs w:val="18"/>
        </w:rPr>
        <w:t>u. - usługi</w:t>
      </w:r>
    </w:p>
    <w:p w14:paraId="5744E61C" w14:textId="52520792" w:rsidR="00BE78E6" w:rsidRPr="007371F9" w:rsidRDefault="002A659B" w:rsidP="00BE78E6">
      <w:pPr>
        <w:pStyle w:val="Nagwek1"/>
        <w:rPr>
          <w:sz w:val="18"/>
        </w:rPr>
      </w:pPr>
      <w:r w:rsidRPr="007371F9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3168" behindDoc="1" locked="0" layoutInCell="1" allowOverlap="1" wp14:anchorId="690098C2" wp14:editId="6D94D1B1">
                <wp:simplePos x="0" y="0"/>
                <wp:positionH relativeFrom="column">
                  <wp:posOffset>5257800</wp:posOffset>
                </wp:positionH>
                <wp:positionV relativeFrom="paragraph">
                  <wp:posOffset>86360</wp:posOffset>
                </wp:positionV>
                <wp:extent cx="1725295" cy="1112520"/>
                <wp:effectExtent l="0" t="0" r="0" b="0"/>
                <wp:wrapTight wrapText="bothSides">
                  <wp:wrapPolygon edited="0">
                    <wp:start x="715" y="0"/>
                    <wp:lineTo x="715" y="21082"/>
                    <wp:lineTo x="20749" y="21082"/>
                    <wp:lineTo x="20749" y="0"/>
                    <wp:lineTo x="715" y="0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CCB4A" w14:textId="6825565E" w:rsidR="006A0F3D" w:rsidRPr="00632E25" w:rsidRDefault="006A0F3D" w:rsidP="00BE78E6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632E25">
                              <w:rPr>
                                <w:color w:val="auto"/>
                              </w:rPr>
                              <w:t>Dalsza poprawa wskaźników rentowności podmiotów prowadzących działalność w zakresie architektury i inżynierii; badania i analizy techniczne</w:t>
                            </w:r>
                          </w:p>
                          <w:p w14:paraId="44BF9F03" w14:textId="77777777" w:rsidR="006A0F3D" w:rsidRPr="00F52158" w:rsidRDefault="006A0F3D" w:rsidP="00BE78E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c="http://schemas.openxmlformats.org/drawingml/2006/chart" xmlns:a="http://schemas.openxmlformats.org/drawingml/2006/main">
            <w:pict>
              <v:shape id="Pole tekstowe 36" style="position:absolute;margin-left:414pt;margin-top:6.8pt;width:135.85pt;height:87.6pt;z-index:-25153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" w14:anchorId="690098C2">
                <v:textbox>
                  <w:txbxContent>
                    <w:p w:rsidRPr="00632E25" w:rsidR="006A0F3D" w:rsidP="00BE78E6" w:rsidRDefault="006A0F3D" w14:paraId="0C6CCB4A" w14:textId="6825565E">
                      <w:pPr>
                        <w:pStyle w:val="tekstzboku"/>
                        <w:rPr>
                          <w:color w:val="auto"/>
                        </w:rPr>
                      </w:pPr>
                      <w:r w:rsidRPr="00632E25">
                        <w:rPr>
                          <w:color w:val="auto"/>
                        </w:rPr>
                        <w:t>Dalsza poprawa wskaźników rentowności podmiotów prowadzących działalność w zakresie architektury i inżynierii; badania i analizy techniczne</w:t>
                      </w:r>
                    </w:p>
                    <w:p w:rsidRPr="00F52158" w:rsidR="006A0F3D" w:rsidP="00BE78E6" w:rsidRDefault="006A0F3D" w14:paraId="44BF9F03" w14:textId="7777777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E78E6" w:rsidRPr="007371F9">
        <w:t xml:space="preserve">Działalność w zakresie architektury </w:t>
      </w:r>
      <w:r w:rsidR="004C6693" w:rsidRPr="007371F9">
        <w:t xml:space="preserve">i </w:t>
      </w:r>
      <w:r w:rsidR="00BE78E6" w:rsidRPr="007371F9">
        <w:t>inżynierii; badania i analizy techniczne</w:t>
      </w:r>
      <w:bookmarkStart w:id="9" w:name="_Ref524343725"/>
      <w:r w:rsidR="004C6693" w:rsidRPr="007371F9">
        <w:rPr>
          <w:rStyle w:val="Odwoanieprzypisudolnego"/>
        </w:rPr>
        <w:footnoteReference w:id="11"/>
      </w:r>
      <w:bookmarkEnd w:id="9"/>
    </w:p>
    <w:p w14:paraId="093CB30A" w14:textId="5202C557" w:rsidR="00BE78E6" w:rsidRPr="00632E25" w:rsidRDefault="00BE78E6" w:rsidP="00BE78E6">
      <w:pPr>
        <w:pStyle w:val="Nagwek1"/>
        <w:rPr>
          <w:rFonts w:ascii="Fira Sans" w:hAnsi="Fira Sans"/>
          <w:color w:val="auto"/>
          <w:shd w:val="clear" w:color="auto" w:fill="FFFFFF"/>
        </w:rPr>
      </w:pPr>
      <w:r w:rsidRPr="006A0F3D">
        <w:rPr>
          <w:rFonts w:ascii="Fira Sans" w:hAnsi="Fira Sans"/>
          <w:color w:val="auto"/>
          <w:szCs w:val="19"/>
        </w:rPr>
        <w:t>Wartość obrotów</w:t>
      </w:r>
      <w:r w:rsidR="004C6693" w:rsidRPr="006A0F3D">
        <w:rPr>
          <w:rFonts w:ascii="Fira Sans" w:hAnsi="Fira Sans"/>
          <w:color w:val="auto"/>
          <w:szCs w:val="19"/>
        </w:rPr>
        <w:t xml:space="preserve"> przedsiębiorstw prowadzących działalności w zakresie architektury i inżynierii oraz badań i analiz technicznych</w:t>
      </w:r>
      <w:r w:rsidRPr="006A0F3D">
        <w:rPr>
          <w:rFonts w:ascii="Fira Sans" w:hAnsi="Fira Sans"/>
          <w:color w:val="auto"/>
          <w:szCs w:val="19"/>
        </w:rPr>
        <w:t xml:space="preserve"> </w:t>
      </w:r>
      <w:r w:rsidR="00FD4130" w:rsidRPr="006A0F3D">
        <w:rPr>
          <w:rFonts w:ascii="Fira Sans" w:hAnsi="Fira Sans"/>
          <w:color w:val="auto"/>
          <w:szCs w:val="19"/>
        </w:rPr>
        <w:t>wyniosła</w:t>
      </w:r>
      <w:r w:rsidR="000A1552">
        <w:rPr>
          <w:rFonts w:ascii="Fira Sans" w:hAnsi="Fira Sans"/>
          <w:color w:val="auto"/>
          <w:szCs w:val="19"/>
        </w:rPr>
        <w:t xml:space="preserve"> </w:t>
      </w:r>
      <w:r w:rsidR="00FD4130" w:rsidRPr="006A0F3D">
        <w:rPr>
          <w:rFonts w:ascii="Fira Sans" w:hAnsi="Fira Sans"/>
          <w:color w:val="auto"/>
          <w:szCs w:val="19"/>
        </w:rPr>
        <w:t>31,4</w:t>
      </w:r>
      <w:r w:rsidR="000A1552">
        <w:rPr>
          <w:rFonts w:ascii="Fira Sans" w:hAnsi="Fira Sans"/>
          <w:color w:val="auto"/>
          <w:szCs w:val="19"/>
        </w:rPr>
        <w:t xml:space="preserve"> </w:t>
      </w:r>
      <w:r w:rsidRPr="006A0F3D">
        <w:rPr>
          <w:rFonts w:ascii="Fira Sans" w:hAnsi="Fira Sans"/>
          <w:color w:val="auto"/>
          <w:szCs w:val="19"/>
        </w:rPr>
        <w:t xml:space="preserve">mld zł przy </w:t>
      </w:r>
      <w:r w:rsidR="00FD4130" w:rsidRPr="006A0F3D">
        <w:rPr>
          <w:rFonts w:ascii="Fira Sans" w:hAnsi="Fira Sans"/>
          <w:color w:val="auto"/>
          <w:szCs w:val="19"/>
        </w:rPr>
        <w:t xml:space="preserve">liczbie </w:t>
      </w:r>
      <w:r w:rsidRPr="006A0F3D">
        <w:rPr>
          <w:rFonts w:ascii="Fira Sans" w:hAnsi="Fira Sans"/>
          <w:color w:val="auto"/>
          <w:szCs w:val="19"/>
        </w:rPr>
        <w:t xml:space="preserve">przedsiębiorstw </w:t>
      </w:r>
      <w:r w:rsidR="00FD4130" w:rsidRPr="006A0F3D">
        <w:rPr>
          <w:rFonts w:ascii="Fira Sans" w:hAnsi="Fira Sans"/>
          <w:color w:val="auto"/>
          <w:szCs w:val="19"/>
        </w:rPr>
        <w:t>na poziomie 71,5</w:t>
      </w:r>
      <w:r w:rsidR="007858B7" w:rsidRPr="006A0F3D">
        <w:rPr>
          <w:rFonts w:ascii="Fira Sans" w:hAnsi="Fira Sans"/>
          <w:color w:val="auto"/>
          <w:szCs w:val="19"/>
        </w:rPr>
        <w:t xml:space="preserve"> tys. oraz </w:t>
      </w:r>
      <w:r w:rsidR="00FD4130" w:rsidRPr="006A0F3D">
        <w:rPr>
          <w:rFonts w:ascii="Fira Sans" w:hAnsi="Fira Sans"/>
          <w:color w:val="auto"/>
          <w:szCs w:val="19"/>
        </w:rPr>
        <w:t xml:space="preserve">liczbie </w:t>
      </w:r>
      <w:r w:rsidRPr="006A0F3D">
        <w:rPr>
          <w:rFonts w:ascii="Fira Sans" w:hAnsi="Fira Sans"/>
          <w:color w:val="auto"/>
          <w:szCs w:val="19"/>
        </w:rPr>
        <w:t xml:space="preserve">pracujących </w:t>
      </w:r>
      <w:r w:rsidR="009825F1">
        <w:rPr>
          <w:rFonts w:ascii="Fira Sans" w:hAnsi="Fira Sans"/>
          <w:color w:val="auto"/>
          <w:szCs w:val="19"/>
        </w:rPr>
        <w:t xml:space="preserve">- </w:t>
      </w:r>
      <w:r w:rsidR="007E0FD1" w:rsidRPr="006A0F3D">
        <w:rPr>
          <w:rFonts w:ascii="Fira Sans" w:hAnsi="Fira Sans"/>
          <w:color w:val="auto"/>
          <w:szCs w:val="19"/>
        </w:rPr>
        <w:t xml:space="preserve">niewiele ponad </w:t>
      </w:r>
      <w:r w:rsidR="00013B99" w:rsidRPr="006A0F3D">
        <w:rPr>
          <w:rFonts w:ascii="Fira Sans" w:hAnsi="Fira Sans"/>
          <w:color w:val="auto"/>
          <w:szCs w:val="19"/>
        </w:rPr>
        <w:t xml:space="preserve">152 </w:t>
      </w:r>
      <w:r w:rsidRPr="006A0F3D">
        <w:rPr>
          <w:rFonts w:ascii="Fira Sans" w:hAnsi="Fira Sans"/>
          <w:color w:val="auto"/>
          <w:szCs w:val="19"/>
        </w:rPr>
        <w:t xml:space="preserve">tys. osób. </w:t>
      </w:r>
      <w:r w:rsidRPr="00632E25">
        <w:rPr>
          <w:rFonts w:ascii="Fira Sans" w:hAnsi="Fira Sans"/>
          <w:color w:val="auto"/>
          <w:szCs w:val="19"/>
        </w:rPr>
        <w:t>Zaobserwowano po</w:t>
      </w:r>
      <w:r w:rsidR="000E7516" w:rsidRPr="00632E25">
        <w:rPr>
          <w:rFonts w:ascii="Fira Sans" w:hAnsi="Fira Sans"/>
          <w:color w:val="auto"/>
          <w:szCs w:val="19"/>
        </w:rPr>
        <w:t>prawę</w:t>
      </w:r>
      <w:r w:rsidRPr="00632E25">
        <w:rPr>
          <w:rFonts w:ascii="Fira Sans" w:hAnsi="Fira Sans"/>
          <w:color w:val="auto"/>
          <w:szCs w:val="19"/>
        </w:rPr>
        <w:t xml:space="preserve"> zarówno wskaźnika rentowności obrotu brutto</w:t>
      </w:r>
      <w:r w:rsidR="00A37806" w:rsidRPr="00632E25">
        <w:rPr>
          <w:rFonts w:ascii="Fira Sans" w:hAnsi="Fira Sans"/>
          <w:color w:val="auto"/>
          <w:szCs w:val="19"/>
          <w:vertAlign w:val="superscript"/>
        </w:rPr>
        <w:fldChar w:fldCharType="begin"/>
      </w:r>
      <w:r w:rsidR="00A37806" w:rsidRPr="00632E25">
        <w:rPr>
          <w:rFonts w:ascii="Fira Sans" w:hAnsi="Fira Sans"/>
          <w:color w:val="auto"/>
          <w:szCs w:val="19"/>
          <w:vertAlign w:val="superscript"/>
        </w:rPr>
        <w:instrText xml:space="preserve"> NOTEREF _Ref524335706 \h  \* MERGEFORMAT </w:instrText>
      </w:r>
      <w:r w:rsidR="00A37806" w:rsidRPr="00632E25">
        <w:rPr>
          <w:rFonts w:ascii="Fira Sans" w:hAnsi="Fira Sans"/>
          <w:color w:val="auto"/>
          <w:szCs w:val="19"/>
          <w:vertAlign w:val="superscript"/>
        </w:rPr>
      </w:r>
      <w:r w:rsidR="00A37806" w:rsidRPr="00632E25">
        <w:rPr>
          <w:rFonts w:ascii="Fira Sans" w:hAnsi="Fira Sans"/>
          <w:color w:val="auto"/>
          <w:szCs w:val="19"/>
          <w:vertAlign w:val="superscript"/>
        </w:rPr>
        <w:fldChar w:fldCharType="separate"/>
      </w:r>
      <w:r w:rsidR="003D1A16">
        <w:rPr>
          <w:rFonts w:ascii="Fira Sans" w:hAnsi="Fira Sans"/>
          <w:color w:val="auto"/>
          <w:szCs w:val="19"/>
          <w:vertAlign w:val="superscript"/>
        </w:rPr>
        <w:t>6</w:t>
      </w:r>
      <w:r w:rsidR="00A37806" w:rsidRPr="00632E25">
        <w:rPr>
          <w:rFonts w:ascii="Fira Sans" w:hAnsi="Fira Sans"/>
          <w:color w:val="auto"/>
          <w:szCs w:val="19"/>
          <w:vertAlign w:val="superscript"/>
        </w:rPr>
        <w:fldChar w:fldCharType="end"/>
      </w:r>
      <w:r w:rsidRPr="00632E25">
        <w:rPr>
          <w:rFonts w:ascii="Fira Sans" w:hAnsi="Fira Sans"/>
          <w:color w:val="auto"/>
          <w:szCs w:val="19"/>
        </w:rPr>
        <w:t xml:space="preserve"> </w:t>
      </w:r>
      <w:r w:rsidR="000E7516"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(z 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5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,4% w 201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7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 r. do 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6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,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1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% w</w:t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</w:rPr>
        <w:t> 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201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8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 r.), jak i netto</w:t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begin"/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instrText xml:space="preserve"> NOTEREF _Ref524335721 \h  \* MERGEFORMAT </w:instrText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separate"/>
      </w:r>
      <w:r w:rsidR="003D1A1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t>7</w:t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end"/>
      </w:r>
      <w:r w:rsidR="000E7516"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 (z 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4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,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3</w:t>
      </w:r>
      <w:r w:rsidR="000E7516" w:rsidRPr="00632E25">
        <w:rPr>
          <w:rFonts w:ascii="Fira Sans" w:hAnsi="Fira Sans"/>
          <w:color w:val="auto"/>
          <w:szCs w:val="19"/>
          <w:shd w:val="clear" w:color="auto" w:fill="FFFFFF"/>
        </w:rPr>
        <w:t>% w 201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7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 r. do 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5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,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0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% w 201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8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 r.). Wskaźnik poziomu kosztów z całokształtu działalności</w:t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begin"/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instrText xml:space="preserve"> NOTEREF _Ref524335741 \h  \* MERGEFORMAT </w:instrText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separate"/>
      </w:r>
      <w:r w:rsidR="003D1A16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t>8</w:t>
      </w:r>
      <w:r w:rsidR="00A37806" w:rsidRPr="00632E25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fldChar w:fldCharType="end"/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 uległ 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natomiast</w:t>
      </w:r>
      <w:r w:rsidR="00632E25">
        <w:rPr>
          <w:rFonts w:ascii="Fira Sans" w:hAnsi="Fira Sans"/>
          <w:color w:val="auto"/>
          <w:szCs w:val="19"/>
          <w:shd w:val="clear" w:color="auto" w:fill="FFFFFF"/>
        </w:rPr>
        <w:t xml:space="preserve"> 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pogorszeniu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 i wyniósł </w:t>
      </w:r>
      <w:r w:rsidR="000E7516" w:rsidRPr="00632E25">
        <w:rPr>
          <w:rFonts w:ascii="Fira Sans" w:hAnsi="Fira Sans"/>
          <w:color w:val="auto"/>
          <w:szCs w:val="19"/>
          <w:shd w:val="clear" w:color="auto" w:fill="FFFFFF"/>
        </w:rPr>
        <w:t>9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9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,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3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% w 201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8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 xml:space="preserve"> r. wobec 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98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,</w:t>
      </w:r>
      <w:r w:rsidR="00632E25" w:rsidRPr="00632E25">
        <w:rPr>
          <w:rFonts w:ascii="Fira Sans" w:hAnsi="Fira Sans"/>
          <w:color w:val="auto"/>
          <w:szCs w:val="19"/>
          <w:shd w:val="clear" w:color="auto" w:fill="FFFFFF"/>
        </w:rPr>
        <w:t>7</w:t>
      </w:r>
      <w:r w:rsidRPr="00632E25">
        <w:rPr>
          <w:rFonts w:ascii="Fira Sans" w:hAnsi="Fira Sans"/>
          <w:color w:val="auto"/>
          <w:szCs w:val="19"/>
          <w:shd w:val="clear" w:color="auto" w:fill="FFFFFF"/>
        </w:rPr>
        <w:t>% w roku poprzednim</w:t>
      </w:r>
      <w:r w:rsidRPr="00632E25">
        <w:rPr>
          <w:rFonts w:ascii="Fira Sans" w:hAnsi="Fira Sans"/>
          <w:color w:val="auto"/>
          <w:shd w:val="clear" w:color="auto" w:fill="FFFFFF"/>
        </w:rPr>
        <w:t>.</w:t>
      </w:r>
    </w:p>
    <w:p w14:paraId="78AD4B90" w14:textId="53312EB1" w:rsidR="00BE78E6" w:rsidRPr="006A0F3D" w:rsidRDefault="00BE78E6" w:rsidP="00BE78E6">
      <w:pPr>
        <w:rPr>
          <w:shd w:val="clear" w:color="auto" w:fill="FFFFFF"/>
        </w:rPr>
      </w:pPr>
      <w:r w:rsidRPr="006A0F3D">
        <w:rPr>
          <w:shd w:val="clear" w:color="auto" w:fill="FFFFFF"/>
        </w:rPr>
        <w:t xml:space="preserve">Podmioty </w:t>
      </w:r>
      <w:r w:rsidR="004C6693" w:rsidRPr="006A0F3D">
        <w:rPr>
          <w:shd w:val="clear" w:color="auto" w:fill="FFFFFF"/>
        </w:rPr>
        <w:t>z liczbą pracujących 10 osób i więcej</w:t>
      </w:r>
      <w:r w:rsidRPr="006A0F3D">
        <w:rPr>
          <w:shd w:val="clear" w:color="auto" w:fill="FFFFFF"/>
        </w:rPr>
        <w:t xml:space="preserve"> koncentrowały swoją sprzedaż w</w:t>
      </w:r>
      <w:r w:rsidR="00A37806" w:rsidRPr="006A0F3D">
        <w:rPr>
          <w:shd w:val="clear" w:color="auto" w:fill="FFFFFF"/>
        </w:rPr>
        <w:t> </w:t>
      </w:r>
      <w:r w:rsidR="00883536" w:rsidRPr="006A0F3D">
        <w:rPr>
          <w:shd w:val="clear" w:color="auto" w:fill="FFFFFF"/>
        </w:rPr>
        <w:t xml:space="preserve">kraju. Udział ten wyniósł </w:t>
      </w:r>
      <w:r w:rsidR="007D632B" w:rsidRPr="006A0F3D">
        <w:rPr>
          <w:shd w:val="clear" w:color="auto" w:fill="FFFFFF"/>
        </w:rPr>
        <w:t>71,8</w:t>
      </w:r>
      <w:r w:rsidRPr="006A0F3D">
        <w:rPr>
          <w:shd w:val="clear" w:color="auto" w:fill="FFFFFF"/>
        </w:rPr>
        <w:t xml:space="preserve">% </w:t>
      </w:r>
      <w:r w:rsidR="00883536" w:rsidRPr="006A0F3D">
        <w:rPr>
          <w:shd w:val="clear" w:color="auto" w:fill="FFFFFF"/>
        </w:rPr>
        <w:t>ogółu obrotów</w:t>
      </w:r>
      <w:r w:rsidRPr="006A0F3D">
        <w:rPr>
          <w:shd w:val="clear" w:color="auto" w:fill="FFFFFF"/>
        </w:rPr>
        <w:t xml:space="preserve">. </w:t>
      </w:r>
      <w:r w:rsidR="00CE3A2F" w:rsidRPr="006A0F3D">
        <w:rPr>
          <w:shd w:val="clear" w:color="auto" w:fill="FFFFFF"/>
        </w:rPr>
        <w:t>Udział usług sprzeda</w:t>
      </w:r>
      <w:r w:rsidRPr="006A0F3D">
        <w:rPr>
          <w:shd w:val="clear" w:color="auto" w:fill="FFFFFF"/>
        </w:rPr>
        <w:t xml:space="preserve">nych kontrahentom z krajów Unii Europejskiej </w:t>
      </w:r>
      <w:r w:rsidR="006122C2" w:rsidRPr="006A0F3D">
        <w:rPr>
          <w:shd w:val="clear" w:color="auto" w:fill="FFFFFF"/>
        </w:rPr>
        <w:t>stanowił</w:t>
      </w:r>
      <w:r w:rsidR="006A0F3D" w:rsidRPr="006A0F3D">
        <w:rPr>
          <w:shd w:val="clear" w:color="auto" w:fill="FFFFFF"/>
        </w:rPr>
        <w:t xml:space="preserve"> </w:t>
      </w:r>
      <w:r w:rsidR="007D632B" w:rsidRPr="006A0F3D">
        <w:rPr>
          <w:shd w:val="clear" w:color="auto" w:fill="FFFFFF"/>
        </w:rPr>
        <w:t>18,2</w:t>
      </w:r>
      <w:r w:rsidRPr="006A0F3D">
        <w:rPr>
          <w:shd w:val="clear" w:color="auto" w:fill="FFFFFF"/>
        </w:rPr>
        <w:t xml:space="preserve">%. Usługi w zakresie inżynierii stanowiły </w:t>
      </w:r>
      <w:r w:rsidR="00943A48" w:rsidRPr="006A0F3D">
        <w:rPr>
          <w:shd w:val="clear" w:color="auto" w:fill="FFFFFF"/>
        </w:rPr>
        <w:t>33,9</w:t>
      </w:r>
      <w:r w:rsidRPr="006A0F3D">
        <w:rPr>
          <w:shd w:val="clear" w:color="auto" w:fill="FFFFFF"/>
        </w:rPr>
        <w:t xml:space="preserve">% obrotów ogółem osiągniętych przez </w:t>
      </w:r>
      <w:r w:rsidR="00D67092" w:rsidRPr="006A0F3D">
        <w:rPr>
          <w:shd w:val="clear" w:color="auto" w:fill="FFFFFF"/>
        </w:rPr>
        <w:t>te p</w:t>
      </w:r>
      <w:r w:rsidR="004A2A5D" w:rsidRPr="006A0F3D">
        <w:rPr>
          <w:shd w:val="clear" w:color="auto" w:fill="FFFFFF"/>
        </w:rPr>
        <w:t>rzedsiębiorstwa</w:t>
      </w:r>
      <w:r w:rsidR="00F704DC">
        <w:rPr>
          <w:shd w:val="clear" w:color="auto" w:fill="FFFFFF"/>
        </w:rPr>
        <w:t>, natomiast u</w:t>
      </w:r>
      <w:r w:rsidRPr="006A0F3D">
        <w:rPr>
          <w:shd w:val="clear" w:color="auto" w:fill="FFFFFF"/>
        </w:rPr>
        <w:t>sługi w zakresie badań i</w:t>
      </w:r>
      <w:r w:rsidR="00A37806" w:rsidRPr="006A0F3D">
        <w:rPr>
          <w:shd w:val="clear" w:color="auto" w:fill="FFFFFF"/>
        </w:rPr>
        <w:t> </w:t>
      </w:r>
      <w:r w:rsidRPr="006A0F3D">
        <w:rPr>
          <w:shd w:val="clear" w:color="auto" w:fill="FFFFFF"/>
        </w:rPr>
        <w:t>analiz t</w:t>
      </w:r>
      <w:r w:rsidR="00F704DC">
        <w:rPr>
          <w:shd w:val="clear" w:color="auto" w:fill="FFFFFF"/>
        </w:rPr>
        <w:t xml:space="preserve">echnicznych stanowiły </w:t>
      </w:r>
      <w:r w:rsidR="00943A48" w:rsidRPr="006A0F3D">
        <w:rPr>
          <w:shd w:val="clear" w:color="auto" w:fill="FFFFFF"/>
        </w:rPr>
        <w:t>15,0</w:t>
      </w:r>
      <w:r w:rsidR="007E0FD1" w:rsidRPr="006A0F3D">
        <w:rPr>
          <w:shd w:val="clear" w:color="auto" w:fill="FFFFFF"/>
        </w:rPr>
        <w:t>%</w:t>
      </w:r>
      <w:r w:rsidRPr="006A0F3D">
        <w:rPr>
          <w:shd w:val="clear" w:color="auto" w:fill="FFFFFF"/>
        </w:rPr>
        <w:t>.</w:t>
      </w:r>
    </w:p>
    <w:p w14:paraId="2B38D7B6" w14:textId="29FC15A2" w:rsidR="004C7B71" w:rsidRPr="007371F9" w:rsidRDefault="004C7B71" w:rsidP="004C7B71">
      <w:pPr>
        <w:rPr>
          <w:shd w:val="clear" w:color="auto" w:fill="FFFFFF"/>
        </w:rPr>
      </w:pPr>
      <w:r w:rsidRPr="007371F9">
        <w:rPr>
          <w:shd w:val="clear" w:color="auto" w:fill="FFFFFF"/>
        </w:rPr>
        <w:t>W analizowanym roku wartość usług dostarczonych nierezydentom</w:t>
      </w:r>
      <w:r w:rsidR="00703754" w:rsidRPr="00703754">
        <w:rPr>
          <w:shd w:val="clear" w:color="auto" w:fill="FFFFFF"/>
          <w:vertAlign w:val="superscript"/>
        </w:rPr>
        <w:fldChar w:fldCharType="begin"/>
      </w:r>
      <w:r w:rsidR="00703754" w:rsidRPr="00703754">
        <w:rPr>
          <w:shd w:val="clear" w:color="auto" w:fill="FFFFFF"/>
          <w:vertAlign w:val="superscript"/>
        </w:rPr>
        <w:instrText xml:space="preserve"> NOTEREF _Ref48217100 \h </w:instrText>
      </w:r>
      <w:r w:rsidR="00703754">
        <w:rPr>
          <w:shd w:val="clear" w:color="auto" w:fill="FFFFFF"/>
          <w:vertAlign w:val="superscript"/>
        </w:rPr>
        <w:instrText xml:space="preserve"> \* MERGEFORMAT </w:instrText>
      </w:r>
      <w:r w:rsidR="00703754" w:rsidRPr="00703754">
        <w:rPr>
          <w:shd w:val="clear" w:color="auto" w:fill="FFFFFF"/>
          <w:vertAlign w:val="superscript"/>
        </w:rPr>
      </w:r>
      <w:r w:rsidR="00703754" w:rsidRPr="00703754">
        <w:rPr>
          <w:shd w:val="clear" w:color="auto" w:fill="FFFFFF"/>
          <w:vertAlign w:val="superscript"/>
        </w:rPr>
        <w:fldChar w:fldCharType="separate"/>
      </w:r>
      <w:r w:rsidR="003D1A16">
        <w:rPr>
          <w:shd w:val="clear" w:color="auto" w:fill="FFFFFF"/>
          <w:vertAlign w:val="superscript"/>
        </w:rPr>
        <w:t>4</w:t>
      </w:r>
      <w:r w:rsidR="00703754" w:rsidRPr="00703754">
        <w:rPr>
          <w:shd w:val="clear" w:color="auto" w:fill="FFFFFF"/>
          <w:vertAlign w:val="superscript"/>
        </w:rPr>
        <w:fldChar w:fldCharType="end"/>
      </w:r>
      <w:r w:rsidRPr="007371F9">
        <w:rPr>
          <w:shd w:val="clear" w:color="auto" w:fill="FFFFFF"/>
        </w:rPr>
        <w:t xml:space="preserve"> przez podmioty prowadzące działalność w zakresie architektury i inżynierii oraz badań i analiz technicznych wyniosła 2,9 mld zł (wzrost o 41,8%), natomiast nabyły one od nierezydentów usługi o wartości nieznacznie poniżej 0,7 mld zł (wzrost o 29</w:t>
      </w:r>
      <w:r w:rsidR="00987C85">
        <w:rPr>
          <w:shd w:val="clear" w:color="auto" w:fill="FFFFFF"/>
        </w:rPr>
        <w:t>,</w:t>
      </w:r>
      <w:r w:rsidRPr="007371F9">
        <w:rPr>
          <w:shd w:val="clear" w:color="auto" w:fill="FFFFFF"/>
        </w:rPr>
        <w:t>2%).</w:t>
      </w:r>
    </w:p>
    <w:p w14:paraId="3EB83975" w14:textId="04F63118" w:rsidR="004C7B71" w:rsidRPr="007371F9" w:rsidRDefault="004C7B71" w:rsidP="004C7B71">
      <w:pPr>
        <w:rPr>
          <w:shd w:val="clear" w:color="auto" w:fill="FFFFFF"/>
        </w:rPr>
      </w:pPr>
      <w:r w:rsidRPr="007371F9">
        <w:rPr>
          <w:shd w:val="clear" w:color="auto" w:fill="FFFFFF"/>
        </w:rPr>
        <w:t>Głównym partnerem handlowych w międzynarodowej wymianie usług były podmioty mające swoją siedzibę w Niemczech (udziały w strukturze usług dostarczonych stanowiły 19</w:t>
      </w:r>
      <w:r w:rsidR="00987C85">
        <w:rPr>
          <w:shd w:val="clear" w:color="auto" w:fill="FFFFFF"/>
        </w:rPr>
        <w:t>,</w:t>
      </w:r>
      <w:r w:rsidRPr="007371F9">
        <w:rPr>
          <w:shd w:val="clear" w:color="auto" w:fill="FFFFFF"/>
        </w:rPr>
        <w:t>3%, a</w:t>
      </w:r>
      <w:r w:rsidRPr="007371F9">
        <w:t> </w:t>
      </w:r>
      <w:r w:rsidRPr="007371F9">
        <w:rPr>
          <w:shd w:val="clear" w:color="auto" w:fill="FFFFFF"/>
        </w:rPr>
        <w:t>w strukturze nabytych – 23</w:t>
      </w:r>
      <w:r w:rsidR="00987C85">
        <w:rPr>
          <w:shd w:val="clear" w:color="auto" w:fill="FFFFFF"/>
        </w:rPr>
        <w:t>,</w:t>
      </w:r>
      <w:r w:rsidRPr="007371F9">
        <w:rPr>
          <w:shd w:val="clear" w:color="auto" w:fill="FFFFFF"/>
        </w:rPr>
        <w:t>8%). Usługi architektoniczne, inżynieryjne, naukowe i pozostałe usługi techniczne stanowiły główne źródło przychodów, jak i rozchodów tych podmiotów (udział w strukturze usług dostarczonych stanowił 75,8%, natomiast nabytych – 33,3%).</w:t>
      </w:r>
    </w:p>
    <w:p w14:paraId="404C726D" w14:textId="28404889" w:rsidR="00C821E6" w:rsidRPr="00682E40" w:rsidRDefault="00A2369E" w:rsidP="00682E40">
      <w:pPr>
        <w:ind w:left="851" w:hanging="851"/>
        <w:rPr>
          <w:b/>
          <w:sz w:val="18"/>
          <w:szCs w:val="18"/>
          <w:shd w:val="clear" w:color="auto" w:fill="FFFFFF"/>
        </w:rPr>
      </w:pPr>
      <w:r w:rsidRPr="007371F9">
        <w:rPr>
          <w:noProof/>
          <w:lang w:eastAsia="pl-PL"/>
        </w:rPr>
        <w:lastRenderedPageBreak/>
        <w:drawing>
          <wp:anchor distT="0" distB="0" distL="114300" distR="114300" simplePos="0" relativeHeight="251825152" behindDoc="0" locked="0" layoutInCell="1" allowOverlap="1" wp14:anchorId="7E5585B7" wp14:editId="03E5D54C">
            <wp:simplePos x="0" y="0"/>
            <wp:positionH relativeFrom="margin">
              <wp:posOffset>38100</wp:posOffset>
            </wp:positionH>
            <wp:positionV relativeFrom="paragraph">
              <wp:posOffset>482600</wp:posOffset>
            </wp:positionV>
            <wp:extent cx="5163185" cy="3665220"/>
            <wp:effectExtent l="0" t="0" r="0" b="0"/>
            <wp:wrapSquare wrapText="bothSides"/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E6">
        <w:rPr>
          <w:b/>
          <w:sz w:val="18"/>
          <w:szCs w:val="18"/>
        </w:rPr>
        <w:t>Wykres</w:t>
      </w:r>
      <w:r w:rsidR="006A0F3D">
        <w:rPr>
          <w:b/>
          <w:sz w:val="18"/>
          <w:szCs w:val="18"/>
        </w:rPr>
        <w:t xml:space="preserve"> </w:t>
      </w:r>
      <w:r w:rsidR="00B531C5">
        <w:rPr>
          <w:b/>
          <w:sz w:val="18"/>
          <w:szCs w:val="18"/>
        </w:rPr>
        <w:t>9</w:t>
      </w:r>
      <w:r w:rsidR="00BE78E6" w:rsidRPr="00C96FAB">
        <w:rPr>
          <w:b/>
          <w:sz w:val="18"/>
          <w:szCs w:val="18"/>
        </w:rPr>
        <w:t>.</w:t>
      </w:r>
      <w:r w:rsidR="00BE78E6" w:rsidRPr="00C96FAB">
        <w:rPr>
          <w:b/>
          <w:sz w:val="18"/>
          <w:szCs w:val="18"/>
          <w:shd w:val="clear" w:color="auto" w:fill="FFFFFF"/>
        </w:rPr>
        <w:t xml:space="preserve"> </w:t>
      </w:r>
      <w:r w:rsidR="00BE78E6">
        <w:rPr>
          <w:b/>
          <w:sz w:val="18"/>
          <w:szCs w:val="18"/>
          <w:shd w:val="clear" w:color="auto" w:fill="FFFFFF"/>
        </w:rPr>
        <w:t>Struktura geograficzna usług dostarcz</w:t>
      </w:r>
      <w:r w:rsidR="00C8517F">
        <w:rPr>
          <w:b/>
          <w:sz w:val="18"/>
          <w:szCs w:val="18"/>
          <w:shd w:val="clear" w:color="auto" w:fill="FFFFFF"/>
        </w:rPr>
        <w:t>o</w:t>
      </w:r>
      <w:r w:rsidR="00BE78E6">
        <w:rPr>
          <w:b/>
          <w:sz w:val="18"/>
          <w:szCs w:val="18"/>
          <w:shd w:val="clear" w:color="auto" w:fill="FFFFFF"/>
        </w:rPr>
        <w:t>nych i naby</w:t>
      </w:r>
      <w:r w:rsidR="00C8517F">
        <w:rPr>
          <w:b/>
          <w:sz w:val="18"/>
          <w:szCs w:val="18"/>
          <w:shd w:val="clear" w:color="auto" w:fill="FFFFFF"/>
        </w:rPr>
        <w:t>t</w:t>
      </w:r>
      <w:r w:rsidR="00BE78E6">
        <w:rPr>
          <w:b/>
          <w:sz w:val="18"/>
          <w:szCs w:val="18"/>
          <w:shd w:val="clear" w:color="auto" w:fill="FFFFFF"/>
        </w:rPr>
        <w:t>ych w obrocie międzynarodowym przez podmioty prowadzące działalność w zakresie architektury i inżynierii; badania i</w:t>
      </w:r>
      <w:r w:rsidR="00541BC8">
        <w:rPr>
          <w:b/>
          <w:sz w:val="18"/>
          <w:szCs w:val="18"/>
          <w:shd w:val="clear" w:color="auto" w:fill="FFFFFF"/>
        </w:rPr>
        <w:t> </w:t>
      </w:r>
      <w:r w:rsidR="00BE78E6">
        <w:rPr>
          <w:b/>
          <w:sz w:val="18"/>
          <w:szCs w:val="18"/>
          <w:shd w:val="clear" w:color="auto" w:fill="FFFFFF"/>
        </w:rPr>
        <w:t>analizy techniczne</w: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_Ref524343725 \h </w:instrText>
      </w:r>
      <w:r w:rsidR="00CE3A2F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sz w:val="18"/>
          <w:szCs w:val="18"/>
          <w:shd w:val="clear" w:color="auto" w:fill="FFFFFF"/>
          <w:vertAlign w:val="superscript"/>
        </w:rPr>
        <w:t>11</w: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  <w:r w:rsidR="00B531C5">
        <w:rPr>
          <w:b/>
          <w:sz w:val="18"/>
          <w:szCs w:val="18"/>
          <w:shd w:val="clear" w:color="auto" w:fill="FFFFFF"/>
          <w:vertAlign w:val="superscript"/>
        </w:rPr>
        <w:t xml:space="preserve"> </w:t>
      </w:r>
      <w:r w:rsidR="003C7DF8">
        <w:rPr>
          <w:b/>
          <w:sz w:val="18"/>
          <w:szCs w:val="18"/>
          <w:shd w:val="clear" w:color="auto" w:fill="FFFFFF"/>
        </w:rPr>
        <w:t>w 2018 r.</w:t>
      </w:r>
    </w:p>
    <w:p w14:paraId="15ED52F6" w14:textId="2D40516A" w:rsidR="00682E40" w:rsidRDefault="00682E40" w:rsidP="00682E40">
      <w:pPr>
        <w:ind w:left="851" w:hanging="851"/>
        <w:rPr>
          <w:b/>
          <w:sz w:val="18"/>
          <w:szCs w:val="18"/>
          <w:shd w:val="clear" w:color="auto" w:fill="FFFFFF"/>
        </w:rPr>
      </w:pPr>
      <w:r w:rsidRPr="00C36E40">
        <w:rPr>
          <w:noProof/>
          <w:lang w:eastAsia="pl-PL"/>
        </w:rPr>
        <w:drawing>
          <wp:anchor distT="0" distB="0" distL="114300" distR="114300" simplePos="0" relativeHeight="251827200" behindDoc="0" locked="0" layoutInCell="1" allowOverlap="1" wp14:anchorId="07461EFC" wp14:editId="584C6C26">
            <wp:simplePos x="0" y="0"/>
            <wp:positionH relativeFrom="margin">
              <wp:posOffset>144780</wp:posOffset>
            </wp:positionH>
            <wp:positionV relativeFrom="paragraph">
              <wp:posOffset>4109720</wp:posOffset>
            </wp:positionV>
            <wp:extent cx="5058410" cy="2667000"/>
            <wp:effectExtent l="0" t="0" r="889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092">
        <w:rPr>
          <w:b/>
          <w:sz w:val="18"/>
          <w:szCs w:val="18"/>
        </w:rPr>
        <w:t>Wykres</w:t>
      </w:r>
      <w:r w:rsidR="006A0F3D">
        <w:rPr>
          <w:b/>
          <w:sz w:val="18"/>
          <w:szCs w:val="18"/>
        </w:rPr>
        <w:t xml:space="preserve"> </w:t>
      </w:r>
      <w:r w:rsidR="00B531C5">
        <w:rPr>
          <w:b/>
          <w:sz w:val="18"/>
          <w:szCs w:val="18"/>
        </w:rPr>
        <w:t>10</w:t>
      </w:r>
      <w:r w:rsidR="00D67092" w:rsidRPr="00C96FAB">
        <w:rPr>
          <w:b/>
          <w:sz w:val="18"/>
          <w:szCs w:val="18"/>
        </w:rPr>
        <w:t>.</w:t>
      </w:r>
      <w:r w:rsidR="00D67092" w:rsidRPr="00C96FAB">
        <w:rPr>
          <w:b/>
          <w:sz w:val="18"/>
          <w:szCs w:val="18"/>
          <w:shd w:val="clear" w:color="auto" w:fill="FFFFFF"/>
        </w:rPr>
        <w:t xml:space="preserve"> </w:t>
      </w:r>
      <w:r w:rsidR="00D67092">
        <w:rPr>
          <w:b/>
          <w:sz w:val="18"/>
          <w:szCs w:val="18"/>
          <w:shd w:val="clear" w:color="auto" w:fill="FFFFFF"/>
        </w:rPr>
        <w:t>Struktura usług dostarczonych i nabytych w obrocie międzynarodowym przez podmioty prowadzące działalność w zakresie architektury i inżynierii; badania i analizy techniczne</w: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_Ref524343725 \h </w:instrText>
      </w:r>
      <w:r w:rsidR="00CE3A2F">
        <w:rPr>
          <w:b/>
          <w:sz w:val="18"/>
          <w:szCs w:val="18"/>
          <w:shd w:val="clear" w:color="auto" w:fill="FFFFFF"/>
          <w:vertAlign w:val="superscript"/>
        </w:rPr>
        <w:instrText xml:space="preserve"> \* MERGEFORMAT </w:instrTex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sz w:val="18"/>
          <w:szCs w:val="18"/>
          <w:shd w:val="clear" w:color="auto" w:fill="FFFFFF"/>
          <w:vertAlign w:val="superscript"/>
        </w:rPr>
        <w:t>11</w:t>
      </w:r>
      <w:r w:rsidR="00CE3A2F" w:rsidRPr="00CE3A2F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  <w:r w:rsidR="00883536">
        <w:rPr>
          <w:b/>
          <w:sz w:val="18"/>
          <w:szCs w:val="18"/>
          <w:shd w:val="clear" w:color="auto" w:fill="FFFFFF"/>
          <w:vertAlign w:val="superscript"/>
        </w:rPr>
        <w:t xml:space="preserve"> </w:t>
      </w:r>
      <w:r w:rsidR="00883536">
        <w:rPr>
          <w:b/>
          <w:sz w:val="18"/>
          <w:szCs w:val="18"/>
          <w:shd w:val="clear" w:color="auto" w:fill="FFFFFF"/>
        </w:rPr>
        <w:t>według</w:t>
      </w:r>
      <w:r w:rsidR="00883536" w:rsidRPr="00883536">
        <w:t xml:space="preserve"> </w:t>
      </w:r>
      <w:r w:rsidR="00883536" w:rsidRPr="00883536">
        <w:rPr>
          <w:b/>
          <w:sz w:val="18"/>
          <w:szCs w:val="18"/>
          <w:shd w:val="clear" w:color="auto" w:fill="FFFFFF"/>
        </w:rPr>
        <w:t>rodzaju świadczonych usług</w:t>
      </w:r>
      <w:r w:rsidR="00883536">
        <w:rPr>
          <w:b/>
          <w:sz w:val="18"/>
          <w:szCs w:val="18"/>
          <w:shd w:val="clear" w:color="auto" w:fill="FFFFFF"/>
        </w:rPr>
        <w:t xml:space="preserve"> </w:t>
      </w:r>
      <w:r w:rsidR="003C7DF8">
        <w:rPr>
          <w:b/>
          <w:sz w:val="18"/>
          <w:szCs w:val="18"/>
          <w:shd w:val="clear" w:color="auto" w:fill="FFFFFF"/>
        </w:rPr>
        <w:t>w 2018 r.</w:t>
      </w:r>
    </w:p>
    <w:p w14:paraId="68DEC725" w14:textId="0E4D9357" w:rsidR="00D67092" w:rsidRPr="001C1792" w:rsidRDefault="00D67092" w:rsidP="001C1792">
      <w:pPr>
        <w:ind w:left="851" w:hanging="851"/>
        <w:rPr>
          <w:b/>
          <w:sz w:val="18"/>
          <w:szCs w:val="18"/>
          <w:shd w:val="clear" w:color="auto" w:fill="FFFFFF"/>
        </w:rPr>
      </w:pPr>
      <w:r w:rsidRPr="001C5FD4">
        <w:rPr>
          <w:rFonts w:eastAsia="Times New Roman" w:cs="Times New Roman"/>
          <w:bCs/>
          <w:sz w:val="18"/>
          <w:szCs w:val="18"/>
          <w:lang w:eastAsia="pl-PL"/>
        </w:rPr>
        <w:t>u. - usługi</w:t>
      </w:r>
    </w:p>
    <w:p w14:paraId="58BF3BB1" w14:textId="511A1D43" w:rsidR="00BE78E6" w:rsidRPr="00C36E40" w:rsidRDefault="009825F1" w:rsidP="00BE78E6">
      <w:pPr>
        <w:pStyle w:val="Nagwek1"/>
        <w:rPr>
          <w:sz w:val="18"/>
        </w:rPr>
      </w:pPr>
      <w:r w:rsidRPr="00C36E40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55B3A730" wp14:editId="208AB39D">
                <wp:simplePos x="0" y="0"/>
                <wp:positionH relativeFrom="column">
                  <wp:posOffset>5272405</wp:posOffset>
                </wp:positionH>
                <wp:positionV relativeFrom="paragraph">
                  <wp:posOffset>85090</wp:posOffset>
                </wp:positionV>
                <wp:extent cx="1725295" cy="971550"/>
                <wp:effectExtent l="0" t="0" r="0" b="0"/>
                <wp:wrapTight wrapText="bothSides">
                  <wp:wrapPolygon edited="0">
                    <wp:start x="715" y="0"/>
                    <wp:lineTo x="715" y="21176"/>
                    <wp:lineTo x="20749" y="21176"/>
                    <wp:lineTo x="20749" y="0"/>
                    <wp:lineTo x="715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DC82" w14:textId="482723EE" w:rsidR="006A0F3D" w:rsidRPr="006A0F3D" w:rsidRDefault="006A0F3D" w:rsidP="00BE78E6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6A0F3D">
                              <w:rPr>
                                <w:color w:val="auto"/>
                              </w:rPr>
                              <w:t>W 2018 r. sprzedaż usług reklamowych oraz badań rynku i opinii publicznej koncentrowała się głównie na rynku krajowym</w:t>
                            </w:r>
                          </w:p>
                          <w:p w14:paraId="11355500" w14:textId="77777777" w:rsidR="006A0F3D" w:rsidRPr="00511AC0" w:rsidRDefault="006A0F3D" w:rsidP="00BE78E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c="http://schemas.openxmlformats.org/drawingml/2006/chart" xmlns:a="http://schemas.openxmlformats.org/drawingml/2006/main">
            <w:pict>
              <v:shape id="Pole tekstowe 34" style="position:absolute;margin-left:415.15pt;margin-top:6.7pt;width:135.85pt;height:76.5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" w14:anchorId="55B3A730">
                <v:textbox>
                  <w:txbxContent>
                    <w:p w:rsidRPr="006A0F3D" w:rsidR="006A0F3D" w:rsidP="00BE78E6" w:rsidRDefault="006A0F3D" w14:paraId="7DC1DC82" w14:textId="482723EE">
                      <w:pPr>
                        <w:pStyle w:val="tekstzboku"/>
                        <w:rPr>
                          <w:color w:val="auto"/>
                        </w:rPr>
                      </w:pPr>
                      <w:r w:rsidRPr="006A0F3D">
                        <w:rPr>
                          <w:color w:val="auto"/>
                        </w:rPr>
                        <w:t>W 2018 r. sprzedaż usług reklamowych oraz badań rynku i opinii publicznej koncentrowała się głównie na rynku krajowym</w:t>
                      </w:r>
                    </w:p>
                    <w:p w:rsidRPr="00511AC0" w:rsidR="006A0F3D" w:rsidP="00BE78E6" w:rsidRDefault="006A0F3D" w14:paraId="11355500" w14:textId="7777777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E78E6" w:rsidRPr="00C36E40">
        <w:t>Działalność w zakresie reklamy, badania rynku i opinii publicznej</w:t>
      </w:r>
      <w:bookmarkStart w:id="10" w:name="_Ref524343868"/>
      <w:r w:rsidR="00891E4F" w:rsidRPr="00C36E40">
        <w:rPr>
          <w:rStyle w:val="Odwoanieprzypisudolnego"/>
        </w:rPr>
        <w:footnoteReference w:id="12"/>
      </w:r>
      <w:bookmarkEnd w:id="10"/>
    </w:p>
    <w:p w14:paraId="3B61D715" w14:textId="6BBD9799" w:rsidR="00BE78E6" w:rsidRPr="00CF4C0C" w:rsidRDefault="00BE78E6" w:rsidP="00BE78E6">
      <w:pPr>
        <w:rPr>
          <w:b/>
          <w:szCs w:val="19"/>
          <w:shd w:val="clear" w:color="auto" w:fill="FFFFFF"/>
        </w:rPr>
      </w:pPr>
      <w:r w:rsidRPr="006A0F3D">
        <w:rPr>
          <w:szCs w:val="19"/>
        </w:rPr>
        <w:t>W 201</w:t>
      </w:r>
      <w:r w:rsidR="00013B99" w:rsidRPr="006A0F3D">
        <w:rPr>
          <w:szCs w:val="19"/>
        </w:rPr>
        <w:t>8</w:t>
      </w:r>
      <w:r w:rsidRPr="006A0F3D">
        <w:rPr>
          <w:szCs w:val="19"/>
        </w:rPr>
        <w:t xml:space="preserve"> r. odnotowano </w:t>
      </w:r>
      <w:r w:rsidR="006A0F3D" w:rsidRPr="006A0F3D">
        <w:rPr>
          <w:szCs w:val="19"/>
        </w:rPr>
        <w:t>wartość</w:t>
      </w:r>
      <w:r w:rsidRPr="006A0F3D">
        <w:rPr>
          <w:szCs w:val="19"/>
        </w:rPr>
        <w:t xml:space="preserve"> obrotów </w:t>
      </w:r>
      <w:r w:rsidR="00013B99" w:rsidRPr="006A0F3D">
        <w:rPr>
          <w:szCs w:val="19"/>
        </w:rPr>
        <w:t>na</w:t>
      </w:r>
      <w:r w:rsidR="006A0F3D" w:rsidRPr="006A0F3D">
        <w:rPr>
          <w:szCs w:val="19"/>
        </w:rPr>
        <w:t xml:space="preserve"> </w:t>
      </w:r>
      <w:r w:rsidRPr="006A0F3D">
        <w:rPr>
          <w:szCs w:val="19"/>
        </w:rPr>
        <w:t>poziom</w:t>
      </w:r>
      <w:r w:rsidR="00013B99" w:rsidRPr="006A0F3D">
        <w:rPr>
          <w:szCs w:val="19"/>
        </w:rPr>
        <w:t>ie</w:t>
      </w:r>
      <w:r w:rsidRPr="006A0F3D">
        <w:rPr>
          <w:szCs w:val="19"/>
        </w:rPr>
        <w:t xml:space="preserve"> </w:t>
      </w:r>
      <w:r w:rsidR="00013B99" w:rsidRPr="006A0F3D">
        <w:rPr>
          <w:szCs w:val="19"/>
        </w:rPr>
        <w:t>36,2</w:t>
      </w:r>
      <w:r w:rsidRPr="006A0F3D">
        <w:rPr>
          <w:szCs w:val="19"/>
        </w:rPr>
        <w:t xml:space="preserve"> mld zł. Działalność </w:t>
      </w:r>
      <w:r w:rsidR="00627EC7" w:rsidRPr="006A0F3D">
        <w:rPr>
          <w:szCs w:val="19"/>
        </w:rPr>
        <w:t>w zakresie reklamy, badania rynku i opinii publicznej</w:t>
      </w:r>
      <w:r w:rsidRPr="006A0F3D">
        <w:rPr>
          <w:szCs w:val="19"/>
        </w:rPr>
        <w:t xml:space="preserve"> prowadziło ponad </w:t>
      </w:r>
      <w:r w:rsidR="00013B99" w:rsidRPr="006A0F3D">
        <w:rPr>
          <w:szCs w:val="19"/>
        </w:rPr>
        <w:t xml:space="preserve">35 </w:t>
      </w:r>
      <w:r w:rsidRPr="006A0F3D">
        <w:rPr>
          <w:szCs w:val="19"/>
        </w:rPr>
        <w:t xml:space="preserve">tys. podmiotów, które zatrudniały </w:t>
      </w:r>
      <w:r w:rsidR="00013B99" w:rsidRPr="006A0F3D">
        <w:rPr>
          <w:szCs w:val="19"/>
        </w:rPr>
        <w:t>83</w:t>
      </w:r>
      <w:r w:rsidR="003F73BA" w:rsidRPr="006A0F3D">
        <w:rPr>
          <w:szCs w:val="19"/>
        </w:rPr>
        <w:t>,</w:t>
      </w:r>
      <w:r w:rsidR="00013B99" w:rsidRPr="006A0F3D">
        <w:rPr>
          <w:szCs w:val="19"/>
        </w:rPr>
        <w:t>6</w:t>
      </w:r>
      <w:r w:rsidR="003F73BA" w:rsidRPr="006A0F3D">
        <w:rPr>
          <w:szCs w:val="19"/>
        </w:rPr>
        <w:t xml:space="preserve"> tys. osób</w:t>
      </w:r>
      <w:r w:rsidRPr="006A0F3D">
        <w:rPr>
          <w:szCs w:val="19"/>
        </w:rPr>
        <w:t xml:space="preserve">. </w:t>
      </w:r>
      <w:r w:rsidRPr="00CF4C0C">
        <w:rPr>
          <w:szCs w:val="19"/>
        </w:rPr>
        <w:t>Zaobserwowano po</w:t>
      </w:r>
      <w:r w:rsidR="00C36E40" w:rsidRPr="00CF4C0C">
        <w:rPr>
          <w:szCs w:val="19"/>
        </w:rPr>
        <w:t>gorszenie</w:t>
      </w:r>
      <w:r w:rsidRPr="00CF4C0C">
        <w:rPr>
          <w:szCs w:val="19"/>
        </w:rPr>
        <w:t xml:space="preserve"> wskaźnika rentowności obrotu brutto</w:t>
      </w:r>
      <w:r w:rsidR="00A37806" w:rsidRPr="00CF4C0C">
        <w:rPr>
          <w:szCs w:val="19"/>
          <w:vertAlign w:val="superscript"/>
        </w:rPr>
        <w:fldChar w:fldCharType="begin"/>
      </w:r>
      <w:r w:rsidR="00A37806" w:rsidRPr="00CF4C0C">
        <w:rPr>
          <w:szCs w:val="19"/>
          <w:vertAlign w:val="superscript"/>
        </w:rPr>
        <w:instrText xml:space="preserve"> NOTEREF _Ref524335706 \h  \* MERGEFORMAT </w:instrText>
      </w:r>
      <w:r w:rsidR="00A37806" w:rsidRPr="00CF4C0C">
        <w:rPr>
          <w:szCs w:val="19"/>
          <w:vertAlign w:val="superscript"/>
        </w:rPr>
      </w:r>
      <w:r w:rsidR="00A37806" w:rsidRPr="00CF4C0C">
        <w:rPr>
          <w:szCs w:val="19"/>
          <w:vertAlign w:val="superscript"/>
        </w:rPr>
        <w:fldChar w:fldCharType="separate"/>
      </w:r>
      <w:r w:rsidR="003D1A16">
        <w:rPr>
          <w:szCs w:val="19"/>
          <w:vertAlign w:val="superscript"/>
        </w:rPr>
        <w:t>6</w:t>
      </w:r>
      <w:r w:rsidR="00A37806" w:rsidRPr="00CF4C0C">
        <w:rPr>
          <w:szCs w:val="19"/>
          <w:vertAlign w:val="superscript"/>
        </w:rPr>
        <w:fldChar w:fldCharType="end"/>
      </w:r>
      <w:r w:rsidR="008F4BCE">
        <w:rPr>
          <w:szCs w:val="19"/>
          <w:vertAlign w:val="superscript"/>
        </w:rPr>
        <w:t>, 10</w:t>
      </w:r>
      <w:r w:rsidRPr="00A27566">
        <w:rPr>
          <w:szCs w:val="19"/>
          <w:shd w:val="clear" w:color="auto" w:fill="FFFFFF"/>
        </w:rPr>
        <w:t xml:space="preserve">, </w:t>
      </w:r>
      <w:r w:rsidRPr="00A27566">
        <w:rPr>
          <w:szCs w:val="19"/>
          <w:shd w:val="clear" w:color="auto" w:fill="FFFFFF"/>
        </w:rPr>
        <w:lastRenderedPageBreak/>
        <w:t>jak i netto</w:t>
      </w:r>
      <w:r w:rsidR="00A37806" w:rsidRPr="00CF4C0C">
        <w:rPr>
          <w:szCs w:val="19"/>
          <w:shd w:val="clear" w:color="auto" w:fill="FFFFFF"/>
          <w:vertAlign w:val="superscript"/>
        </w:rPr>
        <w:fldChar w:fldCharType="begin"/>
      </w:r>
      <w:r w:rsidR="00A37806" w:rsidRPr="00CF4C0C">
        <w:rPr>
          <w:szCs w:val="19"/>
          <w:shd w:val="clear" w:color="auto" w:fill="FFFFFF"/>
          <w:vertAlign w:val="superscript"/>
        </w:rPr>
        <w:instrText xml:space="preserve"> NOTEREF _Ref524335721 \h  \* MERGEFORMAT </w:instrText>
      </w:r>
      <w:r w:rsidR="00A37806" w:rsidRPr="00CF4C0C">
        <w:rPr>
          <w:szCs w:val="19"/>
          <w:shd w:val="clear" w:color="auto" w:fill="FFFFFF"/>
          <w:vertAlign w:val="superscript"/>
        </w:rPr>
      </w:r>
      <w:r w:rsidR="00A37806" w:rsidRPr="00CF4C0C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7</w:t>
      </w:r>
      <w:r w:rsidR="00A37806" w:rsidRPr="00CF4C0C">
        <w:rPr>
          <w:szCs w:val="19"/>
          <w:shd w:val="clear" w:color="auto" w:fill="FFFFFF"/>
          <w:vertAlign w:val="superscript"/>
        </w:rPr>
        <w:fldChar w:fldCharType="end"/>
      </w:r>
      <w:r w:rsidR="009A132B">
        <w:rPr>
          <w:szCs w:val="19"/>
          <w:shd w:val="clear" w:color="auto" w:fill="FFFFFF"/>
          <w:vertAlign w:val="superscript"/>
        </w:rPr>
        <w:t xml:space="preserve">, </w:t>
      </w:r>
      <w:r w:rsidR="00C36E40" w:rsidRPr="00CF4C0C">
        <w:rPr>
          <w:szCs w:val="19"/>
          <w:shd w:val="clear" w:color="auto" w:fill="FFFFFF"/>
          <w:vertAlign w:val="superscript"/>
        </w:rPr>
        <w:fldChar w:fldCharType="begin"/>
      </w:r>
      <w:r w:rsidR="00C36E40" w:rsidRPr="00CF4C0C">
        <w:rPr>
          <w:szCs w:val="19"/>
          <w:shd w:val="clear" w:color="auto" w:fill="FFFFFF"/>
          <w:vertAlign w:val="superscript"/>
        </w:rPr>
        <w:instrText xml:space="preserve"> NOTEREF _Ref519689725 \h </w:instrText>
      </w:r>
      <w:r w:rsidR="00C36E40" w:rsidRPr="00CF4C0C">
        <w:rPr>
          <w:szCs w:val="19"/>
          <w:shd w:val="clear" w:color="auto" w:fill="FFFFFF"/>
          <w:vertAlign w:val="superscript"/>
        </w:rPr>
      </w:r>
      <w:r w:rsidR="00C36E40" w:rsidRPr="00CF4C0C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10</w:t>
      </w:r>
      <w:r w:rsidR="00C36E40" w:rsidRPr="00CF4C0C">
        <w:rPr>
          <w:szCs w:val="19"/>
          <w:shd w:val="clear" w:color="auto" w:fill="FFFFFF"/>
          <w:vertAlign w:val="superscript"/>
        </w:rPr>
        <w:fldChar w:fldCharType="end"/>
      </w:r>
      <w:r w:rsidRPr="00A27566">
        <w:rPr>
          <w:szCs w:val="19"/>
          <w:shd w:val="clear" w:color="auto" w:fill="FFFFFF"/>
        </w:rPr>
        <w:t xml:space="preserve">. </w:t>
      </w:r>
      <w:r w:rsidRPr="00CF4C0C">
        <w:rPr>
          <w:szCs w:val="19"/>
          <w:shd w:val="clear" w:color="auto" w:fill="FFFFFF"/>
        </w:rPr>
        <w:t>Wskaźnik poziomu kosztów z całokształtu działalności</w:t>
      </w:r>
      <w:r w:rsidR="00A37806" w:rsidRPr="00CF4C0C">
        <w:rPr>
          <w:szCs w:val="19"/>
          <w:shd w:val="clear" w:color="auto" w:fill="FFFFFF"/>
          <w:vertAlign w:val="superscript"/>
        </w:rPr>
        <w:fldChar w:fldCharType="begin"/>
      </w:r>
      <w:r w:rsidR="00A37806" w:rsidRPr="00CF4C0C">
        <w:rPr>
          <w:szCs w:val="19"/>
          <w:shd w:val="clear" w:color="auto" w:fill="FFFFFF"/>
          <w:vertAlign w:val="superscript"/>
        </w:rPr>
        <w:instrText xml:space="preserve"> NOTEREF _Ref524335741 \h  \* MERGEFORMAT </w:instrText>
      </w:r>
      <w:r w:rsidR="00A37806" w:rsidRPr="00CF4C0C">
        <w:rPr>
          <w:szCs w:val="19"/>
          <w:shd w:val="clear" w:color="auto" w:fill="FFFFFF"/>
          <w:vertAlign w:val="superscript"/>
        </w:rPr>
      </w:r>
      <w:r w:rsidR="00A37806" w:rsidRPr="00CF4C0C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8</w:t>
      </w:r>
      <w:r w:rsidR="00A37806" w:rsidRPr="00CF4C0C">
        <w:rPr>
          <w:szCs w:val="19"/>
          <w:shd w:val="clear" w:color="auto" w:fill="FFFFFF"/>
          <w:vertAlign w:val="superscript"/>
        </w:rPr>
        <w:fldChar w:fldCharType="end"/>
      </w:r>
      <w:r w:rsidRPr="00CF4C0C">
        <w:rPr>
          <w:szCs w:val="19"/>
          <w:shd w:val="clear" w:color="auto" w:fill="FFFFFF"/>
        </w:rPr>
        <w:t xml:space="preserve"> również uległ po</w:t>
      </w:r>
      <w:r w:rsidR="00C36E40" w:rsidRPr="00CF4C0C">
        <w:rPr>
          <w:szCs w:val="19"/>
          <w:shd w:val="clear" w:color="auto" w:fill="FFFFFF"/>
        </w:rPr>
        <w:t>gorszeniu</w:t>
      </w:r>
      <w:r w:rsidRPr="00CF4C0C">
        <w:rPr>
          <w:szCs w:val="19"/>
          <w:shd w:val="clear" w:color="auto" w:fill="FFFFFF"/>
        </w:rPr>
        <w:t xml:space="preserve"> wobec roku</w:t>
      </w:r>
      <w:r w:rsidR="00CF4C0C" w:rsidRPr="00CF4C0C">
        <w:rPr>
          <w:szCs w:val="19"/>
          <w:shd w:val="clear" w:color="auto" w:fill="FFFFFF"/>
        </w:rPr>
        <w:t xml:space="preserve"> poprzedniego</w:t>
      </w:r>
      <w:r w:rsidR="00CF4C0C" w:rsidRPr="00CF4C0C">
        <w:rPr>
          <w:szCs w:val="19"/>
          <w:shd w:val="clear" w:color="auto" w:fill="FFFFFF"/>
          <w:vertAlign w:val="superscript"/>
        </w:rPr>
        <w:fldChar w:fldCharType="begin"/>
      </w:r>
      <w:r w:rsidR="00CF4C0C" w:rsidRPr="00CF4C0C">
        <w:rPr>
          <w:szCs w:val="19"/>
          <w:shd w:val="clear" w:color="auto" w:fill="FFFFFF"/>
          <w:vertAlign w:val="superscript"/>
        </w:rPr>
        <w:instrText xml:space="preserve"> NOTEREF _Ref519689725 \h  \* MERGEFORMAT </w:instrText>
      </w:r>
      <w:r w:rsidR="00CF4C0C" w:rsidRPr="00CF4C0C">
        <w:rPr>
          <w:szCs w:val="19"/>
          <w:shd w:val="clear" w:color="auto" w:fill="FFFFFF"/>
          <w:vertAlign w:val="superscript"/>
        </w:rPr>
      </w:r>
      <w:r w:rsidR="00CF4C0C" w:rsidRPr="00CF4C0C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10</w:t>
      </w:r>
      <w:r w:rsidR="00CF4C0C" w:rsidRPr="00CF4C0C">
        <w:rPr>
          <w:szCs w:val="19"/>
          <w:shd w:val="clear" w:color="auto" w:fill="FFFFFF"/>
          <w:vertAlign w:val="superscript"/>
        </w:rPr>
        <w:fldChar w:fldCharType="end"/>
      </w:r>
      <w:r w:rsidRPr="00CF4C0C">
        <w:rPr>
          <w:szCs w:val="19"/>
          <w:shd w:val="clear" w:color="auto" w:fill="FFFFFF"/>
        </w:rPr>
        <w:t>.</w:t>
      </w:r>
    </w:p>
    <w:p w14:paraId="33851C0B" w14:textId="2CDE1217" w:rsidR="00BE78E6" w:rsidRPr="006A0F3D" w:rsidRDefault="00BE78E6" w:rsidP="00BE78E6">
      <w:pPr>
        <w:rPr>
          <w:szCs w:val="19"/>
          <w:shd w:val="clear" w:color="auto" w:fill="FFFFFF"/>
        </w:rPr>
      </w:pPr>
      <w:r w:rsidRPr="006A0F3D">
        <w:rPr>
          <w:szCs w:val="19"/>
          <w:shd w:val="clear" w:color="auto" w:fill="FFFFFF"/>
        </w:rPr>
        <w:t xml:space="preserve">Podmioty </w:t>
      </w:r>
      <w:r w:rsidR="00627EC7" w:rsidRPr="006A0F3D">
        <w:rPr>
          <w:szCs w:val="19"/>
          <w:shd w:val="clear" w:color="auto" w:fill="FFFFFF"/>
        </w:rPr>
        <w:t xml:space="preserve">z liczbą pracujących 10 osób i </w:t>
      </w:r>
      <w:r w:rsidR="00053A4F" w:rsidRPr="006A0F3D">
        <w:rPr>
          <w:szCs w:val="19"/>
          <w:shd w:val="clear" w:color="auto" w:fill="FFFFFF"/>
        </w:rPr>
        <w:t>więcej</w:t>
      </w:r>
      <w:r w:rsidR="00053A4F" w:rsidRPr="006A0F3D">
        <w:rPr>
          <w:szCs w:val="19"/>
          <w:shd w:val="clear" w:color="auto" w:fill="FFFFFF"/>
          <w:vertAlign w:val="superscript"/>
        </w:rPr>
        <w:t xml:space="preserve"> </w:t>
      </w:r>
      <w:r w:rsidR="00053A4F" w:rsidRPr="006A0F3D">
        <w:rPr>
          <w:szCs w:val="19"/>
          <w:shd w:val="clear" w:color="auto" w:fill="FFFFFF"/>
        </w:rPr>
        <w:t>sprzedawały</w:t>
      </w:r>
      <w:r w:rsidR="004B53B3" w:rsidRPr="006A0F3D">
        <w:rPr>
          <w:szCs w:val="19"/>
          <w:shd w:val="clear" w:color="auto" w:fill="FFFFFF"/>
        </w:rPr>
        <w:t xml:space="preserve"> swoje usługi</w:t>
      </w:r>
      <w:r w:rsidRPr="006A0F3D">
        <w:rPr>
          <w:szCs w:val="19"/>
          <w:shd w:val="clear" w:color="auto" w:fill="FFFFFF"/>
        </w:rPr>
        <w:t xml:space="preserve"> głównie na rynku kra</w:t>
      </w:r>
      <w:r w:rsidR="00883536" w:rsidRPr="006A0F3D">
        <w:rPr>
          <w:szCs w:val="19"/>
          <w:shd w:val="clear" w:color="auto" w:fill="FFFFFF"/>
        </w:rPr>
        <w:t xml:space="preserve">jowym. Udział ten wyniósł </w:t>
      </w:r>
      <w:r w:rsidR="007D632B" w:rsidRPr="006A0F3D">
        <w:rPr>
          <w:szCs w:val="19"/>
          <w:shd w:val="clear" w:color="auto" w:fill="FFFFFF"/>
        </w:rPr>
        <w:t>74,1</w:t>
      </w:r>
      <w:r w:rsidR="00825D91" w:rsidRPr="006A0F3D">
        <w:rPr>
          <w:szCs w:val="19"/>
          <w:shd w:val="clear" w:color="auto" w:fill="FFFFFF"/>
        </w:rPr>
        <w:t xml:space="preserve">% </w:t>
      </w:r>
      <w:r w:rsidR="00883536" w:rsidRPr="006A0F3D">
        <w:rPr>
          <w:szCs w:val="19"/>
          <w:shd w:val="clear" w:color="auto" w:fill="FFFFFF"/>
        </w:rPr>
        <w:t>obrotów</w:t>
      </w:r>
      <w:r w:rsidRPr="006A0F3D">
        <w:rPr>
          <w:szCs w:val="19"/>
          <w:shd w:val="clear" w:color="auto" w:fill="FFFFFF"/>
        </w:rPr>
        <w:t>. Udział sprzedaży kontrahentom mającym swoją siedzibę w kraj</w:t>
      </w:r>
      <w:r w:rsidR="000952B6" w:rsidRPr="006A0F3D">
        <w:rPr>
          <w:szCs w:val="19"/>
          <w:shd w:val="clear" w:color="auto" w:fill="FFFFFF"/>
        </w:rPr>
        <w:t xml:space="preserve">ach Unii Europejskiej </w:t>
      </w:r>
      <w:r w:rsidR="007D632B" w:rsidRPr="006A0F3D">
        <w:rPr>
          <w:szCs w:val="19"/>
          <w:shd w:val="clear" w:color="auto" w:fill="FFFFFF"/>
        </w:rPr>
        <w:t>ukształtował się na</w:t>
      </w:r>
      <w:r w:rsidR="006A0F3D" w:rsidRPr="006A0F3D">
        <w:rPr>
          <w:szCs w:val="19"/>
          <w:shd w:val="clear" w:color="auto" w:fill="FFFFFF"/>
        </w:rPr>
        <w:t xml:space="preserve"> </w:t>
      </w:r>
      <w:r w:rsidR="007D632B" w:rsidRPr="006A0F3D">
        <w:rPr>
          <w:szCs w:val="19"/>
          <w:shd w:val="clear" w:color="auto" w:fill="FFFFFF"/>
        </w:rPr>
        <w:t>poziomie 17,5</w:t>
      </w:r>
      <w:r w:rsidRPr="006A0F3D">
        <w:rPr>
          <w:szCs w:val="19"/>
          <w:shd w:val="clear" w:color="auto" w:fill="FFFFFF"/>
        </w:rPr>
        <w:t>%. Najmniejszy udział stanowiła sprzedaż do krajów poza UE –</w:t>
      </w:r>
      <w:r w:rsidR="006A0F3D" w:rsidRPr="006A0F3D">
        <w:rPr>
          <w:szCs w:val="19"/>
          <w:shd w:val="clear" w:color="auto" w:fill="FFFFFF"/>
        </w:rPr>
        <w:t xml:space="preserve"> </w:t>
      </w:r>
      <w:r w:rsidR="007D632B" w:rsidRPr="006A0F3D">
        <w:rPr>
          <w:szCs w:val="19"/>
          <w:shd w:val="clear" w:color="auto" w:fill="FFFFFF"/>
        </w:rPr>
        <w:t>8,4</w:t>
      </w:r>
      <w:r w:rsidRPr="006A0F3D">
        <w:rPr>
          <w:szCs w:val="19"/>
          <w:shd w:val="clear" w:color="auto" w:fill="FFFFFF"/>
        </w:rPr>
        <w:t>%.</w:t>
      </w:r>
      <w:r w:rsidR="004320E1" w:rsidRPr="006A0F3D">
        <w:rPr>
          <w:szCs w:val="19"/>
          <w:shd w:val="clear" w:color="auto" w:fill="FFFFFF"/>
        </w:rPr>
        <w:t xml:space="preserve"> </w:t>
      </w:r>
      <w:r w:rsidRPr="006A0F3D">
        <w:rPr>
          <w:szCs w:val="19"/>
          <w:shd w:val="clear" w:color="auto" w:fill="FFFFFF"/>
        </w:rPr>
        <w:t xml:space="preserve">Podstawowym rodzajem usług oferowanych kontrahentom </w:t>
      </w:r>
      <w:r w:rsidR="004320E1" w:rsidRPr="006A0F3D">
        <w:rPr>
          <w:szCs w:val="19"/>
          <w:shd w:val="clear" w:color="auto" w:fill="FFFFFF"/>
        </w:rPr>
        <w:t xml:space="preserve">przez te podmioty </w:t>
      </w:r>
      <w:r w:rsidRPr="006A0F3D">
        <w:rPr>
          <w:szCs w:val="19"/>
          <w:shd w:val="clear" w:color="auto" w:fill="FFFFFF"/>
        </w:rPr>
        <w:t>były usługi reklamowe świadczone przez agencje reklamowe oraz pośrednictwo w</w:t>
      </w:r>
      <w:r w:rsidR="00A37806" w:rsidRPr="006A0F3D">
        <w:rPr>
          <w:szCs w:val="19"/>
          <w:shd w:val="clear" w:color="auto" w:fill="FFFFFF"/>
        </w:rPr>
        <w:t> </w:t>
      </w:r>
      <w:r w:rsidRPr="006A0F3D">
        <w:rPr>
          <w:szCs w:val="19"/>
          <w:shd w:val="clear" w:color="auto" w:fill="FFFFFF"/>
        </w:rPr>
        <w:t>sprzedaży miejsca lub czasu na cele reklamowe</w:t>
      </w:r>
      <w:r w:rsidR="00AF0AF4" w:rsidRPr="006A0F3D">
        <w:rPr>
          <w:szCs w:val="19"/>
          <w:shd w:val="clear" w:color="auto" w:fill="FFFFFF"/>
          <w:vertAlign w:val="superscript"/>
        </w:rPr>
        <w:fldChar w:fldCharType="begin"/>
      </w:r>
      <w:r w:rsidR="00AF0AF4" w:rsidRPr="006A0F3D">
        <w:rPr>
          <w:szCs w:val="19"/>
          <w:shd w:val="clear" w:color="auto" w:fill="FFFFFF"/>
          <w:vertAlign w:val="superscript"/>
        </w:rPr>
        <w:instrText xml:space="preserve"> NOTEREF _Ref519689725 \h  \* MERGEFORMAT </w:instrText>
      </w:r>
      <w:r w:rsidR="00AF0AF4" w:rsidRPr="006A0F3D">
        <w:rPr>
          <w:szCs w:val="19"/>
          <w:shd w:val="clear" w:color="auto" w:fill="FFFFFF"/>
          <w:vertAlign w:val="superscript"/>
        </w:rPr>
      </w:r>
      <w:r w:rsidR="00AF0AF4" w:rsidRPr="006A0F3D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10</w:t>
      </w:r>
      <w:r w:rsidR="00AF0AF4" w:rsidRPr="006A0F3D">
        <w:rPr>
          <w:szCs w:val="19"/>
          <w:shd w:val="clear" w:color="auto" w:fill="FFFFFF"/>
          <w:vertAlign w:val="superscript"/>
        </w:rPr>
        <w:fldChar w:fldCharType="end"/>
      </w:r>
      <w:r w:rsidR="00713723" w:rsidRPr="006A0F3D">
        <w:rPr>
          <w:szCs w:val="19"/>
          <w:shd w:val="clear" w:color="auto" w:fill="FFFFFF"/>
        </w:rPr>
        <w:t>.</w:t>
      </w:r>
    </w:p>
    <w:p w14:paraId="14919C8D" w14:textId="176D0AAC" w:rsidR="00BE78E6" w:rsidRPr="002318A7" w:rsidRDefault="00B3119B" w:rsidP="00BE78E6">
      <w:pPr>
        <w:rPr>
          <w:color w:val="000000" w:themeColor="text1"/>
          <w:szCs w:val="19"/>
          <w:shd w:val="clear" w:color="auto" w:fill="FFFFFF"/>
        </w:rPr>
      </w:pPr>
      <w:r w:rsidRPr="002318A7">
        <w:rPr>
          <w:color w:val="000000" w:themeColor="text1"/>
          <w:szCs w:val="19"/>
          <w:shd w:val="clear" w:color="auto" w:fill="FFFFFF"/>
        </w:rPr>
        <w:t xml:space="preserve">W </w:t>
      </w:r>
      <w:r w:rsidR="00BE78E6" w:rsidRPr="002318A7">
        <w:rPr>
          <w:color w:val="000000" w:themeColor="text1"/>
          <w:szCs w:val="19"/>
          <w:shd w:val="clear" w:color="auto" w:fill="FFFFFF"/>
        </w:rPr>
        <w:t>analizowanym roku wartość usług dostarczonych nierezydentom</w:t>
      </w:r>
      <w:r w:rsidR="00703754" w:rsidRPr="00703754">
        <w:rPr>
          <w:color w:val="000000" w:themeColor="text1"/>
          <w:szCs w:val="19"/>
          <w:shd w:val="clear" w:color="auto" w:fill="FFFFFF"/>
          <w:vertAlign w:val="superscript"/>
        </w:rPr>
        <w:fldChar w:fldCharType="begin"/>
      </w:r>
      <w:r w:rsidR="00703754" w:rsidRPr="00703754">
        <w:rPr>
          <w:color w:val="000000" w:themeColor="text1"/>
          <w:szCs w:val="19"/>
          <w:shd w:val="clear" w:color="auto" w:fill="FFFFFF"/>
          <w:vertAlign w:val="superscript"/>
        </w:rPr>
        <w:instrText xml:space="preserve"> NOTEREF _Ref48217100 \h </w:instrText>
      </w:r>
      <w:r w:rsidR="00703754">
        <w:rPr>
          <w:color w:val="000000" w:themeColor="text1"/>
          <w:szCs w:val="19"/>
          <w:shd w:val="clear" w:color="auto" w:fill="FFFFFF"/>
          <w:vertAlign w:val="superscript"/>
        </w:rPr>
        <w:instrText xml:space="preserve"> \* MERGEFORMAT </w:instrText>
      </w:r>
      <w:r w:rsidR="00703754" w:rsidRPr="00703754">
        <w:rPr>
          <w:color w:val="000000" w:themeColor="text1"/>
          <w:szCs w:val="19"/>
          <w:shd w:val="clear" w:color="auto" w:fill="FFFFFF"/>
          <w:vertAlign w:val="superscript"/>
        </w:rPr>
      </w:r>
      <w:r w:rsidR="00703754" w:rsidRPr="00703754">
        <w:rPr>
          <w:color w:val="000000" w:themeColor="text1"/>
          <w:szCs w:val="19"/>
          <w:shd w:val="clear" w:color="auto" w:fill="FFFFFF"/>
          <w:vertAlign w:val="superscript"/>
        </w:rPr>
        <w:fldChar w:fldCharType="separate"/>
      </w:r>
      <w:r w:rsidR="003D1A16">
        <w:rPr>
          <w:color w:val="000000" w:themeColor="text1"/>
          <w:szCs w:val="19"/>
          <w:shd w:val="clear" w:color="auto" w:fill="FFFFFF"/>
          <w:vertAlign w:val="superscript"/>
        </w:rPr>
        <w:t>4</w:t>
      </w:r>
      <w:r w:rsidR="00703754" w:rsidRPr="00703754">
        <w:rPr>
          <w:color w:val="000000" w:themeColor="text1"/>
          <w:szCs w:val="19"/>
          <w:shd w:val="clear" w:color="auto" w:fill="FFFFFF"/>
          <w:vertAlign w:val="superscript"/>
        </w:rPr>
        <w:fldChar w:fldCharType="end"/>
      </w:r>
      <w:r w:rsidR="00BE78E6" w:rsidRPr="002318A7">
        <w:rPr>
          <w:color w:val="000000" w:themeColor="text1"/>
          <w:szCs w:val="19"/>
          <w:shd w:val="clear" w:color="auto" w:fill="FFFFFF"/>
        </w:rPr>
        <w:t xml:space="preserve"> wyniosła </w:t>
      </w:r>
      <w:r w:rsidR="002318A7" w:rsidRPr="002318A7">
        <w:rPr>
          <w:color w:val="000000" w:themeColor="text1"/>
          <w:szCs w:val="19"/>
          <w:shd w:val="clear" w:color="auto" w:fill="FFFFFF"/>
        </w:rPr>
        <w:t>4,9</w:t>
      </w:r>
      <w:r w:rsidR="00BE78E6" w:rsidRPr="002318A7">
        <w:rPr>
          <w:color w:val="000000" w:themeColor="text1"/>
          <w:szCs w:val="19"/>
          <w:shd w:val="clear" w:color="auto" w:fill="FFFFFF"/>
        </w:rPr>
        <w:t xml:space="preserve"> mld zł (wzrost o </w:t>
      </w:r>
      <w:r w:rsidR="002318A7" w:rsidRPr="002318A7">
        <w:rPr>
          <w:color w:val="000000" w:themeColor="text1"/>
          <w:szCs w:val="19"/>
          <w:shd w:val="clear" w:color="auto" w:fill="FFFFFF"/>
        </w:rPr>
        <w:t>15,1</w:t>
      </w:r>
      <w:r w:rsidR="00BE78E6" w:rsidRPr="002318A7">
        <w:rPr>
          <w:color w:val="000000" w:themeColor="text1"/>
          <w:szCs w:val="19"/>
          <w:shd w:val="clear" w:color="auto" w:fill="FFFFFF"/>
        </w:rPr>
        <w:t xml:space="preserve">%), natomiast nabyły one od nierezydentów usługi o wartości </w:t>
      </w:r>
      <w:r w:rsidR="002318A7" w:rsidRPr="002318A7">
        <w:rPr>
          <w:color w:val="000000" w:themeColor="text1"/>
          <w:szCs w:val="19"/>
          <w:shd w:val="clear" w:color="auto" w:fill="FFFFFF"/>
        </w:rPr>
        <w:t>2,1 mld zł (wzrost o 12,3</w:t>
      </w:r>
      <w:r w:rsidR="00BE78E6" w:rsidRPr="002318A7">
        <w:rPr>
          <w:color w:val="000000" w:themeColor="text1"/>
          <w:szCs w:val="19"/>
          <w:shd w:val="clear" w:color="auto" w:fill="FFFFFF"/>
        </w:rPr>
        <w:t>%).</w:t>
      </w:r>
    </w:p>
    <w:p w14:paraId="312F9CCC" w14:textId="77777777" w:rsidR="00BE78E6" w:rsidRPr="002318A7" w:rsidRDefault="00BE78E6" w:rsidP="00BE78E6">
      <w:pPr>
        <w:rPr>
          <w:color w:val="000000" w:themeColor="text1"/>
          <w:szCs w:val="19"/>
          <w:shd w:val="clear" w:color="auto" w:fill="FFFFFF"/>
        </w:rPr>
      </w:pPr>
      <w:r w:rsidRPr="002318A7">
        <w:rPr>
          <w:color w:val="000000" w:themeColor="text1"/>
          <w:szCs w:val="19"/>
          <w:shd w:val="clear" w:color="auto" w:fill="FFFFFF"/>
        </w:rPr>
        <w:t xml:space="preserve">Przedsiębiorstwa prowadzące działalność reklamową </w:t>
      </w:r>
      <w:r w:rsidR="004A2A5D" w:rsidRPr="002318A7">
        <w:rPr>
          <w:color w:val="000000" w:themeColor="text1"/>
          <w:szCs w:val="19"/>
          <w:shd w:val="clear" w:color="auto" w:fill="FFFFFF"/>
        </w:rPr>
        <w:t>oraz dzi</w:t>
      </w:r>
      <w:r w:rsidR="004320E1" w:rsidRPr="002318A7">
        <w:rPr>
          <w:color w:val="000000" w:themeColor="text1"/>
          <w:szCs w:val="19"/>
          <w:shd w:val="clear" w:color="auto" w:fill="FFFFFF"/>
        </w:rPr>
        <w:t>ała</w:t>
      </w:r>
      <w:r w:rsidR="004A2A5D" w:rsidRPr="002318A7">
        <w:rPr>
          <w:color w:val="000000" w:themeColor="text1"/>
          <w:szCs w:val="19"/>
          <w:shd w:val="clear" w:color="auto" w:fill="FFFFFF"/>
        </w:rPr>
        <w:t xml:space="preserve">lność w zakresie badań rynku i opinii publicznej </w:t>
      </w:r>
      <w:r w:rsidRPr="002318A7">
        <w:rPr>
          <w:color w:val="000000" w:themeColor="text1"/>
          <w:szCs w:val="19"/>
          <w:shd w:val="clear" w:color="auto" w:fill="FFFFFF"/>
        </w:rPr>
        <w:t>dostarczały swoje usług</w:t>
      </w:r>
      <w:r w:rsidR="0096359C" w:rsidRPr="002318A7">
        <w:rPr>
          <w:color w:val="000000" w:themeColor="text1"/>
          <w:szCs w:val="19"/>
          <w:shd w:val="clear" w:color="auto" w:fill="FFFFFF"/>
        </w:rPr>
        <w:t>i</w:t>
      </w:r>
      <w:r w:rsidRPr="002318A7">
        <w:rPr>
          <w:color w:val="000000" w:themeColor="text1"/>
          <w:szCs w:val="19"/>
          <w:shd w:val="clear" w:color="auto" w:fill="FFFFFF"/>
        </w:rPr>
        <w:t xml:space="preserve"> głównie do kontrahentów ze Szwajcarii</w:t>
      </w:r>
      <w:r w:rsidR="00541BC8" w:rsidRPr="002318A7">
        <w:rPr>
          <w:color w:val="000000" w:themeColor="text1"/>
          <w:szCs w:val="19"/>
          <w:shd w:val="clear" w:color="auto" w:fill="FFFFFF"/>
        </w:rPr>
        <w:t xml:space="preserve"> (</w:t>
      </w:r>
      <w:r w:rsidR="002318A7" w:rsidRPr="002318A7">
        <w:rPr>
          <w:color w:val="000000" w:themeColor="text1"/>
          <w:szCs w:val="19"/>
          <w:shd w:val="clear" w:color="auto" w:fill="FFFFFF"/>
        </w:rPr>
        <w:t>20,5</w:t>
      </w:r>
      <w:r w:rsidRPr="002318A7">
        <w:rPr>
          <w:color w:val="000000" w:themeColor="text1"/>
          <w:szCs w:val="19"/>
          <w:shd w:val="clear" w:color="auto" w:fill="FFFFFF"/>
        </w:rPr>
        <w:t xml:space="preserve">%), </w:t>
      </w:r>
      <w:r w:rsidR="0096359C" w:rsidRPr="002318A7">
        <w:rPr>
          <w:color w:val="000000" w:themeColor="text1"/>
          <w:szCs w:val="19"/>
          <w:shd w:val="clear" w:color="auto" w:fill="FFFFFF"/>
        </w:rPr>
        <w:t xml:space="preserve">najwięcej usług nabyły </w:t>
      </w:r>
      <w:r w:rsidR="00541BC8" w:rsidRPr="002318A7">
        <w:rPr>
          <w:color w:val="000000" w:themeColor="text1"/>
          <w:szCs w:val="19"/>
          <w:shd w:val="clear" w:color="auto" w:fill="FFFFFF"/>
        </w:rPr>
        <w:t>natomiast w Irlandii (</w:t>
      </w:r>
      <w:r w:rsidR="002318A7" w:rsidRPr="002318A7">
        <w:rPr>
          <w:color w:val="000000" w:themeColor="text1"/>
          <w:szCs w:val="19"/>
          <w:shd w:val="clear" w:color="auto" w:fill="FFFFFF"/>
        </w:rPr>
        <w:t>45,0</w:t>
      </w:r>
      <w:r w:rsidR="0096359C" w:rsidRPr="002318A7">
        <w:rPr>
          <w:color w:val="000000" w:themeColor="text1"/>
          <w:szCs w:val="19"/>
          <w:shd w:val="clear" w:color="auto" w:fill="FFFFFF"/>
        </w:rPr>
        <w:t>% wartości usług nabywanych przez te przedsiębiorstwa od nierezydentów</w:t>
      </w:r>
      <w:r w:rsidR="00B00A24" w:rsidRPr="002318A7">
        <w:rPr>
          <w:color w:val="000000" w:themeColor="text1"/>
          <w:szCs w:val="19"/>
          <w:shd w:val="clear" w:color="auto" w:fill="FFFFFF"/>
        </w:rPr>
        <w:t xml:space="preserve">). </w:t>
      </w:r>
      <w:r w:rsidRPr="002318A7">
        <w:rPr>
          <w:color w:val="000000" w:themeColor="text1"/>
          <w:szCs w:val="19"/>
          <w:shd w:val="clear" w:color="auto" w:fill="FFFFFF"/>
        </w:rPr>
        <w:t xml:space="preserve">Reklama, badania rynku i sondaże opinii publicznej stanowiły główne źródło przychodów, </w:t>
      </w:r>
      <w:r w:rsidR="00B00A24" w:rsidRPr="002318A7">
        <w:rPr>
          <w:color w:val="000000" w:themeColor="text1"/>
          <w:szCs w:val="19"/>
          <w:shd w:val="clear" w:color="auto" w:fill="FFFFFF"/>
        </w:rPr>
        <w:t xml:space="preserve">jak i rozchodów tych podmiotów </w:t>
      </w:r>
      <w:r w:rsidRPr="002318A7">
        <w:rPr>
          <w:color w:val="000000" w:themeColor="text1"/>
          <w:szCs w:val="19"/>
          <w:shd w:val="clear" w:color="auto" w:fill="FFFFFF"/>
        </w:rPr>
        <w:t>(udział w strukturze us</w:t>
      </w:r>
      <w:r w:rsidR="00541BC8" w:rsidRPr="002318A7">
        <w:rPr>
          <w:color w:val="000000" w:themeColor="text1"/>
          <w:szCs w:val="19"/>
          <w:shd w:val="clear" w:color="auto" w:fill="FFFFFF"/>
        </w:rPr>
        <w:t>ług dostarczonych stanowił</w:t>
      </w:r>
      <w:r w:rsidR="0002111D" w:rsidRPr="002318A7">
        <w:rPr>
          <w:color w:val="000000" w:themeColor="text1"/>
          <w:szCs w:val="19"/>
          <w:shd w:val="clear" w:color="auto" w:fill="FFFFFF"/>
        </w:rPr>
        <w:t xml:space="preserve"> 7</w:t>
      </w:r>
      <w:r w:rsidR="002318A7" w:rsidRPr="002318A7">
        <w:rPr>
          <w:color w:val="000000" w:themeColor="text1"/>
          <w:szCs w:val="19"/>
          <w:shd w:val="clear" w:color="auto" w:fill="FFFFFF"/>
        </w:rPr>
        <w:t>8</w:t>
      </w:r>
      <w:r w:rsidR="0002111D" w:rsidRPr="002318A7">
        <w:rPr>
          <w:color w:val="000000" w:themeColor="text1"/>
          <w:szCs w:val="19"/>
          <w:shd w:val="clear" w:color="auto" w:fill="FFFFFF"/>
        </w:rPr>
        <w:t>,7</w:t>
      </w:r>
      <w:r w:rsidR="00B00A24" w:rsidRPr="002318A7">
        <w:rPr>
          <w:color w:val="000000" w:themeColor="text1"/>
          <w:szCs w:val="19"/>
          <w:shd w:val="clear" w:color="auto" w:fill="FFFFFF"/>
        </w:rPr>
        <w:t xml:space="preserve">%, natomiast nabytych </w:t>
      </w:r>
      <w:r w:rsidR="0002111D" w:rsidRPr="002318A7">
        <w:rPr>
          <w:color w:val="000000" w:themeColor="text1"/>
          <w:szCs w:val="19"/>
          <w:shd w:val="clear" w:color="auto" w:fill="FFFFFF"/>
        </w:rPr>
        <w:t>–</w:t>
      </w:r>
      <w:r w:rsidR="00B00A24" w:rsidRPr="002318A7">
        <w:rPr>
          <w:color w:val="000000" w:themeColor="text1"/>
          <w:szCs w:val="19"/>
          <w:shd w:val="clear" w:color="auto" w:fill="FFFFFF"/>
        </w:rPr>
        <w:t xml:space="preserve"> </w:t>
      </w:r>
      <w:r w:rsidR="0002111D" w:rsidRPr="002318A7">
        <w:rPr>
          <w:color w:val="000000" w:themeColor="text1"/>
          <w:szCs w:val="19"/>
          <w:shd w:val="clear" w:color="auto" w:fill="FFFFFF"/>
        </w:rPr>
        <w:t>70,</w:t>
      </w:r>
      <w:r w:rsidR="002318A7" w:rsidRPr="002318A7">
        <w:rPr>
          <w:color w:val="000000" w:themeColor="text1"/>
          <w:szCs w:val="19"/>
          <w:shd w:val="clear" w:color="auto" w:fill="FFFFFF"/>
        </w:rPr>
        <w:t>6</w:t>
      </w:r>
      <w:r w:rsidRPr="002318A7">
        <w:rPr>
          <w:color w:val="000000" w:themeColor="text1"/>
          <w:szCs w:val="19"/>
          <w:shd w:val="clear" w:color="auto" w:fill="FFFFFF"/>
        </w:rPr>
        <w:t>%).</w:t>
      </w:r>
    </w:p>
    <w:p w14:paraId="27E4ABB6" w14:textId="77777777" w:rsidR="008C0729" w:rsidRDefault="008C0729" w:rsidP="00A37806">
      <w:pPr>
        <w:ind w:left="993" w:hanging="993"/>
        <w:rPr>
          <w:b/>
          <w:sz w:val="18"/>
          <w:szCs w:val="18"/>
        </w:rPr>
      </w:pPr>
    </w:p>
    <w:p w14:paraId="0A9F1435" w14:textId="2644209B" w:rsidR="001C5FD4" w:rsidRPr="00682E40" w:rsidRDefault="00D24159" w:rsidP="00A37806">
      <w:pPr>
        <w:ind w:left="993" w:hanging="993"/>
        <w:rPr>
          <w:sz w:val="18"/>
          <w:szCs w:val="18"/>
        </w:rPr>
      </w:pPr>
      <w:r w:rsidRPr="000E1355">
        <w:rPr>
          <w:noProof/>
          <w:lang w:eastAsia="pl-PL"/>
        </w:rPr>
        <w:drawing>
          <wp:anchor distT="0" distB="0" distL="114300" distR="114300" simplePos="0" relativeHeight="251792384" behindDoc="0" locked="0" layoutInCell="1" allowOverlap="1" wp14:anchorId="71CD62C7" wp14:editId="75C5D4AF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5196840" cy="3802380"/>
            <wp:effectExtent l="0" t="0" r="3810" b="7620"/>
            <wp:wrapSquare wrapText="bothSides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D4" w:rsidRPr="000E1355">
        <w:rPr>
          <w:b/>
          <w:sz w:val="18"/>
          <w:szCs w:val="18"/>
        </w:rPr>
        <w:t>Wykres</w:t>
      </w:r>
      <w:r w:rsidR="00682E40">
        <w:rPr>
          <w:b/>
          <w:sz w:val="18"/>
          <w:szCs w:val="18"/>
        </w:rPr>
        <w:t xml:space="preserve"> 11</w:t>
      </w:r>
      <w:r w:rsidR="001C5FD4" w:rsidRPr="000E1355">
        <w:rPr>
          <w:b/>
          <w:sz w:val="18"/>
          <w:szCs w:val="18"/>
        </w:rPr>
        <w:t>.</w:t>
      </w:r>
      <w:r w:rsidR="001C5FD4" w:rsidRPr="000E1355">
        <w:rPr>
          <w:b/>
          <w:sz w:val="18"/>
          <w:szCs w:val="18"/>
          <w:shd w:val="clear" w:color="auto" w:fill="FFFFFF"/>
        </w:rPr>
        <w:t xml:space="preserve"> Struktura geograficzna usług dostarcz</w:t>
      </w:r>
      <w:r w:rsidR="00C8517F" w:rsidRPr="000E1355">
        <w:rPr>
          <w:b/>
          <w:sz w:val="18"/>
          <w:szCs w:val="18"/>
          <w:shd w:val="clear" w:color="auto" w:fill="FFFFFF"/>
        </w:rPr>
        <w:t>o</w:t>
      </w:r>
      <w:r w:rsidR="001C5FD4" w:rsidRPr="000E1355">
        <w:rPr>
          <w:b/>
          <w:sz w:val="18"/>
          <w:szCs w:val="18"/>
          <w:shd w:val="clear" w:color="auto" w:fill="FFFFFF"/>
        </w:rPr>
        <w:t>nych i naby</w:t>
      </w:r>
      <w:r w:rsidR="00C8517F" w:rsidRPr="000E1355">
        <w:rPr>
          <w:b/>
          <w:sz w:val="18"/>
          <w:szCs w:val="18"/>
          <w:shd w:val="clear" w:color="auto" w:fill="FFFFFF"/>
        </w:rPr>
        <w:t>t</w:t>
      </w:r>
      <w:r w:rsidR="001C5FD4" w:rsidRPr="000E1355">
        <w:rPr>
          <w:b/>
          <w:sz w:val="18"/>
          <w:szCs w:val="18"/>
          <w:shd w:val="clear" w:color="auto" w:fill="FFFFFF"/>
        </w:rPr>
        <w:t>ych w obrocie międzynarodowym przez podmioty prowadzące działalność w zakresie reklamy</w:t>
      </w:r>
      <w:r w:rsidR="00BF1479" w:rsidRPr="000E1355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BF1479" w:rsidRPr="000E1355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_Ref524343868 \h  \* MERGEFORMAT </w:instrText>
      </w:r>
      <w:r w:rsidR="00BF1479" w:rsidRPr="000E1355">
        <w:rPr>
          <w:b/>
          <w:sz w:val="18"/>
          <w:szCs w:val="18"/>
          <w:shd w:val="clear" w:color="auto" w:fill="FFFFFF"/>
          <w:vertAlign w:val="superscript"/>
        </w:rPr>
      </w:r>
      <w:r w:rsidR="00BF1479" w:rsidRPr="000E1355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sz w:val="18"/>
          <w:szCs w:val="18"/>
          <w:shd w:val="clear" w:color="auto" w:fill="FFFFFF"/>
          <w:vertAlign w:val="superscript"/>
        </w:rPr>
        <w:t>12</w:t>
      </w:r>
      <w:r w:rsidR="00BF1479" w:rsidRPr="000E1355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  <w:r w:rsidR="00682E40">
        <w:rPr>
          <w:b/>
          <w:sz w:val="18"/>
          <w:szCs w:val="18"/>
          <w:shd w:val="clear" w:color="auto" w:fill="FFFFFF"/>
          <w:vertAlign w:val="superscript"/>
        </w:rPr>
        <w:t xml:space="preserve"> </w:t>
      </w:r>
      <w:r w:rsidR="003C7DF8">
        <w:rPr>
          <w:b/>
          <w:sz w:val="18"/>
          <w:szCs w:val="18"/>
          <w:shd w:val="clear" w:color="auto" w:fill="FFFFFF"/>
        </w:rPr>
        <w:t>w 2018 r.</w:t>
      </w:r>
    </w:p>
    <w:p w14:paraId="7D1D7B1F" w14:textId="77777777" w:rsidR="00F307F2" w:rsidRDefault="00F307F2" w:rsidP="00B30FFD">
      <w:pPr>
        <w:ind w:left="993" w:hanging="993"/>
        <w:rPr>
          <w:b/>
          <w:color w:val="000000" w:themeColor="text1"/>
          <w:sz w:val="18"/>
          <w:szCs w:val="18"/>
        </w:rPr>
      </w:pPr>
    </w:p>
    <w:p w14:paraId="6F09591B" w14:textId="77777777" w:rsidR="00F307F2" w:rsidRDefault="00F307F2" w:rsidP="00B30FFD">
      <w:pPr>
        <w:ind w:left="993" w:hanging="993"/>
        <w:rPr>
          <w:b/>
          <w:color w:val="000000" w:themeColor="text1"/>
          <w:sz w:val="18"/>
          <w:szCs w:val="18"/>
        </w:rPr>
      </w:pPr>
    </w:p>
    <w:p w14:paraId="54AC62F5" w14:textId="77777777" w:rsidR="00F307F2" w:rsidRDefault="00F307F2" w:rsidP="00B30FFD">
      <w:pPr>
        <w:ind w:left="993" w:hanging="993"/>
        <w:rPr>
          <w:b/>
          <w:color w:val="000000" w:themeColor="text1"/>
          <w:sz w:val="18"/>
          <w:szCs w:val="18"/>
        </w:rPr>
      </w:pPr>
    </w:p>
    <w:p w14:paraId="13D6DD6B" w14:textId="08659170" w:rsidR="00476295" w:rsidRDefault="00F307F2" w:rsidP="00B30FFD">
      <w:pPr>
        <w:ind w:left="993" w:hanging="993"/>
        <w:rPr>
          <w:b/>
          <w:color w:val="000000" w:themeColor="text1"/>
          <w:sz w:val="18"/>
          <w:szCs w:val="18"/>
          <w:shd w:val="clear" w:color="auto" w:fill="FFFFFF"/>
        </w:rPr>
      </w:pPr>
      <w:r w:rsidRPr="00867CE8">
        <w:rPr>
          <w:noProof/>
          <w:color w:val="000000" w:themeColor="text1"/>
          <w:lang w:eastAsia="pl-PL"/>
        </w:rPr>
        <w:lastRenderedPageBreak/>
        <w:drawing>
          <wp:anchor distT="0" distB="0" distL="114300" distR="114300" simplePos="0" relativeHeight="251837440" behindDoc="0" locked="0" layoutInCell="1" allowOverlap="1" wp14:anchorId="539AF803" wp14:editId="310DC8BB">
            <wp:simplePos x="0" y="0"/>
            <wp:positionH relativeFrom="margin">
              <wp:posOffset>7620</wp:posOffset>
            </wp:positionH>
            <wp:positionV relativeFrom="paragraph">
              <wp:posOffset>505460</wp:posOffset>
            </wp:positionV>
            <wp:extent cx="5181600" cy="2392680"/>
            <wp:effectExtent l="0" t="0" r="0" b="7620"/>
            <wp:wrapSquare wrapText="bothSides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D4" w:rsidRPr="00867CE8">
        <w:rPr>
          <w:b/>
          <w:color w:val="000000" w:themeColor="text1"/>
          <w:sz w:val="18"/>
          <w:szCs w:val="18"/>
        </w:rPr>
        <w:t>Wykres</w:t>
      </w:r>
      <w:r w:rsidR="006A0F3D">
        <w:rPr>
          <w:b/>
          <w:color w:val="000000" w:themeColor="text1"/>
          <w:sz w:val="18"/>
          <w:szCs w:val="18"/>
        </w:rPr>
        <w:t xml:space="preserve"> </w:t>
      </w:r>
      <w:r w:rsidR="00682E40">
        <w:rPr>
          <w:b/>
          <w:color w:val="000000" w:themeColor="text1"/>
          <w:sz w:val="18"/>
          <w:szCs w:val="18"/>
        </w:rPr>
        <w:t>12</w:t>
      </w:r>
      <w:r w:rsidR="001C5FD4" w:rsidRPr="00867CE8">
        <w:rPr>
          <w:b/>
          <w:color w:val="000000" w:themeColor="text1"/>
          <w:sz w:val="18"/>
          <w:szCs w:val="18"/>
        </w:rPr>
        <w:t>.</w:t>
      </w:r>
      <w:r w:rsidR="001C5FD4" w:rsidRPr="00867CE8">
        <w:rPr>
          <w:b/>
          <w:color w:val="000000" w:themeColor="text1"/>
          <w:sz w:val="18"/>
          <w:szCs w:val="18"/>
          <w:shd w:val="clear" w:color="auto" w:fill="FFFFFF"/>
        </w:rPr>
        <w:t xml:space="preserve"> Struktura usług dostarcz</w:t>
      </w:r>
      <w:r w:rsidR="00C8517F" w:rsidRPr="00867CE8">
        <w:rPr>
          <w:b/>
          <w:color w:val="000000" w:themeColor="text1"/>
          <w:sz w:val="18"/>
          <w:szCs w:val="18"/>
          <w:shd w:val="clear" w:color="auto" w:fill="FFFFFF"/>
        </w:rPr>
        <w:t>o</w:t>
      </w:r>
      <w:r w:rsidR="001C5FD4" w:rsidRPr="00867CE8">
        <w:rPr>
          <w:b/>
          <w:color w:val="000000" w:themeColor="text1"/>
          <w:sz w:val="18"/>
          <w:szCs w:val="18"/>
          <w:shd w:val="clear" w:color="auto" w:fill="FFFFFF"/>
        </w:rPr>
        <w:t>nych i naby</w:t>
      </w:r>
      <w:r w:rsidR="00C8517F" w:rsidRPr="00867CE8">
        <w:rPr>
          <w:b/>
          <w:color w:val="000000" w:themeColor="text1"/>
          <w:sz w:val="18"/>
          <w:szCs w:val="18"/>
          <w:shd w:val="clear" w:color="auto" w:fill="FFFFFF"/>
        </w:rPr>
        <w:t>t</w:t>
      </w:r>
      <w:r w:rsidR="001C5FD4" w:rsidRPr="00867CE8">
        <w:rPr>
          <w:b/>
          <w:color w:val="000000" w:themeColor="text1"/>
          <w:sz w:val="18"/>
          <w:szCs w:val="18"/>
          <w:shd w:val="clear" w:color="auto" w:fill="FFFFFF"/>
        </w:rPr>
        <w:t>ych w obrocie międzynarodowym przez podmioty prowadzące działalność w zakresie reklamy</w:t>
      </w:r>
      <w:r w:rsidR="00BF1479" w:rsidRPr="00867CE8">
        <w:rPr>
          <w:b/>
          <w:color w:val="000000" w:themeColor="text1"/>
          <w:sz w:val="18"/>
          <w:szCs w:val="18"/>
          <w:shd w:val="clear" w:color="auto" w:fill="FFFFFF"/>
          <w:vertAlign w:val="superscript"/>
        </w:rPr>
        <w:fldChar w:fldCharType="begin"/>
      </w:r>
      <w:r w:rsidR="00BF1479" w:rsidRPr="00867CE8">
        <w:rPr>
          <w:b/>
          <w:color w:val="000000" w:themeColor="text1"/>
          <w:sz w:val="18"/>
          <w:szCs w:val="18"/>
          <w:shd w:val="clear" w:color="auto" w:fill="FFFFFF"/>
          <w:vertAlign w:val="superscript"/>
        </w:rPr>
        <w:instrText xml:space="preserve"> NOTEREF _Ref524343868 \h  \* MERGEFORMAT </w:instrText>
      </w:r>
      <w:r w:rsidR="00BF1479" w:rsidRPr="00867CE8">
        <w:rPr>
          <w:b/>
          <w:color w:val="000000" w:themeColor="text1"/>
          <w:sz w:val="18"/>
          <w:szCs w:val="18"/>
          <w:shd w:val="clear" w:color="auto" w:fill="FFFFFF"/>
          <w:vertAlign w:val="superscript"/>
        </w:rPr>
      </w:r>
      <w:r w:rsidR="00BF1479" w:rsidRPr="00867CE8">
        <w:rPr>
          <w:b/>
          <w:color w:val="000000" w:themeColor="text1"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color w:val="000000" w:themeColor="text1"/>
          <w:sz w:val="18"/>
          <w:szCs w:val="18"/>
          <w:shd w:val="clear" w:color="auto" w:fill="FFFFFF"/>
          <w:vertAlign w:val="superscript"/>
        </w:rPr>
        <w:t>12</w:t>
      </w:r>
      <w:r w:rsidR="00BF1479" w:rsidRPr="00867CE8">
        <w:rPr>
          <w:b/>
          <w:color w:val="000000" w:themeColor="text1"/>
          <w:sz w:val="18"/>
          <w:szCs w:val="18"/>
          <w:shd w:val="clear" w:color="auto" w:fill="FFFFFF"/>
          <w:vertAlign w:val="superscript"/>
        </w:rPr>
        <w:fldChar w:fldCharType="end"/>
      </w:r>
      <w:r w:rsidR="00883536" w:rsidRPr="00867CE8">
        <w:rPr>
          <w:b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 </w:t>
      </w:r>
      <w:r w:rsidR="00883536" w:rsidRPr="00867CE8">
        <w:rPr>
          <w:b/>
          <w:color w:val="000000" w:themeColor="text1"/>
          <w:sz w:val="18"/>
          <w:szCs w:val="18"/>
          <w:shd w:val="clear" w:color="auto" w:fill="FFFFFF"/>
        </w:rPr>
        <w:t>według rodzaju świadczonych usług</w:t>
      </w:r>
      <w:r w:rsidR="003C7DF8">
        <w:rPr>
          <w:b/>
          <w:color w:val="000000" w:themeColor="text1"/>
          <w:sz w:val="18"/>
          <w:szCs w:val="18"/>
          <w:shd w:val="clear" w:color="auto" w:fill="FFFFFF"/>
        </w:rPr>
        <w:t xml:space="preserve"> w 2018 r.</w:t>
      </w:r>
    </w:p>
    <w:p w14:paraId="34F91322" w14:textId="67657B4F" w:rsidR="001C5FD4" w:rsidRPr="004C253C" w:rsidRDefault="001C5FD4" w:rsidP="001C5FD4">
      <w:pPr>
        <w:keepNext/>
        <w:spacing w:before="240" w:line="240" w:lineRule="auto"/>
        <w:outlineLvl w:val="0"/>
        <w:rPr>
          <w:rFonts w:eastAsia="Times New Roman" w:cs="Times New Roman"/>
          <w:bCs/>
          <w:sz w:val="18"/>
          <w:szCs w:val="18"/>
          <w:lang w:eastAsia="pl-PL"/>
        </w:rPr>
      </w:pPr>
      <w:r w:rsidRPr="004C253C">
        <w:rPr>
          <w:rFonts w:eastAsia="Times New Roman" w:cs="Times New Roman"/>
          <w:bCs/>
          <w:sz w:val="18"/>
          <w:szCs w:val="18"/>
          <w:lang w:eastAsia="pl-PL"/>
        </w:rPr>
        <w:t>u. - usługi</w:t>
      </w:r>
    </w:p>
    <w:p w14:paraId="525FE135" w14:textId="54516058" w:rsidR="001C5FD4" w:rsidRPr="00A27566" w:rsidRDefault="00C8517F" w:rsidP="001C5FD4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color w:val="001D77"/>
          <w:sz w:val="18"/>
          <w:szCs w:val="24"/>
          <w:lang w:eastAsia="pl-PL"/>
        </w:rPr>
      </w:pPr>
      <w:r w:rsidRPr="00A27566">
        <w:rPr>
          <w:rFonts w:eastAsia="Times New Roman" w:cs="Times New Roman"/>
          <w:b/>
          <w:bCs/>
          <w:noProof/>
          <w:color w:val="001D77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49C74365" wp14:editId="3C30DBAC">
                <wp:simplePos x="0" y="0"/>
                <wp:positionH relativeFrom="column">
                  <wp:posOffset>5243195</wp:posOffset>
                </wp:positionH>
                <wp:positionV relativeFrom="paragraph">
                  <wp:posOffset>80233</wp:posOffset>
                </wp:positionV>
                <wp:extent cx="1700530" cy="963295"/>
                <wp:effectExtent l="0" t="0" r="0" b="0"/>
                <wp:wrapTight wrapText="bothSides">
                  <wp:wrapPolygon edited="0">
                    <wp:start x="726" y="0"/>
                    <wp:lineTo x="726" y="20931"/>
                    <wp:lineTo x="20810" y="20931"/>
                    <wp:lineTo x="20810" y="0"/>
                    <wp:lineTo x="726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963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A1703" w14:textId="77777777" w:rsidR="006A0F3D" w:rsidRPr="006A0F3D" w:rsidRDefault="006A0F3D" w:rsidP="001C5FD4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6A0F3D">
                              <w:rPr>
                                <w:color w:val="auto"/>
                              </w:rPr>
                              <w:t>Głównym partnerem handlowymi w zakresie usług związanych z zatrudnieniem były przedsiębiorstwa mające swoją siedzibę w Niemczech</w:t>
                            </w:r>
                          </w:p>
                          <w:p w14:paraId="0FA188C3" w14:textId="77777777" w:rsidR="006A0F3D" w:rsidRPr="001C7E6F" w:rsidRDefault="006A0F3D" w:rsidP="001C5FD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c="http://schemas.openxmlformats.org/drawingml/2006/chart" xmlns:a="http://schemas.openxmlformats.org/drawingml/2006/main">
            <w:pict>
              <v:shape id="Pole tekstowe 12" style="position:absolute;margin-left:412.85pt;margin-top:6.3pt;width:133.9pt;height:75.8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" w14:anchorId="49C74365">
                <v:textbox>
                  <w:txbxContent>
                    <w:p w:rsidRPr="006A0F3D" w:rsidR="006A0F3D" w:rsidP="001C5FD4" w:rsidRDefault="006A0F3D" w14:paraId="1F8A1703" w14:textId="77777777">
                      <w:pPr>
                        <w:pStyle w:val="tekstzboku"/>
                        <w:rPr>
                          <w:color w:val="auto"/>
                        </w:rPr>
                      </w:pPr>
                      <w:r w:rsidRPr="006A0F3D">
                        <w:rPr>
                          <w:color w:val="auto"/>
                        </w:rPr>
                        <w:t>Głównym partnerem handlowymi w zakresie usług związanych z zatrudnieniem były przedsiębiorstwa mające swoją siedzibę w Niemczech</w:t>
                      </w:r>
                    </w:p>
                    <w:p w:rsidRPr="001C7E6F" w:rsidR="006A0F3D" w:rsidP="001C5FD4" w:rsidRDefault="006A0F3D" w14:paraId="0FA188C3" w14:textId="7777777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C5FD4" w:rsidRPr="00A27566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Dział</w:t>
      </w:r>
      <w:r w:rsidRPr="00A27566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alność związana z zatrudnieniem</w:t>
      </w:r>
      <w:bookmarkStart w:id="11" w:name="_Ref524343959"/>
      <w:r w:rsidR="0096359C" w:rsidRPr="00A27566">
        <w:rPr>
          <w:rStyle w:val="Odwoanieprzypisudolnego"/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footnoteReference w:id="13"/>
      </w:r>
      <w:bookmarkEnd w:id="11"/>
    </w:p>
    <w:p w14:paraId="434F90A3" w14:textId="536626F7" w:rsidR="001C5FD4" w:rsidRPr="00A27566" w:rsidRDefault="001C5FD4" w:rsidP="001C5FD4">
      <w:pPr>
        <w:rPr>
          <w:szCs w:val="19"/>
          <w:shd w:val="clear" w:color="auto" w:fill="FFFFFF"/>
        </w:rPr>
      </w:pPr>
      <w:r w:rsidRPr="006A0F3D">
        <w:rPr>
          <w:szCs w:val="19"/>
        </w:rPr>
        <w:t xml:space="preserve">Wartość obrotów wygenerowana przez podmioty prowadzące działalność </w:t>
      </w:r>
      <w:r w:rsidR="0017227E" w:rsidRPr="006A0F3D">
        <w:rPr>
          <w:szCs w:val="19"/>
        </w:rPr>
        <w:t xml:space="preserve">związaną z zatrudnieniem </w:t>
      </w:r>
      <w:r w:rsidRPr="006A0F3D">
        <w:rPr>
          <w:szCs w:val="19"/>
        </w:rPr>
        <w:t>wyniosła w</w:t>
      </w:r>
      <w:r w:rsidR="00AF0AF4" w:rsidRPr="006A0F3D">
        <w:rPr>
          <w:szCs w:val="19"/>
        </w:rPr>
        <w:t> </w:t>
      </w:r>
      <w:r w:rsidR="00D93E2C" w:rsidRPr="006A0F3D">
        <w:rPr>
          <w:szCs w:val="19"/>
        </w:rPr>
        <w:t>2018 </w:t>
      </w:r>
      <w:r w:rsidRPr="006A0F3D">
        <w:rPr>
          <w:szCs w:val="19"/>
        </w:rPr>
        <w:t xml:space="preserve">r. </w:t>
      </w:r>
      <w:r w:rsidR="00D93E2C" w:rsidRPr="006A0F3D">
        <w:rPr>
          <w:szCs w:val="19"/>
        </w:rPr>
        <w:t>21,1</w:t>
      </w:r>
      <w:r w:rsidR="008637A5">
        <w:rPr>
          <w:szCs w:val="19"/>
        </w:rPr>
        <w:t xml:space="preserve"> </w:t>
      </w:r>
      <w:r w:rsidRPr="006A0F3D">
        <w:rPr>
          <w:szCs w:val="19"/>
        </w:rPr>
        <w:t>mld zł</w:t>
      </w:r>
      <w:r w:rsidR="006A0F3D" w:rsidRPr="006A0F3D">
        <w:rPr>
          <w:szCs w:val="19"/>
        </w:rPr>
        <w:t>, p</w:t>
      </w:r>
      <w:r w:rsidR="00D93E2C" w:rsidRPr="006A0F3D">
        <w:rPr>
          <w:szCs w:val="19"/>
        </w:rPr>
        <w:t xml:space="preserve">rowadziło ją 6,3 tys. </w:t>
      </w:r>
      <w:r w:rsidR="008637A5">
        <w:rPr>
          <w:szCs w:val="19"/>
        </w:rPr>
        <w:t>p</w:t>
      </w:r>
      <w:r w:rsidR="00AD177C" w:rsidRPr="006A0F3D">
        <w:rPr>
          <w:szCs w:val="19"/>
        </w:rPr>
        <w:t>rzedsiębiorstw</w:t>
      </w:r>
      <w:r w:rsidR="006A0F3D" w:rsidRPr="006A0F3D">
        <w:rPr>
          <w:szCs w:val="19"/>
        </w:rPr>
        <w:t>,</w:t>
      </w:r>
      <w:r w:rsidR="00AD177C" w:rsidRPr="006A0F3D">
        <w:rPr>
          <w:szCs w:val="19"/>
        </w:rPr>
        <w:t xml:space="preserve"> </w:t>
      </w:r>
      <w:r w:rsidR="00D93E2C" w:rsidRPr="006A0F3D">
        <w:rPr>
          <w:szCs w:val="19"/>
        </w:rPr>
        <w:t>które zatrudniały 179</w:t>
      </w:r>
      <w:r w:rsidRPr="006A0F3D">
        <w:rPr>
          <w:szCs w:val="19"/>
        </w:rPr>
        <w:t xml:space="preserve"> tys. osób. Zaobserwowano </w:t>
      </w:r>
      <w:r w:rsidRPr="00A27566">
        <w:rPr>
          <w:szCs w:val="19"/>
        </w:rPr>
        <w:t>po</w:t>
      </w:r>
      <w:r w:rsidR="00A27566" w:rsidRPr="00A27566">
        <w:rPr>
          <w:szCs w:val="19"/>
        </w:rPr>
        <w:t>prawę</w:t>
      </w:r>
      <w:r w:rsidRPr="00A27566">
        <w:rPr>
          <w:szCs w:val="19"/>
        </w:rPr>
        <w:t xml:space="preserve"> zarówno wskaźnika rentowności obrotu brutto</w:t>
      </w:r>
      <w:r w:rsidR="00A37806" w:rsidRPr="00A27566">
        <w:rPr>
          <w:szCs w:val="19"/>
          <w:vertAlign w:val="superscript"/>
        </w:rPr>
        <w:fldChar w:fldCharType="begin"/>
      </w:r>
      <w:r w:rsidR="00A37806" w:rsidRPr="00A27566">
        <w:rPr>
          <w:szCs w:val="19"/>
          <w:vertAlign w:val="superscript"/>
        </w:rPr>
        <w:instrText xml:space="preserve"> NOTEREF _Ref524335706 \h  \* MERGEFORMAT </w:instrText>
      </w:r>
      <w:r w:rsidR="00A37806" w:rsidRPr="00A27566">
        <w:rPr>
          <w:szCs w:val="19"/>
          <w:vertAlign w:val="superscript"/>
        </w:rPr>
      </w:r>
      <w:r w:rsidR="00A37806" w:rsidRPr="00A27566">
        <w:rPr>
          <w:szCs w:val="19"/>
          <w:vertAlign w:val="superscript"/>
        </w:rPr>
        <w:fldChar w:fldCharType="separate"/>
      </w:r>
      <w:r w:rsidR="003D1A16">
        <w:rPr>
          <w:szCs w:val="19"/>
          <w:vertAlign w:val="superscript"/>
        </w:rPr>
        <w:t>6</w:t>
      </w:r>
      <w:r w:rsidR="00A37806" w:rsidRPr="00A27566">
        <w:rPr>
          <w:szCs w:val="19"/>
          <w:vertAlign w:val="superscript"/>
        </w:rPr>
        <w:fldChar w:fldCharType="end"/>
      </w:r>
      <w:r w:rsidRPr="00A27566">
        <w:rPr>
          <w:szCs w:val="19"/>
        </w:rPr>
        <w:t xml:space="preserve"> </w:t>
      </w:r>
      <w:r w:rsidR="000E7516" w:rsidRPr="00A27566">
        <w:rPr>
          <w:szCs w:val="19"/>
          <w:shd w:val="clear" w:color="auto" w:fill="FFFFFF"/>
        </w:rPr>
        <w:t>(z 2,</w:t>
      </w:r>
      <w:r w:rsidR="00A27566" w:rsidRPr="00A27566">
        <w:rPr>
          <w:szCs w:val="19"/>
          <w:shd w:val="clear" w:color="auto" w:fill="FFFFFF"/>
        </w:rPr>
        <w:t>4</w:t>
      </w:r>
      <w:r w:rsidRPr="00A27566">
        <w:rPr>
          <w:szCs w:val="19"/>
          <w:shd w:val="clear" w:color="auto" w:fill="FFFFFF"/>
        </w:rPr>
        <w:t>% w 201</w:t>
      </w:r>
      <w:r w:rsidR="00A27566" w:rsidRPr="00A27566">
        <w:rPr>
          <w:szCs w:val="19"/>
          <w:shd w:val="clear" w:color="auto" w:fill="FFFFFF"/>
        </w:rPr>
        <w:t>7</w:t>
      </w:r>
      <w:r w:rsidRPr="00A27566">
        <w:rPr>
          <w:szCs w:val="19"/>
          <w:shd w:val="clear" w:color="auto" w:fill="FFFFFF"/>
        </w:rPr>
        <w:t xml:space="preserve"> r. do 2,</w:t>
      </w:r>
      <w:r w:rsidR="00A27566" w:rsidRPr="00A27566">
        <w:rPr>
          <w:szCs w:val="19"/>
          <w:shd w:val="clear" w:color="auto" w:fill="FFFFFF"/>
        </w:rPr>
        <w:t>9</w:t>
      </w:r>
      <w:r w:rsidRPr="00A27566">
        <w:rPr>
          <w:szCs w:val="19"/>
          <w:shd w:val="clear" w:color="auto" w:fill="FFFFFF"/>
        </w:rPr>
        <w:t>% w 201</w:t>
      </w:r>
      <w:r w:rsidR="00A27566" w:rsidRPr="00A27566">
        <w:rPr>
          <w:szCs w:val="19"/>
          <w:shd w:val="clear" w:color="auto" w:fill="FFFFFF"/>
        </w:rPr>
        <w:t>8</w:t>
      </w:r>
      <w:r w:rsidRPr="00A27566">
        <w:rPr>
          <w:szCs w:val="19"/>
          <w:shd w:val="clear" w:color="auto" w:fill="FFFFFF"/>
        </w:rPr>
        <w:t xml:space="preserve"> r.), jak i netto</w:t>
      </w:r>
      <w:r w:rsidR="00A37806" w:rsidRPr="00A27566">
        <w:rPr>
          <w:szCs w:val="19"/>
          <w:shd w:val="clear" w:color="auto" w:fill="FFFFFF"/>
          <w:vertAlign w:val="superscript"/>
        </w:rPr>
        <w:fldChar w:fldCharType="begin"/>
      </w:r>
      <w:r w:rsidR="00A37806" w:rsidRPr="00A27566">
        <w:rPr>
          <w:szCs w:val="19"/>
          <w:shd w:val="clear" w:color="auto" w:fill="FFFFFF"/>
          <w:vertAlign w:val="superscript"/>
        </w:rPr>
        <w:instrText xml:space="preserve"> NOTEREF _Ref524335721 \h  \* MERGEFORMAT </w:instrText>
      </w:r>
      <w:r w:rsidR="00A37806" w:rsidRPr="00A27566">
        <w:rPr>
          <w:szCs w:val="19"/>
          <w:shd w:val="clear" w:color="auto" w:fill="FFFFFF"/>
          <w:vertAlign w:val="superscript"/>
        </w:rPr>
      </w:r>
      <w:r w:rsidR="00A37806" w:rsidRPr="00A27566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7</w:t>
      </w:r>
      <w:r w:rsidR="00A37806" w:rsidRPr="00A27566">
        <w:rPr>
          <w:szCs w:val="19"/>
          <w:shd w:val="clear" w:color="auto" w:fill="FFFFFF"/>
          <w:vertAlign w:val="superscript"/>
        </w:rPr>
        <w:fldChar w:fldCharType="end"/>
      </w:r>
      <w:r w:rsidRPr="00A27566">
        <w:rPr>
          <w:szCs w:val="19"/>
          <w:shd w:val="clear" w:color="auto" w:fill="FFFFFF"/>
        </w:rPr>
        <w:t xml:space="preserve"> (z </w:t>
      </w:r>
      <w:r w:rsidR="00A27566" w:rsidRPr="00A27566">
        <w:rPr>
          <w:szCs w:val="19"/>
          <w:shd w:val="clear" w:color="auto" w:fill="FFFFFF"/>
        </w:rPr>
        <w:t>1</w:t>
      </w:r>
      <w:r w:rsidRPr="00A27566">
        <w:rPr>
          <w:szCs w:val="19"/>
          <w:shd w:val="clear" w:color="auto" w:fill="FFFFFF"/>
        </w:rPr>
        <w:t>,</w:t>
      </w:r>
      <w:r w:rsidR="00A27566" w:rsidRPr="00A27566">
        <w:rPr>
          <w:szCs w:val="19"/>
          <w:shd w:val="clear" w:color="auto" w:fill="FFFFFF"/>
        </w:rPr>
        <w:t>9</w:t>
      </w:r>
      <w:r w:rsidRPr="00A27566">
        <w:rPr>
          <w:szCs w:val="19"/>
          <w:shd w:val="clear" w:color="auto" w:fill="FFFFFF"/>
        </w:rPr>
        <w:t>% w</w:t>
      </w:r>
      <w:r w:rsidR="0011553A" w:rsidRPr="00A27566">
        <w:rPr>
          <w:szCs w:val="19"/>
          <w:shd w:val="clear" w:color="auto" w:fill="FFFFFF"/>
        </w:rPr>
        <w:t> </w:t>
      </w:r>
      <w:r w:rsidRPr="00A27566">
        <w:rPr>
          <w:szCs w:val="19"/>
          <w:shd w:val="clear" w:color="auto" w:fill="FFFFFF"/>
        </w:rPr>
        <w:t>201</w:t>
      </w:r>
      <w:r w:rsidR="00A27566" w:rsidRPr="00A27566">
        <w:rPr>
          <w:szCs w:val="19"/>
          <w:shd w:val="clear" w:color="auto" w:fill="FFFFFF"/>
        </w:rPr>
        <w:t>7</w:t>
      </w:r>
      <w:r w:rsidR="0011553A" w:rsidRPr="00A27566">
        <w:rPr>
          <w:szCs w:val="19"/>
          <w:shd w:val="clear" w:color="auto" w:fill="FFFFFF"/>
        </w:rPr>
        <w:t> </w:t>
      </w:r>
      <w:r w:rsidR="000E7516" w:rsidRPr="00A27566">
        <w:rPr>
          <w:szCs w:val="19"/>
          <w:shd w:val="clear" w:color="auto" w:fill="FFFFFF"/>
        </w:rPr>
        <w:t xml:space="preserve">r. do </w:t>
      </w:r>
      <w:r w:rsidR="00A27566" w:rsidRPr="00A27566">
        <w:rPr>
          <w:szCs w:val="19"/>
          <w:shd w:val="clear" w:color="auto" w:fill="FFFFFF"/>
        </w:rPr>
        <w:t>2</w:t>
      </w:r>
      <w:r w:rsidRPr="00A27566">
        <w:rPr>
          <w:szCs w:val="19"/>
          <w:shd w:val="clear" w:color="auto" w:fill="FFFFFF"/>
        </w:rPr>
        <w:t>,</w:t>
      </w:r>
      <w:r w:rsidR="00A27566" w:rsidRPr="00A27566">
        <w:rPr>
          <w:szCs w:val="19"/>
          <w:shd w:val="clear" w:color="auto" w:fill="FFFFFF"/>
        </w:rPr>
        <w:t>4</w:t>
      </w:r>
      <w:r w:rsidRPr="00A27566">
        <w:rPr>
          <w:szCs w:val="19"/>
          <w:shd w:val="clear" w:color="auto" w:fill="FFFFFF"/>
        </w:rPr>
        <w:t>% w 201</w:t>
      </w:r>
      <w:r w:rsidR="00A27566" w:rsidRPr="00A27566">
        <w:rPr>
          <w:szCs w:val="19"/>
          <w:shd w:val="clear" w:color="auto" w:fill="FFFFFF"/>
        </w:rPr>
        <w:t>8</w:t>
      </w:r>
      <w:r w:rsidRPr="00A27566">
        <w:rPr>
          <w:szCs w:val="19"/>
          <w:shd w:val="clear" w:color="auto" w:fill="FFFFFF"/>
        </w:rPr>
        <w:t xml:space="preserve"> r.). Również wskaźnik poziomu kosztów z całokształtu działalności</w:t>
      </w:r>
      <w:r w:rsidR="00A37806" w:rsidRPr="00A27566">
        <w:rPr>
          <w:szCs w:val="19"/>
          <w:shd w:val="clear" w:color="auto" w:fill="FFFFFF"/>
          <w:vertAlign w:val="superscript"/>
        </w:rPr>
        <w:fldChar w:fldCharType="begin"/>
      </w:r>
      <w:r w:rsidR="00A37806" w:rsidRPr="00A27566">
        <w:rPr>
          <w:szCs w:val="19"/>
          <w:shd w:val="clear" w:color="auto" w:fill="FFFFFF"/>
          <w:vertAlign w:val="superscript"/>
        </w:rPr>
        <w:instrText xml:space="preserve"> NOTEREF _Ref524335741 \h  \* MERGEFORMAT </w:instrText>
      </w:r>
      <w:r w:rsidR="00A37806" w:rsidRPr="00A27566">
        <w:rPr>
          <w:szCs w:val="19"/>
          <w:shd w:val="clear" w:color="auto" w:fill="FFFFFF"/>
          <w:vertAlign w:val="superscript"/>
        </w:rPr>
      </w:r>
      <w:r w:rsidR="00A37806" w:rsidRPr="00A27566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8</w:t>
      </w:r>
      <w:r w:rsidR="00A37806" w:rsidRPr="00A27566">
        <w:rPr>
          <w:szCs w:val="19"/>
          <w:shd w:val="clear" w:color="auto" w:fill="FFFFFF"/>
          <w:vertAlign w:val="superscript"/>
        </w:rPr>
        <w:fldChar w:fldCharType="end"/>
      </w:r>
      <w:r w:rsidRPr="00A27566">
        <w:rPr>
          <w:szCs w:val="19"/>
          <w:shd w:val="clear" w:color="auto" w:fill="FFFFFF"/>
        </w:rPr>
        <w:t xml:space="preserve"> po</w:t>
      </w:r>
      <w:r w:rsidR="00A27566" w:rsidRPr="00A27566">
        <w:rPr>
          <w:szCs w:val="19"/>
          <w:shd w:val="clear" w:color="auto" w:fill="FFFFFF"/>
        </w:rPr>
        <w:t>prawi</w:t>
      </w:r>
      <w:r w:rsidR="006A0F3D">
        <w:rPr>
          <w:szCs w:val="19"/>
          <w:shd w:val="clear" w:color="auto" w:fill="FFFFFF"/>
        </w:rPr>
        <w:t xml:space="preserve">ł się </w:t>
      </w:r>
      <w:r w:rsidRPr="00A27566">
        <w:rPr>
          <w:szCs w:val="19"/>
          <w:shd w:val="clear" w:color="auto" w:fill="FFFFFF"/>
        </w:rPr>
        <w:t>i</w:t>
      </w:r>
      <w:r w:rsidR="00AF0AF4" w:rsidRPr="00A27566">
        <w:rPr>
          <w:szCs w:val="19"/>
          <w:shd w:val="clear" w:color="auto" w:fill="FFFFFF"/>
        </w:rPr>
        <w:t> </w:t>
      </w:r>
      <w:r w:rsidRPr="00A27566">
        <w:rPr>
          <w:szCs w:val="19"/>
          <w:shd w:val="clear" w:color="auto" w:fill="FFFFFF"/>
        </w:rPr>
        <w:t>wyniósł 99,</w:t>
      </w:r>
      <w:r w:rsidR="00A27566" w:rsidRPr="00A27566">
        <w:rPr>
          <w:szCs w:val="19"/>
          <w:shd w:val="clear" w:color="auto" w:fill="FFFFFF"/>
        </w:rPr>
        <w:t>1</w:t>
      </w:r>
      <w:r w:rsidRPr="00A27566">
        <w:rPr>
          <w:szCs w:val="19"/>
          <w:shd w:val="clear" w:color="auto" w:fill="FFFFFF"/>
        </w:rPr>
        <w:t>% w 201</w:t>
      </w:r>
      <w:r w:rsidR="00A27566" w:rsidRPr="00A27566">
        <w:rPr>
          <w:szCs w:val="19"/>
          <w:shd w:val="clear" w:color="auto" w:fill="FFFFFF"/>
        </w:rPr>
        <w:t>8</w:t>
      </w:r>
      <w:r w:rsidR="000E7516" w:rsidRPr="00A27566">
        <w:rPr>
          <w:szCs w:val="19"/>
          <w:shd w:val="clear" w:color="auto" w:fill="FFFFFF"/>
        </w:rPr>
        <w:t xml:space="preserve"> r. wobec 99,</w:t>
      </w:r>
      <w:r w:rsidR="00A27566" w:rsidRPr="00A27566">
        <w:rPr>
          <w:szCs w:val="19"/>
          <w:shd w:val="clear" w:color="auto" w:fill="FFFFFF"/>
        </w:rPr>
        <w:t>9</w:t>
      </w:r>
      <w:r w:rsidRPr="00A27566">
        <w:rPr>
          <w:szCs w:val="19"/>
          <w:shd w:val="clear" w:color="auto" w:fill="FFFFFF"/>
        </w:rPr>
        <w:t>% w poprzednim roku.</w:t>
      </w:r>
    </w:p>
    <w:p w14:paraId="5E6C83A5" w14:textId="78DA75C9" w:rsidR="001C5FD4" w:rsidRPr="006A0F3D" w:rsidRDefault="001C5FD4" w:rsidP="001C5FD4">
      <w:pPr>
        <w:rPr>
          <w:szCs w:val="19"/>
          <w:shd w:val="clear" w:color="auto" w:fill="FFFFFF"/>
        </w:rPr>
      </w:pPr>
      <w:r w:rsidRPr="006A0F3D">
        <w:rPr>
          <w:szCs w:val="19"/>
          <w:shd w:val="clear" w:color="auto" w:fill="FFFFFF"/>
        </w:rPr>
        <w:t xml:space="preserve">Podmioty </w:t>
      </w:r>
      <w:r w:rsidR="00321755" w:rsidRPr="006A0F3D">
        <w:rPr>
          <w:szCs w:val="19"/>
          <w:shd w:val="clear" w:color="auto" w:fill="FFFFFF"/>
        </w:rPr>
        <w:t>z liczbą</w:t>
      </w:r>
      <w:r w:rsidR="0017227E" w:rsidRPr="006A0F3D">
        <w:rPr>
          <w:szCs w:val="19"/>
          <w:shd w:val="clear" w:color="auto" w:fill="FFFFFF"/>
        </w:rPr>
        <w:t xml:space="preserve"> pracujących 10 osób i więcej </w:t>
      </w:r>
      <w:r w:rsidRPr="006A0F3D">
        <w:rPr>
          <w:szCs w:val="19"/>
          <w:shd w:val="clear" w:color="auto" w:fill="FFFFFF"/>
        </w:rPr>
        <w:t xml:space="preserve">koncentrowały swoją sprzedaż na rynku krajowym </w:t>
      </w:r>
      <w:r w:rsidR="006A0F3D" w:rsidRPr="006A0F3D">
        <w:rPr>
          <w:szCs w:val="19"/>
          <w:shd w:val="clear" w:color="auto" w:fill="FFFFFF"/>
        </w:rPr>
        <w:t xml:space="preserve">- </w:t>
      </w:r>
      <w:r w:rsidR="00FA5D40" w:rsidRPr="006A0F3D">
        <w:rPr>
          <w:szCs w:val="19"/>
          <w:shd w:val="clear" w:color="auto" w:fill="FFFFFF"/>
        </w:rPr>
        <w:t>86,0</w:t>
      </w:r>
      <w:r w:rsidR="00B74F5D" w:rsidRPr="006A0F3D">
        <w:rPr>
          <w:szCs w:val="19"/>
          <w:shd w:val="clear" w:color="auto" w:fill="FFFFFF"/>
        </w:rPr>
        <w:t>% obrotów</w:t>
      </w:r>
      <w:r w:rsidRPr="006A0F3D">
        <w:rPr>
          <w:szCs w:val="19"/>
          <w:shd w:val="clear" w:color="auto" w:fill="FFFFFF"/>
        </w:rPr>
        <w:t xml:space="preserve"> ogółem</w:t>
      </w:r>
      <w:r w:rsidR="006A0F3D" w:rsidRPr="006A0F3D">
        <w:rPr>
          <w:szCs w:val="19"/>
          <w:shd w:val="clear" w:color="auto" w:fill="FFFFFF"/>
        </w:rPr>
        <w:t xml:space="preserve">. </w:t>
      </w:r>
      <w:r w:rsidRPr="006A0F3D">
        <w:rPr>
          <w:szCs w:val="19"/>
          <w:shd w:val="clear" w:color="auto" w:fill="FFFFFF"/>
        </w:rPr>
        <w:t xml:space="preserve">Udział sprzedaży kontrahentom z krajów </w:t>
      </w:r>
      <w:r w:rsidR="006A0F3D" w:rsidRPr="006A0F3D">
        <w:rPr>
          <w:szCs w:val="19"/>
          <w:shd w:val="clear" w:color="auto" w:fill="FFFFFF"/>
        </w:rPr>
        <w:t xml:space="preserve">UE wyniósł </w:t>
      </w:r>
      <w:r w:rsidR="00CA77D4" w:rsidRPr="006A0F3D">
        <w:rPr>
          <w:szCs w:val="19"/>
          <w:shd w:val="clear" w:color="auto" w:fill="FFFFFF"/>
        </w:rPr>
        <w:t>12,3</w:t>
      </w:r>
      <w:r w:rsidR="00B84C1B" w:rsidRPr="006A0F3D">
        <w:rPr>
          <w:szCs w:val="19"/>
          <w:shd w:val="clear" w:color="auto" w:fill="FFFFFF"/>
        </w:rPr>
        <w:t xml:space="preserve">%. </w:t>
      </w:r>
      <w:r w:rsidRPr="006A0F3D">
        <w:rPr>
          <w:szCs w:val="19"/>
          <w:shd w:val="clear" w:color="auto" w:fill="FFFFFF"/>
        </w:rPr>
        <w:t xml:space="preserve">Podstawowym rodzajem usług oferowanych </w:t>
      </w:r>
      <w:r w:rsidR="0017227E" w:rsidRPr="006A0F3D">
        <w:rPr>
          <w:szCs w:val="19"/>
          <w:shd w:val="clear" w:color="auto" w:fill="FFFFFF"/>
        </w:rPr>
        <w:t xml:space="preserve">przez te podmioty </w:t>
      </w:r>
      <w:r w:rsidRPr="006A0F3D">
        <w:rPr>
          <w:szCs w:val="19"/>
          <w:shd w:val="clear" w:color="auto" w:fill="FFFFFF"/>
        </w:rPr>
        <w:t>były usługi świadczone przez agencje pracy tymczasowej</w:t>
      </w:r>
      <w:r w:rsidR="006A0F3D" w:rsidRPr="006A0F3D">
        <w:rPr>
          <w:szCs w:val="19"/>
          <w:shd w:val="clear" w:color="auto" w:fill="FFFFFF"/>
        </w:rPr>
        <w:t xml:space="preserve"> (</w:t>
      </w:r>
      <w:r w:rsidR="009D0130" w:rsidRPr="006A0F3D">
        <w:rPr>
          <w:szCs w:val="19"/>
          <w:shd w:val="clear" w:color="auto" w:fill="FFFFFF"/>
        </w:rPr>
        <w:t>58,4</w:t>
      </w:r>
      <w:r w:rsidR="006A0F3D" w:rsidRPr="006A0F3D">
        <w:rPr>
          <w:szCs w:val="19"/>
          <w:shd w:val="clear" w:color="auto" w:fill="FFFFFF"/>
        </w:rPr>
        <w:t>%)</w:t>
      </w:r>
      <w:r w:rsidRPr="006A0F3D">
        <w:rPr>
          <w:szCs w:val="19"/>
          <w:shd w:val="clear" w:color="auto" w:fill="FFFFFF"/>
        </w:rPr>
        <w:t>. Kolejnym ważn</w:t>
      </w:r>
      <w:r w:rsidR="00B3119B" w:rsidRPr="006A0F3D">
        <w:rPr>
          <w:szCs w:val="19"/>
          <w:shd w:val="clear" w:color="auto" w:fill="FFFFFF"/>
        </w:rPr>
        <w:t xml:space="preserve">ym rodzajem świadczonych usług </w:t>
      </w:r>
      <w:r w:rsidRPr="006A0F3D">
        <w:rPr>
          <w:szCs w:val="19"/>
          <w:shd w:val="clear" w:color="auto" w:fill="FFFFFF"/>
        </w:rPr>
        <w:t xml:space="preserve">były pozostałe usługi związane z udostępnianiem pracowników. Ich udział wyniósł </w:t>
      </w:r>
      <w:r w:rsidR="009D0130" w:rsidRPr="006A0F3D">
        <w:rPr>
          <w:szCs w:val="19"/>
          <w:shd w:val="clear" w:color="auto" w:fill="FFFFFF"/>
        </w:rPr>
        <w:t>26,3</w:t>
      </w:r>
      <w:r w:rsidRPr="006A0F3D">
        <w:rPr>
          <w:szCs w:val="19"/>
          <w:shd w:val="clear" w:color="auto" w:fill="FFFFFF"/>
        </w:rPr>
        <w:t>%.</w:t>
      </w:r>
    </w:p>
    <w:p w14:paraId="04034742" w14:textId="4D357D72" w:rsidR="001C5FD4" w:rsidRPr="000219A3" w:rsidRDefault="008074AB" w:rsidP="001C5FD4">
      <w:pPr>
        <w:rPr>
          <w:szCs w:val="19"/>
          <w:shd w:val="clear" w:color="auto" w:fill="FFFFFF"/>
        </w:rPr>
      </w:pPr>
      <w:r w:rsidRPr="000219A3">
        <w:rPr>
          <w:szCs w:val="19"/>
          <w:shd w:val="clear" w:color="auto" w:fill="FFFFFF"/>
        </w:rPr>
        <w:t>W analizowanym roku wartość usług dostarczonych nierezydentom</w:t>
      </w:r>
      <w:r w:rsidR="00703754" w:rsidRPr="00703754">
        <w:rPr>
          <w:szCs w:val="19"/>
          <w:shd w:val="clear" w:color="auto" w:fill="FFFFFF"/>
          <w:vertAlign w:val="superscript"/>
        </w:rPr>
        <w:fldChar w:fldCharType="begin"/>
      </w:r>
      <w:r w:rsidR="00703754" w:rsidRPr="00703754">
        <w:rPr>
          <w:szCs w:val="19"/>
          <w:shd w:val="clear" w:color="auto" w:fill="FFFFFF"/>
          <w:vertAlign w:val="superscript"/>
        </w:rPr>
        <w:instrText xml:space="preserve"> NOTEREF _Ref48217100 \h </w:instrText>
      </w:r>
      <w:r w:rsidR="00703754">
        <w:rPr>
          <w:szCs w:val="19"/>
          <w:shd w:val="clear" w:color="auto" w:fill="FFFFFF"/>
          <w:vertAlign w:val="superscript"/>
        </w:rPr>
        <w:instrText xml:space="preserve"> \* MERGEFORMAT </w:instrText>
      </w:r>
      <w:r w:rsidR="00703754" w:rsidRPr="00703754">
        <w:rPr>
          <w:szCs w:val="19"/>
          <w:shd w:val="clear" w:color="auto" w:fill="FFFFFF"/>
          <w:vertAlign w:val="superscript"/>
        </w:rPr>
      </w:r>
      <w:r w:rsidR="00703754" w:rsidRPr="00703754">
        <w:rPr>
          <w:szCs w:val="19"/>
          <w:shd w:val="clear" w:color="auto" w:fill="FFFFFF"/>
          <w:vertAlign w:val="superscript"/>
        </w:rPr>
        <w:fldChar w:fldCharType="separate"/>
      </w:r>
      <w:r w:rsidR="003D1A16">
        <w:rPr>
          <w:szCs w:val="19"/>
          <w:shd w:val="clear" w:color="auto" w:fill="FFFFFF"/>
          <w:vertAlign w:val="superscript"/>
        </w:rPr>
        <w:t>4</w:t>
      </w:r>
      <w:r w:rsidR="00703754" w:rsidRPr="00703754">
        <w:rPr>
          <w:szCs w:val="19"/>
          <w:shd w:val="clear" w:color="auto" w:fill="FFFFFF"/>
          <w:vertAlign w:val="superscript"/>
        </w:rPr>
        <w:fldChar w:fldCharType="end"/>
      </w:r>
      <w:r w:rsidRPr="00703754">
        <w:rPr>
          <w:szCs w:val="19"/>
          <w:shd w:val="clear" w:color="auto" w:fill="FFFFFF"/>
          <w:vertAlign w:val="superscript"/>
        </w:rPr>
        <w:t xml:space="preserve"> </w:t>
      </w:r>
      <w:r w:rsidRPr="000219A3">
        <w:rPr>
          <w:szCs w:val="19"/>
          <w:shd w:val="clear" w:color="auto" w:fill="FFFFFF"/>
        </w:rPr>
        <w:t xml:space="preserve">wyniosła prawie </w:t>
      </w:r>
      <w:r w:rsidR="001C5FD4" w:rsidRPr="000219A3">
        <w:rPr>
          <w:szCs w:val="19"/>
          <w:shd w:val="clear" w:color="auto" w:fill="FFFFFF"/>
        </w:rPr>
        <w:t>1,</w:t>
      </w:r>
      <w:r w:rsidR="0002111D" w:rsidRPr="000219A3">
        <w:rPr>
          <w:szCs w:val="19"/>
          <w:shd w:val="clear" w:color="auto" w:fill="FFFFFF"/>
        </w:rPr>
        <w:t>8</w:t>
      </w:r>
      <w:r w:rsidR="00A37806" w:rsidRPr="000219A3">
        <w:rPr>
          <w:szCs w:val="19"/>
          <w:shd w:val="clear" w:color="auto" w:fill="FFFFFF"/>
        </w:rPr>
        <w:t> </w:t>
      </w:r>
      <w:r w:rsidR="001C5FD4" w:rsidRPr="000219A3">
        <w:rPr>
          <w:szCs w:val="19"/>
          <w:shd w:val="clear" w:color="auto" w:fill="FFFFFF"/>
        </w:rPr>
        <w:t>mld</w:t>
      </w:r>
      <w:r w:rsidR="00A37806" w:rsidRPr="000219A3">
        <w:rPr>
          <w:szCs w:val="19"/>
          <w:shd w:val="clear" w:color="auto" w:fill="FFFFFF"/>
        </w:rPr>
        <w:t> </w:t>
      </w:r>
      <w:r w:rsidR="001C5FD4" w:rsidRPr="000219A3">
        <w:rPr>
          <w:szCs w:val="19"/>
          <w:shd w:val="clear" w:color="auto" w:fill="FFFFFF"/>
        </w:rPr>
        <w:t>zł (</w:t>
      </w:r>
      <w:r w:rsidR="00227878" w:rsidRPr="000219A3">
        <w:rPr>
          <w:szCs w:val="19"/>
          <w:shd w:val="clear" w:color="auto" w:fill="FFFFFF"/>
        </w:rPr>
        <w:t>spadek</w:t>
      </w:r>
      <w:r w:rsidR="001C5FD4" w:rsidRPr="000219A3">
        <w:rPr>
          <w:szCs w:val="19"/>
          <w:shd w:val="clear" w:color="auto" w:fill="FFFFFF"/>
        </w:rPr>
        <w:t xml:space="preserve"> o </w:t>
      </w:r>
      <w:r w:rsidR="00E1690E" w:rsidRPr="00E1690E">
        <w:rPr>
          <w:szCs w:val="19"/>
          <w:shd w:val="clear" w:color="auto" w:fill="FFFFFF"/>
        </w:rPr>
        <w:t>0,</w:t>
      </w:r>
      <w:r w:rsidR="00E1690E">
        <w:rPr>
          <w:szCs w:val="19"/>
          <w:shd w:val="clear" w:color="auto" w:fill="FFFFFF"/>
        </w:rPr>
        <w:t>8</w:t>
      </w:r>
      <w:r w:rsidR="001C5FD4" w:rsidRPr="000219A3">
        <w:rPr>
          <w:szCs w:val="19"/>
          <w:shd w:val="clear" w:color="auto" w:fill="FFFFFF"/>
        </w:rPr>
        <w:t>%), natomiast nabyły one od nierezydentów usługi o wartości</w:t>
      </w:r>
      <w:r w:rsidR="00E1690E">
        <w:rPr>
          <w:szCs w:val="19"/>
          <w:shd w:val="clear" w:color="auto" w:fill="FFFFFF"/>
        </w:rPr>
        <w:t xml:space="preserve"> poniżej</w:t>
      </w:r>
      <w:r w:rsidR="001C5FD4" w:rsidRPr="000219A3">
        <w:rPr>
          <w:szCs w:val="19"/>
          <w:shd w:val="clear" w:color="auto" w:fill="FFFFFF"/>
        </w:rPr>
        <w:t xml:space="preserve"> 0,</w:t>
      </w:r>
      <w:r w:rsidR="00E1690E">
        <w:rPr>
          <w:szCs w:val="19"/>
          <w:shd w:val="clear" w:color="auto" w:fill="FFFFFF"/>
        </w:rPr>
        <w:t>3</w:t>
      </w:r>
      <w:r w:rsidR="001C5FD4" w:rsidRPr="000219A3">
        <w:rPr>
          <w:szCs w:val="19"/>
          <w:shd w:val="clear" w:color="auto" w:fill="FFFFFF"/>
        </w:rPr>
        <w:t xml:space="preserve"> mld zł (</w:t>
      </w:r>
      <w:r w:rsidR="0002111D" w:rsidRPr="000219A3">
        <w:rPr>
          <w:szCs w:val="19"/>
          <w:shd w:val="clear" w:color="auto" w:fill="FFFFFF"/>
        </w:rPr>
        <w:t xml:space="preserve">spadek o </w:t>
      </w:r>
      <w:r w:rsidR="00227878" w:rsidRPr="000219A3">
        <w:rPr>
          <w:szCs w:val="19"/>
          <w:shd w:val="clear" w:color="auto" w:fill="FFFFFF"/>
        </w:rPr>
        <w:t>4,6</w:t>
      </w:r>
      <w:r w:rsidR="001C5FD4" w:rsidRPr="000219A3">
        <w:rPr>
          <w:szCs w:val="19"/>
          <w:shd w:val="clear" w:color="auto" w:fill="FFFFFF"/>
        </w:rPr>
        <w:t>%).</w:t>
      </w:r>
    </w:p>
    <w:p w14:paraId="0CD15B30" w14:textId="3091A0BD" w:rsidR="001C5FD4" w:rsidRPr="000219A3" w:rsidRDefault="001C5FD4" w:rsidP="001C5FD4">
      <w:pPr>
        <w:rPr>
          <w:szCs w:val="19"/>
          <w:shd w:val="clear" w:color="auto" w:fill="FFFFFF"/>
        </w:rPr>
      </w:pPr>
      <w:r w:rsidRPr="000219A3">
        <w:rPr>
          <w:szCs w:val="19"/>
          <w:shd w:val="clear" w:color="auto" w:fill="FFFFFF"/>
        </w:rPr>
        <w:t>Przedsiębiorstwa prowadzące działalność związaną z zatrudnieniem dostarczały, jak i nabywały usługi głównie do/od kontrahentów z Niemiec (</w:t>
      </w:r>
      <w:r w:rsidR="0074669E" w:rsidRPr="000219A3">
        <w:rPr>
          <w:szCs w:val="19"/>
          <w:shd w:val="clear" w:color="auto" w:fill="FFFFFF"/>
        </w:rPr>
        <w:t xml:space="preserve">udziały </w:t>
      </w:r>
      <w:r w:rsidRPr="000219A3">
        <w:rPr>
          <w:szCs w:val="19"/>
          <w:shd w:val="clear" w:color="auto" w:fill="FFFFFF"/>
        </w:rPr>
        <w:t xml:space="preserve">odpowiednio </w:t>
      </w:r>
      <w:r w:rsidR="00562D77" w:rsidRPr="000219A3">
        <w:rPr>
          <w:szCs w:val="19"/>
          <w:shd w:val="clear" w:color="auto" w:fill="FFFFFF"/>
        </w:rPr>
        <w:t>4</w:t>
      </w:r>
      <w:r w:rsidR="00227878" w:rsidRPr="000219A3">
        <w:rPr>
          <w:szCs w:val="19"/>
          <w:shd w:val="clear" w:color="auto" w:fill="FFFFFF"/>
        </w:rPr>
        <w:t>0,3</w:t>
      </w:r>
      <w:r w:rsidR="00562D77" w:rsidRPr="000219A3">
        <w:rPr>
          <w:szCs w:val="19"/>
          <w:shd w:val="clear" w:color="auto" w:fill="FFFFFF"/>
        </w:rPr>
        <w:t xml:space="preserve">% i </w:t>
      </w:r>
      <w:r w:rsidR="00227878" w:rsidRPr="000219A3">
        <w:rPr>
          <w:szCs w:val="19"/>
          <w:shd w:val="clear" w:color="auto" w:fill="FFFFFF"/>
        </w:rPr>
        <w:t>22</w:t>
      </w:r>
      <w:r w:rsidR="00562D77" w:rsidRPr="000219A3">
        <w:rPr>
          <w:szCs w:val="19"/>
          <w:shd w:val="clear" w:color="auto" w:fill="FFFFFF"/>
        </w:rPr>
        <w:t>,9</w:t>
      </w:r>
      <w:r w:rsidRPr="000219A3">
        <w:rPr>
          <w:szCs w:val="19"/>
          <w:shd w:val="clear" w:color="auto" w:fill="FFFFFF"/>
        </w:rPr>
        <w:t>%).</w:t>
      </w:r>
      <w:r w:rsidR="0074669E" w:rsidRPr="000219A3">
        <w:rPr>
          <w:szCs w:val="19"/>
          <w:shd w:val="clear" w:color="auto" w:fill="FFFFFF"/>
        </w:rPr>
        <w:t xml:space="preserve"> Najwyższy udział w przychodach </w:t>
      </w:r>
      <w:r w:rsidRPr="000219A3">
        <w:rPr>
          <w:szCs w:val="19"/>
          <w:shd w:val="clear" w:color="auto" w:fill="FFFFFF"/>
        </w:rPr>
        <w:t>z tytułu</w:t>
      </w:r>
      <w:r w:rsidR="0074669E" w:rsidRPr="000219A3">
        <w:rPr>
          <w:szCs w:val="19"/>
          <w:shd w:val="clear" w:color="auto" w:fill="FFFFFF"/>
        </w:rPr>
        <w:t xml:space="preserve"> dostarczania usług nierezydentom odnotowano w przypadku</w:t>
      </w:r>
      <w:r w:rsidRPr="000219A3">
        <w:rPr>
          <w:szCs w:val="19"/>
          <w:shd w:val="clear" w:color="auto" w:fill="FFFFFF"/>
        </w:rPr>
        <w:t xml:space="preserve"> usług pośrednictwa pracy (</w:t>
      </w:r>
      <w:r w:rsidR="00562D77" w:rsidRPr="000219A3">
        <w:rPr>
          <w:szCs w:val="19"/>
          <w:shd w:val="clear" w:color="auto" w:fill="FFFFFF"/>
        </w:rPr>
        <w:t>6</w:t>
      </w:r>
      <w:r w:rsidR="00227878" w:rsidRPr="000219A3">
        <w:rPr>
          <w:szCs w:val="19"/>
          <w:shd w:val="clear" w:color="auto" w:fill="FFFFFF"/>
        </w:rPr>
        <w:t>3,9</w:t>
      </w:r>
      <w:r w:rsidRPr="000219A3">
        <w:rPr>
          <w:szCs w:val="19"/>
          <w:shd w:val="clear" w:color="auto" w:fill="FFFFFF"/>
        </w:rPr>
        <w:t>%).</w:t>
      </w:r>
      <w:r w:rsidR="0074669E" w:rsidRPr="000219A3">
        <w:rPr>
          <w:szCs w:val="19"/>
          <w:shd w:val="clear" w:color="auto" w:fill="FFFFFF"/>
        </w:rPr>
        <w:t xml:space="preserve"> Jednocześnie usługi te stanowiły </w:t>
      </w:r>
      <w:r w:rsidR="00227878" w:rsidRPr="000219A3">
        <w:rPr>
          <w:szCs w:val="19"/>
          <w:shd w:val="clear" w:color="auto" w:fill="FFFFFF"/>
        </w:rPr>
        <w:t>31,0%</w:t>
      </w:r>
      <w:r w:rsidR="0074669E" w:rsidRPr="000219A3">
        <w:rPr>
          <w:szCs w:val="19"/>
          <w:shd w:val="clear" w:color="auto" w:fill="FFFFFF"/>
        </w:rPr>
        <w:t xml:space="preserve"> usług nabywanych od nierezydentów.</w:t>
      </w:r>
    </w:p>
    <w:p w14:paraId="6B8F2512" w14:textId="197B50BB" w:rsidR="008637A5" w:rsidRPr="001C1792" w:rsidRDefault="009E099B" w:rsidP="001C1792">
      <w:pPr>
        <w:ind w:left="993" w:hanging="993"/>
        <w:rPr>
          <w:b/>
          <w:sz w:val="18"/>
          <w:szCs w:val="18"/>
          <w:shd w:val="clear" w:color="auto" w:fill="FFFFFF"/>
        </w:rPr>
      </w:pPr>
      <w:r w:rsidRPr="000219A3">
        <w:rPr>
          <w:noProof/>
          <w:lang w:eastAsia="pl-PL"/>
        </w:rPr>
        <w:lastRenderedPageBreak/>
        <w:drawing>
          <wp:anchor distT="0" distB="0" distL="114300" distR="114300" simplePos="0" relativeHeight="251798528" behindDoc="0" locked="0" layoutInCell="1" allowOverlap="1" wp14:anchorId="202E9625" wp14:editId="751EBCCF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5189220" cy="3528060"/>
            <wp:effectExtent l="0" t="0" r="0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D4" w:rsidRPr="000219A3">
        <w:rPr>
          <w:b/>
          <w:sz w:val="18"/>
          <w:szCs w:val="18"/>
        </w:rPr>
        <w:t xml:space="preserve">Wykres </w:t>
      </w:r>
      <w:r w:rsidR="001011D6">
        <w:rPr>
          <w:b/>
          <w:sz w:val="18"/>
          <w:szCs w:val="18"/>
        </w:rPr>
        <w:t>13</w:t>
      </w:r>
      <w:r w:rsidR="001C5FD4" w:rsidRPr="000219A3">
        <w:rPr>
          <w:b/>
          <w:sz w:val="18"/>
          <w:szCs w:val="18"/>
        </w:rPr>
        <w:t>.</w:t>
      </w:r>
      <w:r w:rsidR="001C5FD4" w:rsidRPr="000219A3">
        <w:rPr>
          <w:b/>
          <w:sz w:val="18"/>
          <w:szCs w:val="18"/>
          <w:shd w:val="clear" w:color="auto" w:fill="FFFFFF"/>
        </w:rPr>
        <w:t xml:space="preserve"> Struktura geograficzna usług dostarcz</w:t>
      </w:r>
      <w:r w:rsidR="00C8517F" w:rsidRPr="000219A3">
        <w:rPr>
          <w:b/>
          <w:sz w:val="18"/>
          <w:szCs w:val="18"/>
          <w:shd w:val="clear" w:color="auto" w:fill="FFFFFF"/>
        </w:rPr>
        <w:t>o</w:t>
      </w:r>
      <w:r w:rsidR="001C5FD4" w:rsidRPr="000219A3">
        <w:rPr>
          <w:b/>
          <w:sz w:val="18"/>
          <w:szCs w:val="18"/>
          <w:shd w:val="clear" w:color="auto" w:fill="FFFFFF"/>
        </w:rPr>
        <w:t>nych i naby</w:t>
      </w:r>
      <w:r w:rsidR="00C8517F" w:rsidRPr="000219A3">
        <w:rPr>
          <w:b/>
          <w:sz w:val="18"/>
          <w:szCs w:val="18"/>
          <w:shd w:val="clear" w:color="auto" w:fill="FFFFFF"/>
        </w:rPr>
        <w:t>t</w:t>
      </w:r>
      <w:r w:rsidR="001C5FD4" w:rsidRPr="000219A3">
        <w:rPr>
          <w:b/>
          <w:sz w:val="18"/>
          <w:szCs w:val="18"/>
          <w:shd w:val="clear" w:color="auto" w:fill="FFFFFF"/>
        </w:rPr>
        <w:t>ych w obrocie międzynarodowym przez podmioty prowadzące działalność związaną z zatrudnieniem</w:t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_Ref524343959 \h  \* MERGEFORMAT </w:instrText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sz w:val="18"/>
          <w:szCs w:val="18"/>
          <w:shd w:val="clear" w:color="auto" w:fill="FFFFFF"/>
          <w:vertAlign w:val="superscript"/>
        </w:rPr>
        <w:t>13</w:t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  <w:r w:rsidR="001011D6">
        <w:rPr>
          <w:b/>
          <w:sz w:val="18"/>
          <w:szCs w:val="18"/>
          <w:shd w:val="clear" w:color="auto" w:fill="FFFFFF"/>
          <w:vertAlign w:val="superscript"/>
        </w:rPr>
        <w:t xml:space="preserve"> </w:t>
      </w:r>
      <w:r w:rsidR="003C7DF8">
        <w:rPr>
          <w:b/>
          <w:sz w:val="18"/>
          <w:szCs w:val="18"/>
          <w:shd w:val="clear" w:color="auto" w:fill="FFFFFF"/>
        </w:rPr>
        <w:t>w 2018 r.</w:t>
      </w:r>
    </w:p>
    <w:p w14:paraId="19EB7407" w14:textId="44478463" w:rsidR="004C253C" w:rsidRDefault="001C1792" w:rsidP="004C253C">
      <w:pPr>
        <w:ind w:left="993" w:hanging="993"/>
        <w:rPr>
          <w:b/>
          <w:sz w:val="18"/>
          <w:szCs w:val="18"/>
          <w:shd w:val="clear" w:color="auto" w:fill="FFFFFF"/>
        </w:rPr>
      </w:pPr>
      <w:r w:rsidRPr="000219A3">
        <w:rPr>
          <w:noProof/>
          <w:lang w:eastAsia="pl-PL"/>
        </w:rPr>
        <w:drawing>
          <wp:anchor distT="0" distB="0" distL="114300" distR="114300" simplePos="0" relativeHeight="251814912" behindDoc="0" locked="0" layoutInCell="1" allowOverlap="1" wp14:anchorId="3B110121" wp14:editId="0EC68F29">
            <wp:simplePos x="0" y="0"/>
            <wp:positionH relativeFrom="margin">
              <wp:posOffset>-79375</wp:posOffset>
            </wp:positionH>
            <wp:positionV relativeFrom="paragraph">
              <wp:posOffset>3962400</wp:posOffset>
            </wp:positionV>
            <wp:extent cx="5280660" cy="2606040"/>
            <wp:effectExtent l="0" t="0" r="0" b="381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D4" w:rsidRPr="000219A3">
        <w:rPr>
          <w:b/>
          <w:sz w:val="18"/>
          <w:szCs w:val="18"/>
        </w:rPr>
        <w:t xml:space="preserve">Wykres </w:t>
      </w:r>
      <w:r w:rsidR="001263C8">
        <w:rPr>
          <w:b/>
          <w:sz w:val="18"/>
          <w:szCs w:val="18"/>
        </w:rPr>
        <w:t>14</w:t>
      </w:r>
      <w:r w:rsidR="001C5FD4" w:rsidRPr="000219A3">
        <w:rPr>
          <w:b/>
          <w:sz w:val="18"/>
          <w:szCs w:val="18"/>
        </w:rPr>
        <w:t>.</w:t>
      </w:r>
      <w:r w:rsidR="001C5FD4" w:rsidRPr="000219A3">
        <w:rPr>
          <w:b/>
          <w:sz w:val="18"/>
          <w:szCs w:val="18"/>
          <w:shd w:val="clear" w:color="auto" w:fill="FFFFFF"/>
        </w:rPr>
        <w:t xml:space="preserve"> Struktura usług dostarcz</w:t>
      </w:r>
      <w:r w:rsidR="00C8517F" w:rsidRPr="000219A3">
        <w:rPr>
          <w:b/>
          <w:sz w:val="18"/>
          <w:szCs w:val="18"/>
          <w:shd w:val="clear" w:color="auto" w:fill="FFFFFF"/>
        </w:rPr>
        <w:t>o</w:t>
      </w:r>
      <w:r w:rsidR="001C5FD4" w:rsidRPr="000219A3">
        <w:rPr>
          <w:b/>
          <w:sz w:val="18"/>
          <w:szCs w:val="18"/>
          <w:shd w:val="clear" w:color="auto" w:fill="FFFFFF"/>
        </w:rPr>
        <w:t>nych i naby</w:t>
      </w:r>
      <w:r w:rsidR="00C8517F" w:rsidRPr="000219A3">
        <w:rPr>
          <w:b/>
          <w:sz w:val="18"/>
          <w:szCs w:val="18"/>
          <w:shd w:val="clear" w:color="auto" w:fill="FFFFFF"/>
        </w:rPr>
        <w:t>t</w:t>
      </w:r>
      <w:r w:rsidR="001C5FD4" w:rsidRPr="000219A3">
        <w:rPr>
          <w:b/>
          <w:sz w:val="18"/>
          <w:szCs w:val="18"/>
          <w:shd w:val="clear" w:color="auto" w:fill="FFFFFF"/>
        </w:rPr>
        <w:t>ych w obrocie międzynarodowym przez podmioty prowadzące działalność związaną z zatrudnieniem</w:t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  <w:fldChar w:fldCharType="begin"/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  <w:instrText xml:space="preserve"> NOTEREF _Ref524343959 \h  \* MERGEFORMAT </w:instrText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  <w:fldChar w:fldCharType="separate"/>
      </w:r>
      <w:r w:rsidR="003D1A16">
        <w:rPr>
          <w:b/>
          <w:sz w:val="18"/>
          <w:szCs w:val="18"/>
          <w:shd w:val="clear" w:color="auto" w:fill="FFFFFF"/>
          <w:vertAlign w:val="superscript"/>
        </w:rPr>
        <w:t>13</w:t>
      </w:r>
      <w:r w:rsidR="00BF1479" w:rsidRPr="000219A3">
        <w:rPr>
          <w:b/>
          <w:sz w:val="18"/>
          <w:szCs w:val="18"/>
          <w:shd w:val="clear" w:color="auto" w:fill="FFFFFF"/>
          <w:vertAlign w:val="superscript"/>
        </w:rPr>
        <w:fldChar w:fldCharType="end"/>
      </w:r>
      <w:r w:rsidR="009E099B" w:rsidRPr="000219A3">
        <w:rPr>
          <w:b/>
          <w:sz w:val="18"/>
          <w:szCs w:val="18"/>
          <w:shd w:val="clear" w:color="auto" w:fill="FFFFFF"/>
          <w:vertAlign w:val="superscript"/>
        </w:rPr>
        <w:t xml:space="preserve"> </w:t>
      </w:r>
      <w:r w:rsidR="009E099B" w:rsidRPr="000219A3">
        <w:rPr>
          <w:b/>
          <w:sz w:val="18"/>
          <w:szCs w:val="18"/>
          <w:shd w:val="clear" w:color="auto" w:fill="FFFFFF"/>
        </w:rPr>
        <w:t>według rodzaju świadczonych usług</w:t>
      </w:r>
      <w:r w:rsidR="003C7DF8">
        <w:rPr>
          <w:b/>
          <w:sz w:val="18"/>
          <w:szCs w:val="18"/>
          <w:shd w:val="clear" w:color="auto" w:fill="FFFFFF"/>
        </w:rPr>
        <w:t xml:space="preserve"> w 2018 r.</w:t>
      </w:r>
    </w:p>
    <w:p w14:paraId="6F9CD057" w14:textId="0B04356A" w:rsidR="004C7B71" w:rsidRPr="004C253C" w:rsidRDefault="001C5FD4" w:rsidP="008637A5">
      <w:pPr>
        <w:rPr>
          <w:b/>
          <w:sz w:val="18"/>
          <w:szCs w:val="18"/>
          <w:shd w:val="clear" w:color="auto" w:fill="FFFFFF"/>
        </w:rPr>
      </w:pPr>
      <w:r w:rsidRPr="001C5FD4">
        <w:rPr>
          <w:rFonts w:eastAsia="Times New Roman" w:cs="Times New Roman"/>
          <w:bCs/>
          <w:sz w:val="18"/>
          <w:szCs w:val="18"/>
          <w:lang w:eastAsia="pl-PL"/>
        </w:rPr>
        <w:t>u. - usługi</w:t>
      </w:r>
    </w:p>
    <w:p w14:paraId="6DF18BF2" w14:textId="77777777" w:rsidR="004C7B71" w:rsidRPr="004C7B71" w:rsidRDefault="004C7B71" w:rsidP="004C7B71">
      <w:pPr>
        <w:keepNext/>
        <w:spacing w:before="0" w:after="0" w:line="240" w:lineRule="auto"/>
        <w:outlineLvl w:val="0"/>
        <w:rPr>
          <w:b/>
          <w:color w:val="BFBFBF" w:themeColor="background1" w:themeShade="BF"/>
          <w:sz w:val="18"/>
          <w:szCs w:val="18"/>
          <w:shd w:val="clear" w:color="auto" w:fill="FFFFFF"/>
        </w:rPr>
      </w:pPr>
      <w:r w:rsidRPr="004C7B71">
        <w:rPr>
          <w:rFonts w:ascii="Fira Sans SemiBold" w:eastAsia="Times New Roman" w:hAnsi="Fira Sans SemiBold" w:cs="Times New Roman"/>
          <w:bCs/>
          <w:color w:val="001D77"/>
          <w:sz w:val="18"/>
          <w:szCs w:val="18"/>
          <w:lang w:eastAsia="pl-PL"/>
        </w:rPr>
        <w:t>Nota metodologiczna</w:t>
      </w:r>
    </w:p>
    <w:p w14:paraId="6692A3F2" w14:textId="77777777" w:rsidR="004C7B71" w:rsidRDefault="004C7B71" w:rsidP="004C7B71">
      <w:pPr>
        <w:rPr>
          <w:shd w:val="clear" w:color="auto" w:fill="FFFFFF"/>
        </w:rPr>
      </w:pPr>
      <w:r w:rsidRPr="004C7B71">
        <w:rPr>
          <w:shd w:val="clear" w:color="auto" w:fill="FFFFFF"/>
        </w:rPr>
        <w:t>W ramach badań prowadzonych przez polską statystykę publiczną do usług biznesowych zaliczane są następujące działalności usługowe wg Polskiej Klasyfikacji Działalności (PKD 2007):</w:t>
      </w:r>
    </w:p>
    <w:p w14:paraId="22A85D72" w14:textId="3B2E6017" w:rsidR="004C7B71" w:rsidRDefault="004C7B71" w:rsidP="00834440">
      <w:pPr>
        <w:pStyle w:val="Akapitzlist"/>
        <w:numPr>
          <w:ilvl w:val="0"/>
          <w:numId w:val="4"/>
        </w:numPr>
        <w:ind w:left="284" w:hanging="284"/>
        <w:rPr>
          <w:shd w:val="clear" w:color="auto" w:fill="FFFFFF"/>
        </w:rPr>
      </w:pPr>
      <w:r w:rsidRPr="00834440">
        <w:rPr>
          <w:shd w:val="clear" w:color="auto" w:fill="FFFFFF"/>
        </w:rPr>
        <w:t xml:space="preserve">z sekcji J „Informacja i komunikacja”: działalność wydawnicza (58), działalność związana z oprogramowaniem i doradztwem w zakresie informatyki oraz działalność powiązana (62), przetwarzanie danych; zarządzanie stronami internetowymi (hosting) i podobna działalność; działalność portali internetowych (63.1); </w:t>
      </w:r>
    </w:p>
    <w:p w14:paraId="3015B2C9" w14:textId="0E25E190" w:rsidR="004C7B71" w:rsidRDefault="004C7B71" w:rsidP="00834440">
      <w:pPr>
        <w:pStyle w:val="Akapitzlist"/>
        <w:numPr>
          <w:ilvl w:val="0"/>
          <w:numId w:val="4"/>
        </w:numPr>
        <w:ind w:left="284" w:hanging="284"/>
        <w:rPr>
          <w:shd w:val="clear" w:color="auto" w:fill="FFFFFF"/>
        </w:rPr>
      </w:pPr>
      <w:r w:rsidRPr="00834440">
        <w:rPr>
          <w:shd w:val="clear" w:color="auto" w:fill="FFFFFF"/>
        </w:rPr>
        <w:t xml:space="preserve">sekcja L „Działalność związana z obsługą rynku nieruchomości” (68); </w:t>
      </w:r>
    </w:p>
    <w:p w14:paraId="4B7890BA" w14:textId="70DE26C0" w:rsidR="004C7B71" w:rsidRDefault="004C7B71" w:rsidP="00834440">
      <w:pPr>
        <w:pStyle w:val="Akapitzlist"/>
        <w:numPr>
          <w:ilvl w:val="0"/>
          <w:numId w:val="4"/>
        </w:numPr>
        <w:ind w:left="284" w:hanging="284"/>
        <w:rPr>
          <w:shd w:val="clear" w:color="auto" w:fill="FFFFFF"/>
        </w:rPr>
      </w:pPr>
      <w:r w:rsidRPr="00834440">
        <w:rPr>
          <w:shd w:val="clear" w:color="auto" w:fill="FFFFFF"/>
        </w:rPr>
        <w:t xml:space="preserve">z sekcji M „Działalność profesjonalna, naukowa i techniczna”: działalność prawnicza, rachunkowo-księgowa i doradztwo podatkowe (69), doradztwo związane z zarządzaniem </w:t>
      </w:r>
      <w:r w:rsidRPr="00834440">
        <w:rPr>
          <w:shd w:val="clear" w:color="auto" w:fill="FFFFFF"/>
        </w:rPr>
        <w:lastRenderedPageBreak/>
        <w:t xml:space="preserve">(70.2), działalność w zakresie architektury i inżynierii; badania i analizy techniczne (71), reklama, badanie rynku i opinii publicznej (73), pozostała działalność profesjonalna, naukowa i techniczna (74); </w:t>
      </w:r>
    </w:p>
    <w:p w14:paraId="6B5502E3" w14:textId="308CF245" w:rsidR="004C7B71" w:rsidRPr="00834440" w:rsidRDefault="004C7B71" w:rsidP="00834440">
      <w:pPr>
        <w:pStyle w:val="Akapitzlist"/>
        <w:numPr>
          <w:ilvl w:val="0"/>
          <w:numId w:val="4"/>
        </w:numPr>
        <w:ind w:left="284" w:hanging="284"/>
        <w:rPr>
          <w:shd w:val="clear" w:color="auto" w:fill="FFFFFF"/>
        </w:rPr>
      </w:pPr>
      <w:r w:rsidRPr="00834440">
        <w:rPr>
          <w:shd w:val="clear" w:color="auto" w:fill="FFFFFF"/>
        </w:rPr>
        <w:t>z sekcji N „Działalność w zakresie usług administrowania i działalność wspierająca”: działalność związana z zatrudnieniem (78), działalność detektywistyczna i ochroniarska (80), działalność usługowa związana z utrzymaniem porządku w budynkach i zagospodarowaniem terenów zieleni (81), działalność związana z administracyjną obsługą biura i pozostała działalność wspomagająca prowadzenie działalności gospodarczej (82).</w:t>
      </w:r>
    </w:p>
    <w:p w14:paraId="2CECD04D" w14:textId="5AEB28A6" w:rsidR="004344AF" w:rsidRPr="004344AF" w:rsidRDefault="004344AF" w:rsidP="004344AF">
      <w:pPr>
        <w:rPr>
          <w:szCs w:val="19"/>
          <w:shd w:val="clear" w:color="auto" w:fill="FFFFFF"/>
        </w:rPr>
      </w:pPr>
      <w:r w:rsidRPr="004344AF">
        <w:rPr>
          <w:szCs w:val="19"/>
          <w:shd w:val="clear" w:color="auto" w:fill="FFFFFF"/>
        </w:rPr>
        <w:t>Źródłem danych dla niniejszego opracowania były dane pochodzące ze strukturalnej st</w:t>
      </w:r>
      <w:r w:rsidR="00FD6015">
        <w:rPr>
          <w:szCs w:val="19"/>
          <w:shd w:val="clear" w:color="auto" w:fill="FFFFFF"/>
        </w:rPr>
        <w:t>atystyki przedsiębiorstw za 2018</w:t>
      </w:r>
      <w:r w:rsidR="00EB149E">
        <w:rPr>
          <w:szCs w:val="19"/>
          <w:shd w:val="clear" w:color="auto" w:fill="FFFFFF"/>
        </w:rPr>
        <w:t xml:space="preserve"> r.</w:t>
      </w:r>
      <w:r w:rsidRPr="004344AF">
        <w:rPr>
          <w:szCs w:val="19"/>
          <w:shd w:val="clear" w:color="auto" w:fill="FFFFFF"/>
        </w:rPr>
        <w:t xml:space="preserve">, które opracowywane są zgodnie z Rozporządzeniem Parlamentu Europejskiego i Rady (WE) nr 295/2008 z dnia 11 marca 2008 r. w sprawie statystyk strukturalnych dotyczących przedsiębiorstw. </w:t>
      </w:r>
    </w:p>
    <w:p w14:paraId="13FFF158" w14:textId="3D5204F4" w:rsidR="004344AF" w:rsidRPr="004344AF" w:rsidRDefault="004344AF" w:rsidP="004344AF">
      <w:pPr>
        <w:rPr>
          <w:szCs w:val="19"/>
          <w:shd w:val="clear" w:color="auto" w:fill="FFFFFF"/>
        </w:rPr>
      </w:pPr>
      <w:r w:rsidRPr="004344AF">
        <w:rPr>
          <w:szCs w:val="19"/>
          <w:shd w:val="clear" w:color="auto" w:fill="FFFFFF"/>
        </w:rPr>
        <w:t xml:space="preserve">W przypadku informacji dotyczących liczby przedsiębiorstw, liczby pracujących i obrotów ogółem dla wszystkich podmiotów prowadzących działalność gospodarczą dane opracowano zgodnie z wymogami Aneksu I do w/w rozporządzenia. Dane te dotyczą całej populacji podmiotów (niezależnie od liczby osób pracujących) prowadzących działalności zaklasyfikowane wg PKD 2007 do sekcji od B </w:t>
      </w:r>
      <w:r w:rsidR="007418AC">
        <w:rPr>
          <w:szCs w:val="19"/>
          <w:shd w:val="clear" w:color="auto" w:fill="FFFFFF"/>
        </w:rPr>
        <w:t>„</w:t>
      </w:r>
      <w:r w:rsidRPr="004344AF">
        <w:rPr>
          <w:szCs w:val="19"/>
          <w:shd w:val="clear" w:color="auto" w:fill="FFFFFF"/>
        </w:rPr>
        <w:t>Górnictwo i Wydobywanie</w:t>
      </w:r>
      <w:r w:rsidR="007418AC">
        <w:rPr>
          <w:szCs w:val="19"/>
          <w:shd w:val="clear" w:color="auto" w:fill="FFFFFF"/>
        </w:rPr>
        <w:t>”</w:t>
      </w:r>
      <w:r w:rsidRPr="004344AF">
        <w:rPr>
          <w:szCs w:val="19"/>
          <w:shd w:val="clear" w:color="auto" w:fill="FFFFFF"/>
        </w:rPr>
        <w:t xml:space="preserve"> do N </w:t>
      </w:r>
      <w:r w:rsidR="007418AC">
        <w:rPr>
          <w:szCs w:val="19"/>
          <w:shd w:val="clear" w:color="auto" w:fill="FFFFFF"/>
        </w:rPr>
        <w:t>„</w:t>
      </w:r>
      <w:r w:rsidRPr="004344AF">
        <w:rPr>
          <w:szCs w:val="19"/>
          <w:shd w:val="clear" w:color="auto" w:fill="FFFFFF"/>
        </w:rPr>
        <w:t>Działalność w zakresie usług administrowania i działalność wspierająca</w:t>
      </w:r>
      <w:r w:rsidR="007418AC">
        <w:rPr>
          <w:szCs w:val="19"/>
          <w:shd w:val="clear" w:color="auto" w:fill="FFFFFF"/>
        </w:rPr>
        <w:t>”</w:t>
      </w:r>
      <w:r w:rsidRPr="004344AF">
        <w:rPr>
          <w:szCs w:val="19"/>
          <w:shd w:val="clear" w:color="auto" w:fill="FFFFFF"/>
        </w:rPr>
        <w:t xml:space="preserve"> oraz działu 95 </w:t>
      </w:r>
      <w:r w:rsidR="007418AC">
        <w:rPr>
          <w:szCs w:val="19"/>
          <w:shd w:val="clear" w:color="auto" w:fill="FFFFFF"/>
        </w:rPr>
        <w:t>„</w:t>
      </w:r>
      <w:r w:rsidRPr="004344AF">
        <w:rPr>
          <w:szCs w:val="19"/>
          <w:shd w:val="clear" w:color="auto" w:fill="FFFFFF"/>
        </w:rPr>
        <w:t>Naprawa i konserwacja komputerów i artykułów użytku osobistego i domowego</w:t>
      </w:r>
      <w:r w:rsidR="007418AC">
        <w:rPr>
          <w:szCs w:val="19"/>
          <w:shd w:val="clear" w:color="auto" w:fill="FFFFFF"/>
        </w:rPr>
        <w:t>”</w:t>
      </w:r>
      <w:r w:rsidRPr="004344AF">
        <w:rPr>
          <w:szCs w:val="19"/>
          <w:shd w:val="clear" w:color="auto" w:fill="FFFFFF"/>
        </w:rPr>
        <w:t xml:space="preserve"> z sekcji S </w:t>
      </w:r>
      <w:r w:rsidR="007418AC">
        <w:rPr>
          <w:szCs w:val="19"/>
          <w:shd w:val="clear" w:color="auto" w:fill="FFFFFF"/>
        </w:rPr>
        <w:t>„</w:t>
      </w:r>
      <w:r w:rsidRPr="004344AF">
        <w:rPr>
          <w:szCs w:val="19"/>
          <w:shd w:val="clear" w:color="auto" w:fill="FFFFFF"/>
        </w:rPr>
        <w:t>Pozostała działalność usługowa</w:t>
      </w:r>
      <w:r w:rsidR="007418AC">
        <w:rPr>
          <w:szCs w:val="19"/>
          <w:shd w:val="clear" w:color="auto" w:fill="FFFFFF"/>
        </w:rPr>
        <w:t>”</w:t>
      </w:r>
      <w:r w:rsidRPr="004344AF">
        <w:rPr>
          <w:szCs w:val="19"/>
          <w:shd w:val="clear" w:color="auto" w:fill="FFFFFF"/>
        </w:rPr>
        <w:t xml:space="preserve"> z wyłączeniem sekcji K </w:t>
      </w:r>
      <w:r w:rsidR="007418AC">
        <w:rPr>
          <w:szCs w:val="19"/>
          <w:shd w:val="clear" w:color="auto" w:fill="FFFFFF"/>
        </w:rPr>
        <w:t>„</w:t>
      </w:r>
      <w:r w:rsidRPr="004344AF">
        <w:rPr>
          <w:szCs w:val="19"/>
          <w:shd w:val="clear" w:color="auto" w:fill="FFFFFF"/>
        </w:rPr>
        <w:t>Działalność finansowa i ubezpieczeniowa</w:t>
      </w:r>
      <w:r w:rsidR="007418AC">
        <w:rPr>
          <w:szCs w:val="19"/>
          <w:shd w:val="clear" w:color="auto" w:fill="FFFFFF"/>
        </w:rPr>
        <w:t>”</w:t>
      </w:r>
      <w:r w:rsidRPr="004344AF">
        <w:rPr>
          <w:szCs w:val="19"/>
          <w:shd w:val="clear" w:color="auto" w:fill="FFFFFF"/>
        </w:rPr>
        <w:t>.</w:t>
      </w:r>
    </w:p>
    <w:p w14:paraId="0C7FA9CD" w14:textId="68007D73" w:rsidR="00FD6015" w:rsidRDefault="004344AF" w:rsidP="004344AF">
      <w:pPr>
        <w:rPr>
          <w:szCs w:val="19"/>
          <w:shd w:val="clear" w:color="auto" w:fill="FFFFFF"/>
        </w:rPr>
      </w:pPr>
      <w:r w:rsidRPr="004344AF">
        <w:rPr>
          <w:szCs w:val="19"/>
          <w:shd w:val="clear" w:color="auto" w:fill="FFFFFF"/>
        </w:rPr>
        <w:t xml:space="preserve">Informacje o strukturze obrotów według siedziby usługobiorcy oraz według produktu opracowano na podstawie wyników badania </w:t>
      </w:r>
      <w:r w:rsidR="00B16400">
        <w:rPr>
          <w:szCs w:val="19"/>
          <w:shd w:val="clear" w:color="auto" w:fill="FFFFFF"/>
        </w:rPr>
        <w:t>„</w:t>
      </w:r>
      <w:r w:rsidRPr="004344AF">
        <w:rPr>
          <w:szCs w:val="19"/>
          <w:shd w:val="clear" w:color="auto" w:fill="FFFFFF"/>
        </w:rPr>
        <w:t>Ocena przedsiębiorstw świadczących usługi związane z obsługą d</w:t>
      </w:r>
      <w:r w:rsidR="00FD6015">
        <w:rPr>
          <w:szCs w:val="19"/>
          <w:shd w:val="clear" w:color="auto" w:fill="FFFFFF"/>
        </w:rPr>
        <w:t>ziałalności gospodarczej</w:t>
      </w:r>
      <w:r w:rsidR="00B16400">
        <w:rPr>
          <w:szCs w:val="19"/>
          <w:shd w:val="clear" w:color="auto" w:fill="FFFFFF"/>
        </w:rPr>
        <w:t>”</w:t>
      </w:r>
      <w:r w:rsidR="00FD6015">
        <w:rPr>
          <w:szCs w:val="19"/>
          <w:shd w:val="clear" w:color="auto" w:fill="FFFFFF"/>
        </w:rPr>
        <w:t xml:space="preserve"> za 2018</w:t>
      </w:r>
      <w:r w:rsidR="00EB149E">
        <w:rPr>
          <w:szCs w:val="19"/>
          <w:shd w:val="clear" w:color="auto" w:fill="FFFFFF"/>
        </w:rPr>
        <w:t xml:space="preserve"> r.</w:t>
      </w:r>
      <w:r w:rsidRPr="004344AF">
        <w:rPr>
          <w:szCs w:val="19"/>
          <w:shd w:val="clear" w:color="auto" w:fill="FFFFFF"/>
        </w:rPr>
        <w:t>, które prowadzone jest zgodnie z wymogami Aneksu VIII w/w rozporządzenia. Dane odnoszą się do przedsiębiorstw z liczbą pracujących 10 osób i więcej prowadzących działalności usługo</w:t>
      </w:r>
      <w:r w:rsidR="00FD6015">
        <w:rPr>
          <w:szCs w:val="19"/>
          <w:shd w:val="clear" w:color="auto" w:fill="FFFFFF"/>
        </w:rPr>
        <w:t>we zaliczane według PKD 2007 do działów</w:t>
      </w:r>
      <w:r w:rsidR="003F0026">
        <w:rPr>
          <w:szCs w:val="19"/>
          <w:shd w:val="clear" w:color="auto" w:fill="FFFFFF"/>
        </w:rPr>
        <w:t>:</w:t>
      </w:r>
      <w:r w:rsidR="00FD6015">
        <w:rPr>
          <w:szCs w:val="19"/>
          <w:shd w:val="clear" w:color="auto" w:fill="FFFFFF"/>
        </w:rPr>
        <w:t xml:space="preserve"> 62, 69, 71, 73 i 78 oraz grup: </w:t>
      </w:r>
      <w:r w:rsidRPr="004344AF">
        <w:rPr>
          <w:szCs w:val="19"/>
          <w:shd w:val="clear" w:color="auto" w:fill="FFFFFF"/>
        </w:rPr>
        <w:t>58.2</w:t>
      </w:r>
      <w:r w:rsidR="00FD6015">
        <w:rPr>
          <w:szCs w:val="19"/>
          <w:shd w:val="clear" w:color="auto" w:fill="FFFFFF"/>
        </w:rPr>
        <w:t>, 63.1 i 70.2.</w:t>
      </w:r>
    </w:p>
    <w:p w14:paraId="20CD6707" w14:textId="354E1463" w:rsidR="00F31175" w:rsidRDefault="00FD6015" w:rsidP="0080719D">
      <w:pPr>
        <w:pStyle w:val="Akapitzlist"/>
        <w:tabs>
          <w:tab w:val="left" w:pos="2625"/>
        </w:tabs>
        <w:spacing w:before="80" w:after="80" w:line="257" w:lineRule="auto"/>
        <w:ind w:left="0"/>
        <w:contextualSpacing w:val="0"/>
        <w:jc w:val="both"/>
        <w:rPr>
          <w:szCs w:val="19"/>
        </w:rPr>
      </w:pPr>
      <w:r w:rsidRPr="00F31175">
        <w:rPr>
          <w:szCs w:val="19"/>
          <w:shd w:val="clear" w:color="auto" w:fill="FFFFFF"/>
        </w:rPr>
        <w:t xml:space="preserve">W związku z </w:t>
      </w:r>
      <w:r w:rsidRPr="00F31175">
        <w:rPr>
          <w:szCs w:val="19"/>
        </w:rPr>
        <w:t>wprowadzeniem zmian metodologicznych wynikających z implementacji jednostki statystycznej „przedsiębiorstwo” (ENT) (zamiast „jednostki prawnej” jak w latach</w:t>
      </w:r>
      <w:r w:rsidR="00252E50" w:rsidRPr="00252E50">
        <w:rPr>
          <w:szCs w:val="19"/>
        </w:rPr>
        <w:t xml:space="preserve"> </w:t>
      </w:r>
      <w:r w:rsidR="00252E50" w:rsidRPr="00F31175">
        <w:rPr>
          <w:szCs w:val="19"/>
        </w:rPr>
        <w:t>ubiegłych</w:t>
      </w:r>
      <w:r w:rsidRPr="00F31175">
        <w:rPr>
          <w:szCs w:val="19"/>
        </w:rPr>
        <w:t>) n</w:t>
      </w:r>
      <w:r w:rsidR="0030332B" w:rsidRPr="00F31175">
        <w:rPr>
          <w:szCs w:val="19"/>
        </w:rPr>
        <w:t>astąpiło</w:t>
      </w:r>
      <w:r w:rsidR="00D93E2C" w:rsidRPr="00F31175">
        <w:rPr>
          <w:szCs w:val="19"/>
        </w:rPr>
        <w:t xml:space="preserve"> zerwanie szeregów czasowych </w:t>
      </w:r>
      <w:r w:rsidR="00FA5D40" w:rsidRPr="00F31175">
        <w:rPr>
          <w:szCs w:val="19"/>
        </w:rPr>
        <w:t xml:space="preserve">obrotów przedsiębiorstw, liczby przedsiębiorstw i pracujących </w:t>
      </w:r>
      <w:r w:rsidRPr="00F31175">
        <w:rPr>
          <w:szCs w:val="19"/>
        </w:rPr>
        <w:t>opracowywanych na potrzeby strukturalnej statystyki przedsiębiorstw</w:t>
      </w:r>
      <w:r w:rsidR="00DA328A" w:rsidRPr="00F31175">
        <w:rPr>
          <w:szCs w:val="19"/>
        </w:rPr>
        <w:t xml:space="preserve"> (SBS)</w:t>
      </w:r>
      <w:r w:rsidRPr="00F31175">
        <w:rPr>
          <w:szCs w:val="19"/>
        </w:rPr>
        <w:t>.</w:t>
      </w:r>
      <w:r w:rsidR="00DA328A" w:rsidRPr="00F31175">
        <w:rPr>
          <w:szCs w:val="19"/>
        </w:rPr>
        <w:t xml:space="preserve"> Zmiany te wynikają z zapisów Ramowego Rozporządzenia Integrującego Statystykę Gospodarczą (FRIB</w:t>
      </w:r>
      <w:r w:rsidR="00EB149E">
        <w:rPr>
          <w:szCs w:val="19"/>
        </w:rPr>
        <w:t>S), w ramach której od 2018 r.</w:t>
      </w:r>
      <w:r w:rsidR="00DA328A" w:rsidRPr="00F31175">
        <w:rPr>
          <w:szCs w:val="19"/>
        </w:rPr>
        <w:t xml:space="preserve"> podstawową jednostką, dla której opracowywane są da</w:t>
      </w:r>
      <w:r w:rsidR="00F31175">
        <w:rPr>
          <w:szCs w:val="19"/>
        </w:rPr>
        <w:t>ne SBS, jest „przedsiębiorstwo”.</w:t>
      </w:r>
      <w:r w:rsidR="00DA328A" w:rsidRPr="00F31175">
        <w:rPr>
          <w:szCs w:val="19"/>
        </w:rPr>
        <w:t xml:space="preserve"> </w:t>
      </w:r>
    </w:p>
    <w:p w14:paraId="38CD4F9B" w14:textId="5EA55D02" w:rsidR="0080719D" w:rsidRPr="00F31175" w:rsidRDefault="0080719D" w:rsidP="0080719D">
      <w:pPr>
        <w:pStyle w:val="Akapitzlist"/>
        <w:tabs>
          <w:tab w:val="left" w:pos="2625"/>
        </w:tabs>
        <w:spacing w:before="80" w:after="80" w:line="257" w:lineRule="auto"/>
        <w:ind w:left="0"/>
        <w:contextualSpacing w:val="0"/>
        <w:jc w:val="both"/>
        <w:rPr>
          <w:szCs w:val="19"/>
        </w:rPr>
      </w:pPr>
      <w:r w:rsidRPr="00F31175">
        <w:rPr>
          <w:szCs w:val="19"/>
        </w:rPr>
        <w:t xml:space="preserve">Definicje jednostek statystycznych, w tym </w:t>
      </w:r>
      <w:r w:rsidR="003F0026">
        <w:rPr>
          <w:szCs w:val="19"/>
        </w:rPr>
        <w:t>„</w:t>
      </w:r>
      <w:r w:rsidRPr="00F31175">
        <w:rPr>
          <w:szCs w:val="19"/>
        </w:rPr>
        <w:t>przedsiębiorstwa</w:t>
      </w:r>
      <w:r w:rsidR="003F0026">
        <w:rPr>
          <w:szCs w:val="19"/>
        </w:rPr>
        <w:t>”</w:t>
      </w:r>
      <w:r w:rsidR="001D7543" w:rsidRPr="00F31175">
        <w:rPr>
          <w:szCs w:val="19"/>
        </w:rPr>
        <w:t xml:space="preserve"> (ENT)</w:t>
      </w:r>
      <w:r w:rsidRPr="00F31175">
        <w:rPr>
          <w:szCs w:val="19"/>
        </w:rPr>
        <w:t xml:space="preserve">, określone zostały w Rozporządzeniu </w:t>
      </w:r>
      <w:r w:rsidR="001D7543" w:rsidRPr="00F31175">
        <w:rPr>
          <w:szCs w:val="19"/>
        </w:rPr>
        <w:t xml:space="preserve">Rady (EWG) </w:t>
      </w:r>
      <w:r w:rsidRPr="00F31175">
        <w:rPr>
          <w:szCs w:val="19"/>
        </w:rPr>
        <w:t xml:space="preserve">696/93 </w:t>
      </w:r>
      <w:r w:rsidR="001D7543" w:rsidRPr="00F31175">
        <w:rPr>
          <w:szCs w:val="19"/>
        </w:rPr>
        <w:t>z dnia 15 marca 1993 r. w sprawie jednostek statystycznych do celów obserwacji i analizy systemu produkcyjnego we Wspólnocie.</w:t>
      </w:r>
    </w:p>
    <w:p w14:paraId="6CCF10E1" w14:textId="77777777" w:rsidR="004C7B71" w:rsidRPr="00F31175" w:rsidRDefault="004C7B71" w:rsidP="004C7B71">
      <w:pPr>
        <w:rPr>
          <w:szCs w:val="19"/>
        </w:rPr>
      </w:pPr>
    </w:p>
    <w:p w14:paraId="5EC7755B" w14:textId="77777777" w:rsidR="004C7B71" w:rsidRDefault="004C7B71" w:rsidP="004C7B71">
      <w:pPr>
        <w:rPr>
          <w:sz w:val="18"/>
          <w:szCs w:val="18"/>
        </w:rPr>
      </w:pPr>
    </w:p>
    <w:p w14:paraId="580A23DA" w14:textId="77777777" w:rsidR="008C0729" w:rsidRDefault="008C0729" w:rsidP="004C7B71">
      <w:pPr>
        <w:rPr>
          <w:sz w:val="18"/>
          <w:szCs w:val="18"/>
        </w:rPr>
      </w:pPr>
    </w:p>
    <w:p w14:paraId="180E4D45" w14:textId="77777777" w:rsidR="008C0729" w:rsidRDefault="008C0729" w:rsidP="004C7B71">
      <w:pPr>
        <w:rPr>
          <w:sz w:val="18"/>
          <w:szCs w:val="18"/>
        </w:rPr>
      </w:pPr>
    </w:p>
    <w:p w14:paraId="77B71931" w14:textId="77777777" w:rsidR="008C0729" w:rsidRDefault="008C0729" w:rsidP="004C7B71">
      <w:pPr>
        <w:rPr>
          <w:sz w:val="18"/>
          <w:szCs w:val="18"/>
        </w:rPr>
      </w:pPr>
    </w:p>
    <w:p w14:paraId="464E77CB" w14:textId="77777777" w:rsidR="008C0729" w:rsidRDefault="008C0729" w:rsidP="004C7B71">
      <w:pPr>
        <w:rPr>
          <w:sz w:val="18"/>
          <w:szCs w:val="18"/>
        </w:rPr>
      </w:pPr>
    </w:p>
    <w:p w14:paraId="4B567E7D" w14:textId="77777777" w:rsidR="008C0729" w:rsidRDefault="008C0729" w:rsidP="004C7B71">
      <w:pPr>
        <w:rPr>
          <w:sz w:val="18"/>
          <w:szCs w:val="18"/>
        </w:rPr>
      </w:pPr>
    </w:p>
    <w:p w14:paraId="503F4FC9" w14:textId="77777777" w:rsidR="008C0729" w:rsidRPr="004C7B71" w:rsidRDefault="008C0729" w:rsidP="004C7B71">
      <w:pPr>
        <w:rPr>
          <w:sz w:val="18"/>
          <w:szCs w:val="18"/>
        </w:rPr>
      </w:pPr>
    </w:p>
    <w:p w14:paraId="7D769E07" w14:textId="77777777" w:rsidR="008C0729" w:rsidRPr="008C0729" w:rsidRDefault="008C0729" w:rsidP="008C0729">
      <w:pPr>
        <w:rPr>
          <w:rFonts w:ascii="Calibri" w:hAnsi="Calibri"/>
          <w:sz w:val="22"/>
        </w:rPr>
      </w:pPr>
      <w:r w:rsidRPr="008C0729">
        <w:t xml:space="preserve"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 </w:t>
      </w:r>
    </w:p>
    <w:p w14:paraId="24EE1A5F" w14:textId="77777777" w:rsidR="004C7B71" w:rsidRDefault="004C7B71" w:rsidP="004C7B71">
      <w:pPr>
        <w:rPr>
          <w:color w:val="1F497D"/>
        </w:rPr>
      </w:pPr>
    </w:p>
    <w:p w14:paraId="5D768115" w14:textId="77777777" w:rsidR="004C7B71" w:rsidRDefault="004C7B71" w:rsidP="004C7B71">
      <w:pPr>
        <w:rPr>
          <w:color w:val="1F497D"/>
        </w:rPr>
      </w:pPr>
    </w:p>
    <w:p w14:paraId="2642E2EA" w14:textId="77777777" w:rsidR="004C7B71" w:rsidRDefault="004C7B71" w:rsidP="004C7B71">
      <w:pPr>
        <w:rPr>
          <w:color w:val="1F497D"/>
        </w:rPr>
      </w:pPr>
    </w:p>
    <w:p w14:paraId="44443B75" w14:textId="4B98CB9C" w:rsidR="001C5FD4" w:rsidRPr="004C7B71" w:rsidRDefault="001C5FD4" w:rsidP="004C7B71">
      <w:pPr>
        <w:tabs>
          <w:tab w:val="left" w:pos="840"/>
        </w:tabs>
        <w:rPr>
          <w:sz w:val="18"/>
          <w:szCs w:val="18"/>
        </w:rPr>
        <w:sectPr w:rsidR="001C5FD4" w:rsidRPr="004C7B71" w:rsidSect="001448A7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755B13F1" w14:textId="77777777" w:rsidR="000470AA" w:rsidRPr="00DD637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0470AA" w:rsidRPr="00F00464" w14:paraId="7D2DD70F" w14:textId="77777777" w:rsidTr="00E23337">
        <w:trPr>
          <w:trHeight w:val="1912"/>
        </w:trPr>
        <w:tc>
          <w:tcPr>
            <w:tcW w:w="4379" w:type="dxa"/>
          </w:tcPr>
          <w:p w14:paraId="4218ED73" w14:textId="77777777" w:rsidR="00BC0743" w:rsidRPr="00BC0743" w:rsidRDefault="00BC0743" w:rsidP="00BC07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BC0743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15A3A01" w14:textId="77777777" w:rsidR="00BC0743" w:rsidRPr="00BC0743" w:rsidRDefault="00BC0743" w:rsidP="00BC074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C074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14:paraId="0D70216B" w14:textId="4A4DFDA4" w:rsidR="00BC0743" w:rsidRPr="00BC0743" w:rsidRDefault="000B1457" w:rsidP="00BC0743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 xml:space="preserve">Dyrektor Ewa </w:t>
            </w:r>
            <w:r w:rsidR="00BC0743" w:rsidRPr="00BC0743"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A</w:t>
            </w:r>
            <w:r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dach</w:t>
            </w:r>
            <w:r w:rsidR="007E0923"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-</w:t>
            </w:r>
            <w:r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Stankiewicz</w:t>
            </w:r>
          </w:p>
          <w:p w14:paraId="21BEAC50" w14:textId="0069769B" w:rsidR="00BC0743" w:rsidRPr="00BC0743" w:rsidRDefault="000B1457" w:rsidP="00BC0743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</w:pPr>
            <w:r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Tel: 22 608 31</w:t>
            </w:r>
            <w:r w:rsidR="00BC0743" w:rsidRPr="00BC0743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 xml:space="preserve"> 2</w:t>
            </w:r>
            <w:r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4</w:t>
            </w:r>
          </w:p>
          <w:p w14:paraId="2AE53382" w14:textId="360F922C" w:rsidR="000470AA" w:rsidRPr="008F3638" w:rsidRDefault="000470AA" w:rsidP="00BC074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35F5CFC7" w14:textId="77777777" w:rsidR="00BC0743" w:rsidRPr="00BC0743" w:rsidRDefault="00BC0743" w:rsidP="00BC07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C0743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BC0743">
              <w:rPr>
                <w:rFonts w:cs="Arial"/>
                <w:color w:val="000000" w:themeColor="text1"/>
                <w:sz w:val="20"/>
              </w:rPr>
              <w:br/>
            </w:r>
            <w:r w:rsidRPr="00BC0743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3230DF0F" w14:textId="77777777" w:rsidR="00BC0743" w:rsidRPr="00BC0743" w:rsidRDefault="00DA6CC3" w:rsidP="00BC0743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17EA0D28" w14:textId="56939859" w:rsidR="00BC0743" w:rsidRPr="00BC0743" w:rsidRDefault="00BC0743" w:rsidP="00BC0743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</w:pPr>
            <w:r w:rsidRPr="00BC0743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 xml:space="preserve">Tel: </w:t>
            </w:r>
            <w:r w:rsidR="007E0923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695 255 011</w:t>
            </w:r>
          </w:p>
          <w:p w14:paraId="09076EAF" w14:textId="0E678472" w:rsidR="000470AA" w:rsidRPr="008F3638" w:rsidRDefault="000470AA" w:rsidP="00BC07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62A05016" w14:textId="77777777" w:rsidR="000470AA" w:rsidRPr="0060417C" w:rsidRDefault="000470AA" w:rsidP="000470AA">
      <w:pPr>
        <w:rPr>
          <w:sz w:val="20"/>
          <w:lang w:val="en-US"/>
        </w:rPr>
      </w:pPr>
    </w:p>
    <w:p w14:paraId="3B2D3CBA" w14:textId="77777777" w:rsidR="000470AA" w:rsidRPr="0060417C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296477CE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17F7227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14B200E" w14:textId="4CB28D26" w:rsidR="000470AA" w:rsidRPr="008C0729" w:rsidRDefault="008C0729" w:rsidP="000470AA">
            <w:pPr>
              <w:rPr>
                <w:sz w:val="20"/>
              </w:rPr>
            </w:pPr>
            <w:r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 xml:space="preserve">22 608 34 91, 22 608 38 04 </w:t>
            </w:r>
          </w:p>
          <w:p w14:paraId="5A19836A" w14:textId="77777777" w:rsidR="002410B5" w:rsidRPr="002410B5" w:rsidRDefault="002410B5" w:rsidP="000470AA">
            <w:pPr>
              <w:rPr>
                <w:b/>
                <w:sz w:val="20"/>
                <w:lang w:val="en-US"/>
              </w:rPr>
            </w:pPr>
            <w:r w:rsidRPr="002410B5">
              <w:rPr>
                <w:b/>
                <w:sz w:val="20"/>
                <w:lang w:val="en-US"/>
              </w:rPr>
              <w:t xml:space="preserve">e-mail: </w:t>
            </w:r>
            <w:hyperlink r:id="rId29" w:history="1">
              <w:r w:rsidRPr="002410B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  <w:p w14:paraId="1FD35A8B" w14:textId="77777777" w:rsidR="000470AA" w:rsidRPr="0060417C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A454298" w14:textId="77777777" w:rsidR="000470AA" w:rsidRPr="0060417C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3EABC36B" wp14:editId="5E74A66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E186842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405F536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0E54ECC9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6B0C916A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3C1FAE28" wp14:editId="266902F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C338AC3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6994031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240F53DC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10F6A9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25A437D8" wp14:editId="27FF191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4D3A622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50406979" w14:textId="02755AA3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0721CA4" wp14:editId="34C1632C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0A3A" w14:textId="77777777" w:rsidR="006A0F3D" w:rsidRDefault="006A0F3D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24AF1EE6" w14:textId="77777777" w:rsidR="006A0F3D" w:rsidRDefault="006A0F3D" w:rsidP="00BC0743">
                            <w:pPr>
                              <w:rPr>
                                <w:b/>
                              </w:rPr>
                            </w:pPr>
                            <w:r w:rsidRPr="00BC0743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6D41307F" w14:textId="77777777" w:rsidR="006A0F3D" w:rsidRPr="002410B5" w:rsidRDefault="009E731F" w:rsidP="00BC0743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3" w:history="1">
                              <w:r w:rsidR="006A0F3D" w:rsidRPr="002410B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Rocznik Statystyczny Handlu Zagranicznego 2018</w:t>
                              </w:r>
                            </w:hyperlink>
                          </w:p>
                          <w:p w14:paraId="78EE7B42" w14:textId="77777777" w:rsidR="006A0F3D" w:rsidRDefault="006A0F3D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FFB8E62" w14:textId="77777777" w:rsidR="006A0F3D" w:rsidRPr="00BC0743" w:rsidRDefault="006A0F3D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C0743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09225BD" w14:textId="77777777" w:rsidR="006A0F3D" w:rsidRPr="002410B5" w:rsidRDefault="009E731F" w:rsidP="00BC074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6A0F3D" w:rsidRPr="002410B5">
                                <w:rPr>
                                  <w:rFonts w:cs="Arial"/>
                                  <w:color w:val="001D77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Dziedzinowe Bazy Wiedzy Handel Zagraniczny</w:t>
                              </w:r>
                            </w:hyperlink>
                            <w:r w:rsidR="006A0F3D" w:rsidRPr="002410B5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21BE78F0" w14:textId="77777777" w:rsidR="006A0F3D" w:rsidRPr="00BC0743" w:rsidRDefault="006A0F3D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3324849" w14:textId="77777777" w:rsidR="006A0F3D" w:rsidRPr="00BC0743" w:rsidRDefault="006A0F3D" w:rsidP="00BC074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C0743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B0BDBBB" w14:textId="77777777" w:rsidR="006A0F3D" w:rsidRPr="002410B5" w:rsidRDefault="009E731F" w:rsidP="00BC074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6A0F3D" w:rsidRPr="002410B5">
                                <w:rPr>
                                  <w:rFonts w:cs="Arial"/>
                                  <w:color w:val="001D77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rezydenci - międzynarodowy handel usługami</w:t>
                              </w:r>
                            </w:hyperlink>
                          </w:p>
                          <w:p w14:paraId="70F96C26" w14:textId="77777777" w:rsidR="006A0F3D" w:rsidRPr="002410B5" w:rsidRDefault="009E731F" w:rsidP="00BC0743">
                            <w:pPr>
                              <w:rPr>
                                <w:b/>
                                <w:color w:val="001D77"/>
                                <w:szCs w:val="24"/>
                                <w:lang w:val="en-US"/>
                              </w:rPr>
                            </w:pPr>
                            <w:hyperlink r:id="rId36" w:history="1">
                              <w:r w:rsidR="006A0F3D" w:rsidRPr="002410B5">
                                <w:rPr>
                                  <w:rFonts w:cs="Arial"/>
                                  <w:color w:val="001D77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usługa w wymianie międzynarodowej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c="http://schemas.openxmlformats.org/drawingml/2006/chart" xmlns:a="http://schemas.openxmlformats.org/drawingml/2006/main">
            <w:pict>
              <v:shape id="_x0000_s1033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nPwIAAHM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DNzAynPwIAAHMEAAAO&#10;AAAAAAAAAAAAAAAAAC4CAABkcnMvZTJvRG9jLnhtbFBLAQItABQABgAIAAAAIQBuwDF83wAAAAkB&#10;AAAPAAAAAAAAAAAAAAAAAJkEAABkcnMvZG93bnJldi54bWxQSwUGAAAAAAQABADzAAAApQUAAAAA&#10;" w14:anchorId="00721CA4">
                <v:textbox>
                  <w:txbxContent>
                    <w:p w:rsidR="006A0F3D" w:rsidP="00AB6D25" w:rsidRDefault="006A0F3D" w14:paraId="32E20A3A" w14:textId="77777777">
                      <w:pPr>
                        <w:rPr>
                          <w:b/>
                        </w:rPr>
                      </w:pPr>
                    </w:p>
                    <w:p w:rsidR="006A0F3D" w:rsidP="00BC0743" w:rsidRDefault="006A0F3D" w14:paraId="24AF1EE6" w14:textId="77777777">
                      <w:pPr>
                        <w:rPr>
                          <w:b/>
                        </w:rPr>
                      </w:pPr>
                      <w:r w:rsidRPr="00BC0743">
                        <w:rPr>
                          <w:b/>
                        </w:rPr>
                        <w:t>Powiązane opracowania</w:t>
                      </w:r>
                    </w:p>
                    <w:p w:rsidRPr="002410B5" w:rsidR="006A0F3D" w:rsidP="00BC0743" w:rsidRDefault="006A0F3D" w14:paraId="6D41307F" w14:textId="77777777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w:history="1" r:id="rId38">
                        <w:r w:rsidRPr="002410B5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Rocznik Statystyczny Handlu Zagranicznego 2018</w:t>
                        </w:r>
                      </w:hyperlink>
                    </w:p>
                    <w:p w:rsidR="006A0F3D" w:rsidP="00BC0743" w:rsidRDefault="006A0F3D" w14:paraId="78EE7B42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BC0743" w:rsidR="006A0F3D" w:rsidP="00BC0743" w:rsidRDefault="006A0F3D" w14:paraId="6FFB8E62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BC0743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Pr="002410B5" w:rsidR="006A0F3D" w:rsidP="00BC0743" w:rsidRDefault="006A0F3D" w14:paraId="209225BD" w14:textId="77777777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w:history="1" r:id="rId39">
                        <w:r w:rsidRPr="002410B5">
                          <w:rPr>
                            <w:rFonts w:cs="Arial"/>
                            <w:color w:val="001D77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Dziedzinowe Bazy Wiedzy Handel Zagraniczny</w:t>
                        </w:r>
                      </w:hyperlink>
                      <w:r w:rsidRPr="002410B5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 xml:space="preserve"> </w:t>
                      </w:r>
                    </w:p>
                    <w:p w:rsidRPr="00BC0743" w:rsidR="006A0F3D" w:rsidP="00BC0743" w:rsidRDefault="006A0F3D" w14:paraId="21BE78F0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BC0743" w:rsidR="006A0F3D" w:rsidP="00BC0743" w:rsidRDefault="006A0F3D" w14:paraId="23324849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BC0743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Pr="002410B5" w:rsidR="006A0F3D" w:rsidP="00BC0743" w:rsidRDefault="006A0F3D" w14:paraId="5B0BDBBB" w14:textId="77777777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w:history="1" r:id="rId40">
                        <w:r w:rsidRPr="002410B5">
                          <w:rPr>
                            <w:rFonts w:cs="Arial"/>
                            <w:color w:val="001D77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rezydenci - międzynarodowy handel usługami</w:t>
                        </w:r>
                      </w:hyperlink>
                    </w:p>
                    <w:p w:rsidRPr="002410B5" w:rsidR="006A0F3D" w:rsidP="00BC0743" w:rsidRDefault="006A0F3D" w14:paraId="70F96C26" w14:textId="77777777">
                      <w:pPr>
                        <w:rPr>
                          <w:b/>
                          <w:color w:val="001D77"/>
                          <w:szCs w:val="24"/>
                          <w:lang w:val="en-US"/>
                        </w:rPr>
                      </w:pPr>
                      <w:hyperlink w:history="1" r:id="rId41">
                        <w:r w:rsidRPr="002410B5">
                          <w:rPr>
                            <w:rFonts w:cs="Arial"/>
                            <w:color w:val="001D77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usługa w wymianie międzynarodowej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42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A0D94" w14:textId="77777777" w:rsidR="009E731F" w:rsidRDefault="009E731F" w:rsidP="000662E2">
      <w:pPr>
        <w:spacing w:after="0" w:line="240" w:lineRule="auto"/>
      </w:pPr>
      <w:r>
        <w:separator/>
      </w:r>
    </w:p>
  </w:endnote>
  <w:endnote w:type="continuationSeparator" w:id="0">
    <w:p w14:paraId="624F73D0" w14:textId="77777777" w:rsidR="009E731F" w:rsidRDefault="009E731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416679"/>
      <w:docPartObj>
        <w:docPartGallery w:val="Page Numbers (Bottom of Page)"/>
        <w:docPartUnique/>
      </w:docPartObj>
    </w:sdtPr>
    <w:sdtEndPr/>
    <w:sdtContent>
      <w:p w14:paraId="22AEA4DB" w14:textId="77777777" w:rsidR="006A0F3D" w:rsidRDefault="006A0F3D">
        <w:pPr>
          <w:pStyle w:val="Stopka"/>
          <w:jc w:val="center"/>
        </w:pPr>
      </w:p>
      <w:p w14:paraId="20F72F97" w14:textId="77777777" w:rsidR="006A0F3D" w:rsidRDefault="006A0F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16">
          <w:rPr>
            <w:noProof/>
          </w:rPr>
          <w:t>13</w:t>
        </w:r>
        <w:r>
          <w:fldChar w:fldCharType="end"/>
        </w:r>
      </w:p>
    </w:sdtContent>
  </w:sdt>
  <w:p w14:paraId="45E97904" w14:textId="77777777" w:rsidR="006A0F3D" w:rsidRDefault="006A0F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659305"/>
      <w:docPartObj>
        <w:docPartGallery w:val="Page Numbers (Bottom of Page)"/>
        <w:docPartUnique/>
      </w:docPartObj>
    </w:sdtPr>
    <w:sdtEndPr/>
    <w:sdtContent>
      <w:p w14:paraId="0D5EB89F" w14:textId="77777777" w:rsidR="006A0F3D" w:rsidRDefault="006A0F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16">
          <w:rPr>
            <w:noProof/>
          </w:rPr>
          <w:t>1</w:t>
        </w:r>
        <w:r>
          <w:fldChar w:fldCharType="end"/>
        </w:r>
      </w:p>
    </w:sdtContent>
  </w:sdt>
  <w:p w14:paraId="05DD5401" w14:textId="77777777" w:rsidR="006A0F3D" w:rsidRDefault="006A0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36E10" w14:textId="77777777" w:rsidR="009E731F" w:rsidRDefault="009E731F" w:rsidP="000662E2">
      <w:pPr>
        <w:spacing w:after="0" w:line="240" w:lineRule="auto"/>
      </w:pPr>
      <w:r>
        <w:separator/>
      </w:r>
    </w:p>
  </w:footnote>
  <w:footnote w:type="continuationSeparator" w:id="0">
    <w:p w14:paraId="2818396A" w14:textId="77777777" w:rsidR="009E731F" w:rsidRDefault="009E731F" w:rsidP="000662E2">
      <w:pPr>
        <w:spacing w:after="0" w:line="240" w:lineRule="auto"/>
      </w:pPr>
      <w:r>
        <w:continuationSeparator/>
      </w:r>
    </w:p>
  </w:footnote>
  <w:footnote w:id="1">
    <w:p w14:paraId="770C2D19" w14:textId="2F286266" w:rsidR="00EB1C99" w:rsidRDefault="00EB1C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1C99">
        <w:rPr>
          <w:sz w:val="16"/>
          <w:szCs w:val="16"/>
        </w:rPr>
        <w:t>Patrz Nota metodologiczna str. 11</w:t>
      </w:r>
      <w:r w:rsidR="00E80D55">
        <w:rPr>
          <w:sz w:val="16"/>
          <w:szCs w:val="16"/>
        </w:rPr>
        <w:t>.</w:t>
      </w:r>
    </w:p>
  </w:footnote>
  <w:footnote w:id="2">
    <w:p w14:paraId="68DE28E9" w14:textId="23D2D0E0" w:rsidR="006A0F3D" w:rsidRPr="00977025" w:rsidRDefault="006A0F3D" w:rsidP="00BE78E6">
      <w:pPr>
        <w:pStyle w:val="Tekstprzypisudolnego"/>
        <w:rPr>
          <w:sz w:val="16"/>
          <w:szCs w:val="16"/>
        </w:rPr>
      </w:pPr>
      <w:r w:rsidRPr="00E1295E">
        <w:rPr>
          <w:rStyle w:val="Odwoanieprzypisudolnego"/>
          <w:sz w:val="16"/>
          <w:szCs w:val="16"/>
        </w:rPr>
        <w:footnoteRef/>
      </w:r>
      <w:r w:rsidRPr="00E1295E">
        <w:rPr>
          <w:sz w:val="16"/>
          <w:szCs w:val="16"/>
        </w:rPr>
        <w:t xml:space="preserve"> </w:t>
      </w:r>
      <w:r w:rsidRPr="00977025">
        <w:rPr>
          <w:sz w:val="16"/>
          <w:szCs w:val="16"/>
        </w:rPr>
        <w:t xml:space="preserve">Dotyczy </w:t>
      </w:r>
      <w:r w:rsidR="00D36281" w:rsidRPr="00977025">
        <w:rPr>
          <w:sz w:val="16"/>
          <w:szCs w:val="16"/>
        </w:rPr>
        <w:t>podmiotów prowadzących</w:t>
      </w:r>
      <w:r w:rsidRPr="00977025">
        <w:rPr>
          <w:sz w:val="16"/>
          <w:szCs w:val="16"/>
        </w:rPr>
        <w:t xml:space="preserve"> działalności zaklasyfikowane wg PKD 2007 do sekcji od B „Górnictwo i wydobywanie” do N „Działalność w zakresie usług administrowania i działalność wspierająca” oraz działu 95 „Naprawa i konserwacja komputerów i artykułów użytku osobistego i domowego” z sekcji S „Pozostała działalność usługowa”, z wyłączeniem sekcji K „Działalność finansowa i ubezpieczeniowa (niezależnie od liczby osób pracujących).</w:t>
      </w:r>
    </w:p>
  </w:footnote>
  <w:footnote w:id="3">
    <w:p w14:paraId="2DD46776" w14:textId="46C7FA05" w:rsidR="006A0F3D" w:rsidRPr="00977025" w:rsidRDefault="006A0F3D" w:rsidP="00BE78E6">
      <w:pPr>
        <w:pStyle w:val="Tekstprzypisudolnego"/>
        <w:rPr>
          <w:sz w:val="16"/>
          <w:szCs w:val="16"/>
        </w:rPr>
      </w:pPr>
      <w:r w:rsidRPr="00977025">
        <w:rPr>
          <w:rStyle w:val="Odwoanieprzypisudolnego"/>
          <w:sz w:val="16"/>
          <w:szCs w:val="16"/>
        </w:rPr>
        <w:footnoteRef/>
      </w:r>
      <w:r w:rsidR="000A1552">
        <w:rPr>
          <w:sz w:val="16"/>
          <w:szCs w:val="16"/>
        </w:rPr>
        <w:t xml:space="preserve"> Nazwy grupowań</w:t>
      </w:r>
      <w:r w:rsidRPr="00977025">
        <w:rPr>
          <w:sz w:val="16"/>
          <w:szCs w:val="16"/>
        </w:rPr>
        <w:t xml:space="preserve"> wg Polskiej Klasyfikacji Działa</w:t>
      </w:r>
      <w:r w:rsidR="0049394D">
        <w:rPr>
          <w:sz w:val="16"/>
          <w:szCs w:val="16"/>
        </w:rPr>
        <w:t>lności (PKD 2007) – patrz str.</w:t>
      </w:r>
      <w:r w:rsidR="005A22F6">
        <w:rPr>
          <w:sz w:val="16"/>
          <w:szCs w:val="16"/>
        </w:rPr>
        <w:t xml:space="preserve"> 11</w:t>
      </w:r>
      <w:r w:rsidRPr="00977025">
        <w:rPr>
          <w:sz w:val="16"/>
          <w:szCs w:val="16"/>
        </w:rPr>
        <w:t>.</w:t>
      </w:r>
    </w:p>
  </w:footnote>
  <w:footnote w:id="4">
    <w:p w14:paraId="534C8AB9" w14:textId="77777777" w:rsidR="00A248F5" w:rsidRPr="003C7337" w:rsidRDefault="00A248F5" w:rsidP="00A248F5">
      <w:pPr>
        <w:pStyle w:val="Tekstprzypisudolnego"/>
        <w:rPr>
          <w:sz w:val="16"/>
          <w:szCs w:val="16"/>
        </w:rPr>
      </w:pPr>
      <w:r w:rsidRPr="003C7337">
        <w:rPr>
          <w:rStyle w:val="Odwoanieprzypisudolnego"/>
          <w:sz w:val="16"/>
          <w:szCs w:val="16"/>
        </w:rPr>
        <w:footnoteRef/>
      </w:r>
      <w:r w:rsidRPr="0028511B">
        <w:rPr>
          <w:color w:val="BFBFBF" w:themeColor="background1" w:themeShade="BF"/>
          <w:sz w:val="16"/>
          <w:szCs w:val="16"/>
        </w:rPr>
        <w:t xml:space="preserve"> </w:t>
      </w:r>
      <w:r w:rsidRPr="003C7337">
        <w:rPr>
          <w:sz w:val="16"/>
          <w:szCs w:val="16"/>
        </w:rPr>
        <w:t>Zgodnie z ustawą z dnia 27 lipca 2002 r. Prawo dewizowe nierezydentami są:</w:t>
      </w:r>
    </w:p>
    <w:p w14:paraId="3A72B100" w14:textId="77777777" w:rsidR="00A248F5" w:rsidRPr="003C7337" w:rsidRDefault="00A248F5" w:rsidP="00A248F5">
      <w:pPr>
        <w:pStyle w:val="Tekstprzypisudolnego"/>
        <w:numPr>
          <w:ilvl w:val="0"/>
          <w:numId w:val="3"/>
        </w:numPr>
        <w:spacing w:before="0"/>
        <w:ind w:left="426" w:hanging="284"/>
        <w:rPr>
          <w:sz w:val="16"/>
          <w:szCs w:val="16"/>
        </w:rPr>
      </w:pPr>
      <w:r w:rsidRPr="003C7337">
        <w:rPr>
          <w:sz w:val="16"/>
          <w:szCs w:val="16"/>
        </w:rPr>
        <w:t>osoby fizyczne mające miejsce zamieszkania za granicą oraz osoby prawne mające siedzibę za granicą, a także inne podmioty mające siedzibę za granicą, posiadające zdolność zaciągania zobowiązań i nabywania praw we własnym imieniu; nierezydentami są również znajdujące się za granicą oddziały, przedstawicielstwa i przedsiębiorstwa utworzone przez rezydentów,</w:t>
      </w:r>
    </w:p>
    <w:p w14:paraId="5CFD2603" w14:textId="77777777" w:rsidR="00A248F5" w:rsidRPr="003C7337" w:rsidRDefault="00A248F5" w:rsidP="00A248F5">
      <w:pPr>
        <w:pStyle w:val="Tekstprzypisudolnego"/>
        <w:numPr>
          <w:ilvl w:val="0"/>
          <w:numId w:val="3"/>
        </w:numPr>
        <w:spacing w:before="0"/>
        <w:ind w:left="426" w:hanging="284"/>
        <w:rPr>
          <w:sz w:val="16"/>
          <w:szCs w:val="16"/>
        </w:rPr>
      </w:pPr>
      <w:r w:rsidRPr="003C7337">
        <w:rPr>
          <w:sz w:val="16"/>
          <w:szCs w:val="16"/>
        </w:rPr>
        <w:t>obce przedstawicielstwa dyplomatyczne, urzędy konsularne i inne obce przedstawicielstwa oraz misje specjalne i organizacje międzynarodowe, korzystające z immunitetów i przywilejów dyplomatycznych lub konsularnych.</w:t>
      </w:r>
    </w:p>
  </w:footnote>
  <w:footnote w:id="5">
    <w:p w14:paraId="4891D429" w14:textId="77777777" w:rsidR="006A0F3D" w:rsidRPr="006258E1" w:rsidRDefault="006A0F3D" w:rsidP="00C64215">
      <w:pPr>
        <w:pStyle w:val="Tekstprzypisudolnego"/>
        <w:rPr>
          <w:sz w:val="16"/>
          <w:szCs w:val="16"/>
        </w:rPr>
      </w:pPr>
      <w:r w:rsidRPr="006258E1">
        <w:rPr>
          <w:rStyle w:val="Odwoanieprzypisudolnego"/>
          <w:sz w:val="16"/>
          <w:szCs w:val="16"/>
        </w:rPr>
        <w:footnoteRef/>
      </w:r>
      <w:r w:rsidRPr="006258E1">
        <w:rPr>
          <w:sz w:val="16"/>
          <w:szCs w:val="16"/>
        </w:rPr>
        <w:t xml:space="preserve"> Dotyczy podmiotów prowadzących w ramach swojej podstawowej działalności: działalność wydawniczą w zakresie oprogramowania (wg PKD grupa 58.2), działalność związaną z oprogramowaniem i doradztwem w zakresie informatyki oraz działalnością powiązaną (wg PKD dział 62) i </w:t>
      </w:r>
      <w:r w:rsidRPr="006258E1">
        <w:rPr>
          <w:sz w:val="16"/>
          <w:szCs w:val="16"/>
          <w:shd w:val="clear" w:color="auto" w:fill="FFFFFF"/>
        </w:rPr>
        <w:t>przetwarzanie danych; zarządzanie stronami internetowymi (hosting) i podobna działalność; działalność portali internetowych (wg PKD grupa 63.1)</w:t>
      </w:r>
      <w:r w:rsidRPr="006258E1">
        <w:rPr>
          <w:sz w:val="16"/>
          <w:szCs w:val="16"/>
        </w:rPr>
        <w:t>.</w:t>
      </w:r>
    </w:p>
  </w:footnote>
  <w:footnote w:id="6">
    <w:p w14:paraId="1D850EE0" w14:textId="77777777" w:rsidR="006A0F3D" w:rsidRPr="006258E1" w:rsidRDefault="006A0F3D" w:rsidP="00C64215">
      <w:pPr>
        <w:pStyle w:val="Tekstprzypisudolnego"/>
        <w:rPr>
          <w:sz w:val="16"/>
          <w:szCs w:val="16"/>
        </w:rPr>
      </w:pPr>
      <w:r w:rsidRPr="006258E1">
        <w:rPr>
          <w:rStyle w:val="Odwoanieprzypisudolnego"/>
          <w:sz w:val="16"/>
          <w:szCs w:val="16"/>
        </w:rPr>
        <w:footnoteRef/>
      </w:r>
      <w:r w:rsidRPr="006258E1">
        <w:rPr>
          <w:sz w:val="16"/>
          <w:szCs w:val="16"/>
        </w:rPr>
        <w:t xml:space="preserve"> Relacja wyniku finansowego brutto do przychodów z całokształtu działalności.</w:t>
      </w:r>
    </w:p>
  </w:footnote>
  <w:footnote w:id="7">
    <w:p w14:paraId="14986305" w14:textId="77777777" w:rsidR="006A0F3D" w:rsidRPr="006258E1" w:rsidRDefault="006A0F3D" w:rsidP="00C64215">
      <w:pPr>
        <w:pStyle w:val="Tekstprzypisudolnego"/>
        <w:rPr>
          <w:sz w:val="16"/>
          <w:szCs w:val="16"/>
        </w:rPr>
      </w:pPr>
      <w:r w:rsidRPr="006258E1">
        <w:rPr>
          <w:rStyle w:val="Odwoanieprzypisudolnego"/>
          <w:sz w:val="16"/>
          <w:szCs w:val="16"/>
        </w:rPr>
        <w:footnoteRef/>
      </w:r>
      <w:r w:rsidRPr="006258E1">
        <w:rPr>
          <w:sz w:val="16"/>
          <w:szCs w:val="16"/>
        </w:rPr>
        <w:t xml:space="preserve"> Relacja wyniku finansowego netto do przychodów z całokształtu działalności.</w:t>
      </w:r>
    </w:p>
  </w:footnote>
  <w:footnote w:id="8">
    <w:p w14:paraId="351B80C6" w14:textId="77777777" w:rsidR="006A0F3D" w:rsidRPr="0016262A" w:rsidRDefault="006A0F3D" w:rsidP="00C64215">
      <w:pPr>
        <w:pStyle w:val="Tekstprzypisudolnego"/>
        <w:rPr>
          <w:sz w:val="16"/>
          <w:szCs w:val="16"/>
        </w:rPr>
      </w:pPr>
      <w:r w:rsidRPr="0016262A">
        <w:rPr>
          <w:rStyle w:val="Odwoanieprzypisudolnego"/>
          <w:sz w:val="16"/>
          <w:szCs w:val="16"/>
        </w:rPr>
        <w:footnoteRef/>
      </w:r>
      <w:r w:rsidRPr="0016262A">
        <w:rPr>
          <w:sz w:val="16"/>
          <w:szCs w:val="16"/>
        </w:rPr>
        <w:t xml:space="preserve"> Relacja kosztów uzyskania przychodów z całokształtu działalności do przychodów z całokształtu działalności.</w:t>
      </w:r>
    </w:p>
  </w:footnote>
  <w:footnote w:id="9">
    <w:p w14:paraId="686730F0" w14:textId="77777777" w:rsidR="003C4069" w:rsidRPr="00CB4AF0" w:rsidRDefault="003C4069" w:rsidP="003C4069">
      <w:pPr>
        <w:pStyle w:val="Tekstprzypisudolnego"/>
        <w:rPr>
          <w:sz w:val="16"/>
          <w:szCs w:val="16"/>
        </w:rPr>
      </w:pPr>
      <w:r w:rsidRPr="00CB4AF0">
        <w:rPr>
          <w:rStyle w:val="Odwoanieprzypisudolnego"/>
          <w:sz w:val="16"/>
          <w:szCs w:val="16"/>
        </w:rPr>
        <w:footnoteRef/>
      </w:r>
      <w:r w:rsidRPr="00CB4AF0">
        <w:rPr>
          <w:sz w:val="16"/>
          <w:szCs w:val="16"/>
        </w:rPr>
        <w:t xml:space="preserve"> Dotyczy podmiotów prowadzących w ramach swojej podstawowej działalności: działalność </w:t>
      </w:r>
      <w:r w:rsidRPr="00CB4AF0">
        <w:rPr>
          <w:sz w:val="16"/>
          <w:szCs w:val="16"/>
          <w:shd w:val="clear" w:color="auto" w:fill="FFFFFF"/>
        </w:rPr>
        <w:t>prawniczą, rachunkowo-księgową i doradztwo podatkowe (wg PKD dział 69) oraz doradztwo związane z zarządzaniem (wg PKD grupa 70.2).</w:t>
      </w:r>
    </w:p>
  </w:footnote>
  <w:footnote w:id="10">
    <w:p w14:paraId="39E34243" w14:textId="77777777" w:rsidR="006A0F3D" w:rsidRPr="003C7337" w:rsidRDefault="006A0F3D" w:rsidP="00C64215">
      <w:pPr>
        <w:pStyle w:val="Tekstprzypisudolnego"/>
        <w:rPr>
          <w:sz w:val="16"/>
          <w:szCs w:val="16"/>
        </w:rPr>
      </w:pPr>
      <w:r w:rsidRPr="003C7337">
        <w:rPr>
          <w:rStyle w:val="Odwoanieprzypisudolnego"/>
          <w:sz w:val="16"/>
          <w:szCs w:val="16"/>
        </w:rPr>
        <w:footnoteRef/>
      </w:r>
      <w:r w:rsidRPr="003C7337">
        <w:rPr>
          <w:sz w:val="16"/>
          <w:szCs w:val="16"/>
        </w:rPr>
        <w:t xml:space="preserve"> W związku z koniecznością zachowania tajemnicy statystycznej dane nie zostały opublikowane.</w:t>
      </w:r>
    </w:p>
  </w:footnote>
  <w:footnote w:id="11">
    <w:p w14:paraId="5E71D81C" w14:textId="77777777" w:rsidR="006A0F3D" w:rsidRPr="00E1295E" w:rsidRDefault="006A0F3D">
      <w:pPr>
        <w:pStyle w:val="Tekstprzypisudolnego"/>
        <w:rPr>
          <w:sz w:val="16"/>
          <w:szCs w:val="16"/>
        </w:rPr>
      </w:pPr>
      <w:r w:rsidRPr="00E1295E">
        <w:rPr>
          <w:rStyle w:val="Odwoanieprzypisudolnego"/>
          <w:sz w:val="16"/>
          <w:szCs w:val="16"/>
        </w:rPr>
        <w:footnoteRef/>
      </w:r>
      <w:r w:rsidRPr="00E1295E">
        <w:rPr>
          <w:sz w:val="16"/>
          <w:szCs w:val="16"/>
        </w:rPr>
        <w:t xml:space="preserve"> Dotyczy podmiotów prowadzących w ramach swojej podstawowej działalności: działalność w zakresie architektury i inżynierii (wg PKD grupa 71.1) oraz badania i analizy techniczne (wg PKD grupa 71.2)</w:t>
      </w:r>
      <w:r w:rsidRPr="00E1295E">
        <w:rPr>
          <w:sz w:val="16"/>
          <w:szCs w:val="16"/>
          <w:shd w:val="clear" w:color="auto" w:fill="FFFFFF"/>
        </w:rPr>
        <w:t>.</w:t>
      </w:r>
    </w:p>
  </w:footnote>
  <w:footnote w:id="12">
    <w:p w14:paraId="507C86DC" w14:textId="77777777" w:rsidR="006A0F3D" w:rsidRPr="00C36E40" w:rsidRDefault="006A0F3D">
      <w:pPr>
        <w:pStyle w:val="Tekstprzypisudolnego"/>
        <w:rPr>
          <w:sz w:val="16"/>
          <w:szCs w:val="16"/>
        </w:rPr>
      </w:pPr>
      <w:r w:rsidRPr="00C36E40">
        <w:rPr>
          <w:rStyle w:val="Odwoanieprzypisudolnego"/>
          <w:sz w:val="16"/>
          <w:szCs w:val="16"/>
        </w:rPr>
        <w:footnoteRef/>
      </w:r>
      <w:r w:rsidRPr="00C36E40">
        <w:rPr>
          <w:sz w:val="16"/>
          <w:szCs w:val="16"/>
        </w:rPr>
        <w:t xml:space="preserve"> Dotyczy podmiotów prowadzących w ramach swojej podstawowej działalności: działalność w zakresie reklamy (wg PKD grupa 73.1) oraz badania rynku i opinii publicznej (wg PKD grupa 73.2)</w:t>
      </w:r>
      <w:r w:rsidRPr="00C36E40">
        <w:rPr>
          <w:sz w:val="16"/>
          <w:szCs w:val="16"/>
          <w:shd w:val="clear" w:color="auto" w:fill="FFFFFF"/>
        </w:rPr>
        <w:t>.</w:t>
      </w:r>
    </w:p>
  </w:footnote>
  <w:footnote w:id="13">
    <w:p w14:paraId="544E73D9" w14:textId="77777777" w:rsidR="006A0F3D" w:rsidRPr="00A27566" w:rsidRDefault="006A0F3D">
      <w:pPr>
        <w:pStyle w:val="Tekstprzypisudolnego"/>
        <w:rPr>
          <w:sz w:val="16"/>
          <w:szCs w:val="16"/>
        </w:rPr>
      </w:pPr>
      <w:r w:rsidRPr="00A27566">
        <w:rPr>
          <w:rStyle w:val="Odwoanieprzypisudolnego"/>
          <w:sz w:val="16"/>
          <w:szCs w:val="16"/>
        </w:rPr>
        <w:footnoteRef/>
      </w:r>
      <w:r w:rsidRPr="00A27566">
        <w:rPr>
          <w:sz w:val="16"/>
          <w:szCs w:val="16"/>
        </w:rPr>
        <w:t xml:space="preserve"> Dotyczy przedsiębiorstw prowadzących w ramach swojej podstawowej działalności działalność związaną z zatrudnieniem (wg PKD dział 78).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8B40" w14:textId="77777777" w:rsidR="006A0F3D" w:rsidRDefault="006A0F3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7CDC655" wp14:editId="4C3E7A6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04D225" id="Prostokąt 15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" fillcolor="#f2f2f2" stroked="f" strokeweight="1pt"/>
          </w:pict>
        </mc:Fallback>
      </mc:AlternateContent>
    </w:r>
  </w:p>
  <w:p w14:paraId="74BDD6D6" w14:textId="77777777" w:rsidR="006A0F3D" w:rsidRDefault="006A0F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50DCE" w14:textId="77777777" w:rsidR="006A0F3D" w:rsidRDefault="006A0F3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E9AA5E" wp14:editId="0639846F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9926053" w14:textId="77777777" w:rsidR="006A0F3D" w:rsidRPr="003C6C8D" w:rsidRDefault="006A0F3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E9AA5E" id="Schemat blokowy: opóźnienie 6" o:spid="_x0000_s1034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xxDAYAAE4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09926053" w14:textId="77777777" w:rsidR="006A0F3D" w:rsidRPr="003C6C8D" w:rsidRDefault="006A0F3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79A5736" wp14:editId="271097FF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18B06" id="Prostokąt 18" o:spid="_x0000_s1026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2A3E242" wp14:editId="242BE8E7">
          <wp:extent cx="1152525" cy="719455"/>
          <wp:effectExtent l="0" t="0" r="9525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F981D" w14:textId="77777777" w:rsidR="006A0F3D" w:rsidRDefault="006A0F3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4392A11D" wp14:editId="6B3B9C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84B8B" w14:textId="77777777" w:rsidR="006A0F3D" w:rsidRPr="00C97596" w:rsidRDefault="006A0F3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15.09.2020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2A11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A/Z&#10;vi8SAgAA/wM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14:paraId="65D84B8B" w14:textId="77777777" w:rsidR="006A0F3D" w:rsidRPr="00C97596" w:rsidRDefault="006A0F3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15.09.2020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512C" w14:textId="77777777" w:rsidR="006A0F3D" w:rsidRDefault="006A0F3D">
    <w:pPr>
      <w:pStyle w:val="Nagwek"/>
    </w:pPr>
  </w:p>
  <w:p w14:paraId="5277C160" w14:textId="77777777" w:rsidR="006A0F3D" w:rsidRDefault="006A0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6pt;height:126pt;visibility:visible" o:bullet="t">
        <v:imagedata r:id="rId1" o:title=""/>
      </v:shape>
    </w:pict>
  </w:numPicBullet>
  <w:numPicBullet w:numPicBulletId="1">
    <w:pict>
      <v:shape id="_x0000_i1033" type="#_x0000_t75" style="width:126pt;height:12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7D6F01"/>
    <w:multiLevelType w:val="hybridMultilevel"/>
    <w:tmpl w:val="7CE27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D5A6C"/>
    <w:multiLevelType w:val="hybridMultilevel"/>
    <w:tmpl w:val="5CACBCD2"/>
    <w:lvl w:ilvl="0" w:tplc="917E0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A35"/>
    <w:rsid w:val="000051A4"/>
    <w:rsid w:val="00006B69"/>
    <w:rsid w:val="0000709F"/>
    <w:rsid w:val="000108B8"/>
    <w:rsid w:val="00012C83"/>
    <w:rsid w:val="00013B99"/>
    <w:rsid w:val="000152F5"/>
    <w:rsid w:val="0001562C"/>
    <w:rsid w:val="0002111D"/>
    <w:rsid w:val="000219A3"/>
    <w:rsid w:val="000228CD"/>
    <w:rsid w:val="0003050C"/>
    <w:rsid w:val="00030BDB"/>
    <w:rsid w:val="00036CC9"/>
    <w:rsid w:val="000429B4"/>
    <w:rsid w:val="0004582E"/>
    <w:rsid w:val="000461C3"/>
    <w:rsid w:val="000470AA"/>
    <w:rsid w:val="00051C77"/>
    <w:rsid w:val="00053A4F"/>
    <w:rsid w:val="000551E2"/>
    <w:rsid w:val="00057CA1"/>
    <w:rsid w:val="000662E2"/>
    <w:rsid w:val="00066883"/>
    <w:rsid w:val="00071896"/>
    <w:rsid w:val="00074DD8"/>
    <w:rsid w:val="000806F7"/>
    <w:rsid w:val="00082D1B"/>
    <w:rsid w:val="00082DBF"/>
    <w:rsid w:val="000952B6"/>
    <w:rsid w:val="000A02D4"/>
    <w:rsid w:val="000A1552"/>
    <w:rsid w:val="000A4847"/>
    <w:rsid w:val="000B0727"/>
    <w:rsid w:val="000B1457"/>
    <w:rsid w:val="000B346C"/>
    <w:rsid w:val="000C135D"/>
    <w:rsid w:val="000C1A7F"/>
    <w:rsid w:val="000C1E09"/>
    <w:rsid w:val="000C3ECF"/>
    <w:rsid w:val="000C5832"/>
    <w:rsid w:val="000D1D43"/>
    <w:rsid w:val="000D225C"/>
    <w:rsid w:val="000D2A5C"/>
    <w:rsid w:val="000D574C"/>
    <w:rsid w:val="000E0918"/>
    <w:rsid w:val="000E1355"/>
    <w:rsid w:val="000E3E70"/>
    <w:rsid w:val="000E7516"/>
    <w:rsid w:val="001011C3"/>
    <w:rsid w:val="001011D6"/>
    <w:rsid w:val="00102CE8"/>
    <w:rsid w:val="00105CCB"/>
    <w:rsid w:val="001060F6"/>
    <w:rsid w:val="00110D87"/>
    <w:rsid w:val="001128A5"/>
    <w:rsid w:val="00112F9F"/>
    <w:rsid w:val="00114DB9"/>
    <w:rsid w:val="0011553A"/>
    <w:rsid w:val="00115EEA"/>
    <w:rsid w:val="00116087"/>
    <w:rsid w:val="001263C8"/>
    <w:rsid w:val="00130296"/>
    <w:rsid w:val="00132F37"/>
    <w:rsid w:val="001423B6"/>
    <w:rsid w:val="00143EDA"/>
    <w:rsid w:val="00144522"/>
    <w:rsid w:val="001448A7"/>
    <w:rsid w:val="00146621"/>
    <w:rsid w:val="001469EB"/>
    <w:rsid w:val="00150C96"/>
    <w:rsid w:val="00152273"/>
    <w:rsid w:val="00162325"/>
    <w:rsid w:val="0016262A"/>
    <w:rsid w:val="0017227E"/>
    <w:rsid w:val="00184498"/>
    <w:rsid w:val="001951DA"/>
    <w:rsid w:val="001A4C98"/>
    <w:rsid w:val="001C1792"/>
    <w:rsid w:val="001C31AE"/>
    <w:rsid w:val="001C3269"/>
    <w:rsid w:val="001C5FD4"/>
    <w:rsid w:val="001D1DB4"/>
    <w:rsid w:val="001D425C"/>
    <w:rsid w:val="001D5280"/>
    <w:rsid w:val="001D5F5D"/>
    <w:rsid w:val="001D7543"/>
    <w:rsid w:val="001E1E25"/>
    <w:rsid w:val="001F1B8A"/>
    <w:rsid w:val="001F228F"/>
    <w:rsid w:val="001F5EDD"/>
    <w:rsid w:val="00203C48"/>
    <w:rsid w:val="00210CE0"/>
    <w:rsid w:val="0021626F"/>
    <w:rsid w:val="00216833"/>
    <w:rsid w:val="00224F47"/>
    <w:rsid w:val="002277D2"/>
    <w:rsid w:val="00227878"/>
    <w:rsid w:val="00227E2C"/>
    <w:rsid w:val="002318A7"/>
    <w:rsid w:val="002326E7"/>
    <w:rsid w:val="002349CB"/>
    <w:rsid w:val="002410B5"/>
    <w:rsid w:val="002411E9"/>
    <w:rsid w:val="002464D6"/>
    <w:rsid w:val="00252E50"/>
    <w:rsid w:val="00252EC4"/>
    <w:rsid w:val="002545F6"/>
    <w:rsid w:val="00255072"/>
    <w:rsid w:val="002574F9"/>
    <w:rsid w:val="0026139D"/>
    <w:rsid w:val="00263334"/>
    <w:rsid w:val="0026553A"/>
    <w:rsid w:val="00267308"/>
    <w:rsid w:val="00270D79"/>
    <w:rsid w:val="00276811"/>
    <w:rsid w:val="00276E6C"/>
    <w:rsid w:val="00281906"/>
    <w:rsid w:val="00282699"/>
    <w:rsid w:val="00282C6E"/>
    <w:rsid w:val="00284E91"/>
    <w:rsid w:val="00286809"/>
    <w:rsid w:val="002926DF"/>
    <w:rsid w:val="00296697"/>
    <w:rsid w:val="002A11FE"/>
    <w:rsid w:val="002A2A72"/>
    <w:rsid w:val="002A2DF6"/>
    <w:rsid w:val="002A4368"/>
    <w:rsid w:val="002A659B"/>
    <w:rsid w:val="002B0472"/>
    <w:rsid w:val="002B5ADB"/>
    <w:rsid w:val="002B658A"/>
    <w:rsid w:val="002B6B12"/>
    <w:rsid w:val="002C16C8"/>
    <w:rsid w:val="002C26A4"/>
    <w:rsid w:val="002C2DAF"/>
    <w:rsid w:val="002E0E8B"/>
    <w:rsid w:val="002E2917"/>
    <w:rsid w:val="002E5721"/>
    <w:rsid w:val="002E6140"/>
    <w:rsid w:val="002E6985"/>
    <w:rsid w:val="002E71B6"/>
    <w:rsid w:val="002F0AE5"/>
    <w:rsid w:val="002F4F6B"/>
    <w:rsid w:val="002F6AF9"/>
    <w:rsid w:val="002F77C8"/>
    <w:rsid w:val="0030332B"/>
    <w:rsid w:val="00304F22"/>
    <w:rsid w:val="00306C7C"/>
    <w:rsid w:val="0031372F"/>
    <w:rsid w:val="0031428D"/>
    <w:rsid w:val="00317303"/>
    <w:rsid w:val="00320371"/>
    <w:rsid w:val="00321755"/>
    <w:rsid w:val="003227F2"/>
    <w:rsid w:val="00322EDD"/>
    <w:rsid w:val="00325B6A"/>
    <w:rsid w:val="003300B1"/>
    <w:rsid w:val="0033153F"/>
    <w:rsid w:val="00332320"/>
    <w:rsid w:val="00345AA4"/>
    <w:rsid w:val="003467AB"/>
    <w:rsid w:val="00347D72"/>
    <w:rsid w:val="00347ED6"/>
    <w:rsid w:val="0035147E"/>
    <w:rsid w:val="003515C2"/>
    <w:rsid w:val="00354539"/>
    <w:rsid w:val="003550E8"/>
    <w:rsid w:val="00355161"/>
    <w:rsid w:val="00357611"/>
    <w:rsid w:val="00366017"/>
    <w:rsid w:val="00367237"/>
    <w:rsid w:val="0037077F"/>
    <w:rsid w:val="00371A25"/>
    <w:rsid w:val="00373882"/>
    <w:rsid w:val="00377B9B"/>
    <w:rsid w:val="00381FF6"/>
    <w:rsid w:val="003843DB"/>
    <w:rsid w:val="00393118"/>
    <w:rsid w:val="00393761"/>
    <w:rsid w:val="0039434D"/>
    <w:rsid w:val="00394E63"/>
    <w:rsid w:val="00397D18"/>
    <w:rsid w:val="003A1B36"/>
    <w:rsid w:val="003B1454"/>
    <w:rsid w:val="003C1197"/>
    <w:rsid w:val="003C4069"/>
    <w:rsid w:val="003C5374"/>
    <w:rsid w:val="003C59E0"/>
    <w:rsid w:val="003C6C8D"/>
    <w:rsid w:val="003C7337"/>
    <w:rsid w:val="003C7DF8"/>
    <w:rsid w:val="003D1A16"/>
    <w:rsid w:val="003D3FFB"/>
    <w:rsid w:val="003D4F95"/>
    <w:rsid w:val="003D5F42"/>
    <w:rsid w:val="003D60A9"/>
    <w:rsid w:val="003E2510"/>
    <w:rsid w:val="003F0026"/>
    <w:rsid w:val="003F4C97"/>
    <w:rsid w:val="003F73BA"/>
    <w:rsid w:val="003F7FE6"/>
    <w:rsid w:val="00400193"/>
    <w:rsid w:val="00405100"/>
    <w:rsid w:val="00407283"/>
    <w:rsid w:val="004207ED"/>
    <w:rsid w:val="004212E7"/>
    <w:rsid w:val="0042446D"/>
    <w:rsid w:val="0042589A"/>
    <w:rsid w:val="00427BF8"/>
    <w:rsid w:val="00431C02"/>
    <w:rsid w:val="004320E1"/>
    <w:rsid w:val="00433B63"/>
    <w:rsid w:val="004344AF"/>
    <w:rsid w:val="00437395"/>
    <w:rsid w:val="004405C5"/>
    <w:rsid w:val="00445047"/>
    <w:rsid w:val="00450257"/>
    <w:rsid w:val="00451F6C"/>
    <w:rsid w:val="00452C5F"/>
    <w:rsid w:val="00456C72"/>
    <w:rsid w:val="00457D15"/>
    <w:rsid w:val="00463E39"/>
    <w:rsid w:val="004657FC"/>
    <w:rsid w:val="00465B10"/>
    <w:rsid w:val="00467F73"/>
    <w:rsid w:val="00471884"/>
    <w:rsid w:val="004733F6"/>
    <w:rsid w:val="0047483C"/>
    <w:rsid w:val="00474E69"/>
    <w:rsid w:val="00476295"/>
    <w:rsid w:val="0049203E"/>
    <w:rsid w:val="00492ED5"/>
    <w:rsid w:val="00493700"/>
    <w:rsid w:val="0049394D"/>
    <w:rsid w:val="0049621B"/>
    <w:rsid w:val="004A2A5D"/>
    <w:rsid w:val="004B1B19"/>
    <w:rsid w:val="004B53B3"/>
    <w:rsid w:val="004C1895"/>
    <w:rsid w:val="004C253C"/>
    <w:rsid w:val="004C6693"/>
    <w:rsid w:val="004C6D40"/>
    <w:rsid w:val="004C7B71"/>
    <w:rsid w:val="004D2EDB"/>
    <w:rsid w:val="004E259C"/>
    <w:rsid w:val="004E4F26"/>
    <w:rsid w:val="004E5830"/>
    <w:rsid w:val="004F0684"/>
    <w:rsid w:val="004F0C3C"/>
    <w:rsid w:val="004F63FC"/>
    <w:rsid w:val="00500519"/>
    <w:rsid w:val="005013B3"/>
    <w:rsid w:val="005023F6"/>
    <w:rsid w:val="0050485B"/>
    <w:rsid w:val="00505A92"/>
    <w:rsid w:val="005117A5"/>
    <w:rsid w:val="00513F49"/>
    <w:rsid w:val="0051529D"/>
    <w:rsid w:val="005153D2"/>
    <w:rsid w:val="005170DF"/>
    <w:rsid w:val="00517E3C"/>
    <w:rsid w:val="005203F1"/>
    <w:rsid w:val="00521BC3"/>
    <w:rsid w:val="00525D60"/>
    <w:rsid w:val="00533632"/>
    <w:rsid w:val="00541BC8"/>
    <w:rsid w:val="00541D6E"/>
    <w:rsid w:val="0054251F"/>
    <w:rsid w:val="005467EF"/>
    <w:rsid w:val="00550618"/>
    <w:rsid w:val="005520D8"/>
    <w:rsid w:val="00556CF1"/>
    <w:rsid w:val="00557826"/>
    <w:rsid w:val="00561734"/>
    <w:rsid w:val="00562D77"/>
    <w:rsid w:val="005762A7"/>
    <w:rsid w:val="005816AD"/>
    <w:rsid w:val="00581FCB"/>
    <w:rsid w:val="005858D2"/>
    <w:rsid w:val="005905F7"/>
    <w:rsid w:val="00591011"/>
    <w:rsid w:val="005916D7"/>
    <w:rsid w:val="005A22F6"/>
    <w:rsid w:val="005A555F"/>
    <w:rsid w:val="005A698C"/>
    <w:rsid w:val="005B66B6"/>
    <w:rsid w:val="005C08FA"/>
    <w:rsid w:val="005E0799"/>
    <w:rsid w:val="005E1315"/>
    <w:rsid w:val="005E273F"/>
    <w:rsid w:val="005F5A80"/>
    <w:rsid w:val="00602497"/>
    <w:rsid w:val="0060417C"/>
    <w:rsid w:val="006044FF"/>
    <w:rsid w:val="00606551"/>
    <w:rsid w:val="00607CC5"/>
    <w:rsid w:val="00611523"/>
    <w:rsid w:val="006122C2"/>
    <w:rsid w:val="006239C1"/>
    <w:rsid w:val="006258E1"/>
    <w:rsid w:val="00626297"/>
    <w:rsid w:val="00627EC7"/>
    <w:rsid w:val="00630A7D"/>
    <w:rsid w:val="00632E25"/>
    <w:rsid w:val="00633014"/>
    <w:rsid w:val="0063437B"/>
    <w:rsid w:val="00640352"/>
    <w:rsid w:val="0064184F"/>
    <w:rsid w:val="00642914"/>
    <w:rsid w:val="006436AD"/>
    <w:rsid w:val="00647A0D"/>
    <w:rsid w:val="00655F51"/>
    <w:rsid w:val="006673CA"/>
    <w:rsid w:val="00673C26"/>
    <w:rsid w:val="00677FFC"/>
    <w:rsid w:val="006808FF"/>
    <w:rsid w:val="006812AF"/>
    <w:rsid w:val="00682E40"/>
    <w:rsid w:val="0068327D"/>
    <w:rsid w:val="00694AF0"/>
    <w:rsid w:val="006A0F3D"/>
    <w:rsid w:val="006A29DC"/>
    <w:rsid w:val="006A3A44"/>
    <w:rsid w:val="006B0E9E"/>
    <w:rsid w:val="006B5AE4"/>
    <w:rsid w:val="006C3209"/>
    <w:rsid w:val="006D3C44"/>
    <w:rsid w:val="006D4054"/>
    <w:rsid w:val="006D6DE0"/>
    <w:rsid w:val="006E02EC"/>
    <w:rsid w:val="006E3D1B"/>
    <w:rsid w:val="006E4163"/>
    <w:rsid w:val="006F6834"/>
    <w:rsid w:val="00703754"/>
    <w:rsid w:val="00713723"/>
    <w:rsid w:val="00716E3B"/>
    <w:rsid w:val="007211B1"/>
    <w:rsid w:val="00727819"/>
    <w:rsid w:val="00731E84"/>
    <w:rsid w:val="00733446"/>
    <w:rsid w:val="007371F9"/>
    <w:rsid w:val="00740258"/>
    <w:rsid w:val="007418AC"/>
    <w:rsid w:val="0074246C"/>
    <w:rsid w:val="00745C6F"/>
    <w:rsid w:val="00746187"/>
    <w:rsid w:val="0074669E"/>
    <w:rsid w:val="00746A40"/>
    <w:rsid w:val="00754059"/>
    <w:rsid w:val="00757019"/>
    <w:rsid w:val="0076254F"/>
    <w:rsid w:val="00773012"/>
    <w:rsid w:val="0077422E"/>
    <w:rsid w:val="00774CD2"/>
    <w:rsid w:val="007801F5"/>
    <w:rsid w:val="00780EB5"/>
    <w:rsid w:val="00783CA4"/>
    <w:rsid w:val="007842FB"/>
    <w:rsid w:val="007858B7"/>
    <w:rsid w:val="00786124"/>
    <w:rsid w:val="00786F1B"/>
    <w:rsid w:val="007909A1"/>
    <w:rsid w:val="0079514B"/>
    <w:rsid w:val="007A1363"/>
    <w:rsid w:val="007A2DC1"/>
    <w:rsid w:val="007A6FF9"/>
    <w:rsid w:val="007C083C"/>
    <w:rsid w:val="007C1A68"/>
    <w:rsid w:val="007D3319"/>
    <w:rsid w:val="007D335D"/>
    <w:rsid w:val="007D632B"/>
    <w:rsid w:val="007E0923"/>
    <w:rsid w:val="007E0FD1"/>
    <w:rsid w:val="007E3314"/>
    <w:rsid w:val="007E4B03"/>
    <w:rsid w:val="007E7FE9"/>
    <w:rsid w:val="007F324B"/>
    <w:rsid w:val="0080553C"/>
    <w:rsid w:val="00805B46"/>
    <w:rsid w:val="0080719D"/>
    <w:rsid w:val="008074AB"/>
    <w:rsid w:val="008125CB"/>
    <w:rsid w:val="00825D91"/>
    <w:rsid w:val="00825DC2"/>
    <w:rsid w:val="00832C70"/>
    <w:rsid w:val="00834440"/>
    <w:rsid w:val="00834AD3"/>
    <w:rsid w:val="0083732D"/>
    <w:rsid w:val="00843795"/>
    <w:rsid w:val="00845E3A"/>
    <w:rsid w:val="00847F0F"/>
    <w:rsid w:val="00847FEF"/>
    <w:rsid w:val="00852448"/>
    <w:rsid w:val="008529A9"/>
    <w:rsid w:val="008637A5"/>
    <w:rsid w:val="008646EA"/>
    <w:rsid w:val="00867CE8"/>
    <w:rsid w:val="0088231B"/>
    <w:rsid w:val="0088258A"/>
    <w:rsid w:val="00883536"/>
    <w:rsid w:val="00886332"/>
    <w:rsid w:val="00891D75"/>
    <w:rsid w:val="00891E4F"/>
    <w:rsid w:val="00896326"/>
    <w:rsid w:val="008A26D9"/>
    <w:rsid w:val="008A5755"/>
    <w:rsid w:val="008A70A5"/>
    <w:rsid w:val="008A7C50"/>
    <w:rsid w:val="008B783B"/>
    <w:rsid w:val="008B7B14"/>
    <w:rsid w:val="008C0729"/>
    <w:rsid w:val="008C0C29"/>
    <w:rsid w:val="008D0B01"/>
    <w:rsid w:val="008D195A"/>
    <w:rsid w:val="008E201D"/>
    <w:rsid w:val="008E68C4"/>
    <w:rsid w:val="008F3638"/>
    <w:rsid w:val="008F4BCE"/>
    <w:rsid w:val="008F6F31"/>
    <w:rsid w:val="008F74DF"/>
    <w:rsid w:val="009026D6"/>
    <w:rsid w:val="00911D81"/>
    <w:rsid w:val="009127BA"/>
    <w:rsid w:val="00913667"/>
    <w:rsid w:val="009149F7"/>
    <w:rsid w:val="00916383"/>
    <w:rsid w:val="00916F85"/>
    <w:rsid w:val="009227A6"/>
    <w:rsid w:val="00922A42"/>
    <w:rsid w:val="00926AD3"/>
    <w:rsid w:val="00933EC1"/>
    <w:rsid w:val="00943A48"/>
    <w:rsid w:val="009530DB"/>
    <w:rsid w:val="00953676"/>
    <w:rsid w:val="00956219"/>
    <w:rsid w:val="009575EB"/>
    <w:rsid w:val="00960297"/>
    <w:rsid w:val="00960A2E"/>
    <w:rsid w:val="0096359C"/>
    <w:rsid w:val="009644B8"/>
    <w:rsid w:val="009705EE"/>
    <w:rsid w:val="00977025"/>
    <w:rsid w:val="00977927"/>
    <w:rsid w:val="0098003E"/>
    <w:rsid w:val="0098135C"/>
    <w:rsid w:val="0098156A"/>
    <w:rsid w:val="009825F1"/>
    <w:rsid w:val="00982C98"/>
    <w:rsid w:val="00984214"/>
    <w:rsid w:val="00985418"/>
    <w:rsid w:val="00987C85"/>
    <w:rsid w:val="00991BAC"/>
    <w:rsid w:val="009A132B"/>
    <w:rsid w:val="009A6EA0"/>
    <w:rsid w:val="009A77EB"/>
    <w:rsid w:val="009A78C8"/>
    <w:rsid w:val="009B2CBB"/>
    <w:rsid w:val="009B5887"/>
    <w:rsid w:val="009B60BC"/>
    <w:rsid w:val="009B78E9"/>
    <w:rsid w:val="009B7CDE"/>
    <w:rsid w:val="009C1335"/>
    <w:rsid w:val="009C1AB2"/>
    <w:rsid w:val="009C4254"/>
    <w:rsid w:val="009C7251"/>
    <w:rsid w:val="009D0130"/>
    <w:rsid w:val="009D3775"/>
    <w:rsid w:val="009D483C"/>
    <w:rsid w:val="009D4A67"/>
    <w:rsid w:val="009D5973"/>
    <w:rsid w:val="009E0386"/>
    <w:rsid w:val="009E099B"/>
    <w:rsid w:val="009E2E91"/>
    <w:rsid w:val="009E6957"/>
    <w:rsid w:val="009E731F"/>
    <w:rsid w:val="009F00C6"/>
    <w:rsid w:val="00A07C70"/>
    <w:rsid w:val="00A11EEB"/>
    <w:rsid w:val="00A139F5"/>
    <w:rsid w:val="00A2369E"/>
    <w:rsid w:val="00A248F5"/>
    <w:rsid w:val="00A27566"/>
    <w:rsid w:val="00A30061"/>
    <w:rsid w:val="00A33B47"/>
    <w:rsid w:val="00A365F4"/>
    <w:rsid w:val="00A37612"/>
    <w:rsid w:val="00A37806"/>
    <w:rsid w:val="00A47D80"/>
    <w:rsid w:val="00A53132"/>
    <w:rsid w:val="00A54768"/>
    <w:rsid w:val="00A563F2"/>
    <w:rsid w:val="00A566E8"/>
    <w:rsid w:val="00A76BF3"/>
    <w:rsid w:val="00A77663"/>
    <w:rsid w:val="00A810F9"/>
    <w:rsid w:val="00A83147"/>
    <w:rsid w:val="00A834DA"/>
    <w:rsid w:val="00A84088"/>
    <w:rsid w:val="00A84503"/>
    <w:rsid w:val="00A86ECC"/>
    <w:rsid w:val="00A86FCC"/>
    <w:rsid w:val="00A9655D"/>
    <w:rsid w:val="00AA710D"/>
    <w:rsid w:val="00AB1614"/>
    <w:rsid w:val="00AB3F4D"/>
    <w:rsid w:val="00AB4A64"/>
    <w:rsid w:val="00AB5DCE"/>
    <w:rsid w:val="00AB65FB"/>
    <w:rsid w:val="00AB6D25"/>
    <w:rsid w:val="00AC0A79"/>
    <w:rsid w:val="00AC0BBE"/>
    <w:rsid w:val="00AC2BB5"/>
    <w:rsid w:val="00AC49EF"/>
    <w:rsid w:val="00AC5547"/>
    <w:rsid w:val="00AD0283"/>
    <w:rsid w:val="00AD177C"/>
    <w:rsid w:val="00AD20F4"/>
    <w:rsid w:val="00AD58AA"/>
    <w:rsid w:val="00AD634D"/>
    <w:rsid w:val="00AD6F39"/>
    <w:rsid w:val="00AE2D4B"/>
    <w:rsid w:val="00AE4F99"/>
    <w:rsid w:val="00AF0AF4"/>
    <w:rsid w:val="00AF0B24"/>
    <w:rsid w:val="00B00A24"/>
    <w:rsid w:val="00B035D0"/>
    <w:rsid w:val="00B14952"/>
    <w:rsid w:val="00B16400"/>
    <w:rsid w:val="00B207AA"/>
    <w:rsid w:val="00B2460B"/>
    <w:rsid w:val="00B30FFD"/>
    <w:rsid w:val="00B3119B"/>
    <w:rsid w:val="00B31E5A"/>
    <w:rsid w:val="00B3654F"/>
    <w:rsid w:val="00B36F23"/>
    <w:rsid w:val="00B438FC"/>
    <w:rsid w:val="00B5197F"/>
    <w:rsid w:val="00B530EB"/>
    <w:rsid w:val="00B531C5"/>
    <w:rsid w:val="00B54FF9"/>
    <w:rsid w:val="00B57AD4"/>
    <w:rsid w:val="00B60893"/>
    <w:rsid w:val="00B63949"/>
    <w:rsid w:val="00B653AB"/>
    <w:rsid w:val="00B65F9E"/>
    <w:rsid w:val="00B66B19"/>
    <w:rsid w:val="00B70A7D"/>
    <w:rsid w:val="00B74F5D"/>
    <w:rsid w:val="00B76562"/>
    <w:rsid w:val="00B84C1B"/>
    <w:rsid w:val="00B90F56"/>
    <w:rsid w:val="00B914E9"/>
    <w:rsid w:val="00B93E4E"/>
    <w:rsid w:val="00B956EE"/>
    <w:rsid w:val="00BA2BA1"/>
    <w:rsid w:val="00BA4C34"/>
    <w:rsid w:val="00BB4F09"/>
    <w:rsid w:val="00BB6AB7"/>
    <w:rsid w:val="00BC0743"/>
    <w:rsid w:val="00BC0FCA"/>
    <w:rsid w:val="00BC667C"/>
    <w:rsid w:val="00BC78EF"/>
    <w:rsid w:val="00BD2433"/>
    <w:rsid w:val="00BD4E33"/>
    <w:rsid w:val="00BD692C"/>
    <w:rsid w:val="00BE6452"/>
    <w:rsid w:val="00BE78E6"/>
    <w:rsid w:val="00BF0462"/>
    <w:rsid w:val="00BF1479"/>
    <w:rsid w:val="00BF46FA"/>
    <w:rsid w:val="00C01288"/>
    <w:rsid w:val="00C030DE"/>
    <w:rsid w:val="00C03520"/>
    <w:rsid w:val="00C05127"/>
    <w:rsid w:val="00C061E3"/>
    <w:rsid w:val="00C06A10"/>
    <w:rsid w:val="00C12164"/>
    <w:rsid w:val="00C141D6"/>
    <w:rsid w:val="00C22105"/>
    <w:rsid w:val="00C22E78"/>
    <w:rsid w:val="00C244B6"/>
    <w:rsid w:val="00C24A6C"/>
    <w:rsid w:val="00C33A88"/>
    <w:rsid w:val="00C36E40"/>
    <w:rsid w:val="00C3702F"/>
    <w:rsid w:val="00C41E7E"/>
    <w:rsid w:val="00C4207B"/>
    <w:rsid w:val="00C442E5"/>
    <w:rsid w:val="00C476E8"/>
    <w:rsid w:val="00C51D20"/>
    <w:rsid w:val="00C61310"/>
    <w:rsid w:val="00C64215"/>
    <w:rsid w:val="00C64A37"/>
    <w:rsid w:val="00C66B19"/>
    <w:rsid w:val="00C7158E"/>
    <w:rsid w:val="00C71F79"/>
    <w:rsid w:val="00C7228E"/>
    <w:rsid w:val="00C7250B"/>
    <w:rsid w:val="00C7346B"/>
    <w:rsid w:val="00C75A61"/>
    <w:rsid w:val="00C77C0E"/>
    <w:rsid w:val="00C821E6"/>
    <w:rsid w:val="00C837AA"/>
    <w:rsid w:val="00C8517F"/>
    <w:rsid w:val="00C8582F"/>
    <w:rsid w:val="00C91687"/>
    <w:rsid w:val="00C924A8"/>
    <w:rsid w:val="00C945FE"/>
    <w:rsid w:val="00C94943"/>
    <w:rsid w:val="00C96FAA"/>
    <w:rsid w:val="00C97A04"/>
    <w:rsid w:val="00CA107B"/>
    <w:rsid w:val="00CA484D"/>
    <w:rsid w:val="00CA5418"/>
    <w:rsid w:val="00CA5D5F"/>
    <w:rsid w:val="00CA77D4"/>
    <w:rsid w:val="00CB4AF0"/>
    <w:rsid w:val="00CB5D7F"/>
    <w:rsid w:val="00CC26E8"/>
    <w:rsid w:val="00CC2DA1"/>
    <w:rsid w:val="00CC69E5"/>
    <w:rsid w:val="00CC739E"/>
    <w:rsid w:val="00CD58B7"/>
    <w:rsid w:val="00CE3A2F"/>
    <w:rsid w:val="00CF4099"/>
    <w:rsid w:val="00CF4511"/>
    <w:rsid w:val="00CF4C0C"/>
    <w:rsid w:val="00D00796"/>
    <w:rsid w:val="00D027E2"/>
    <w:rsid w:val="00D030C4"/>
    <w:rsid w:val="00D11766"/>
    <w:rsid w:val="00D12864"/>
    <w:rsid w:val="00D14972"/>
    <w:rsid w:val="00D16A87"/>
    <w:rsid w:val="00D22D90"/>
    <w:rsid w:val="00D24159"/>
    <w:rsid w:val="00D261A2"/>
    <w:rsid w:val="00D3525F"/>
    <w:rsid w:val="00D357BE"/>
    <w:rsid w:val="00D36281"/>
    <w:rsid w:val="00D3785C"/>
    <w:rsid w:val="00D43E5A"/>
    <w:rsid w:val="00D45622"/>
    <w:rsid w:val="00D4626A"/>
    <w:rsid w:val="00D56A8D"/>
    <w:rsid w:val="00D616D2"/>
    <w:rsid w:val="00D6333E"/>
    <w:rsid w:val="00D63B5F"/>
    <w:rsid w:val="00D64847"/>
    <w:rsid w:val="00D66E1E"/>
    <w:rsid w:val="00D67092"/>
    <w:rsid w:val="00D70EF7"/>
    <w:rsid w:val="00D7190B"/>
    <w:rsid w:val="00D72AC5"/>
    <w:rsid w:val="00D732D4"/>
    <w:rsid w:val="00D734B0"/>
    <w:rsid w:val="00D77E27"/>
    <w:rsid w:val="00D802F8"/>
    <w:rsid w:val="00D81AF4"/>
    <w:rsid w:val="00D8397C"/>
    <w:rsid w:val="00D93E2C"/>
    <w:rsid w:val="00D94EED"/>
    <w:rsid w:val="00D96026"/>
    <w:rsid w:val="00DA328A"/>
    <w:rsid w:val="00DA6CC3"/>
    <w:rsid w:val="00DA7C1C"/>
    <w:rsid w:val="00DB147A"/>
    <w:rsid w:val="00DB1B7A"/>
    <w:rsid w:val="00DB562E"/>
    <w:rsid w:val="00DB5AD5"/>
    <w:rsid w:val="00DB6B49"/>
    <w:rsid w:val="00DC000B"/>
    <w:rsid w:val="00DC3313"/>
    <w:rsid w:val="00DC6708"/>
    <w:rsid w:val="00DD11EE"/>
    <w:rsid w:val="00DD637B"/>
    <w:rsid w:val="00DD65D9"/>
    <w:rsid w:val="00DD7935"/>
    <w:rsid w:val="00DE0516"/>
    <w:rsid w:val="00DE1247"/>
    <w:rsid w:val="00DE1F7B"/>
    <w:rsid w:val="00DE308B"/>
    <w:rsid w:val="00DE4059"/>
    <w:rsid w:val="00DE5B17"/>
    <w:rsid w:val="00DE6BEA"/>
    <w:rsid w:val="00DF38D7"/>
    <w:rsid w:val="00DF5449"/>
    <w:rsid w:val="00DF757C"/>
    <w:rsid w:val="00DF79A6"/>
    <w:rsid w:val="00E01436"/>
    <w:rsid w:val="00E045BD"/>
    <w:rsid w:val="00E1295E"/>
    <w:rsid w:val="00E1690E"/>
    <w:rsid w:val="00E17B77"/>
    <w:rsid w:val="00E17D07"/>
    <w:rsid w:val="00E23337"/>
    <w:rsid w:val="00E23ECE"/>
    <w:rsid w:val="00E259EA"/>
    <w:rsid w:val="00E32061"/>
    <w:rsid w:val="00E42C99"/>
    <w:rsid w:val="00E42FF9"/>
    <w:rsid w:val="00E463EE"/>
    <w:rsid w:val="00E46A81"/>
    <w:rsid w:val="00E4714C"/>
    <w:rsid w:val="00E51AEB"/>
    <w:rsid w:val="00E522A7"/>
    <w:rsid w:val="00E54452"/>
    <w:rsid w:val="00E56BAF"/>
    <w:rsid w:val="00E603CE"/>
    <w:rsid w:val="00E63CA3"/>
    <w:rsid w:val="00E664C5"/>
    <w:rsid w:val="00E671A2"/>
    <w:rsid w:val="00E708B1"/>
    <w:rsid w:val="00E71334"/>
    <w:rsid w:val="00E76D26"/>
    <w:rsid w:val="00E80D55"/>
    <w:rsid w:val="00E85E87"/>
    <w:rsid w:val="00E86D8F"/>
    <w:rsid w:val="00EA3746"/>
    <w:rsid w:val="00EA75B8"/>
    <w:rsid w:val="00EB0922"/>
    <w:rsid w:val="00EB0A80"/>
    <w:rsid w:val="00EB1390"/>
    <w:rsid w:val="00EB149E"/>
    <w:rsid w:val="00EB1C99"/>
    <w:rsid w:val="00EB1E35"/>
    <w:rsid w:val="00EB2C71"/>
    <w:rsid w:val="00EB4340"/>
    <w:rsid w:val="00EB556D"/>
    <w:rsid w:val="00EB5A7D"/>
    <w:rsid w:val="00EC5227"/>
    <w:rsid w:val="00ED3082"/>
    <w:rsid w:val="00ED55C0"/>
    <w:rsid w:val="00ED5A2D"/>
    <w:rsid w:val="00ED682B"/>
    <w:rsid w:val="00EE353C"/>
    <w:rsid w:val="00EE41D5"/>
    <w:rsid w:val="00EF53B9"/>
    <w:rsid w:val="00F00464"/>
    <w:rsid w:val="00F01FB4"/>
    <w:rsid w:val="00F0207B"/>
    <w:rsid w:val="00F0208A"/>
    <w:rsid w:val="00F037A4"/>
    <w:rsid w:val="00F045A2"/>
    <w:rsid w:val="00F048EC"/>
    <w:rsid w:val="00F10E31"/>
    <w:rsid w:val="00F117A1"/>
    <w:rsid w:val="00F11FA7"/>
    <w:rsid w:val="00F27C8F"/>
    <w:rsid w:val="00F307F2"/>
    <w:rsid w:val="00F31175"/>
    <w:rsid w:val="00F32749"/>
    <w:rsid w:val="00F37172"/>
    <w:rsid w:val="00F4477E"/>
    <w:rsid w:val="00F47A35"/>
    <w:rsid w:val="00F55B24"/>
    <w:rsid w:val="00F66AA2"/>
    <w:rsid w:val="00F67D8F"/>
    <w:rsid w:val="00F704DC"/>
    <w:rsid w:val="00F73AAD"/>
    <w:rsid w:val="00F77F85"/>
    <w:rsid w:val="00F802BE"/>
    <w:rsid w:val="00F86024"/>
    <w:rsid w:val="00F8611A"/>
    <w:rsid w:val="00FA10F8"/>
    <w:rsid w:val="00FA5128"/>
    <w:rsid w:val="00FA5D40"/>
    <w:rsid w:val="00FB1121"/>
    <w:rsid w:val="00FB3C78"/>
    <w:rsid w:val="00FB42D4"/>
    <w:rsid w:val="00FB5108"/>
    <w:rsid w:val="00FB5441"/>
    <w:rsid w:val="00FB5906"/>
    <w:rsid w:val="00FB762F"/>
    <w:rsid w:val="00FC1F1B"/>
    <w:rsid w:val="00FC2AED"/>
    <w:rsid w:val="00FD1823"/>
    <w:rsid w:val="00FD4130"/>
    <w:rsid w:val="00FD4E22"/>
    <w:rsid w:val="00FD4F2D"/>
    <w:rsid w:val="00FD5EA7"/>
    <w:rsid w:val="00FD6015"/>
    <w:rsid w:val="00FD6433"/>
    <w:rsid w:val="00FE3CBC"/>
    <w:rsid w:val="00FE4B41"/>
    <w:rsid w:val="00FE71A2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11387"/>
  <w15:chartTrackingRefBased/>
  <w15:docId w15:val="{872DBFEE-0864-4F82-B8E1-2557496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17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17C"/>
    <w:rPr>
      <w:rFonts w:ascii="Fira Sans" w:hAnsi="Fira Sans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15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oter" Target="footer1.xml"/><Relationship Id="rId39" Type="http://schemas.openxmlformats.org/officeDocument/2006/relationships/hyperlink" Target="http://swaid.stat.gov.pl/SitePagesDBW/HandelZagraniczny.aspx" TargetMode="External"/><Relationship Id="rId21" Type="http://schemas.openxmlformats.org/officeDocument/2006/relationships/chart" Target="charts/chart11.xml"/><Relationship Id="rId34" Type="http://schemas.openxmlformats.org/officeDocument/2006/relationships/hyperlink" Target="http://swaid.stat.gov.pl/SitePagesDBW/HandelZagraniczny.aspx" TargetMode="External"/><Relationship Id="rId42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yperlink" Target="mailto:obslugaprasowa@stat.gov.pl" TargetMode="External"/><Relationship Id="rId41" Type="http://schemas.openxmlformats.org/officeDocument/2006/relationships/hyperlink" Target="http://stat.gov.pl/metainformacje/slownik-pojec/pojecia-stosowane-w-statystyce-publicznej/3179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image" Target="media/image6.png"/><Relationship Id="rId40" Type="http://schemas.openxmlformats.org/officeDocument/2006/relationships/hyperlink" Target="http://stat.gov.pl/metainformacje/slownik-pojec/pojecia-stosowane-w-statystyce-publicznej/3180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footer" Target="footer2.xml"/><Relationship Id="rId36" Type="http://schemas.openxmlformats.org/officeDocument/2006/relationships/hyperlink" Target="http://stat.gov.pl/metainformacje/slownik-pojec/pojecia-stosowane-w-statystyce-publicznej/3179,pojecie.html" TargetMode="External"/><Relationship Id="rId10" Type="http://schemas.openxmlformats.org/officeDocument/2006/relationships/image" Target="media/image2.emf"/><Relationship Id="rId19" Type="http://schemas.openxmlformats.org/officeDocument/2006/relationships/chart" Target="charts/chart9.xml"/><Relationship Id="rId31" Type="http://schemas.openxmlformats.org/officeDocument/2006/relationships/image" Target="media/image5.png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header" Target="header2.xml"/><Relationship Id="rId30" Type="http://schemas.openxmlformats.org/officeDocument/2006/relationships/image" Target="media/image4.png"/><Relationship Id="rId35" Type="http://schemas.openxmlformats.org/officeDocument/2006/relationships/hyperlink" Target="http://stat.gov.pl/metainformacje/slownik-pojec/pojecia-stosowane-w-statystyce-publicznej/3180,pojecie.html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eader" Target="header1.xml"/><Relationship Id="rId33" Type="http://schemas.openxmlformats.org/officeDocument/2006/relationships/hyperlink" Target="https://stat.gov.pl/obszary-tematyczne/roczniki-statystyczne/roczniki-statystyczne/rocznik-statystyczny-handlu-zagranicznego-2018,9,12.html" TargetMode="External"/><Relationship Id="rId38" Type="http://schemas.openxmlformats.org/officeDocument/2006/relationships/hyperlink" Target="https://stat.gov.pl/obszary-tematyczne/roczniki-statystyczne/roczniki-statystyczne/rocznik-statystyczny-handlu-zagranicznego-2018,9,12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Arkusz_programu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54397340193913"/>
          <c:y val="1.503205156466304E-2"/>
          <c:w val="0.86689814814814814"/>
          <c:h val="0.892254895909567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udział</c:v>
                </c:pt>
              </c:strCache>
            </c:strRef>
          </c:tx>
          <c:spPr>
            <a:solidFill>
              <a:srgbClr val="001D77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Arkusz1!$A$2:$A$14</c:f>
              <c:strCache>
                <c:ptCount val="13"/>
                <c:pt idx="0">
                  <c:v>Dział 68</c:v>
                </c:pt>
                <c:pt idx="1">
                  <c:v>Dział 62</c:v>
                </c:pt>
                <c:pt idx="2">
                  <c:v>Dział 73</c:v>
                </c:pt>
                <c:pt idx="3">
                  <c:v>Grupa 70.2</c:v>
                </c:pt>
                <c:pt idx="4">
                  <c:v>Dział 69</c:v>
                </c:pt>
                <c:pt idx="5">
                  <c:v>Dział 71</c:v>
                </c:pt>
                <c:pt idx="6">
                  <c:v>Dział 78</c:v>
                </c:pt>
                <c:pt idx="7">
                  <c:v>Dział 82</c:v>
                </c:pt>
                <c:pt idx="8">
                  <c:v>Dział 81</c:v>
                </c:pt>
                <c:pt idx="9">
                  <c:v>Dział 58</c:v>
                </c:pt>
                <c:pt idx="10">
                  <c:v>Dział 80</c:v>
                </c:pt>
                <c:pt idx="11">
                  <c:v>Grupa 63.1</c:v>
                </c:pt>
                <c:pt idx="12">
                  <c:v>Dział 74</c:v>
                </c:pt>
              </c:strCache>
            </c:strRef>
          </c:cat>
          <c:val>
            <c:numRef>
              <c:f>Arkusz1!$B$2:$B$14</c:f>
              <c:numCache>
                <c:formatCode>0.0%</c:formatCode>
                <c:ptCount val="13"/>
                <c:pt idx="0">
                  <c:v>0.223</c:v>
                </c:pt>
                <c:pt idx="1">
                  <c:v>0.16900000000000001</c:v>
                </c:pt>
                <c:pt idx="2">
                  <c:v>9.1999999999999998E-2</c:v>
                </c:pt>
                <c:pt idx="3">
                  <c:v>0.09</c:v>
                </c:pt>
                <c:pt idx="4">
                  <c:v>8.4000000000000005E-2</c:v>
                </c:pt>
                <c:pt idx="5">
                  <c:v>7.9000000000000001E-2</c:v>
                </c:pt>
                <c:pt idx="6">
                  <c:v>5.2999999999999999E-2</c:v>
                </c:pt>
                <c:pt idx="7">
                  <c:v>4.4999999999999998E-2</c:v>
                </c:pt>
                <c:pt idx="8">
                  <c:v>3.9E-2</c:v>
                </c:pt>
                <c:pt idx="9">
                  <c:v>3.2000000000000001E-2</c:v>
                </c:pt>
                <c:pt idx="10">
                  <c:v>3.2000000000000001E-2</c:v>
                </c:pt>
                <c:pt idx="11">
                  <c:v>3.1E-2</c:v>
                </c:pt>
                <c:pt idx="12">
                  <c:v>3.1E-2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748068336"/>
        <c:axId val="748071056"/>
      </c:barChart>
      <c:catAx>
        <c:axId val="748068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8071056"/>
        <c:crosses val="autoZero"/>
        <c:auto val="1"/>
        <c:lblAlgn val="ctr"/>
        <c:lblOffset val="100"/>
        <c:noMultiLvlLbl val="0"/>
      </c:catAx>
      <c:valAx>
        <c:axId val="748071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806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architektoniczno-
inżynieryjne</c:v>
                </c:pt>
                <c:pt idx="1">
                  <c:v>u. prawno-księgowe; 
u. doradztwa gosp.</c:v>
                </c:pt>
                <c:pt idx="2">
                  <c:v>pozostałe
 u. gospodarcze</c:v>
                </c:pt>
                <c:pt idx="3">
                  <c:v>u. informatyczne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0.33300000000000002</c:v>
                </c:pt>
                <c:pt idx="1">
                  <c:v>0.26700000000000002</c:v>
                </c:pt>
                <c:pt idx="2">
                  <c:v>7.0000000000000007E-2</c:v>
                </c:pt>
                <c:pt idx="3">
                  <c:v>0.112</c:v>
                </c:pt>
                <c:pt idx="4">
                  <c:v>0.218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architektoniczno-
inżynieryjne</c:v>
                </c:pt>
                <c:pt idx="1">
                  <c:v>u. prawno-księgowe; 
u. doradztwa gosp.</c:v>
                </c:pt>
                <c:pt idx="2">
                  <c:v>pozostałe
 u. gospodarcze</c:v>
                </c:pt>
                <c:pt idx="3">
                  <c:v>u. informatyczne</c:v>
                </c:pt>
                <c:pt idx="4">
                  <c:v>pozostałe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0.75800000000000001</c:v>
                </c:pt>
                <c:pt idx="1">
                  <c:v>7.0000000000000007E-2</c:v>
                </c:pt>
                <c:pt idx="2">
                  <c:v>5.2999999999999999E-2</c:v>
                </c:pt>
                <c:pt idx="3">
                  <c:v>4.2999999999999997E-2</c:v>
                </c:pt>
                <c:pt idx="4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7544480"/>
        <c:axId val="747541760"/>
      </c:barChart>
      <c:catAx>
        <c:axId val="74754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7541760"/>
        <c:crosses val="autoZero"/>
        <c:auto val="1"/>
        <c:lblAlgn val="ctr"/>
        <c:lblOffset val="100"/>
        <c:noMultiLvlLbl val="0"/>
      </c:catAx>
      <c:valAx>
        <c:axId val="747541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754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Szwajcaria</c:v>
                </c:pt>
                <c:pt idx="2">
                  <c:v>Irlandia</c:v>
                </c:pt>
                <c:pt idx="3">
                  <c:v>Belgia</c:v>
                </c:pt>
                <c:pt idx="4">
                  <c:v>Holandia</c:v>
                </c:pt>
                <c:pt idx="5">
                  <c:v>Niemcy</c:v>
                </c:pt>
                <c:pt idx="6">
                  <c:v>Wielka 
Brytania</c:v>
                </c:pt>
                <c:pt idx="7">
                  <c:v>Stany 
Zjednoczone</c:v>
                </c:pt>
                <c:pt idx="8">
                  <c:v>Węgry</c:v>
                </c:pt>
                <c:pt idx="9">
                  <c:v>Austria</c:v>
                </c:pt>
              </c:strCache>
            </c:strRef>
          </c:cat>
          <c:val>
            <c:numRef>
              <c:f>Arkusz1!$B$2:$B$11</c:f>
              <c:numCache>
                <c:formatCode>0.0%</c:formatCode>
                <c:ptCount val="10"/>
                <c:pt idx="0">
                  <c:v>0.158</c:v>
                </c:pt>
                <c:pt idx="1">
                  <c:v>0.04</c:v>
                </c:pt>
                <c:pt idx="2">
                  <c:v>0.45</c:v>
                </c:pt>
                <c:pt idx="3">
                  <c:v>4.0000000000000001E-3</c:v>
                </c:pt>
                <c:pt idx="4">
                  <c:v>4.7E-2</c:v>
                </c:pt>
                <c:pt idx="5">
                  <c:v>4.4999999999999998E-2</c:v>
                </c:pt>
                <c:pt idx="6">
                  <c:v>0.14099999999999999</c:v>
                </c:pt>
                <c:pt idx="7">
                  <c:v>9.9000000000000005E-2</c:v>
                </c:pt>
                <c:pt idx="8">
                  <c:v>0.01</c:v>
                </c:pt>
                <c:pt idx="9">
                  <c:v>6.0000000000000001E-3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Szwajcaria</c:v>
                </c:pt>
                <c:pt idx="2">
                  <c:v>Irlandia</c:v>
                </c:pt>
                <c:pt idx="3">
                  <c:v>Belgia</c:v>
                </c:pt>
                <c:pt idx="4">
                  <c:v>Holandia</c:v>
                </c:pt>
                <c:pt idx="5">
                  <c:v>Niemcy</c:v>
                </c:pt>
                <c:pt idx="6">
                  <c:v>Wielka 
Brytania</c:v>
                </c:pt>
                <c:pt idx="7">
                  <c:v>Stany 
Zjednoczone</c:v>
                </c:pt>
                <c:pt idx="8">
                  <c:v>Węgry</c:v>
                </c:pt>
                <c:pt idx="9">
                  <c:v>Austria</c:v>
                </c:pt>
              </c:strCache>
            </c:strRef>
          </c:cat>
          <c:val>
            <c:numRef>
              <c:f>Arkusz1!$C$2:$C$11</c:f>
              <c:numCache>
                <c:formatCode>0.0%</c:formatCode>
                <c:ptCount val="10"/>
                <c:pt idx="0">
                  <c:v>0.193</c:v>
                </c:pt>
                <c:pt idx="1">
                  <c:v>0.20499999999999999</c:v>
                </c:pt>
                <c:pt idx="2">
                  <c:v>0.156</c:v>
                </c:pt>
                <c:pt idx="3">
                  <c:v>0.08</c:v>
                </c:pt>
                <c:pt idx="4">
                  <c:v>7.5999999999999998E-2</c:v>
                </c:pt>
                <c:pt idx="5">
                  <c:v>7.4999999999999997E-2</c:v>
                </c:pt>
                <c:pt idx="6">
                  <c:v>7.2999999999999995E-2</c:v>
                </c:pt>
                <c:pt idx="7">
                  <c:v>7.0000000000000007E-2</c:v>
                </c:pt>
                <c:pt idx="8">
                  <c:v>0.04</c:v>
                </c:pt>
                <c:pt idx="9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7542304"/>
        <c:axId val="747542848"/>
      </c:barChart>
      <c:catAx>
        <c:axId val="747542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7542848"/>
        <c:crosses val="autoZero"/>
        <c:auto val="1"/>
        <c:lblAlgn val="ctr"/>
        <c:lblOffset val="100"/>
        <c:noMultiLvlLbl val="0"/>
      </c:catAx>
      <c:valAx>
        <c:axId val="747542848"/>
        <c:scaling>
          <c:orientation val="minMax"/>
          <c:max val="0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754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reklama</c:v>
                </c:pt>
                <c:pt idx="1">
                  <c:v>u. badawczo-rozwojowe</c:v>
                </c:pt>
                <c:pt idx="2">
                  <c:v>u. prawno-księgowe; 
u. doradztwa gosp.</c:v>
                </c:pt>
                <c:pt idx="3">
                  <c:v>u.informatyczne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0.70599999999999996</c:v>
                </c:pt>
                <c:pt idx="1">
                  <c:v>0</c:v>
                </c:pt>
                <c:pt idx="2">
                  <c:v>5.8999999999999997E-2</c:v>
                </c:pt>
                <c:pt idx="3">
                  <c:v>0.14599999999999999</c:v>
                </c:pt>
                <c:pt idx="4">
                  <c:v>8.8999999999999996E-2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reklama</c:v>
                </c:pt>
                <c:pt idx="1">
                  <c:v>u. badawczo-rozwojowe</c:v>
                </c:pt>
                <c:pt idx="2">
                  <c:v>u. prawno-księgowe; 
u. doradztwa gosp.</c:v>
                </c:pt>
                <c:pt idx="3">
                  <c:v>u.informatyczne</c:v>
                </c:pt>
                <c:pt idx="4">
                  <c:v>pozostałe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0.78700000000000003</c:v>
                </c:pt>
                <c:pt idx="1">
                  <c:v>7.2999999999999995E-2</c:v>
                </c:pt>
                <c:pt idx="2">
                  <c:v>6.5000000000000002E-2</c:v>
                </c:pt>
                <c:pt idx="3">
                  <c:v>2.8000000000000001E-2</c:v>
                </c:pt>
                <c:pt idx="4">
                  <c:v>4.7E-2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7545024"/>
        <c:axId val="740342544"/>
      </c:barChart>
      <c:catAx>
        <c:axId val="747545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0342544"/>
        <c:crosses val="autoZero"/>
        <c:auto val="1"/>
        <c:lblAlgn val="ctr"/>
        <c:lblOffset val="100"/>
        <c:noMultiLvlLbl val="0"/>
      </c:catAx>
      <c:valAx>
        <c:axId val="740342544"/>
        <c:scaling>
          <c:orientation val="minMax"/>
          <c:max val="0.8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754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Niemcy </c:v>
                </c:pt>
                <c:pt idx="1">
                  <c:v>Holandia</c:v>
                </c:pt>
                <c:pt idx="2">
                  <c:v>Norwegia</c:v>
                </c:pt>
                <c:pt idx="3">
                  <c:v>Belgia</c:v>
                </c:pt>
                <c:pt idx="4">
                  <c:v>Szwecja</c:v>
                </c:pt>
                <c:pt idx="5">
                  <c:v>Wielka 
Brytania</c:v>
                </c:pt>
                <c:pt idx="6">
                  <c:v>Francja</c:v>
                </c:pt>
                <c:pt idx="7">
                  <c:v>Dania</c:v>
                </c:pt>
                <c:pt idx="8">
                  <c:v>Czechy</c:v>
                </c:pt>
                <c:pt idx="9">
                  <c:v>pozostałe</c:v>
                </c:pt>
              </c:strCache>
            </c:strRef>
          </c:cat>
          <c:val>
            <c:numRef>
              <c:f>Arkusz1!$B$2:$B$11</c:f>
              <c:numCache>
                <c:formatCode>0.0%</c:formatCode>
                <c:ptCount val="10"/>
                <c:pt idx="0">
                  <c:v>0.22900000000000001</c:v>
                </c:pt>
                <c:pt idx="1">
                  <c:v>0.16</c:v>
                </c:pt>
                <c:pt idx="2">
                  <c:v>3.6999999999999998E-2</c:v>
                </c:pt>
                <c:pt idx="3">
                  <c:v>1.9E-2</c:v>
                </c:pt>
                <c:pt idx="4">
                  <c:v>0.01</c:v>
                </c:pt>
                <c:pt idx="5">
                  <c:v>0.182</c:v>
                </c:pt>
                <c:pt idx="6">
                  <c:v>2.1000000000000001E-2</c:v>
                </c:pt>
                <c:pt idx="7">
                  <c:v>1.0999999999999999E-2</c:v>
                </c:pt>
                <c:pt idx="8">
                  <c:v>1.2999999999999999E-2</c:v>
                </c:pt>
                <c:pt idx="9">
                  <c:v>0.318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Niemcy </c:v>
                </c:pt>
                <c:pt idx="1">
                  <c:v>Holandia</c:v>
                </c:pt>
                <c:pt idx="2">
                  <c:v>Norwegia</c:v>
                </c:pt>
                <c:pt idx="3">
                  <c:v>Belgia</c:v>
                </c:pt>
                <c:pt idx="4">
                  <c:v>Szwecja</c:v>
                </c:pt>
                <c:pt idx="5">
                  <c:v>Wielka 
Brytania</c:v>
                </c:pt>
                <c:pt idx="6">
                  <c:v>Francja</c:v>
                </c:pt>
                <c:pt idx="7">
                  <c:v>Dania</c:v>
                </c:pt>
                <c:pt idx="8">
                  <c:v>Czechy</c:v>
                </c:pt>
                <c:pt idx="9">
                  <c:v>pozostałe</c:v>
                </c:pt>
              </c:strCache>
            </c:strRef>
          </c:cat>
          <c:val>
            <c:numRef>
              <c:f>Arkusz1!$C$2:$C$11</c:f>
              <c:numCache>
                <c:formatCode>0.0%</c:formatCode>
                <c:ptCount val="10"/>
                <c:pt idx="0">
                  <c:v>0.40300000000000002</c:v>
                </c:pt>
                <c:pt idx="1">
                  <c:v>0.13900000000000001</c:v>
                </c:pt>
                <c:pt idx="2">
                  <c:v>9.7000000000000003E-2</c:v>
                </c:pt>
                <c:pt idx="3">
                  <c:v>6.4000000000000001E-2</c:v>
                </c:pt>
                <c:pt idx="4">
                  <c:v>5.8000000000000003E-2</c:v>
                </c:pt>
                <c:pt idx="5">
                  <c:v>5.3999999999999999E-2</c:v>
                </c:pt>
                <c:pt idx="6">
                  <c:v>4.4999999999999998E-2</c:v>
                </c:pt>
                <c:pt idx="7">
                  <c:v>4.2999999999999997E-2</c:v>
                </c:pt>
                <c:pt idx="8">
                  <c:v>1.7000000000000001E-2</c:v>
                </c:pt>
                <c:pt idx="9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0339824"/>
        <c:axId val="740343088"/>
      </c:barChart>
      <c:catAx>
        <c:axId val="74033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0343088"/>
        <c:crosses val="autoZero"/>
        <c:auto val="1"/>
        <c:lblAlgn val="ctr"/>
        <c:lblOffset val="100"/>
        <c:noMultiLvlLbl val="0"/>
      </c:catAx>
      <c:valAx>
        <c:axId val="740343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033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pośrednictwa pracy</c:v>
                </c:pt>
                <c:pt idx="1">
                  <c:v>u. kulturalne</c:v>
                </c:pt>
                <c:pt idx="2">
                  <c:v>u. informatyczne</c:v>
                </c:pt>
                <c:pt idx="3">
                  <c:v>pozostałe
 u. gospodarcze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0.31</c:v>
                </c:pt>
                <c:pt idx="1">
                  <c:v>2.9000000000000001E-2</c:v>
                </c:pt>
                <c:pt idx="2">
                  <c:v>8.1000000000000003E-2</c:v>
                </c:pt>
                <c:pt idx="3">
                  <c:v>9.6000000000000002E-2</c:v>
                </c:pt>
                <c:pt idx="4">
                  <c:v>0.48399999999999999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pośrednictwa pracy</c:v>
                </c:pt>
                <c:pt idx="1">
                  <c:v>u. kulturalne</c:v>
                </c:pt>
                <c:pt idx="2">
                  <c:v>u. informatyczne</c:v>
                </c:pt>
                <c:pt idx="3">
                  <c:v>pozostałe
 u. gospodarcze</c:v>
                </c:pt>
                <c:pt idx="4">
                  <c:v>pozostałe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0.63900000000000001</c:v>
                </c:pt>
                <c:pt idx="1">
                  <c:v>0.111</c:v>
                </c:pt>
                <c:pt idx="2">
                  <c:v>7.5999999999999998E-2</c:v>
                </c:pt>
                <c:pt idx="3">
                  <c:v>7.4999999999999997E-2</c:v>
                </c:pt>
                <c:pt idx="4">
                  <c:v>9.9000000000000005E-2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0340368"/>
        <c:axId val="740343632"/>
      </c:barChart>
      <c:catAx>
        <c:axId val="740340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40343632"/>
        <c:crosses val="autoZero"/>
        <c:auto val="1"/>
        <c:lblAlgn val="ctr"/>
        <c:lblOffset val="100"/>
        <c:noMultiLvlLbl val="0"/>
      </c:catAx>
      <c:valAx>
        <c:axId val="740343632"/>
        <c:scaling>
          <c:orientation val="minMax"/>
          <c:max val="0.65000000000000013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40340368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Przedsiębiorstwa z liczbą pracujących 9 osób i mniej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</c:v>
                </c:pt>
              </c:strCache>
            </c:strRef>
          </c:cat>
          <c:val>
            <c:numRef>
              <c:f>Arkusz1!$B$2:$B$4</c:f>
              <c:numCache>
                <c:formatCode>0.0%</c:formatCode>
                <c:ptCount val="3"/>
                <c:pt idx="0">
                  <c:v>0.97499999999999998</c:v>
                </c:pt>
                <c:pt idx="1">
                  <c:v>0.45500000000000002</c:v>
                </c:pt>
                <c:pt idx="2">
                  <c:v>0.46800000000000003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Przedsiębiorstwa z liczbą pracujących od 10 do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0332038555325601E-2"/>
                  <c:y val="6.612828355133283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</c:v>
                </c:pt>
              </c:strCache>
            </c:strRef>
          </c:cat>
          <c:val>
            <c:numRef>
              <c:f>Arkusz1!$C$2:$C$4</c:f>
              <c:numCache>
                <c:formatCode>0.0%</c:formatCode>
                <c:ptCount val="3"/>
                <c:pt idx="0">
                  <c:v>0.02</c:v>
                </c:pt>
                <c:pt idx="1">
                  <c:v>0.125</c:v>
                </c:pt>
                <c:pt idx="2">
                  <c:v>0.153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Przedsiębiorstwa z liczbą pracujących 50 osób i więcej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4104133785780767E-2"/>
                  <c:y val="-9.804689703043312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</c:v>
                </c:pt>
              </c:strCache>
            </c:strRef>
          </c:cat>
          <c:val>
            <c:numRef>
              <c:f>Arkusz1!$D$2:$D$4</c:f>
              <c:numCache>
                <c:formatCode>0.0%</c:formatCode>
                <c:ptCount val="3"/>
                <c:pt idx="0">
                  <c:v>5.0000000000000001E-3</c:v>
                </c:pt>
                <c:pt idx="1">
                  <c:v>0.42</c:v>
                </c:pt>
                <c:pt idx="2">
                  <c:v>0.379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48069968"/>
        <c:axId val="748068880"/>
      </c:barChart>
      <c:catAx>
        <c:axId val="74806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8068880"/>
        <c:crosses val="autoZero"/>
        <c:auto val="1"/>
        <c:lblAlgn val="ctr"/>
        <c:lblOffset val="100"/>
        <c:noMultiLvlLbl val="0"/>
      </c:catAx>
      <c:valAx>
        <c:axId val="74806888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806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97836989414005"/>
          <c:y val="0.71580330604369813"/>
          <c:w val="0.59545833538603687"/>
          <c:h val="0.225504719194868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45687518226888"/>
          <c:y val="4.3650793650793648E-2"/>
          <c:w val="0.77720053222513852"/>
          <c:h val="0.766985459497621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Niemcy</c:v>
                </c:pt>
                <c:pt idx="2">
                  <c:v>Stany Zjednoczone</c:v>
                </c:pt>
                <c:pt idx="3">
                  <c:v>Wielka Brytania</c:v>
                </c:pt>
                <c:pt idx="4">
                  <c:v>Szwajcaria</c:v>
                </c:pt>
                <c:pt idx="5">
                  <c:v>Holandia</c:v>
                </c:pt>
                <c:pt idx="6">
                  <c:v>Irlandia</c:v>
                </c:pt>
                <c:pt idx="7">
                  <c:v>Francja</c:v>
                </c:pt>
                <c:pt idx="8">
                  <c:v>Belgia</c:v>
                </c:pt>
                <c:pt idx="9">
                  <c:v>Dania</c:v>
                </c:pt>
              </c:strCache>
            </c:strRef>
          </c:cat>
          <c:val>
            <c:numRef>
              <c:f>Arkusz1!$B$2:$B$11</c:f>
              <c:numCache>
                <c:formatCode>0.0%</c:formatCode>
                <c:ptCount val="10"/>
                <c:pt idx="0">
                  <c:v>0.248</c:v>
                </c:pt>
                <c:pt idx="1">
                  <c:v>0.123</c:v>
                </c:pt>
                <c:pt idx="2">
                  <c:v>0.127</c:v>
                </c:pt>
                <c:pt idx="3">
                  <c:v>0.14499999999999999</c:v>
                </c:pt>
                <c:pt idx="4">
                  <c:v>3.9E-2</c:v>
                </c:pt>
                <c:pt idx="5">
                  <c:v>8.4000000000000005E-2</c:v>
                </c:pt>
                <c:pt idx="6">
                  <c:v>0.16700000000000001</c:v>
                </c:pt>
                <c:pt idx="7">
                  <c:v>3.7999999999999999E-2</c:v>
                </c:pt>
                <c:pt idx="8">
                  <c:v>0.01</c:v>
                </c:pt>
                <c:pt idx="9">
                  <c:v>1.9E-2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Niemcy</c:v>
                </c:pt>
                <c:pt idx="2">
                  <c:v>Stany Zjednoczone</c:v>
                </c:pt>
                <c:pt idx="3">
                  <c:v>Wielka Brytania</c:v>
                </c:pt>
                <c:pt idx="4">
                  <c:v>Szwajcaria</c:v>
                </c:pt>
                <c:pt idx="5">
                  <c:v>Holandia</c:v>
                </c:pt>
                <c:pt idx="6">
                  <c:v>Irlandia</c:v>
                </c:pt>
                <c:pt idx="7">
                  <c:v>Francja</c:v>
                </c:pt>
                <c:pt idx="8">
                  <c:v>Belgia</c:v>
                </c:pt>
                <c:pt idx="9">
                  <c:v>Dania</c:v>
                </c:pt>
              </c:strCache>
            </c:strRef>
          </c:cat>
          <c:val>
            <c:numRef>
              <c:f>Arkusz1!$C$2:$C$11</c:f>
              <c:numCache>
                <c:formatCode>0.0%</c:formatCode>
                <c:ptCount val="10"/>
                <c:pt idx="0">
                  <c:v>0.223</c:v>
                </c:pt>
                <c:pt idx="1">
                  <c:v>0.14799999999999999</c:v>
                </c:pt>
                <c:pt idx="2">
                  <c:v>0.14699999999999999</c:v>
                </c:pt>
                <c:pt idx="3">
                  <c:v>0.14199999999999999</c:v>
                </c:pt>
                <c:pt idx="4">
                  <c:v>0.115</c:v>
                </c:pt>
                <c:pt idx="5">
                  <c:v>7.9000000000000001E-2</c:v>
                </c:pt>
                <c:pt idx="6">
                  <c:v>6.2E-2</c:v>
                </c:pt>
                <c:pt idx="7">
                  <c:v>3.3000000000000002E-2</c:v>
                </c:pt>
                <c:pt idx="8">
                  <c:v>2.7E-2</c:v>
                </c:pt>
                <c:pt idx="9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8069424"/>
        <c:axId val="748070512"/>
      </c:barChart>
      <c:catAx>
        <c:axId val="748069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8070512"/>
        <c:crosses val="autoZero"/>
        <c:auto val="1"/>
        <c:lblAlgn val="ctr"/>
        <c:lblOffset val="100"/>
        <c:tickLblSkip val="1"/>
        <c:noMultiLvlLbl val="0"/>
      </c:catAx>
      <c:valAx>
        <c:axId val="748070512"/>
        <c:scaling>
          <c:orientation val="minMax"/>
          <c:max val="0.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8069424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u. informatyczne</c:v>
                </c:pt>
                <c:pt idx="1">
                  <c:v>u. prawno-księgowe; 
u. doradztwa gosp.</c:v>
                </c:pt>
                <c:pt idx="2">
                  <c:v>reklama</c:v>
                </c:pt>
                <c:pt idx="3">
                  <c:v>u. architektoniczno-
inżynieryjne</c:v>
                </c:pt>
                <c:pt idx="4">
                  <c:v>pozostałe
 u. gospodarcze</c:v>
                </c:pt>
                <c:pt idx="5">
                  <c:v>pozostałe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0.33</c:v>
                </c:pt>
                <c:pt idx="1">
                  <c:v>0.186</c:v>
                </c:pt>
                <c:pt idx="2">
                  <c:v>0.193</c:v>
                </c:pt>
                <c:pt idx="3">
                  <c:v>2.8000000000000001E-2</c:v>
                </c:pt>
                <c:pt idx="4">
                  <c:v>4.9000000000000002E-2</c:v>
                </c:pt>
                <c:pt idx="5">
                  <c:v>0.214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u. informatyczne</c:v>
                </c:pt>
                <c:pt idx="1">
                  <c:v>u. prawno-księgowe; 
u. doradztwa gosp.</c:v>
                </c:pt>
                <c:pt idx="2">
                  <c:v>reklama</c:v>
                </c:pt>
                <c:pt idx="3">
                  <c:v>u. architektoniczno-
inżynieryjne</c:v>
                </c:pt>
                <c:pt idx="4">
                  <c:v>pozostałe
 u. gospodarcze</c:v>
                </c:pt>
                <c:pt idx="5">
                  <c:v>pozostałe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0.36</c:v>
                </c:pt>
                <c:pt idx="1">
                  <c:v>0.23799999999999999</c:v>
                </c:pt>
                <c:pt idx="2">
                  <c:v>0.11899999999999999</c:v>
                </c:pt>
                <c:pt idx="3">
                  <c:v>5.6000000000000001E-2</c:v>
                </c:pt>
                <c:pt idx="4">
                  <c:v>4.5999999999999999E-2</c:v>
                </c:pt>
                <c:pt idx="5">
                  <c:v>0.18099999999999999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9158800"/>
        <c:axId val="749164240"/>
      </c:barChart>
      <c:catAx>
        <c:axId val="749158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64240"/>
        <c:crosses val="autoZero"/>
        <c:auto val="1"/>
        <c:lblAlgn val="ctr"/>
        <c:lblOffset val="100"/>
        <c:noMultiLvlLbl val="0"/>
      </c:catAx>
      <c:valAx>
        <c:axId val="749164240"/>
        <c:scaling>
          <c:orientation val="minMax"/>
          <c:max val="0.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5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45687518226888"/>
          <c:y val="4.3650793650793648E-2"/>
          <c:w val="0.77720053222513852"/>
          <c:h val="0.766985459497621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Stany Zjednoczone</c:v>
                </c:pt>
                <c:pt idx="2">
                  <c:v>Niemcy</c:v>
                </c:pt>
                <c:pt idx="3">
                  <c:v>Wielka Brytania</c:v>
                </c:pt>
                <c:pt idx="4">
                  <c:v>Szwajcaria</c:v>
                </c:pt>
                <c:pt idx="5">
                  <c:v>Irlandia</c:v>
                </c:pt>
                <c:pt idx="6">
                  <c:v>Holandia</c:v>
                </c:pt>
                <c:pt idx="7">
                  <c:v>Francja</c:v>
                </c:pt>
                <c:pt idx="8">
                  <c:v>Szwecja</c:v>
                </c:pt>
                <c:pt idx="9">
                  <c:v>Dania</c:v>
                </c:pt>
              </c:strCache>
            </c:strRef>
          </c:cat>
          <c:val>
            <c:numRef>
              <c:f>Arkusz1!$B$2:$B$11</c:f>
              <c:numCache>
                <c:formatCode>0.0%</c:formatCode>
                <c:ptCount val="10"/>
                <c:pt idx="0">
                  <c:v>0.23100000000000001</c:v>
                </c:pt>
                <c:pt idx="1">
                  <c:v>0.161</c:v>
                </c:pt>
                <c:pt idx="2">
                  <c:v>0.14099999999999999</c:v>
                </c:pt>
                <c:pt idx="3">
                  <c:v>0.104</c:v>
                </c:pt>
                <c:pt idx="4">
                  <c:v>3.3000000000000002E-2</c:v>
                </c:pt>
                <c:pt idx="5">
                  <c:v>0.16600000000000001</c:v>
                </c:pt>
                <c:pt idx="6">
                  <c:v>9.7000000000000003E-2</c:v>
                </c:pt>
                <c:pt idx="7">
                  <c:v>4.4999999999999998E-2</c:v>
                </c:pt>
                <c:pt idx="8">
                  <c:v>1.4E-2</c:v>
                </c:pt>
                <c:pt idx="9">
                  <c:v>8.0000000000000002E-3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Stany Zjednoczone</c:v>
                </c:pt>
                <c:pt idx="2">
                  <c:v>Niemcy</c:v>
                </c:pt>
                <c:pt idx="3">
                  <c:v>Wielka Brytania</c:v>
                </c:pt>
                <c:pt idx="4">
                  <c:v>Szwajcaria</c:v>
                </c:pt>
                <c:pt idx="5">
                  <c:v>Irlandia</c:v>
                </c:pt>
                <c:pt idx="6">
                  <c:v>Holandia</c:v>
                </c:pt>
                <c:pt idx="7">
                  <c:v>Francja</c:v>
                </c:pt>
                <c:pt idx="8">
                  <c:v>Szwecja</c:v>
                </c:pt>
                <c:pt idx="9">
                  <c:v>Dania</c:v>
                </c:pt>
              </c:strCache>
            </c:strRef>
          </c:cat>
          <c:val>
            <c:numRef>
              <c:f>Arkusz1!$C$2:$C$11</c:f>
              <c:numCache>
                <c:formatCode>0.0%</c:formatCode>
                <c:ptCount val="10"/>
                <c:pt idx="0">
                  <c:v>0.182</c:v>
                </c:pt>
                <c:pt idx="1">
                  <c:v>0.19700000000000001</c:v>
                </c:pt>
                <c:pt idx="2">
                  <c:v>0.154</c:v>
                </c:pt>
                <c:pt idx="3">
                  <c:v>0.15</c:v>
                </c:pt>
                <c:pt idx="4">
                  <c:v>8.3000000000000004E-2</c:v>
                </c:pt>
                <c:pt idx="5">
                  <c:v>8.2000000000000003E-2</c:v>
                </c:pt>
                <c:pt idx="6">
                  <c:v>6.9000000000000006E-2</c:v>
                </c:pt>
                <c:pt idx="7">
                  <c:v>3.5999999999999997E-2</c:v>
                </c:pt>
                <c:pt idx="8">
                  <c:v>2.4E-2</c:v>
                </c:pt>
                <c:pt idx="9">
                  <c:v>2.3E-2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9164784"/>
        <c:axId val="749163696"/>
      </c:barChart>
      <c:catAx>
        <c:axId val="749164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63696"/>
        <c:crosses val="autoZero"/>
        <c:auto val="1"/>
        <c:lblAlgn val="ctr"/>
        <c:lblOffset val="100"/>
        <c:noMultiLvlLbl val="0"/>
      </c:catAx>
      <c:valAx>
        <c:axId val="749163696"/>
        <c:scaling>
          <c:orientation val="minMax"/>
          <c:max val="0.2400000000000000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64784"/>
        <c:crosses val="autoZero"/>
        <c:crossBetween val="between"/>
        <c:majorUnit val="4.0000000000000008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informatyczne</c:v>
                </c:pt>
                <c:pt idx="1">
                  <c:v>u. prawno-księgowe; 
u. doradztwa gosp.</c:v>
                </c:pt>
                <c:pt idx="2">
                  <c:v>opłaty z tytułu użytkowania 
własności intelektualnej</c:v>
                </c:pt>
                <c:pt idx="3">
                  <c:v>reklama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0.53600000000000003</c:v>
                </c:pt>
                <c:pt idx="1">
                  <c:v>6.9000000000000006E-2</c:v>
                </c:pt>
                <c:pt idx="2">
                  <c:v>0.14199999999999999</c:v>
                </c:pt>
                <c:pt idx="3">
                  <c:v>0.112</c:v>
                </c:pt>
                <c:pt idx="4">
                  <c:v>0.14099999999999999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informatyczne</c:v>
                </c:pt>
                <c:pt idx="1">
                  <c:v>u. prawno-księgowe; 
u. doradztwa gosp.</c:v>
                </c:pt>
                <c:pt idx="2">
                  <c:v>opłaty z tytułu użytkowania 
własności intelektualnej</c:v>
                </c:pt>
                <c:pt idx="3">
                  <c:v>reklama</c:v>
                </c:pt>
                <c:pt idx="4">
                  <c:v>pozostałe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0.69599999999999995</c:v>
                </c:pt>
                <c:pt idx="1">
                  <c:v>8.5000000000000006E-2</c:v>
                </c:pt>
                <c:pt idx="2">
                  <c:v>5.0999999999999997E-2</c:v>
                </c:pt>
                <c:pt idx="3">
                  <c:v>4.7E-2</c:v>
                </c:pt>
                <c:pt idx="4">
                  <c:v>0.121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9163152"/>
        <c:axId val="749157712"/>
      </c:barChart>
      <c:catAx>
        <c:axId val="749163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57712"/>
        <c:crosses val="autoZero"/>
        <c:auto val="1"/>
        <c:lblAlgn val="ctr"/>
        <c:lblOffset val="100"/>
        <c:noMultiLvlLbl val="0"/>
      </c:catAx>
      <c:valAx>
        <c:axId val="749157712"/>
        <c:scaling>
          <c:orientation val="minMax"/>
          <c:max val="0.7000000000000000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6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018573199183434"/>
          <c:y val="4.3650793650793648E-2"/>
          <c:w val="0.7770191746864975"/>
          <c:h val="0.783325521809773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 </c:v>
                </c:pt>
                <c:pt idx="1">
                  <c:v>Wielka Brytania</c:v>
                </c:pt>
                <c:pt idx="2">
                  <c:v>Szwajcaria</c:v>
                </c:pt>
                <c:pt idx="3">
                  <c:v>Stany Zjednoczone </c:v>
                </c:pt>
                <c:pt idx="4">
                  <c:v>Holandia</c:v>
                </c:pt>
                <c:pt idx="5">
                  <c:v>Niemcy</c:v>
                </c:pt>
                <c:pt idx="6">
                  <c:v>Dania</c:v>
                </c:pt>
                <c:pt idx="7">
                  <c:v>Irlandia</c:v>
                </c:pt>
                <c:pt idx="8">
                  <c:v>Francja</c:v>
                </c:pt>
                <c:pt idx="9">
                  <c:v>Belgia</c:v>
                </c:pt>
              </c:strCache>
            </c:strRef>
          </c:cat>
          <c:val>
            <c:numRef>
              <c:f>Arkusz1!$B$2:$B$11</c:f>
              <c:numCache>
                <c:formatCode>0.0%</c:formatCode>
                <c:ptCount val="10"/>
                <c:pt idx="0">
                  <c:v>0.30399999999999999</c:v>
                </c:pt>
                <c:pt idx="1">
                  <c:v>0.20799999999999999</c:v>
                </c:pt>
                <c:pt idx="2">
                  <c:v>5.1999999999999998E-2</c:v>
                </c:pt>
                <c:pt idx="3">
                  <c:v>0.113</c:v>
                </c:pt>
                <c:pt idx="4">
                  <c:v>6.2E-2</c:v>
                </c:pt>
                <c:pt idx="5">
                  <c:v>0.13</c:v>
                </c:pt>
                <c:pt idx="6">
                  <c:v>3.2000000000000001E-2</c:v>
                </c:pt>
                <c:pt idx="7">
                  <c:v>0.04</c:v>
                </c:pt>
                <c:pt idx="8">
                  <c:v>0.04</c:v>
                </c:pt>
                <c:pt idx="9">
                  <c:v>1.9E-2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 </c:v>
                </c:pt>
                <c:pt idx="1">
                  <c:v>Wielka Brytania</c:v>
                </c:pt>
                <c:pt idx="2">
                  <c:v>Szwajcaria</c:v>
                </c:pt>
                <c:pt idx="3">
                  <c:v>Stany Zjednoczone </c:v>
                </c:pt>
                <c:pt idx="4">
                  <c:v>Holandia</c:v>
                </c:pt>
                <c:pt idx="5">
                  <c:v>Niemcy</c:v>
                </c:pt>
                <c:pt idx="6">
                  <c:v>Dania</c:v>
                </c:pt>
                <c:pt idx="7">
                  <c:v>Irlandia</c:v>
                </c:pt>
                <c:pt idx="8">
                  <c:v>Francja</c:v>
                </c:pt>
                <c:pt idx="9">
                  <c:v>Belgia</c:v>
                </c:pt>
              </c:strCache>
            </c:strRef>
          </c:cat>
          <c:val>
            <c:numRef>
              <c:f>Arkusz1!$C$2:$C$11</c:f>
              <c:numCache>
                <c:formatCode>0.0%</c:formatCode>
                <c:ptCount val="10"/>
                <c:pt idx="0">
                  <c:v>0.26500000000000001</c:v>
                </c:pt>
                <c:pt idx="1">
                  <c:v>0.16800000000000001</c:v>
                </c:pt>
                <c:pt idx="2">
                  <c:v>0.13800000000000001</c:v>
                </c:pt>
                <c:pt idx="3">
                  <c:v>0.124</c:v>
                </c:pt>
                <c:pt idx="4">
                  <c:v>0.10100000000000001</c:v>
                </c:pt>
                <c:pt idx="5">
                  <c:v>8.7999999999999995E-2</c:v>
                </c:pt>
                <c:pt idx="6">
                  <c:v>3.3000000000000002E-2</c:v>
                </c:pt>
                <c:pt idx="7">
                  <c:v>3.1E-2</c:v>
                </c:pt>
                <c:pt idx="8">
                  <c:v>0.03</c:v>
                </c:pt>
                <c:pt idx="9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9161520"/>
        <c:axId val="749162064"/>
      </c:barChart>
      <c:catAx>
        <c:axId val="749161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62064"/>
        <c:crosses val="autoZero"/>
        <c:auto val="1"/>
        <c:lblAlgn val="ctr"/>
        <c:lblOffset val="100"/>
        <c:noMultiLvlLbl val="0"/>
      </c:catAx>
      <c:valAx>
        <c:axId val="749162064"/>
        <c:scaling>
          <c:orientation val="minMax"/>
          <c:max val="0.3500000000000000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6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prawno-księgowe; 
u. doradztwa gosp.</c:v>
                </c:pt>
                <c:pt idx="1">
                  <c:v>u. informatyczne</c:v>
                </c:pt>
                <c:pt idx="2">
                  <c:v>reklama</c:v>
                </c:pt>
                <c:pt idx="3">
                  <c:v>u. transportowe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0.46100000000000002</c:v>
                </c:pt>
                <c:pt idx="1">
                  <c:v>0.27100000000000002</c:v>
                </c:pt>
                <c:pt idx="2">
                  <c:v>6.5000000000000002E-2</c:v>
                </c:pt>
                <c:pt idx="3">
                  <c:v>2.7E-2</c:v>
                </c:pt>
                <c:pt idx="4">
                  <c:v>0.17599999999999999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u. prawno-księgowe; 
u. doradztwa gosp.</c:v>
                </c:pt>
                <c:pt idx="1">
                  <c:v>u. informatyczne</c:v>
                </c:pt>
                <c:pt idx="2">
                  <c:v>reklama</c:v>
                </c:pt>
                <c:pt idx="3">
                  <c:v>u. transportowe</c:v>
                </c:pt>
                <c:pt idx="4">
                  <c:v>pozostałe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0.75800000000000001</c:v>
                </c:pt>
                <c:pt idx="1">
                  <c:v>8.1000000000000003E-2</c:v>
                </c:pt>
                <c:pt idx="2">
                  <c:v>3.5000000000000003E-2</c:v>
                </c:pt>
                <c:pt idx="3">
                  <c:v>2.1999999999999999E-2</c:v>
                </c:pt>
                <c:pt idx="4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9159344"/>
        <c:axId val="749160976"/>
      </c:barChart>
      <c:catAx>
        <c:axId val="749159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60976"/>
        <c:crosses val="autoZero"/>
        <c:auto val="1"/>
        <c:lblAlgn val="ctr"/>
        <c:lblOffset val="100"/>
        <c:noMultiLvlLbl val="0"/>
      </c:catAx>
      <c:valAx>
        <c:axId val="749160976"/>
        <c:scaling>
          <c:orientation val="minMax"/>
          <c:max val="0.8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9159344"/>
        <c:crosses val="autoZero"/>
        <c:crossBetween val="between"/>
        <c:majorUnit val="0.1"/>
        <c:min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28535584054895"/>
          <c:y val="4.3650913062618764E-2"/>
          <c:w val="0.78778306357538641"/>
          <c:h val="0.775389013873265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nabyte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Niemcy  </c:v>
                </c:pt>
                <c:pt idx="2">
                  <c:v>Stany Zjednoczone  </c:v>
                </c:pt>
                <c:pt idx="3">
                  <c:v>Wielka Brytania</c:v>
                </c:pt>
                <c:pt idx="4">
                  <c:v>Belgia</c:v>
                </c:pt>
                <c:pt idx="5">
                  <c:v>Włochy</c:v>
                </c:pt>
                <c:pt idx="6">
                  <c:v>Francja</c:v>
                </c:pt>
                <c:pt idx="7">
                  <c:v>Holandia</c:v>
                </c:pt>
                <c:pt idx="8">
                  <c:v>Finlandia</c:v>
                </c:pt>
                <c:pt idx="9">
                  <c:v>Czechy</c:v>
                </c:pt>
              </c:strCache>
            </c:strRef>
          </c:cat>
          <c:val>
            <c:numRef>
              <c:f>Arkusz1!$B$2:$B$11</c:f>
              <c:numCache>
                <c:formatCode>0.00%</c:formatCode>
                <c:ptCount val="10"/>
                <c:pt idx="0" formatCode="0.0%">
                  <c:v>0.44400000000000001</c:v>
                </c:pt>
                <c:pt idx="1">
                  <c:v>0.23799999999999999</c:v>
                </c:pt>
                <c:pt idx="2">
                  <c:v>0.05</c:v>
                </c:pt>
                <c:pt idx="3">
                  <c:v>0.10199999999999999</c:v>
                </c:pt>
                <c:pt idx="4">
                  <c:v>5.0000000000000001E-3</c:v>
                </c:pt>
                <c:pt idx="5">
                  <c:v>1.9E-2</c:v>
                </c:pt>
                <c:pt idx="6">
                  <c:v>4.5999999999999999E-2</c:v>
                </c:pt>
                <c:pt idx="7">
                  <c:v>4.3999999999999997E-2</c:v>
                </c:pt>
                <c:pt idx="8">
                  <c:v>1.7000000000000001E-2</c:v>
                </c:pt>
                <c:pt idx="9">
                  <c:v>3.5000000000000003E-2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dostarczone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Arkusz1!$A$2:$A$11</c:f>
              <c:strCache>
                <c:ptCount val="10"/>
                <c:pt idx="0">
                  <c:v>pozostałe</c:v>
                </c:pt>
                <c:pt idx="1">
                  <c:v>Niemcy  </c:v>
                </c:pt>
                <c:pt idx="2">
                  <c:v>Stany Zjednoczone  </c:v>
                </c:pt>
                <c:pt idx="3">
                  <c:v>Wielka Brytania</c:v>
                </c:pt>
                <c:pt idx="4">
                  <c:v>Belgia</c:v>
                </c:pt>
                <c:pt idx="5">
                  <c:v>Włochy</c:v>
                </c:pt>
                <c:pt idx="6">
                  <c:v>Francja</c:v>
                </c:pt>
                <c:pt idx="7">
                  <c:v>Holandia</c:v>
                </c:pt>
                <c:pt idx="8">
                  <c:v>Finlandia</c:v>
                </c:pt>
                <c:pt idx="9">
                  <c:v>Czechy</c:v>
                </c:pt>
              </c:strCache>
            </c:strRef>
          </c:cat>
          <c:val>
            <c:numRef>
              <c:f>Arkusz1!$C$2:$C$11</c:f>
              <c:numCache>
                <c:formatCode>0.0%</c:formatCode>
                <c:ptCount val="10"/>
                <c:pt idx="0">
                  <c:v>0.40699999999999997</c:v>
                </c:pt>
                <c:pt idx="1">
                  <c:v>0.193</c:v>
                </c:pt>
                <c:pt idx="2">
                  <c:v>0.12</c:v>
                </c:pt>
                <c:pt idx="3">
                  <c:v>8.5000000000000006E-2</c:v>
                </c:pt>
                <c:pt idx="4">
                  <c:v>4.2000000000000003E-2</c:v>
                </c:pt>
                <c:pt idx="5">
                  <c:v>3.7999999999999999E-2</c:v>
                </c:pt>
                <c:pt idx="6">
                  <c:v>3.4000000000000002E-2</c:v>
                </c:pt>
                <c:pt idx="7">
                  <c:v>2.7E-2</c:v>
                </c:pt>
                <c:pt idx="8">
                  <c:v>2.7E-2</c:v>
                </c:pt>
                <c:pt idx="9">
                  <c:v>2.7E-2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7543392"/>
        <c:axId val="747543936"/>
      </c:barChart>
      <c:catAx>
        <c:axId val="747543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7543936"/>
        <c:crosses val="autoZero"/>
        <c:auto val="1"/>
        <c:lblAlgn val="ctr"/>
        <c:lblOffset val="100"/>
        <c:noMultiLvlLbl val="0"/>
      </c:catAx>
      <c:valAx>
        <c:axId val="747543936"/>
        <c:scaling>
          <c:orientation val="minMax"/>
          <c:max val="0.4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47543392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STAT\RozkrutD</Osoba>
    <NazwaPliku xmlns="8C029B3F-2CC4-4A59-AF0D-A90575FA3373">Usługi biznesowe w 2018 r - pol.docx</NazwaPlik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EEA87E47-A3C0-407D-BD86-670C7CD8C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675C3-9F9C-450E-A127-C3873DF1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3061</Words>
  <Characters>18366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2020-09-14T07:14:00Z</cp:lastPrinted>
  <dcterms:created xsi:type="dcterms:W3CDTF">2020-09-09T12:27:00Z</dcterms:created>
  <dcterms:modified xsi:type="dcterms:W3CDTF">2020-09-14T07:14:00Z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GUS-HU08.6362.1.2020.1</vt:lpwstr>
  </property>
  <property fmtid="{D5CDD505-2E9C-101B-9397-08002B2CF9AE}" pid="4" name="UNPPisma">
    <vt:lpwstr>2020-172980</vt:lpwstr>
  </property>
  <property fmtid="{D5CDD505-2E9C-101B-9397-08002B2CF9AE}" pid="5" name="ZnakSprawy">
    <vt:lpwstr>GUS-HU08.6362.1.2020</vt:lpwstr>
  </property>
  <property fmtid="{D5CDD505-2E9C-101B-9397-08002B2CF9AE}" pid="6" name="ZnakSprawyPrzedPrzeniesieniem">
    <vt:lpwstr/>
  </property>
  <property fmtid="{D5CDD505-2E9C-101B-9397-08002B2CF9AE}" pid="7" name="Autor">
    <vt:lpwstr>Kaźmierczak Agnieszka</vt:lpwstr>
  </property>
  <property fmtid="{D5CDD505-2E9C-101B-9397-08002B2CF9AE}" pid="8" name="AutorInicjaly">
    <vt:lpwstr>AK</vt:lpwstr>
  </property>
  <property fmtid="{D5CDD505-2E9C-101B-9397-08002B2CF9AE}" pid="9" name="AutorNrTelefonu">
    <vt:lpwstr>(022) 608-3326</vt:lpwstr>
  </property>
  <property fmtid="{D5CDD505-2E9C-101B-9397-08002B2CF9AE}" pid="10" name="Stanowisko">
    <vt:lpwstr>naczelnik wydziału</vt:lpwstr>
  </property>
  <property fmtid="{D5CDD505-2E9C-101B-9397-08002B2CF9AE}" pid="11" name="OpisPisma">
    <vt:lpwstr>Notatka sygnalna "Usługi biznesowe"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2020-09-11</vt:lpwstr>
  </property>
  <property fmtid="{D5CDD505-2E9C-101B-9397-08002B2CF9AE}" pid="15" name="Wydzial">
    <vt:lpwstr>Wydział Usług Biznesowych</vt:lpwstr>
  </property>
  <property fmtid="{D5CDD505-2E9C-101B-9397-08002B2CF9AE}" pid="16" name="KodWydzialu">
    <vt:lpwstr>HU-08</vt:lpwstr>
  </property>
  <property fmtid="{D5CDD505-2E9C-101B-9397-08002B2CF9AE}" pid="17" name="ZaakceptowanePrzez">
    <vt:lpwstr>n/d</vt:lpwstr>
  </property>
  <property fmtid="{D5CDD505-2E9C-101B-9397-08002B2CF9AE}" pid="18" name="PrzekazanieDo">
    <vt:lpwstr>Agnieszka Kaźmierczak</vt:lpwstr>
  </property>
  <property fmtid="{D5CDD505-2E9C-101B-9397-08002B2CF9AE}" pid="19" name="PrzekazanieDoStanowisko">
    <vt:lpwstr>naczelnik wydziału</vt:lpwstr>
  </property>
  <property fmtid="{D5CDD505-2E9C-101B-9397-08002B2CF9AE}" pid="20" name="PrzekazanieDoKomorkaPracownika">
    <vt:lpwstr>Wydział Usług Biznesowych(HU-08)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