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10DA14DA" w:rsidR="000F1CBC" w:rsidRPr="00596D0D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r w:rsidRPr="00FC72BB">
        <w:rPr>
          <w:szCs w:val="40"/>
        </w:rPr>
        <w:t>Budownictwo w</w:t>
      </w:r>
      <w:r w:rsidRPr="00FC72BB">
        <w:rPr>
          <w:color w:val="auto"/>
          <w:szCs w:val="40"/>
        </w:rPr>
        <w:t xml:space="preserve"> </w:t>
      </w:r>
      <w:r w:rsidR="00E62E5B">
        <w:rPr>
          <w:color w:val="auto"/>
          <w:szCs w:val="40"/>
        </w:rPr>
        <w:t>I-</w:t>
      </w:r>
      <w:r w:rsidR="00B54D52" w:rsidRPr="00596D0D">
        <w:rPr>
          <w:color w:val="auto"/>
          <w:szCs w:val="40"/>
        </w:rPr>
        <w:t>I</w:t>
      </w:r>
      <w:r w:rsidR="007C6E43">
        <w:rPr>
          <w:color w:val="auto"/>
          <w:szCs w:val="40"/>
        </w:rPr>
        <w:t>II kwarta</w:t>
      </w:r>
      <w:r w:rsidR="00E62E5B">
        <w:rPr>
          <w:color w:val="auto"/>
          <w:szCs w:val="40"/>
        </w:rPr>
        <w:t>le</w:t>
      </w:r>
      <w:r w:rsidR="00B54D52" w:rsidRPr="00596D0D">
        <w:rPr>
          <w:color w:val="auto"/>
          <w:szCs w:val="40"/>
        </w:rPr>
        <w:t xml:space="preserve"> </w:t>
      </w:r>
      <w:r w:rsidRPr="00596D0D">
        <w:rPr>
          <w:color w:val="auto"/>
          <w:szCs w:val="40"/>
          <w:shd w:val="clear" w:color="auto" w:fill="FFFFFF"/>
        </w:rPr>
        <w:t>201</w:t>
      </w:r>
      <w:r w:rsidR="005E1366" w:rsidRPr="00596D0D">
        <w:rPr>
          <w:color w:val="auto"/>
          <w:szCs w:val="40"/>
          <w:shd w:val="clear" w:color="auto" w:fill="FFFFFF"/>
        </w:rPr>
        <w:t>9</w:t>
      </w:r>
      <w:r w:rsidR="00B37BB7">
        <w:rPr>
          <w:szCs w:val="40"/>
          <w:shd w:val="clear" w:color="auto" w:fill="FFFFFF"/>
        </w:rPr>
        <w:t xml:space="preserve"> roku</w:t>
      </w:r>
    </w:p>
    <w:p w14:paraId="40592E09" w14:textId="3AB8CA24" w:rsidR="000F1CBC" w:rsidRPr="00740172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6B805001" w:rsidR="000F1CBC" w:rsidRPr="003C689E" w:rsidRDefault="000F1CBC" w:rsidP="000F1CBC">
      <w:pPr>
        <w:pStyle w:val="LID"/>
      </w:pPr>
      <w:r w:rsidRPr="006C3D2E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3856" behindDoc="0" locked="0" layoutInCell="1" allowOverlap="1" wp14:anchorId="2708133B" wp14:editId="1ABD7969">
                <wp:simplePos x="0" y="0"/>
                <wp:positionH relativeFrom="margin">
                  <wp:posOffset>20320</wp:posOffset>
                </wp:positionH>
                <wp:positionV relativeFrom="paragraph">
                  <wp:posOffset>107315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72734ED9" w:rsidR="00217E1A" w:rsidRPr="001A5784" w:rsidRDefault="00217E1A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A029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27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12</w:t>
                            </w:r>
                            <w:r w:rsidRPr="0003129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B627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</w:p>
                          <w:p w14:paraId="1AEB3FC6" w14:textId="77777777" w:rsidR="00217E1A" w:rsidRPr="0050555C" w:rsidRDefault="00217E1A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8132F">
                              <w:t xml:space="preserve">Dynamika </w:t>
                            </w:r>
                            <w:r>
                              <w:t>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8.45pt;width:2in;height:76.25pt;z-index:251833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CPUBkv3AAAAAgBAAAPAAAAZHJzL2Rvd25yZXYueG1s&#10;TI/BTsMwEETvSPyDtUjcqJNQVW2IUyFQDoCooOXCbRsvSUS8jmK3DX/PwgWO+2Y0O1OsJ9erI42h&#10;82wgnSWgiGtvO24MvO2qqyWoEJEt9p7JwBcFWJfnZwXm1p/4lY7b2CgJ4ZCjgTbGIdc61C05DDM/&#10;EIv24UeHUc6x0XbEk4S7XmdJstAOO5YPLQ5011L9uT04A/N0Uy9fwvuO/XOVVU/36B7CozGXF9Pt&#10;DahIU/wzw099qQ6ldNr7A9ugegPXmRgFL1agRM5WqYD9L5iDLgv9f0D5DQAA//8DAFBLAQItABQA&#10;BgAIAAAAIQC2gziS/gAAAOEBAAATAAAAAAAAAAAAAAAAAAAAAABbQ29udGVudF9UeXBlc10ueG1s&#10;UEsBAi0AFAAGAAgAAAAhADj9If/WAAAAlAEAAAsAAAAAAAAAAAAAAAAALwEAAF9yZWxzLy5yZWxz&#10;UEsBAi0AFAAGAAgAAAAhABDiLuEmAgAAIQQAAA4AAAAAAAAAAAAAAAAALgIAAGRycy9lMm9Eb2Mu&#10;eG1sUEsBAi0AFAAGAAgAAAAhAI9QGS/cAAAACAEAAA8AAAAAAAAAAAAAAAAAgAQAAGRycy9kb3du&#10;cmV2LnhtbFBLBQYAAAAABAAEAPMAAACJBQAAAAA=&#10;" fillcolor="#001d77" stroked="f">
                <v:textbox>
                  <w:txbxContent>
                    <w:p w14:paraId="4699F225" w14:textId="72734ED9" w:rsidR="00217E1A" w:rsidRPr="001A5784" w:rsidRDefault="00217E1A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A029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27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12</w:t>
                      </w:r>
                      <w:r w:rsidRPr="0003129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B627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</w:p>
                    <w:p w14:paraId="1AEB3FC6" w14:textId="77777777" w:rsidR="00217E1A" w:rsidRPr="0050555C" w:rsidRDefault="00217E1A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58132F">
                        <w:t xml:space="preserve">Dynamika </w:t>
                      </w:r>
                      <w:r>
                        <w:t>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3D2E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4880" behindDoc="0" locked="0" layoutInCell="1" allowOverlap="1" wp14:anchorId="7174746B" wp14:editId="1E50667C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F82" w:rsidRPr="006C3D2E">
        <w:rPr>
          <w:color w:val="000000" w:themeColor="text1"/>
        </w:rPr>
        <w:t>W</w:t>
      </w:r>
      <w:r w:rsidR="007C6E43" w:rsidRPr="006C3D2E">
        <w:rPr>
          <w:color w:val="000000" w:themeColor="text1"/>
        </w:rPr>
        <w:t xml:space="preserve"> </w:t>
      </w:r>
      <w:r w:rsidR="00AC3592">
        <w:rPr>
          <w:color w:val="000000" w:themeColor="text1"/>
        </w:rPr>
        <w:t>okresie trzech kwartałów</w:t>
      </w:r>
      <w:r w:rsidR="00E15F82" w:rsidRPr="006C3D2E">
        <w:rPr>
          <w:color w:val="000000" w:themeColor="text1"/>
        </w:rPr>
        <w:t xml:space="preserve"> </w:t>
      </w:r>
      <w:r w:rsidR="00F35F67" w:rsidRPr="006C3D2E">
        <w:rPr>
          <w:color w:val="000000" w:themeColor="text1"/>
        </w:rPr>
        <w:t>2019 roku</w:t>
      </w:r>
      <w:r w:rsidR="00D14246" w:rsidRPr="006C3D2E">
        <w:rPr>
          <w:color w:val="000000" w:themeColor="text1"/>
        </w:rPr>
        <w:t xml:space="preserve"> odnotowano wzrost liczby oraz powierzchni użytkowej zarówno mieszkań jak i</w:t>
      </w:r>
      <w:r w:rsidR="00591857" w:rsidRPr="006C3D2E">
        <w:rPr>
          <w:color w:val="000000" w:themeColor="text1"/>
        </w:rPr>
        <w:t> </w:t>
      </w:r>
      <w:r w:rsidR="006C3D2E" w:rsidRPr="006C3D2E">
        <w:rPr>
          <w:color w:val="000000" w:themeColor="text1"/>
        </w:rPr>
        <w:t xml:space="preserve">nowych </w:t>
      </w:r>
      <w:r w:rsidR="00D14246" w:rsidRPr="006C3D2E">
        <w:rPr>
          <w:color w:val="000000" w:themeColor="text1"/>
        </w:rPr>
        <w:t>budynków niemieszka</w:t>
      </w:r>
      <w:r w:rsidR="00E62E5B">
        <w:rPr>
          <w:color w:val="000000" w:themeColor="text1"/>
        </w:rPr>
        <w:t>l</w:t>
      </w:r>
      <w:r w:rsidR="00D14246" w:rsidRPr="006C3D2E">
        <w:rPr>
          <w:color w:val="000000" w:themeColor="text1"/>
        </w:rPr>
        <w:t xml:space="preserve">nych oddanych do użytkowania, w stosunku do analogicznego okresu </w:t>
      </w:r>
      <w:r w:rsidR="00D14246" w:rsidRPr="003C689E">
        <w:rPr>
          <w:color w:val="000000" w:themeColor="text1"/>
        </w:rPr>
        <w:t>roku poprzedniego</w:t>
      </w:r>
      <w:r w:rsidR="00A8598E" w:rsidRPr="003C689E">
        <w:rPr>
          <w:color w:val="000000" w:themeColor="text1"/>
        </w:rPr>
        <w:t>.</w:t>
      </w:r>
    </w:p>
    <w:p w14:paraId="6F772441" w14:textId="77777777" w:rsidR="00D14246" w:rsidRPr="003C689E" w:rsidRDefault="00D14246" w:rsidP="000F1CBC">
      <w:pPr>
        <w:spacing w:before="360"/>
        <w:rPr>
          <w:rFonts w:ascii="Fira Sans SemiBold" w:hAnsi="Fira Sans SemiBold"/>
          <w:color w:val="001D77"/>
          <w:sz w:val="20"/>
          <w:shd w:val="clear" w:color="auto" w:fill="FFFFFF"/>
        </w:rPr>
      </w:pPr>
    </w:p>
    <w:p w14:paraId="07D8E64F" w14:textId="765DB85D" w:rsidR="000F1CBC" w:rsidRPr="003C689E" w:rsidRDefault="000F1CBC" w:rsidP="000F1CBC">
      <w:pPr>
        <w:spacing w:before="360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3C689E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5E558007" wp14:editId="4140ACD6">
                <wp:simplePos x="0" y="0"/>
                <wp:positionH relativeFrom="column">
                  <wp:posOffset>5285096</wp:posOffset>
                </wp:positionH>
                <wp:positionV relativeFrom="paragraph">
                  <wp:posOffset>249717</wp:posOffset>
                </wp:positionV>
                <wp:extent cx="1806361" cy="885825"/>
                <wp:effectExtent l="0" t="0" r="3810" b="9525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361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3D449880" w:rsidR="00217E1A" w:rsidRPr="00743623" w:rsidRDefault="0086262B" w:rsidP="000F1CBC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Łączna p</w:t>
                            </w:r>
                            <w:r w:rsidR="00553FBE">
                              <w:rPr>
                                <w:szCs w:val="19"/>
                              </w:rPr>
                              <w:t xml:space="preserve">owierzchnia </w:t>
                            </w:r>
                            <w:r w:rsidR="00217E1A" w:rsidRPr="00EE77C6">
                              <w:rPr>
                                <w:szCs w:val="19"/>
                              </w:rPr>
                              <w:t>mieszkań oddanych do</w:t>
                            </w:r>
                            <w:r w:rsidR="00217E1A">
                              <w:rPr>
                                <w:szCs w:val="19"/>
                              </w:rPr>
                              <w:t> </w:t>
                            </w:r>
                            <w:r w:rsidR="00217E1A"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 w:rsidR="00217E1A">
                              <w:rPr>
                                <w:szCs w:val="19"/>
                              </w:rPr>
                              <w:t> I</w:t>
                            </w:r>
                            <w:r w:rsidR="000E4219">
                              <w:rPr>
                                <w:szCs w:val="19"/>
                              </w:rPr>
                              <w:t>-III</w:t>
                            </w:r>
                            <w:r w:rsidR="00217E1A">
                              <w:rPr>
                                <w:szCs w:val="19"/>
                              </w:rPr>
                              <w:t> </w:t>
                            </w:r>
                            <w:r w:rsidR="000E4219">
                              <w:rPr>
                                <w:szCs w:val="19"/>
                              </w:rPr>
                              <w:t>kwartale</w:t>
                            </w:r>
                            <w:r w:rsidR="000E4219">
                              <w:rPr>
                                <w:szCs w:val="19"/>
                              </w:rPr>
                              <w:br/>
                            </w:r>
                            <w:r w:rsidR="00217E1A">
                              <w:rPr>
                                <w:szCs w:val="19"/>
                              </w:rPr>
                              <w:t>2019 roku o</w:t>
                            </w:r>
                            <w:r w:rsidR="00A1742D">
                              <w:rPr>
                                <w:szCs w:val="19"/>
                              </w:rPr>
                              <w:t> </w:t>
                            </w:r>
                            <w:r w:rsidR="00B62730">
                              <w:rPr>
                                <w:szCs w:val="19"/>
                              </w:rPr>
                              <w:t>12,3</w:t>
                            </w:r>
                            <w:r w:rsidR="00217E1A">
                              <w:rPr>
                                <w:szCs w:val="19"/>
                              </w:rPr>
                              <w:t>%</w:t>
                            </w:r>
                            <w:r w:rsidR="00A1742D">
                              <w:rPr>
                                <w:szCs w:val="19"/>
                              </w:rPr>
                              <w:t> </w:t>
                            </w:r>
                            <w:r w:rsidR="007036B9" w:rsidRPr="008350FF">
                              <w:rPr>
                                <w:szCs w:val="19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416.15pt;margin-top:19.65pt;width:142.25pt;height:69.75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6RCwIAAAEEAAAOAAAAZHJzL2Uyb0RvYy54bWysU8Fu2zAMvQ/YPwi6L3ZSJEiNOEXXrsOA&#10;bi3Q7QMUWY6FSqImMbGzrx8lJ1nQ3Yb5IIiW+Mj3+LS6GaxhexWiBlfz6aTkTDkJjXbbmv/4/vBh&#10;yVlE4RphwKmaH1TkN+v371a9r9QMOjCNCoxAXKx6X/MO0VdFEWWnrIgT8MrRYQvBCqQwbIsmiJ7Q&#10;rSlmZbkoegiNDyBVjPT3fjzk64zftkriU9tGhczUnHrDvIa8btJarFei2gbhOy2PbYh/6MIK7ajo&#10;GepeoGC7oP+CsloGiNDiRIItoG21VJkDsZmWb9i8dMKrzIXEif4sU/x/sPLb/jkw3dDsrq85c8LS&#10;kJ7BKIbqNSL0ik0XSaXex4ouv3i6jsNHGCgjM47+EeRrZA7uOuG26jYE6DslGupymjKLi9QRJyaQ&#10;Tf8VGiomdggZaGiDTRKSKIzQaVqH84TUgEymkstycbWYcibpbLmcL2fzXEJUp2wfIn5WYFna1DyQ&#10;AzK62D9GTN2I6nQlFXPwoI3JLjCO9TW/nhPkmxOrkUxqtKWaZfpG2ySSn1yTk1FoM+6pgHFH1ono&#10;SBmHzTDKfBJzA82BZAgwepLeEG06CL8468mPNY8/dyIozswXR1JeLVJdhpdBuAw2l4FwkqBqjpyN&#10;2zvMph+J3ZLkrc5qpNmMnRxbJp9lkY5vIhn5Ms63/rzc9W8AAAD//wMAUEsDBBQABgAIAAAAIQD5&#10;F0ge4QAAAAsBAAAPAAAAZHJzL2Rvd25yZXYueG1sTI/NTsMwEITvSLyDtUjcqPOD2hDiVIgKOHCi&#10;rRBHJ94mKfE6it02fXu2p3LaXc1o9ptiOdleHHH0nSMF8SwCgVQ701GjYLt5e8hA+KDJ6N4RKjij&#10;h2V5e1Po3LgTfeFxHRrBIeRzraANYcil9HWLVvuZG5BY27nR6sDn2Egz6hOH214mUTSXVnfEH1o9&#10;4GuL9e/6YBXsq/NHsvWrz314THeb8L34Wb1XSt3fTS/PIAJO4WqGCz6jQ8lMlTuQ8aJXkKVJylYF&#10;6RPPiyGO51ym4m2RZSDLQv7vUP4BAAD//wMAUEsBAi0AFAAGAAgAAAAhALaDOJL+AAAA4QEAABMA&#10;AAAAAAAAAAAAAAAAAAAAAFtDb250ZW50X1R5cGVzXS54bWxQSwECLQAUAAYACAAAACEAOP0h/9YA&#10;AACUAQAACwAAAAAAAAAAAAAAAAAvAQAAX3JlbHMvLnJlbHNQSwECLQAUAAYACAAAACEA6GcukQsC&#10;AAABBAAADgAAAAAAAAAAAAAAAAAuAgAAZHJzL2Uyb0RvYy54bWxQSwECLQAUAAYACAAAACEA+RdI&#10;HuEAAAALAQAADwAAAAAAAAAAAAAAAABlBAAAZHJzL2Rvd25yZXYueG1sUEsFBgAAAAAEAAQA8wAA&#10;AHMFAAAAAA==&#10;" filled="f" stroked="f">
                <v:textbox inset="1mm,1mm,1mm,1mm">
                  <w:txbxContent>
                    <w:p w14:paraId="4DFA4999" w14:textId="3D449880" w:rsidR="00217E1A" w:rsidRPr="00743623" w:rsidRDefault="0086262B" w:rsidP="000F1CBC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Łączna p</w:t>
                      </w:r>
                      <w:r w:rsidR="00553FBE">
                        <w:rPr>
                          <w:szCs w:val="19"/>
                        </w:rPr>
                        <w:t xml:space="preserve">owierzchnia </w:t>
                      </w:r>
                      <w:r w:rsidR="00217E1A" w:rsidRPr="00EE77C6">
                        <w:rPr>
                          <w:szCs w:val="19"/>
                        </w:rPr>
                        <w:t>mieszkań oddanych do</w:t>
                      </w:r>
                      <w:r w:rsidR="00217E1A">
                        <w:rPr>
                          <w:szCs w:val="19"/>
                        </w:rPr>
                        <w:t> </w:t>
                      </w:r>
                      <w:r w:rsidR="00217E1A" w:rsidRPr="00EE77C6">
                        <w:rPr>
                          <w:szCs w:val="19"/>
                        </w:rPr>
                        <w:t>użytkowania wzrosła w</w:t>
                      </w:r>
                      <w:r w:rsidR="00217E1A">
                        <w:rPr>
                          <w:szCs w:val="19"/>
                        </w:rPr>
                        <w:t> I</w:t>
                      </w:r>
                      <w:r w:rsidR="000E4219">
                        <w:rPr>
                          <w:szCs w:val="19"/>
                        </w:rPr>
                        <w:t>-III</w:t>
                      </w:r>
                      <w:r w:rsidR="00217E1A">
                        <w:rPr>
                          <w:szCs w:val="19"/>
                        </w:rPr>
                        <w:t> </w:t>
                      </w:r>
                      <w:r w:rsidR="000E4219">
                        <w:rPr>
                          <w:szCs w:val="19"/>
                        </w:rPr>
                        <w:t>kwartale</w:t>
                      </w:r>
                      <w:r w:rsidR="000E4219">
                        <w:rPr>
                          <w:szCs w:val="19"/>
                        </w:rPr>
                        <w:br/>
                      </w:r>
                      <w:r w:rsidR="00217E1A">
                        <w:rPr>
                          <w:szCs w:val="19"/>
                        </w:rPr>
                        <w:t>2019 roku o</w:t>
                      </w:r>
                      <w:r w:rsidR="00A1742D">
                        <w:rPr>
                          <w:szCs w:val="19"/>
                        </w:rPr>
                        <w:t> </w:t>
                      </w:r>
                      <w:r w:rsidR="00B62730">
                        <w:rPr>
                          <w:szCs w:val="19"/>
                        </w:rPr>
                        <w:t>12,3</w:t>
                      </w:r>
                      <w:r w:rsidR="00217E1A">
                        <w:rPr>
                          <w:szCs w:val="19"/>
                        </w:rPr>
                        <w:t>%</w:t>
                      </w:r>
                      <w:r w:rsidR="00A1742D">
                        <w:rPr>
                          <w:szCs w:val="19"/>
                        </w:rPr>
                        <w:t> </w:t>
                      </w:r>
                      <w:r w:rsidR="007036B9" w:rsidRPr="008350FF">
                        <w:rPr>
                          <w:szCs w:val="19"/>
                        </w:rPr>
                        <w:t>r/r</w:t>
                      </w:r>
                    </w:p>
                  </w:txbxContent>
                </v:textbox>
              </v:shape>
            </w:pict>
          </mc:Fallback>
        </mc:AlternateContent>
      </w: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t>Efekty rzeczowe budownictwa mieszkaniowego</w:t>
      </w:r>
      <w:r w:rsidRPr="003C689E"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1"/>
      </w:r>
    </w:p>
    <w:p w14:paraId="33E55497" w14:textId="1DC49A0D" w:rsidR="002543F3" w:rsidRPr="003C689E" w:rsidRDefault="009920F4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2B3646B3" wp14:editId="6D7E8222">
                <wp:simplePos x="0" y="0"/>
                <wp:positionH relativeFrom="column">
                  <wp:posOffset>5280489</wp:posOffset>
                </wp:positionH>
                <wp:positionV relativeFrom="paragraph">
                  <wp:posOffset>550715</wp:posOffset>
                </wp:positionV>
                <wp:extent cx="1733550" cy="706836"/>
                <wp:effectExtent l="0" t="0" r="0" b="0"/>
                <wp:wrapNone/>
                <wp:docPr id="2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06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8336B" w14:textId="40849D16" w:rsidR="00217E1A" w:rsidRPr="00E83E5B" w:rsidRDefault="00217E1A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Przeciętna powierzchnia użytkowa</w:t>
                            </w:r>
                            <w:r>
                              <w:rPr>
                                <w:szCs w:val="19"/>
                              </w:rPr>
                              <w:t xml:space="preserve"> nowo oddanego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mieszkania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wyniosła </w:t>
                            </w:r>
                            <w:r w:rsidR="007F3A63">
                              <w:rPr>
                                <w:szCs w:val="19"/>
                              </w:rPr>
                              <w:t>89,5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</w:t>
                            </w:r>
                            <w:r w:rsidRPr="00E83E5B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46B3" id="_x0000_s1028" type="#_x0000_t202" style="position:absolute;margin-left:415.8pt;margin-top:43.35pt;width:136.5pt;height:55.6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YeDQIAAAEEAAAOAAAAZHJzL2Uyb0RvYy54bWysU8Fu2zAMvQ/YPwi6L3YSJM2MKEXXrsOA&#10;rivQ7QMUWY6FSqImKbGzrx8lJ5mx3or5IIgm+cj3SK2ve6PJQfqgwDI6nZSUSCugVnbH6M8f9x9W&#10;lITIbc01WMnoUQZ6vXn/bt25Ss6gBV1LTxDEhqpzjLYxuqoogmil4WECTlp0NuANj2j6XVF73iG6&#10;0cWsLJdFB752HoQMAf/eDU66yfhNI0X83jRBRqIZxd5iPn0+t+ksNmte7Tx3rRKnNvgbujBcWSx6&#10;gbrjkZO9V6+gjBIeAjRxIsAU0DRKyMwB2UzLf9g8t9zJzAXFCe4iU/h/sOLx8OSJqhmdlUtKLDc4&#10;pCfQkkT5EiJ0kkyXSaXOhQqDnx2Gx/4T9DjtzDi4BxAvgVi4bbndyRvvoWslr7HLacosRqkDTkgg&#10;2+4b1FiM7yNkoL7xJkmIohBEx2kdLxOSfSQilbyazxcLdAn0XZXL1Tw3V/DqnO18iF8kGJIujHrc&#10;gIzODw8hpm54dQ5JxSzcK63zFmhLOkY/LmaLnDDyGBVxSbUyjK7K9A1rk0h+tnVOjlzp4Y4FtD2x&#10;TkQHyrHf9oPMZzG3UB9RBg/DTuIbwksL/jclHe4jo+HXnntJif5qUcr5MtUlcWz4sbEdG9wKhGI0&#10;UjJcb2Ne+oHyDUreqKxGms3Qyall3LMs0ulNpEUe2znq78vd/AEAAP//AwBQSwMEFAAGAAgAAAAh&#10;ALLwJfbgAAAACwEAAA8AAABkcnMvZG93bnJldi54bWxMj0FPwkAQhe8m/ofNmHiT3QIptXZLjEQ9&#10;cBKI8bhth7bYnW26C5R/z3DS25t5L2++yZaj7cQJB9860hBNFAik0lUt1Rp22/enBIQPhirTOUIN&#10;F/SwzO/vMpNW7kxfeNqEWnAJ+dRoaELoUyl92aA1fuJ6JPb2brAm8DjUshrMmcttJ6dKxdKalvhC&#10;Y3p8a7D83RythkNx+Zzu/Gp9CPPZfhu+Fz+rj0Lrx4fx9QVEwDH8heGGz+iQM1PhjlR50WlIZlHM&#10;URbxAsQtEKk5bwpWz4kCmWfy/w/5FQAA//8DAFBLAQItABQABgAIAAAAIQC2gziS/gAAAOEBAAAT&#10;AAAAAAAAAAAAAAAAAAAAAABbQ29udGVudF9UeXBlc10ueG1sUEsBAi0AFAAGAAgAAAAhADj9If/W&#10;AAAAlAEAAAsAAAAAAAAAAAAAAAAALwEAAF9yZWxzLy5yZWxzUEsBAi0AFAAGAAgAAAAhAEuoxh4N&#10;AgAAAQQAAA4AAAAAAAAAAAAAAAAALgIAAGRycy9lMm9Eb2MueG1sUEsBAi0AFAAGAAgAAAAhALLw&#10;JfbgAAAACwEAAA8AAAAAAAAAAAAAAAAAZwQAAGRycy9kb3ducmV2LnhtbFBLBQYAAAAABAAEAPMA&#10;AAB0BQAAAAA=&#10;" filled="f" stroked="f">
                <v:textbox inset="1mm,1mm,1mm,1mm">
                  <w:txbxContent>
                    <w:p w14:paraId="7BC8336B" w14:textId="40849D16" w:rsidR="00217E1A" w:rsidRPr="00E83E5B" w:rsidRDefault="00217E1A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Przeciętna powierzchnia użytkowa</w:t>
                      </w:r>
                      <w:r>
                        <w:rPr>
                          <w:szCs w:val="19"/>
                        </w:rPr>
                        <w:t xml:space="preserve"> nowo oddanego</w:t>
                      </w:r>
                      <w:r w:rsidRPr="00EE77C6">
                        <w:rPr>
                          <w:szCs w:val="19"/>
                        </w:rPr>
                        <w:t xml:space="preserve"> mieszkania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 xml:space="preserve">wyniosła </w:t>
                      </w:r>
                      <w:r w:rsidR="007F3A63">
                        <w:rPr>
                          <w:szCs w:val="19"/>
                        </w:rPr>
                        <w:t>89,5</w:t>
                      </w:r>
                      <w:r w:rsidRPr="00EE77C6">
                        <w:rPr>
                          <w:szCs w:val="19"/>
                        </w:rPr>
                        <w:t xml:space="preserve"> m</w:t>
                      </w:r>
                      <w:r w:rsidRPr="00E83E5B">
                        <w:rPr>
                          <w:szCs w:val="19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756A" w:rsidRPr="003C689E">
        <w:rPr>
          <w:rFonts w:cs="Fira Sans"/>
          <w:szCs w:val="19"/>
        </w:rPr>
        <w:t>W I</w:t>
      </w:r>
      <w:r w:rsidR="00E15F82" w:rsidRPr="003C689E">
        <w:rPr>
          <w:rFonts w:cs="Fira Sans"/>
          <w:szCs w:val="19"/>
        </w:rPr>
        <w:t>-III</w:t>
      </w:r>
      <w:r w:rsidR="0053756A" w:rsidRPr="003C689E">
        <w:rPr>
          <w:rFonts w:cs="Fira Sans"/>
          <w:szCs w:val="19"/>
        </w:rPr>
        <w:t xml:space="preserve"> </w:t>
      </w:r>
      <w:r w:rsidR="00E15F82" w:rsidRPr="003C689E">
        <w:rPr>
          <w:rFonts w:cs="Fira Sans"/>
          <w:szCs w:val="19"/>
        </w:rPr>
        <w:t>kwartale</w:t>
      </w:r>
      <w:r w:rsidR="0053756A" w:rsidRPr="003C689E">
        <w:rPr>
          <w:rFonts w:cs="Fira Sans"/>
          <w:szCs w:val="19"/>
        </w:rPr>
        <w:t xml:space="preserve"> 2019 roku oddano do użytkowania </w:t>
      </w:r>
      <w:r w:rsidR="00905586" w:rsidRPr="003C689E">
        <w:rPr>
          <w:rFonts w:cs="Fira Sans"/>
          <w:szCs w:val="19"/>
        </w:rPr>
        <w:t>145</w:t>
      </w:r>
      <w:r w:rsidR="00905586" w:rsidRPr="003C689E">
        <w:t> 710</w:t>
      </w:r>
      <w:r w:rsidR="0053756A" w:rsidRPr="003C689E">
        <w:rPr>
          <w:rFonts w:cs="Fira Sans"/>
          <w:szCs w:val="19"/>
        </w:rPr>
        <w:t xml:space="preserve"> </w:t>
      </w:r>
      <w:r w:rsidR="00905586" w:rsidRPr="003C689E">
        <w:rPr>
          <w:rFonts w:cs="Fira Sans"/>
          <w:b/>
          <w:szCs w:val="19"/>
        </w:rPr>
        <w:t>mieszkań</w:t>
      </w:r>
      <w:r w:rsidR="0053756A" w:rsidRPr="003C689E">
        <w:rPr>
          <w:rFonts w:cs="Fira Sans"/>
          <w:szCs w:val="19"/>
        </w:rPr>
        <w:t xml:space="preserve"> o łącznej powierzchni użytkowej </w:t>
      </w:r>
      <w:r w:rsidR="00905586" w:rsidRPr="003C689E">
        <w:rPr>
          <w:rFonts w:cs="Fira Sans"/>
          <w:szCs w:val="19"/>
        </w:rPr>
        <w:t>13 037,1</w:t>
      </w:r>
      <w:r w:rsidR="0053756A" w:rsidRPr="003C689E">
        <w:rPr>
          <w:rFonts w:cs="Fira Sans"/>
          <w:szCs w:val="19"/>
        </w:rPr>
        <w:t> tys.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 xml:space="preserve"> oraz liczbie izb równej </w:t>
      </w:r>
      <w:r w:rsidR="00905586" w:rsidRPr="003C689E">
        <w:rPr>
          <w:rFonts w:cs="Fira Sans"/>
          <w:szCs w:val="19"/>
        </w:rPr>
        <w:t>553</w:t>
      </w:r>
      <w:r w:rsidR="0053756A" w:rsidRPr="003C689E">
        <w:rPr>
          <w:rFonts w:cs="Fira Sans"/>
          <w:szCs w:val="19"/>
        </w:rPr>
        <w:t> </w:t>
      </w:r>
      <w:r w:rsidR="00905586" w:rsidRPr="003C689E">
        <w:rPr>
          <w:rFonts w:cs="Fira Sans"/>
          <w:szCs w:val="19"/>
        </w:rPr>
        <w:t>546</w:t>
      </w:r>
      <w:r w:rsidR="0053756A" w:rsidRPr="003C689E">
        <w:rPr>
          <w:rFonts w:cs="Fira Sans"/>
          <w:szCs w:val="19"/>
        </w:rPr>
        <w:t xml:space="preserve">. W porównaniu z analogicznym okresem poprzedniego roku odnotowano wzrosty: liczby mieszkań o </w:t>
      </w:r>
      <w:r w:rsidR="00B62730" w:rsidRPr="003C689E">
        <w:rPr>
          <w:rFonts w:cs="Fira Sans"/>
          <w:szCs w:val="19"/>
        </w:rPr>
        <w:t>15 958</w:t>
      </w:r>
      <w:r w:rsidR="0053756A" w:rsidRPr="003C689E">
        <w:rPr>
          <w:rFonts w:cs="Fira Sans"/>
          <w:szCs w:val="19"/>
        </w:rPr>
        <w:t xml:space="preserve"> (1</w:t>
      </w:r>
      <w:r w:rsidR="00B62730" w:rsidRPr="003C689E">
        <w:rPr>
          <w:rFonts w:cs="Fira Sans"/>
          <w:szCs w:val="19"/>
        </w:rPr>
        <w:t>2</w:t>
      </w:r>
      <w:r w:rsidR="0053756A" w:rsidRPr="003C689E">
        <w:rPr>
          <w:rFonts w:cs="Fira Sans"/>
          <w:szCs w:val="19"/>
        </w:rPr>
        <w:t>,</w:t>
      </w:r>
      <w:r w:rsidR="00B62730" w:rsidRPr="003C689E">
        <w:rPr>
          <w:rFonts w:cs="Fira Sans"/>
          <w:szCs w:val="19"/>
        </w:rPr>
        <w:t>3</w:t>
      </w:r>
      <w:r w:rsidR="0053756A" w:rsidRPr="003C689E">
        <w:rPr>
          <w:rFonts w:cs="Fira Sans"/>
          <w:szCs w:val="19"/>
        </w:rPr>
        <w:t xml:space="preserve">%), powierzchni użytkowej mieszkań – o </w:t>
      </w:r>
      <w:r w:rsidR="00B62730" w:rsidRPr="003C689E">
        <w:rPr>
          <w:rFonts w:cs="Fira Sans"/>
          <w:szCs w:val="19"/>
        </w:rPr>
        <w:t>1 154,1</w:t>
      </w:r>
      <w:r w:rsidR="0053756A" w:rsidRPr="003C689E">
        <w:rPr>
          <w:rFonts w:cs="Fira Sans"/>
          <w:szCs w:val="19"/>
        </w:rPr>
        <w:t xml:space="preserve"> tys.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 xml:space="preserve"> (9,</w:t>
      </w:r>
      <w:r w:rsidR="00B62730" w:rsidRPr="003C689E">
        <w:rPr>
          <w:rFonts w:cs="Fira Sans"/>
          <w:szCs w:val="19"/>
        </w:rPr>
        <w:t>7</w:t>
      </w:r>
      <w:r w:rsidR="0053756A" w:rsidRPr="003C689E">
        <w:rPr>
          <w:rFonts w:cs="Fira Sans"/>
          <w:szCs w:val="19"/>
        </w:rPr>
        <w:t xml:space="preserve">%) oraz liczby izb – o </w:t>
      </w:r>
      <w:r w:rsidR="00B62730" w:rsidRPr="003C689E">
        <w:rPr>
          <w:rFonts w:cs="Fira Sans"/>
          <w:szCs w:val="19"/>
        </w:rPr>
        <w:t>48 700 (9,6</w:t>
      </w:r>
      <w:r w:rsidR="0053756A" w:rsidRPr="003C689E">
        <w:rPr>
          <w:rFonts w:cs="Fira Sans"/>
          <w:szCs w:val="19"/>
        </w:rPr>
        <w:t>%).</w:t>
      </w:r>
    </w:p>
    <w:p w14:paraId="7FEAE25E" w14:textId="7C855A0F" w:rsidR="002543F3" w:rsidRPr="003C689E" w:rsidRDefault="009920F4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7FDC2CB8" wp14:editId="6EB6C170">
                <wp:simplePos x="0" y="0"/>
                <wp:positionH relativeFrom="rightMargin">
                  <wp:posOffset>163024</wp:posOffset>
                </wp:positionH>
                <wp:positionV relativeFrom="paragraph">
                  <wp:posOffset>889322</wp:posOffset>
                </wp:positionV>
                <wp:extent cx="1637665" cy="933450"/>
                <wp:effectExtent l="0" t="0" r="635" b="0"/>
                <wp:wrapNone/>
                <wp:docPr id="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8424" w14:textId="3EDF5F53" w:rsidR="00217E1A" w:rsidRPr="00E83E5B" w:rsidRDefault="00217E1A" w:rsidP="009224B6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8350FF">
                              <w:rPr>
                                <w:szCs w:val="19"/>
                              </w:rPr>
                              <w:t xml:space="preserve">Wskaźnik nasilenia budownictwa </w:t>
                            </w:r>
                            <w:r w:rsidR="00AC4F15">
                              <w:rPr>
                                <w:szCs w:val="19"/>
                              </w:rPr>
                              <w:t xml:space="preserve">mieszkaniowego </w:t>
                            </w:r>
                            <w:r w:rsidR="00AC4F15">
                              <w:rPr>
                                <w:szCs w:val="19"/>
                              </w:rPr>
                              <w:br/>
                            </w:r>
                            <w:r w:rsidR="009865BF">
                              <w:rPr>
                                <w:szCs w:val="19"/>
                              </w:rPr>
                              <w:t>w I-III kwartale</w:t>
                            </w:r>
                            <w:r w:rsidR="00A1742D">
                              <w:rPr>
                                <w:szCs w:val="19"/>
                              </w:rPr>
                              <w:t xml:space="preserve"> 2019 roku </w:t>
                            </w:r>
                            <w:r w:rsidR="00E51E6D">
                              <w:rPr>
                                <w:szCs w:val="19"/>
                              </w:rPr>
                              <w:t xml:space="preserve">wyniósł </w:t>
                            </w:r>
                            <w:r w:rsidR="007F3A63">
                              <w:rPr>
                                <w:szCs w:val="19"/>
                              </w:rPr>
                              <w:t>3,8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2CB8" id="_x0000_s1029" type="#_x0000_t202" style="position:absolute;margin-left:12.85pt;margin-top:70.05pt;width:128.95pt;height:73.5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qsDAIAAP8DAAAOAAAAZHJzL2Uyb0RvYy54bWysU9tu2zAMfR+wfxD0vjiXxeuMOEXXrsOA&#10;bivQ7QMUWY6FSqImMbGzry8lJ1mwvQ3zgyCa5CHPIbW6HqxhexWiBlfz2WTKmXISGu22Nf/x/f7N&#10;FWcRhWuEAadqflCRX69fv1r1vlJz6MA0KjACcbHqfc07RF8VRZSdsiJOwCtHzhaCFUhm2BZNED2h&#10;W1PMp9Oy6CE0PoBUMdLfu9HJ1xm/bZXEb20bFTJTc+oN8xnyuUlnsV6JahuE77Q8tiH+oQsrtKOi&#10;Z6g7gYLtgv4LymoZIEKLEwm2gLbVUmUOxGY2/YPNUye8ylxInOjPMsX/Byu/7h8D003Nl5w5YWlE&#10;j2AUQ/UcEXrFZmXSqPexotAnT8E4fICBZp35Rv8A8jkyB7edcFt1EwL0nRIN9ThLmcVF6ogTE8im&#10;/wINFRM7hAw0tMEmAUkSRug0q8N5PmpAJlPJcvGuLKlRSb73i8XbZR5gIapTtg8RPymwLF1qHmj+&#10;GV3sHyKmbkR1CknFHNxrY/IOGMd6Al3OlznhwmM10ooabWt+NU3fuDSJ5EfX5GQU2ox3KmDckXUi&#10;OlLGYTNkkRcnMTfQHEiGAONG0guiSwfhF2c9bWPN48+dCIoz89mRlIsy1WV4aYRLY3NpCCcJqubI&#10;2Xi9xbzyI+UbkrzVWY00m7GTY8u0ZVmk44tIa3xp56jf73b9AgAA//8DAFBLAwQUAAYACAAAACEA&#10;8KbGruAAAAAKAQAADwAAAGRycy9kb3ducmV2LnhtbEyPTU/CQBCG7yb+h82YeJNtC1JSuiVGoh48&#10;CcRw3HaHttidbboLlH/vcNLbfDx555l8NdpOnHHwrSMF8SQCgVQ501KtYLd9e1qA8EGT0Z0jVHBF&#10;D6vi/i7XmXEX+sLzJtSCQ8hnWkETQp9J6asGrfYT1yPx7uAGqwO3Qy3NoC8cbjuZRNFcWt0SX2h0&#10;j68NVj+bk1VwLK8fyc6vP49hNj1sw3e6X7+XSj0+jC9LEAHH8AfDTZ/VoWCn0p3IeNEpSJ5TJnk+&#10;i2IQDCSL6RxEeSvSGGSRy/8vFL8AAAD//wMAUEsBAi0AFAAGAAgAAAAhALaDOJL+AAAA4QEAABMA&#10;AAAAAAAAAAAAAAAAAAAAAFtDb250ZW50X1R5cGVzXS54bWxQSwECLQAUAAYACAAAACEAOP0h/9YA&#10;AACUAQAACwAAAAAAAAAAAAAAAAAvAQAAX3JlbHMvLnJlbHNQSwECLQAUAAYACAAAACEADe4KrAwC&#10;AAD/AwAADgAAAAAAAAAAAAAAAAAuAgAAZHJzL2Uyb0RvYy54bWxQSwECLQAUAAYACAAAACEA8KbG&#10;ruAAAAAKAQAADwAAAAAAAAAAAAAAAABmBAAAZHJzL2Rvd25yZXYueG1sUEsFBgAAAAAEAAQA8wAA&#10;AHMFAAAAAA==&#10;" filled="f" stroked="f">
                <v:textbox inset="1mm,1mm,1mm,1mm">
                  <w:txbxContent>
                    <w:p w14:paraId="200E8424" w14:textId="3EDF5F53" w:rsidR="00217E1A" w:rsidRPr="00E83E5B" w:rsidRDefault="00217E1A" w:rsidP="009224B6">
                      <w:pPr>
                        <w:pStyle w:val="tekstzboku"/>
                        <w:rPr>
                          <w:szCs w:val="19"/>
                        </w:rPr>
                      </w:pPr>
                      <w:r w:rsidRPr="008350FF">
                        <w:rPr>
                          <w:szCs w:val="19"/>
                        </w:rPr>
                        <w:t xml:space="preserve">Wskaźnik nasilenia budownictwa </w:t>
                      </w:r>
                      <w:r w:rsidR="00AC4F15">
                        <w:rPr>
                          <w:szCs w:val="19"/>
                        </w:rPr>
                        <w:t xml:space="preserve">mieszkaniowego </w:t>
                      </w:r>
                      <w:r w:rsidR="00AC4F15">
                        <w:rPr>
                          <w:szCs w:val="19"/>
                        </w:rPr>
                        <w:br/>
                      </w:r>
                      <w:r w:rsidR="009865BF">
                        <w:rPr>
                          <w:szCs w:val="19"/>
                        </w:rPr>
                        <w:t>w I-III kwartale</w:t>
                      </w:r>
                      <w:r w:rsidR="00A1742D">
                        <w:rPr>
                          <w:szCs w:val="19"/>
                        </w:rPr>
                        <w:t xml:space="preserve"> 2019 roku </w:t>
                      </w:r>
                      <w:r w:rsidR="00E51E6D">
                        <w:rPr>
                          <w:szCs w:val="19"/>
                        </w:rPr>
                        <w:t xml:space="preserve">wyniósł </w:t>
                      </w:r>
                      <w:r w:rsidR="007F3A63">
                        <w:rPr>
                          <w:szCs w:val="19"/>
                        </w:rPr>
                        <w:t>3,8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56A" w:rsidRPr="003C689E">
        <w:rPr>
          <w:rFonts w:cs="Fira Sans"/>
          <w:b/>
          <w:szCs w:val="19"/>
        </w:rPr>
        <w:t>Przeciętna powierzchnia użytkowa</w:t>
      </w:r>
      <w:r w:rsidR="0053756A" w:rsidRPr="003C689E">
        <w:rPr>
          <w:rFonts w:cs="Fira Sans"/>
          <w:szCs w:val="19"/>
        </w:rPr>
        <w:t xml:space="preserve"> wybudowanego mieszkania wyniosła </w:t>
      </w:r>
      <w:r w:rsidR="00B62730" w:rsidRPr="003C689E">
        <w:rPr>
          <w:rFonts w:cs="Fira Sans"/>
          <w:szCs w:val="19"/>
        </w:rPr>
        <w:t>89,5</w:t>
      </w:r>
      <w:r w:rsidR="0053756A" w:rsidRPr="003C689E">
        <w:rPr>
          <w:rFonts w:cs="Fira Sans"/>
          <w:szCs w:val="19"/>
        </w:rPr>
        <w:t xml:space="preserve"> m</w:t>
      </w:r>
      <w:r w:rsidR="0053756A" w:rsidRPr="003C689E">
        <w:rPr>
          <w:rFonts w:cs="Fira Sans"/>
          <w:szCs w:val="19"/>
          <w:vertAlign w:val="superscript"/>
        </w:rPr>
        <w:t>2</w:t>
      </w:r>
      <w:r w:rsidR="00B62730" w:rsidRPr="003C689E">
        <w:rPr>
          <w:rFonts w:cs="Fira Sans"/>
          <w:szCs w:val="19"/>
        </w:rPr>
        <w:t xml:space="preserve"> i w porównaniu do </w:t>
      </w:r>
      <w:r w:rsidR="000E4219" w:rsidRPr="003C689E">
        <w:rPr>
          <w:rFonts w:cs="Fira Sans"/>
          <w:szCs w:val="19"/>
        </w:rPr>
        <w:t>pierwszych trzech</w:t>
      </w:r>
      <w:r w:rsidR="00B62730" w:rsidRPr="003C689E">
        <w:rPr>
          <w:rFonts w:cs="Fira Sans"/>
          <w:szCs w:val="19"/>
        </w:rPr>
        <w:t xml:space="preserve"> kwartałów</w:t>
      </w:r>
      <w:r w:rsidR="0053756A" w:rsidRPr="003C689E">
        <w:rPr>
          <w:rFonts w:cs="Fira Sans"/>
          <w:szCs w:val="19"/>
        </w:rPr>
        <w:t xml:space="preserve"> roku 2018 zmniejszyła się o </w:t>
      </w:r>
      <w:r w:rsidR="00B62730" w:rsidRPr="003C689E">
        <w:rPr>
          <w:rFonts w:cs="Fira Sans"/>
          <w:szCs w:val="19"/>
        </w:rPr>
        <w:t>2,1</w:t>
      </w:r>
      <w:r w:rsidR="0053756A" w:rsidRPr="003C689E">
        <w:rPr>
          <w:rFonts w:cs="Fira Sans"/>
          <w:szCs w:val="19"/>
        </w:rPr>
        <w:t xml:space="preserve">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>. Średnia powierzchnia mieszkania w budynkach jednorodzinnych wyniosła 13</w:t>
      </w:r>
      <w:r w:rsidR="00B62730" w:rsidRPr="003C689E">
        <w:rPr>
          <w:rFonts w:cs="Fira Sans"/>
          <w:szCs w:val="19"/>
        </w:rPr>
        <w:t>4,</w:t>
      </w:r>
      <w:r w:rsidR="001D62D0">
        <w:rPr>
          <w:rFonts w:cs="Fira Sans"/>
          <w:szCs w:val="19"/>
        </w:rPr>
        <w:t>5</w:t>
      </w:r>
      <w:r w:rsidR="0053756A" w:rsidRPr="003C689E">
        <w:rPr>
          <w:rFonts w:cs="Fira Sans"/>
          <w:szCs w:val="19"/>
        </w:rPr>
        <w:t xml:space="preserve">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>, natomiast w</w:t>
      </w:r>
      <w:r w:rsidR="00664603">
        <w:rPr>
          <w:rFonts w:cs="Fira Sans"/>
          <w:szCs w:val="19"/>
        </w:rPr>
        <w:t> </w:t>
      </w:r>
      <w:r w:rsidR="0053756A" w:rsidRPr="003C689E">
        <w:rPr>
          <w:rFonts w:cs="Fira Sans"/>
          <w:szCs w:val="19"/>
        </w:rPr>
        <w:t>budynkach wielorodzinnych – 53,</w:t>
      </w:r>
      <w:r w:rsidR="007F3A63" w:rsidRPr="003C689E">
        <w:rPr>
          <w:rFonts w:cs="Fira Sans"/>
          <w:szCs w:val="19"/>
        </w:rPr>
        <w:t>1</w:t>
      </w:r>
      <w:r w:rsidR="0053756A" w:rsidRPr="003C689E">
        <w:rPr>
          <w:rFonts w:cs="Fira Sans"/>
          <w:szCs w:val="19"/>
        </w:rPr>
        <w:t xml:space="preserve">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>. Rozpatrując przeciętną powierzchnię użytkową mieszkania według form budownictwa, największe mieszkania odnotowano w budownictwie indywidualnym (144,1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>), najmniejsze w komunalnym (43,0 m</w:t>
      </w:r>
      <w:r w:rsidR="0053756A" w:rsidRPr="003C689E">
        <w:rPr>
          <w:rFonts w:cs="Fira Sans"/>
          <w:szCs w:val="19"/>
          <w:vertAlign w:val="superscript"/>
        </w:rPr>
        <w:t>2</w:t>
      </w:r>
      <w:r w:rsidR="0053756A" w:rsidRPr="003C689E">
        <w:rPr>
          <w:rFonts w:cs="Fira Sans"/>
          <w:szCs w:val="19"/>
        </w:rPr>
        <w:t>).</w:t>
      </w:r>
    </w:p>
    <w:p w14:paraId="5636964D" w14:textId="2B12902B" w:rsidR="002543F3" w:rsidRPr="00664603" w:rsidRDefault="0053756A" w:rsidP="0053756A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pacing w:val="-4"/>
          <w:sz w:val="18"/>
          <w:szCs w:val="19"/>
        </w:rPr>
      </w:pPr>
      <w:r w:rsidRPr="00664603">
        <w:rPr>
          <w:rFonts w:cs="Fira Sans"/>
          <w:spacing w:val="-4"/>
          <w:szCs w:val="19"/>
        </w:rPr>
        <w:t>Porównanie danych dla poszczególnych województw w ujęciu bezwzględnym wskazuje, że najwięcej nowych mieszka</w:t>
      </w:r>
      <w:r w:rsidR="007F3A63" w:rsidRPr="00664603">
        <w:rPr>
          <w:rFonts w:cs="Fira Sans"/>
          <w:spacing w:val="-4"/>
          <w:szCs w:val="19"/>
        </w:rPr>
        <w:t>ń wybudowano w mazowieckim (20,7</w:t>
      </w:r>
      <w:r w:rsidRPr="00664603">
        <w:rPr>
          <w:rFonts w:cs="Fira Sans"/>
          <w:spacing w:val="-4"/>
          <w:szCs w:val="19"/>
        </w:rPr>
        <w:t>%</w:t>
      </w:r>
      <w:r w:rsidR="007F3A63" w:rsidRPr="00664603">
        <w:rPr>
          <w:rFonts w:cs="Fira Sans"/>
          <w:spacing w:val="-4"/>
          <w:szCs w:val="19"/>
        </w:rPr>
        <w:t xml:space="preserve"> wartości krajowej), wielkopolskim</w:t>
      </w:r>
      <w:r w:rsidRPr="00664603">
        <w:rPr>
          <w:rFonts w:cs="Fira Sans"/>
          <w:spacing w:val="-4"/>
          <w:szCs w:val="19"/>
        </w:rPr>
        <w:t xml:space="preserve"> (11,</w:t>
      </w:r>
      <w:r w:rsidR="007F3A63" w:rsidRPr="00664603">
        <w:rPr>
          <w:rFonts w:cs="Fira Sans"/>
          <w:spacing w:val="-4"/>
          <w:szCs w:val="19"/>
        </w:rPr>
        <w:t>2</w:t>
      </w:r>
      <w:r w:rsidRPr="00664603">
        <w:rPr>
          <w:rFonts w:cs="Fira Sans"/>
          <w:spacing w:val="-4"/>
          <w:szCs w:val="19"/>
        </w:rPr>
        <w:t>%)</w:t>
      </w:r>
      <w:r w:rsidR="00B04864">
        <w:rPr>
          <w:rFonts w:cs="Fira Sans"/>
          <w:spacing w:val="-4"/>
          <w:szCs w:val="19"/>
        </w:rPr>
        <w:t>,</w:t>
      </w:r>
      <w:r w:rsidRPr="00664603">
        <w:rPr>
          <w:rFonts w:cs="Fira Sans"/>
          <w:spacing w:val="-4"/>
          <w:szCs w:val="19"/>
        </w:rPr>
        <w:t xml:space="preserve"> </w:t>
      </w:r>
      <w:r w:rsidR="007F3A63" w:rsidRPr="00664603">
        <w:rPr>
          <w:rFonts w:cs="Fira Sans"/>
          <w:spacing w:val="-4"/>
          <w:szCs w:val="19"/>
        </w:rPr>
        <w:t>małopolskim</w:t>
      </w:r>
      <w:r w:rsidRPr="00664603">
        <w:rPr>
          <w:rFonts w:cs="Fira Sans"/>
          <w:spacing w:val="-4"/>
          <w:szCs w:val="19"/>
        </w:rPr>
        <w:t xml:space="preserve"> (10,</w:t>
      </w:r>
      <w:r w:rsidR="007F3A63" w:rsidRPr="00664603">
        <w:rPr>
          <w:rFonts w:cs="Fira Sans"/>
          <w:spacing w:val="-4"/>
          <w:szCs w:val="19"/>
        </w:rPr>
        <w:t>6</w:t>
      </w:r>
      <w:r w:rsidRPr="00664603">
        <w:rPr>
          <w:rFonts w:cs="Fira Sans"/>
          <w:spacing w:val="-4"/>
          <w:szCs w:val="19"/>
        </w:rPr>
        <w:t>%)</w:t>
      </w:r>
      <w:r w:rsidR="00B04864">
        <w:rPr>
          <w:rFonts w:cs="Fira Sans"/>
          <w:spacing w:val="-4"/>
          <w:szCs w:val="19"/>
        </w:rPr>
        <w:t xml:space="preserve"> i dolnośląskim (10</w:t>
      </w:r>
      <w:r w:rsidR="004E44E5">
        <w:rPr>
          <w:rFonts w:cs="Fira Sans"/>
          <w:spacing w:val="-4"/>
          <w:szCs w:val="19"/>
        </w:rPr>
        <w:t>,4%)</w:t>
      </w:r>
      <w:r w:rsidRPr="00664603">
        <w:rPr>
          <w:rFonts w:cs="Fira Sans"/>
          <w:spacing w:val="-4"/>
          <w:szCs w:val="19"/>
        </w:rPr>
        <w:t>. Analizując wskaźnik nasilenia budownictwa mieszkaniowego</w:t>
      </w:r>
      <w:r w:rsidR="00121258" w:rsidRPr="00664603">
        <w:rPr>
          <w:rFonts w:cs="Fira Sans"/>
          <w:spacing w:val="-4"/>
          <w:szCs w:val="19"/>
        </w:rPr>
        <w:t>,</w:t>
      </w:r>
      <w:r w:rsidRPr="00664603">
        <w:rPr>
          <w:rFonts w:cs="Fira Sans"/>
          <w:spacing w:val="-4"/>
          <w:szCs w:val="19"/>
        </w:rPr>
        <w:t xml:space="preserve"> wyrażony liczbą mieszkań oddanych do użytkowania w przeliczeniu na 1 tys. ludności</w:t>
      </w:r>
      <w:r w:rsidRPr="00664603">
        <w:rPr>
          <w:rFonts w:cs="Fira Sans"/>
          <w:spacing w:val="-4"/>
          <w:szCs w:val="19"/>
          <w:vertAlign w:val="superscript"/>
        </w:rPr>
        <w:footnoteReference w:id="2"/>
      </w:r>
      <w:r w:rsidRPr="00664603">
        <w:rPr>
          <w:rFonts w:cs="Fira Sans"/>
          <w:spacing w:val="-4"/>
          <w:szCs w:val="19"/>
        </w:rPr>
        <w:t>, największe wartości odnotowano</w:t>
      </w:r>
      <w:r w:rsidR="007F3A63" w:rsidRPr="00664603">
        <w:rPr>
          <w:rFonts w:cs="Fira Sans"/>
          <w:spacing w:val="-4"/>
          <w:szCs w:val="19"/>
        </w:rPr>
        <w:t xml:space="preserve"> w województwach: mazowieckim (5,6), dolnośląskim </w:t>
      </w:r>
      <w:r w:rsidR="004E44E5">
        <w:rPr>
          <w:rFonts w:cs="Fira Sans"/>
          <w:spacing w:val="-4"/>
          <w:szCs w:val="19"/>
        </w:rPr>
        <w:t xml:space="preserve">(5,2) </w:t>
      </w:r>
      <w:r w:rsidR="007F3A63" w:rsidRPr="00664603">
        <w:rPr>
          <w:rFonts w:cs="Fira Sans"/>
          <w:spacing w:val="-4"/>
          <w:szCs w:val="19"/>
        </w:rPr>
        <w:t>pomorskim (5</w:t>
      </w:r>
      <w:r w:rsidRPr="00664603">
        <w:rPr>
          <w:rFonts w:cs="Fira Sans"/>
          <w:spacing w:val="-4"/>
          <w:szCs w:val="19"/>
        </w:rPr>
        <w:t>,</w:t>
      </w:r>
      <w:r w:rsidR="004E44E5">
        <w:rPr>
          <w:rFonts w:cs="Fira Sans"/>
          <w:spacing w:val="-4"/>
          <w:szCs w:val="19"/>
        </w:rPr>
        <w:t>1</w:t>
      </w:r>
      <w:r w:rsidRPr="00664603">
        <w:rPr>
          <w:rFonts w:cs="Fira Sans"/>
          <w:spacing w:val="-4"/>
          <w:szCs w:val="19"/>
        </w:rPr>
        <w:t>); najmniejsze w op</w:t>
      </w:r>
      <w:r w:rsidR="007F3A63" w:rsidRPr="00664603">
        <w:rPr>
          <w:rFonts w:cs="Fira Sans"/>
          <w:spacing w:val="-4"/>
          <w:szCs w:val="19"/>
        </w:rPr>
        <w:t>olskim (1,7</w:t>
      </w:r>
      <w:r w:rsidRPr="00664603">
        <w:rPr>
          <w:rFonts w:cs="Fira Sans"/>
          <w:spacing w:val="-4"/>
          <w:szCs w:val="19"/>
        </w:rPr>
        <w:t>), świętokrzyskim</w:t>
      </w:r>
      <w:r w:rsidR="007F3A63" w:rsidRPr="00664603">
        <w:rPr>
          <w:rFonts w:cs="Fira Sans"/>
          <w:spacing w:val="-4"/>
          <w:szCs w:val="19"/>
        </w:rPr>
        <w:t> </w:t>
      </w:r>
      <w:r w:rsidRPr="00664603">
        <w:rPr>
          <w:rFonts w:cs="Fira Sans"/>
          <w:spacing w:val="-4"/>
          <w:szCs w:val="19"/>
        </w:rPr>
        <w:t>i śląskim (po</w:t>
      </w:r>
      <w:r w:rsidR="009920F4" w:rsidRPr="00664603">
        <w:rPr>
          <w:rFonts w:cs="Fira Sans"/>
          <w:spacing w:val="-4"/>
          <w:szCs w:val="19"/>
        </w:rPr>
        <w:t> </w:t>
      </w:r>
      <w:r w:rsidR="007F3A63" w:rsidRPr="00664603">
        <w:rPr>
          <w:rFonts w:cs="Fira Sans"/>
          <w:spacing w:val="-4"/>
          <w:szCs w:val="19"/>
        </w:rPr>
        <w:t>2,2</w:t>
      </w:r>
      <w:r w:rsidRPr="00664603">
        <w:rPr>
          <w:rFonts w:cs="Fira Sans"/>
          <w:spacing w:val="-4"/>
          <w:szCs w:val="19"/>
        </w:rPr>
        <w:t>).</w:t>
      </w:r>
    </w:p>
    <w:p w14:paraId="703595F5" w14:textId="2D7A4DF6" w:rsidR="002543F3" w:rsidRPr="003C689E" w:rsidRDefault="00AC3592" w:rsidP="00664603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>
        <w:rPr>
          <w:rFonts w:cs="Fira Sans"/>
          <w:noProof/>
          <w:szCs w:val="19"/>
          <w:lang w:eastAsia="pl-PL"/>
        </w:rPr>
        <w:drawing>
          <wp:anchor distT="0" distB="0" distL="114300" distR="114300" simplePos="0" relativeHeight="251926016" behindDoc="1" locked="0" layoutInCell="1" allowOverlap="1" wp14:anchorId="49B71BDA" wp14:editId="3979BA57">
            <wp:simplePos x="0" y="0"/>
            <wp:positionH relativeFrom="margin">
              <wp:align>left</wp:align>
            </wp:positionH>
            <wp:positionV relativeFrom="paragraph">
              <wp:posOffset>382934</wp:posOffset>
            </wp:positionV>
            <wp:extent cx="5090795" cy="3562066"/>
            <wp:effectExtent l="0" t="0" r="0" b="63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56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3F3" w:rsidRPr="003C689E">
        <w:rPr>
          <w:rFonts w:cs="Fira Sans"/>
          <w:b/>
          <w:sz w:val="18"/>
          <w:szCs w:val="19"/>
        </w:rPr>
        <w:t xml:space="preserve">Wykres 1. Mieszkania oddane do użytkowania w przeliczeniu na 1 tys. </w:t>
      </w:r>
      <w:r w:rsidR="008350FF" w:rsidRPr="003C689E">
        <w:rPr>
          <w:rFonts w:cs="Fira Sans"/>
          <w:b/>
          <w:sz w:val="18"/>
          <w:szCs w:val="19"/>
        </w:rPr>
        <w:t>ludności</w:t>
      </w:r>
    </w:p>
    <w:p w14:paraId="26927350" w14:textId="74A65E3D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5B5E883F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549DBDF7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28D87D8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AA13E83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6E807A6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E7A3FE6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2F2372B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13B3394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17368F22" w14:textId="77777777" w:rsidR="00AC4F15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B2830DB" w14:textId="77777777" w:rsidR="00664603" w:rsidRPr="003C689E" w:rsidRDefault="0066460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231DC114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784D8CF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4E7E4E0C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5E84FBD2" w14:textId="77777777" w:rsidR="00AC4F15" w:rsidRPr="003C689E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52C6D881" w14:textId="250B2BA0" w:rsidR="002543F3" w:rsidRPr="003C689E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E37BC17" w14:textId="319EE9F1" w:rsidR="00A26EA0" w:rsidRPr="00AC3592" w:rsidRDefault="006A676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>
        <w:rPr>
          <w:rFonts w:cs="Fira Sans"/>
          <w:szCs w:val="19"/>
        </w:rPr>
        <w:t>W</w:t>
      </w:r>
      <w:r w:rsidRPr="003C689E">
        <w:rPr>
          <w:rFonts w:cs="Fira Sans"/>
          <w:szCs w:val="19"/>
        </w:rPr>
        <w:t xml:space="preserve"> trzech pierwszych kwartałach 2019 roku </w:t>
      </w:r>
      <w:r>
        <w:rPr>
          <w:rFonts w:cs="Fira Sans"/>
          <w:szCs w:val="19"/>
        </w:rPr>
        <w:t>p</w:t>
      </w:r>
      <w:r w:rsidR="00A26EA0" w:rsidRPr="003C689E">
        <w:rPr>
          <w:rFonts w:cs="Fira Sans"/>
          <w:szCs w:val="19"/>
        </w:rPr>
        <w:t>onad 62</w:t>
      </w:r>
      <w:r w:rsidR="00403B3E" w:rsidRPr="003C689E">
        <w:rPr>
          <w:rFonts w:cs="Fira Sans"/>
          <w:szCs w:val="19"/>
        </w:rPr>
        <w:t>,5</w:t>
      </w:r>
      <w:r w:rsidR="00A26EA0" w:rsidRPr="003C689E">
        <w:rPr>
          <w:rFonts w:cs="Fira Sans"/>
          <w:szCs w:val="19"/>
        </w:rPr>
        <w:t>% nowo oddanych</w:t>
      </w:r>
      <w:r w:rsidR="00400EAB" w:rsidRPr="003C689E">
        <w:rPr>
          <w:rFonts w:cs="Fira Sans"/>
          <w:szCs w:val="19"/>
        </w:rPr>
        <w:t xml:space="preserve">, </w:t>
      </w:r>
      <w:r w:rsidR="00A26EA0" w:rsidRPr="003C689E">
        <w:rPr>
          <w:rFonts w:cs="Fira Sans"/>
          <w:szCs w:val="19"/>
        </w:rPr>
        <w:t>mieszkań wybudowali deweloperzy; inwestorzy indywidualni – 3</w:t>
      </w:r>
      <w:r w:rsidR="00403B3E" w:rsidRPr="003C689E">
        <w:rPr>
          <w:rFonts w:cs="Fira Sans"/>
          <w:szCs w:val="19"/>
        </w:rPr>
        <w:t>4</w:t>
      </w:r>
      <w:r w:rsidR="00A26EA0" w:rsidRPr="003C689E">
        <w:rPr>
          <w:rFonts w:cs="Fira Sans"/>
          <w:szCs w:val="19"/>
        </w:rPr>
        <w:t>,</w:t>
      </w:r>
      <w:r w:rsidR="00403B3E" w:rsidRPr="003C689E">
        <w:rPr>
          <w:rFonts w:cs="Fira Sans"/>
          <w:szCs w:val="19"/>
        </w:rPr>
        <w:t>2</w:t>
      </w:r>
      <w:r w:rsidR="00A26EA0" w:rsidRPr="003C689E">
        <w:rPr>
          <w:rFonts w:cs="Fira Sans"/>
          <w:szCs w:val="19"/>
        </w:rPr>
        <w:t>%</w:t>
      </w:r>
      <w:r w:rsidR="00400EAB" w:rsidRPr="003C689E">
        <w:rPr>
          <w:rFonts w:cs="Fira Sans"/>
          <w:szCs w:val="19"/>
        </w:rPr>
        <w:t>.</w:t>
      </w:r>
      <w:r w:rsidR="00A26EA0" w:rsidRPr="003C689E">
        <w:rPr>
          <w:rFonts w:cs="Fira Sans"/>
          <w:szCs w:val="19"/>
        </w:rPr>
        <w:t xml:space="preserve"> </w:t>
      </w:r>
      <w:r w:rsidR="00400EAB" w:rsidRPr="003C689E">
        <w:rPr>
          <w:rFonts w:cs="Fira Sans"/>
          <w:szCs w:val="19"/>
        </w:rPr>
        <w:t>P</w:t>
      </w:r>
      <w:r w:rsidR="00A26EA0" w:rsidRPr="003C689E">
        <w:rPr>
          <w:rFonts w:cs="Fira Sans"/>
          <w:szCs w:val="19"/>
        </w:rPr>
        <w:t xml:space="preserve">ozostałe </w:t>
      </w:r>
      <w:r w:rsidR="00980B30" w:rsidRPr="003C689E">
        <w:rPr>
          <w:rFonts w:cs="Fira Sans"/>
          <w:szCs w:val="19"/>
        </w:rPr>
        <w:t>mieszkania powstały w społecznej czynszowej, spółdzielczej, komunalnej oraz zakładowej formie budownictwa (odpowiednio: 1,3%, 1,0%, 0,8% i 0,2% wartości ogółem)</w:t>
      </w:r>
      <w:r>
        <w:rPr>
          <w:rFonts w:cs="Fira Sans"/>
          <w:szCs w:val="19"/>
        </w:rPr>
        <w:t>.</w:t>
      </w:r>
    </w:p>
    <w:p w14:paraId="33CDCAE3" w14:textId="03C1A849" w:rsidR="002543F3" w:rsidRPr="003C689E" w:rsidRDefault="00A26EA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C3592">
        <w:rPr>
          <w:rFonts w:cs="Fira Sans"/>
          <w:szCs w:val="19"/>
        </w:rPr>
        <w:t xml:space="preserve">W porównaniu z </w:t>
      </w:r>
      <w:r w:rsidR="00400EAB" w:rsidRPr="00AC3592">
        <w:rPr>
          <w:rFonts w:cs="Fira Sans"/>
          <w:szCs w:val="19"/>
        </w:rPr>
        <w:t xml:space="preserve">analogicznym okresem roku poprzedniego </w:t>
      </w:r>
      <w:r w:rsidRPr="00AC3592">
        <w:rPr>
          <w:rFonts w:cs="Fira Sans"/>
          <w:szCs w:val="19"/>
        </w:rPr>
        <w:t xml:space="preserve">zwiększył się udział mieszkań przeznaczonych na sprzedaż lub wynajem (o </w:t>
      </w:r>
      <w:r w:rsidR="00980B30" w:rsidRPr="00AC3592">
        <w:rPr>
          <w:rFonts w:cs="Fira Sans"/>
          <w:szCs w:val="19"/>
        </w:rPr>
        <w:t xml:space="preserve">2,6 </w:t>
      </w:r>
      <w:r w:rsidRPr="00AC3592">
        <w:rPr>
          <w:rFonts w:cs="Fira Sans"/>
          <w:szCs w:val="19"/>
        </w:rPr>
        <w:t xml:space="preserve">p. proc.), natomiast </w:t>
      </w:r>
      <w:r w:rsidR="001562D1" w:rsidRPr="003C689E">
        <w:rPr>
          <w:rFonts w:cs="Fira Sans"/>
          <w:szCs w:val="19"/>
        </w:rPr>
        <w:t>zmniejszył się (o 2,9 p.</w:t>
      </w:r>
      <w:r w:rsidR="001562D1">
        <w:rPr>
          <w:rFonts w:cs="Fira Sans"/>
          <w:szCs w:val="19"/>
        </w:rPr>
        <w:t> </w:t>
      </w:r>
      <w:r w:rsidR="001562D1" w:rsidRPr="003C689E">
        <w:rPr>
          <w:rFonts w:cs="Fira Sans"/>
          <w:szCs w:val="19"/>
        </w:rPr>
        <w:t>proc)</w:t>
      </w:r>
      <w:r w:rsidR="001562D1">
        <w:rPr>
          <w:rFonts w:cs="Fira Sans"/>
          <w:szCs w:val="19"/>
        </w:rPr>
        <w:t xml:space="preserve"> </w:t>
      </w:r>
      <w:r w:rsidR="00AC3592" w:rsidRPr="00AC3592">
        <w:rPr>
          <w:rFonts w:cs="Fira Sans"/>
          <w:szCs w:val="19"/>
        </w:rPr>
        <w:t>odsetek</w:t>
      </w:r>
      <w:r w:rsidRPr="00AC3592">
        <w:rPr>
          <w:rFonts w:cs="Fira Sans"/>
          <w:color w:val="FF0000"/>
          <w:szCs w:val="19"/>
        </w:rPr>
        <w:t xml:space="preserve"> </w:t>
      </w:r>
      <w:r w:rsidRPr="003C689E">
        <w:rPr>
          <w:rFonts w:cs="Fira Sans"/>
          <w:szCs w:val="19"/>
        </w:rPr>
        <w:t>mieszkań wybudowanych przez inwestorów indywidualnych. Udziały pozostałych form budownictwa pozostały na zbliżonym poziomie.</w:t>
      </w:r>
    </w:p>
    <w:p w14:paraId="78ED361C" w14:textId="77777777" w:rsidR="002543F3" w:rsidRPr="003C689E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C689E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3C689E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3C689E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3C689E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 w:rsidRPr="003C689E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6CCAC7CB" w:rsidR="002543F3" w:rsidRPr="003C689E" w:rsidRDefault="002543F3" w:rsidP="00FD532B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b ― </w:t>
            </w:r>
            <w:r w:rsidR="003D4B0E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>I</w:t>
            </w:r>
            <w:r w:rsidR="00FD532B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>-III</w:t>
            </w:r>
            <w:r w:rsidR="003D4B0E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</w:t>
            </w:r>
            <w:r w:rsidR="00FD532B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>kw.</w:t>
            </w:r>
            <w:r w:rsidR="003D4B0E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</w:t>
            </w:r>
            <w:r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>201</w:t>
            </w:r>
            <w:r w:rsidR="00AD05CA"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>8</w:t>
            </w:r>
            <w:r w:rsidRPr="003C689E">
              <w:rPr>
                <w:rFonts w:cs="Fira Sans"/>
                <w:color w:val="000000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3C689E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3C689E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3C689E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3C689E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D5672C" w:rsidRPr="003C689E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51AACB09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b/>
                <w:sz w:val="16"/>
                <w:szCs w:val="16"/>
              </w:rPr>
              <w:t>145 710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203C0571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553 546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39A98C7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387F08A6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13 037 123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7C7BAA75" w:rsidR="00D5672C" w:rsidRPr="003C689E" w:rsidRDefault="00D5672C" w:rsidP="00AC4F15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89,5</w:t>
            </w:r>
          </w:p>
        </w:tc>
      </w:tr>
      <w:tr w:rsidR="00D5672C" w:rsidRPr="003C689E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2F4748C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112,3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5CBF16DD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29DCF4B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1CA45DC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68AD9013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sz w:val="16"/>
                <w:szCs w:val="16"/>
              </w:rPr>
              <w:t>97,7</w:t>
            </w:r>
          </w:p>
        </w:tc>
      </w:tr>
      <w:tr w:rsidR="00D5672C" w:rsidRPr="003C689E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657D165F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49 836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0AD022D1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274 979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6DD4596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0676CE71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7 180 317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16DA68A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144,1</w:t>
            </w:r>
          </w:p>
        </w:tc>
      </w:tr>
      <w:tr w:rsidR="00D5672C" w:rsidRPr="003C689E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53ED402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103,5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4FC2290C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66ADA34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99,2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2E5CABB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343345D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99,4</w:t>
            </w:r>
          </w:p>
        </w:tc>
      </w:tr>
      <w:tr w:rsidR="00D5672C" w:rsidRPr="003C689E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2E0A5CB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91 116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5E9285C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265 452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36232C3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7E6301CE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5 611 830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374929E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61,6</w:t>
            </w:r>
          </w:p>
        </w:tc>
      </w:tr>
      <w:tr w:rsidR="00D5672C" w:rsidRPr="003C689E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0CD97CAE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117,2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0E90D90F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65E3D09D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6FC711C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43017A46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101,8</w:t>
            </w:r>
          </w:p>
        </w:tc>
      </w:tr>
      <w:tr w:rsidR="00D5672C" w:rsidRPr="003C689E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3C689E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3C689E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2ABCA2D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1 725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21BF58DD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44C0D27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34568083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97 364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758CE94B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56,4</w:t>
            </w:r>
          </w:p>
        </w:tc>
      </w:tr>
      <w:tr w:rsidR="00D5672C" w:rsidRPr="003C689E" w14:paraId="5C42F514" w14:textId="77777777" w:rsidTr="0015220E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39DEDBEE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35A812B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0BE243AF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024B3E36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2A2137FB" w:rsidR="00D5672C" w:rsidRPr="003C689E" w:rsidRDefault="00BE213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x</w:t>
            </w:r>
          </w:p>
        </w:tc>
      </w:tr>
      <w:tr w:rsidR="00D5672C" w:rsidRPr="003C689E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Spółdzielcze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2169509D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1 511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60465F0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4 442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06B8F1D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00221AC6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84 786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3769DFB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56,1</w:t>
            </w:r>
          </w:p>
        </w:tc>
      </w:tr>
      <w:tr w:rsidR="00D5672C" w:rsidRPr="003C689E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73B85BC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85,1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02A4CF09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07A7508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102,5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38C9371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1A535B5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103,1</w:t>
            </w:r>
          </w:p>
        </w:tc>
      </w:tr>
      <w:tr w:rsidR="00D5672C" w:rsidRPr="003C689E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0AE3FC0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1 868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6748C088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5 141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6D0F046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742821C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96 640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42A4CB0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51,7</w:t>
            </w:r>
          </w:p>
        </w:tc>
      </w:tr>
      <w:tr w:rsidR="00D5672C" w:rsidRPr="003C689E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470C94A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176,7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48AF490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07911ECF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101,5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6557A471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6E4C7A8F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103,2</w:t>
            </w:r>
          </w:p>
        </w:tc>
      </w:tr>
      <w:tr w:rsidR="00D5672C" w:rsidRPr="003C689E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0706B54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1 150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27659CBE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2 780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3AD1BF3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1BA11A04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49 475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0E6FC30E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43,0</w:t>
            </w:r>
          </w:p>
        </w:tc>
      </w:tr>
      <w:tr w:rsidR="00D5672C" w:rsidRPr="003C689E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609054CC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126,5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1C1212A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7C61F311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54B6DD0B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064AD13B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96,7</w:t>
            </w:r>
          </w:p>
        </w:tc>
      </w:tr>
      <w:tr w:rsidR="00D5672C" w:rsidRPr="003C689E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7F497CED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229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414A8EA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752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644F6E90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3,3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5651789B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14 075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0E8CBA8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61,5</w:t>
            </w:r>
          </w:p>
        </w:tc>
      </w:tr>
      <w:tr w:rsidR="00D5672C" w:rsidRPr="003C689E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D5672C" w:rsidRPr="003C689E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47DCE6A5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251,6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00892FB9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29F86F46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86,9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3AD1AA92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188975BA" w:rsidR="00D5672C" w:rsidRPr="003C689E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79,3</w:t>
            </w:r>
          </w:p>
        </w:tc>
      </w:tr>
    </w:tbl>
    <w:p w14:paraId="58333A1B" w14:textId="3AE4B23B" w:rsidR="00066D40" w:rsidRPr="003C689E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 xml:space="preserve">Przewaga inwestorów indywidualnych zaznaczyła się w największym stopniu </w:t>
      </w:r>
      <w:r w:rsidRPr="003C689E">
        <w:rPr>
          <w:rFonts w:cs="Fira Sans"/>
          <w:b/>
          <w:szCs w:val="19"/>
        </w:rPr>
        <w:t>w strukturze budownictwa mieszkaniowego</w:t>
      </w:r>
      <w:r w:rsidR="00773B3E" w:rsidRPr="003C689E">
        <w:rPr>
          <w:rFonts w:cs="Fira Sans"/>
          <w:szCs w:val="19"/>
        </w:rPr>
        <w:t xml:space="preserve"> województw</w:t>
      </w:r>
      <w:r w:rsidR="00727F66" w:rsidRPr="003C689E">
        <w:rPr>
          <w:rFonts w:cs="Fira Sans"/>
          <w:szCs w:val="19"/>
        </w:rPr>
        <w:t>:</w:t>
      </w:r>
      <w:r w:rsidR="00773B3E" w:rsidRPr="003C689E">
        <w:rPr>
          <w:rFonts w:cs="Fira Sans"/>
          <w:szCs w:val="19"/>
        </w:rPr>
        <w:t xml:space="preserve"> świętokrzyskiego, </w:t>
      </w:r>
      <w:r w:rsidRPr="003C689E">
        <w:rPr>
          <w:rFonts w:cs="Fira Sans"/>
          <w:szCs w:val="19"/>
        </w:rPr>
        <w:t>śląskiego</w:t>
      </w:r>
      <w:r w:rsidR="00773B3E" w:rsidRPr="003C689E">
        <w:rPr>
          <w:rFonts w:cs="Fira Sans"/>
          <w:szCs w:val="19"/>
        </w:rPr>
        <w:t xml:space="preserve"> i podkarpackiego</w:t>
      </w:r>
      <w:r w:rsidR="00727F66" w:rsidRPr="003C689E">
        <w:rPr>
          <w:rFonts w:cs="Fira Sans"/>
          <w:szCs w:val="19"/>
        </w:rPr>
        <w:t>,</w:t>
      </w:r>
      <w:r w:rsidRPr="003C689E">
        <w:rPr>
          <w:rFonts w:cs="Fira Sans"/>
          <w:szCs w:val="19"/>
        </w:rPr>
        <w:t xml:space="preserve"> w których udziały tej formy budownictwa kształtowały się na poziomie odpowiednio</w:t>
      </w:r>
      <w:r w:rsidR="00727F66" w:rsidRPr="003C689E">
        <w:rPr>
          <w:rFonts w:cs="Fira Sans"/>
          <w:szCs w:val="19"/>
        </w:rPr>
        <w:t>:</w:t>
      </w:r>
      <w:r w:rsidRPr="003C689E">
        <w:rPr>
          <w:rFonts w:cs="Fira Sans"/>
          <w:szCs w:val="19"/>
        </w:rPr>
        <w:t xml:space="preserve"> </w:t>
      </w:r>
      <w:r w:rsidR="004E1482" w:rsidRPr="003C689E">
        <w:rPr>
          <w:rFonts w:cs="Fira Sans"/>
          <w:szCs w:val="19"/>
        </w:rPr>
        <w:t>60,9%</w:t>
      </w:r>
      <w:r w:rsidR="00773B3E" w:rsidRPr="003C689E">
        <w:rPr>
          <w:rFonts w:cs="Fira Sans"/>
          <w:szCs w:val="19"/>
        </w:rPr>
        <w:t xml:space="preserve">, </w:t>
      </w:r>
      <w:r w:rsidR="004E1482" w:rsidRPr="003C689E">
        <w:rPr>
          <w:rFonts w:cs="Fira Sans"/>
          <w:szCs w:val="19"/>
        </w:rPr>
        <w:t>54,3%</w:t>
      </w:r>
      <w:r w:rsidR="00773B3E" w:rsidRPr="003C689E">
        <w:rPr>
          <w:rFonts w:cs="Fira Sans"/>
          <w:szCs w:val="19"/>
        </w:rPr>
        <w:t xml:space="preserve"> i 53,9%</w:t>
      </w:r>
      <w:r w:rsidR="004E1482" w:rsidRPr="003C689E">
        <w:rPr>
          <w:rFonts w:cs="Fira Sans"/>
          <w:szCs w:val="19"/>
        </w:rPr>
        <w:t>.</w:t>
      </w:r>
      <w:r w:rsidRPr="003C689E">
        <w:rPr>
          <w:rFonts w:cs="Fira Sans"/>
          <w:szCs w:val="19"/>
        </w:rPr>
        <w:t xml:space="preserve"> Z kolei w województwach: </w:t>
      </w:r>
      <w:r w:rsidR="005C5981" w:rsidRPr="003C689E">
        <w:rPr>
          <w:rFonts w:cs="Fira Sans"/>
          <w:szCs w:val="19"/>
        </w:rPr>
        <w:t xml:space="preserve">dolnośląskim, mazowieckim i pomorskim odnotowano największe </w:t>
      </w:r>
      <w:r w:rsidR="001562D1">
        <w:rPr>
          <w:rFonts w:cs="Fira Sans"/>
          <w:szCs w:val="19"/>
        </w:rPr>
        <w:t>odsetki</w:t>
      </w:r>
      <w:r w:rsidR="005C5981" w:rsidRPr="003C689E">
        <w:rPr>
          <w:rFonts w:cs="Fira Sans"/>
          <w:szCs w:val="19"/>
        </w:rPr>
        <w:t xml:space="preserve"> budownictwa przeznacz</w:t>
      </w:r>
      <w:r w:rsidR="00727F66" w:rsidRPr="003C689E">
        <w:rPr>
          <w:rFonts w:cs="Fira Sans"/>
          <w:szCs w:val="19"/>
        </w:rPr>
        <w:t>onego</w:t>
      </w:r>
      <w:r w:rsidR="005C5981" w:rsidRPr="003C689E">
        <w:rPr>
          <w:rFonts w:cs="Fira Sans"/>
          <w:szCs w:val="19"/>
        </w:rPr>
        <w:t xml:space="preserve"> na sprzedaż lub wynajem – odpowiednio: 75,2%; 74,9% oraz 69,5%.</w:t>
      </w:r>
    </w:p>
    <w:p w14:paraId="404905E2" w14:textId="6F44D0C1" w:rsidR="00066D40" w:rsidRPr="003C689E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 xml:space="preserve">Wszystkie </w:t>
      </w:r>
      <w:r w:rsidRPr="003C689E">
        <w:rPr>
          <w:rFonts w:cs="Fira Sans"/>
          <w:b/>
          <w:szCs w:val="19"/>
        </w:rPr>
        <w:t xml:space="preserve">mieszkania oddane do użytkowania </w:t>
      </w:r>
      <w:r w:rsidRPr="003C689E">
        <w:rPr>
          <w:rFonts w:cs="Fira Sans"/>
          <w:szCs w:val="19"/>
        </w:rPr>
        <w:t>w I</w:t>
      </w:r>
      <w:r w:rsidR="00AC3592">
        <w:rPr>
          <w:rFonts w:cs="Fira Sans"/>
          <w:szCs w:val="19"/>
        </w:rPr>
        <w:t>-III kwartale</w:t>
      </w:r>
      <w:r w:rsidR="00727F66" w:rsidRPr="003C689E">
        <w:rPr>
          <w:rFonts w:cs="Fira Sans"/>
          <w:szCs w:val="19"/>
        </w:rPr>
        <w:t xml:space="preserve"> </w:t>
      </w:r>
      <w:r w:rsidRPr="003C689E">
        <w:rPr>
          <w:rFonts w:cs="Fira Sans"/>
          <w:szCs w:val="19"/>
        </w:rPr>
        <w:t xml:space="preserve">bieżącego roku </w:t>
      </w:r>
      <w:r w:rsidRPr="003C689E">
        <w:rPr>
          <w:rFonts w:cs="Fira Sans"/>
          <w:b/>
          <w:szCs w:val="19"/>
        </w:rPr>
        <w:t>wyposażone</w:t>
      </w:r>
      <w:r w:rsidRPr="003C689E">
        <w:rPr>
          <w:rFonts w:cs="Fira Sans"/>
          <w:szCs w:val="19"/>
        </w:rPr>
        <w:t xml:space="preserve"> były w podstawowe urządzenia techniczno-sanitarne (wod</w:t>
      </w:r>
      <w:r w:rsidR="00727F66" w:rsidRPr="003C689E">
        <w:rPr>
          <w:rFonts w:cs="Fira Sans"/>
          <w:szCs w:val="19"/>
        </w:rPr>
        <w:t>ociąg, kanalizację). Wodociąg z </w:t>
      </w:r>
      <w:r w:rsidRPr="003C689E">
        <w:rPr>
          <w:rFonts w:cs="Fira Sans"/>
          <w:szCs w:val="19"/>
        </w:rPr>
        <w:t>sieci posiadało 89,</w:t>
      </w:r>
      <w:r w:rsidR="005C5981" w:rsidRPr="003C689E">
        <w:rPr>
          <w:rFonts w:cs="Fira Sans"/>
          <w:szCs w:val="19"/>
        </w:rPr>
        <w:t>3</w:t>
      </w:r>
      <w:r w:rsidRPr="003C689E">
        <w:rPr>
          <w:rFonts w:cs="Fira Sans"/>
          <w:szCs w:val="19"/>
        </w:rPr>
        <w:t>% mieszkań, a kanalizacj</w:t>
      </w:r>
      <w:r w:rsidR="005C5981" w:rsidRPr="003C689E">
        <w:rPr>
          <w:rFonts w:cs="Fira Sans"/>
          <w:szCs w:val="19"/>
        </w:rPr>
        <w:t>ę z odprowadzeniem do sieci 79,6</w:t>
      </w:r>
      <w:r w:rsidRPr="003C689E">
        <w:rPr>
          <w:rFonts w:cs="Fira Sans"/>
          <w:szCs w:val="19"/>
        </w:rPr>
        <w:t xml:space="preserve">%. W </w:t>
      </w:r>
      <w:r w:rsidR="005C5981" w:rsidRPr="003C689E">
        <w:rPr>
          <w:rFonts w:cs="Fira Sans"/>
          <w:szCs w:val="19"/>
        </w:rPr>
        <w:t>gaz z</w:t>
      </w:r>
      <w:r w:rsidR="00727F66" w:rsidRPr="003C689E">
        <w:rPr>
          <w:rFonts w:cs="Fira Sans"/>
          <w:szCs w:val="19"/>
        </w:rPr>
        <w:t> </w:t>
      </w:r>
      <w:r w:rsidR="005C5981" w:rsidRPr="003C689E">
        <w:rPr>
          <w:rFonts w:cs="Fira Sans"/>
          <w:szCs w:val="19"/>
        </w:rPr>
        <w:t>sieci wyposażonych było 38,7%</w:t>
      </w:r>
      <w:r w:rsidRPr="003C689E">
        <w:rPr>
          <w:rFonts w:cs="Fira Sans"/>
          <w:szCs w:val="19"/>
        </w:rPr>
        <w:t xml:space="preserve"> mieszkań, natomiast w ciepłą wodę dostarczaną </w:t>
      </w:r>
      <w:r w:rsidRPr="003C689E">
        <w:rPr>
          <w:rFonts w:cs="Fira Sans"/>
          <w:szCs w:val="19"/>
        </w:rPr>
        <w:lastRenderedPageBreak/>
        <w:t>z elektrociepłowni, ciepło</w:t>
      </w:r>
      <w:r w:rsidR="005C5981" w:rsidRPr="003C689E">
        <w:rPr>
          <w:rFonts w:cs="Fira Sans"/>
          <w:szCs w:val="19"/>
        </w:rPr>
        <w:t>wni lub kotłowni osiedlowej – 41,9</w:t>
      </w:r>
      <w:r w:rsidRPr="003C689E">
        <w:rPr>
          <w:rFonts w:cs="Fira Sans"/>
          <w:szCs w:val="19"/>
        </w:rPr>
        <w:t>%. Do cen</w:t>
      </w:r>
      <w:r w:rsidRPr="00AC3592">
        <w:rPr>
          <w:rFonts w:cs="Fira Sans"/>
          <w:szCs w:val="19"/>
        </w:rPr>
        <w:t xml:space="preserve">tralnej sieci grzewczej </w:t>
      </w:r>
      <w:r w:rsidR="005C5981" w:rsidRPr="00AC3592">
        <w:rPr>
          <w:rFonts w:cs="Fira Sans"/>
          <w:szCs w:val="19"/>
        </w:rPr>
        <w:t>podłączonych było 41</w:t>
      </w:r>
      <w:r w:rsidRPr="00AC3592">
        <w:rPr>
          <w:rFonts w:cs="Fira Sans"/>
          <w:szCs w:val="19"/>
        </w:rPr>
        <w:t xml:space="preserve">,9% mieszkań, a pozostałe </w:t>
      </w:r>
      <w:r w:rsidR="00AC3592" w:rsidRPr="00AC3592">
        <w:rPr>
          <w:rFonts w:cs="Fira Sans"/>
          <w:szCs w:val="19"/>
        </w:rPr>
        <w:t>posiadały</w:t>
      </w:r>
      <w:r w:rsidRPr="00AC3592">
        <w:rPr>
          <w:rFonts w:cs="Fira Sans"/>
          <w:color w:val="FF0000"/>
          <w:szCs w:val="19"/>
        </w:rPr>
        <w:t xml:space="preserve"> </w:t>
      </w:r>
      <w:r w:rsidRPr="003C689E">
        <w:rPr>
          <w:rFonts w:cs="Fira Sans"/>
          <w:szCs w:val="19"/>
        </w:rPr>
        <w:t>indywidualne c</w:t>
      </w:r>
      <w:r w:rsidR="005C5981" w:rsidRPr="003C689E">
        <w:rPr>
          <w:rFonts w:cs="Fira Sans"/>
          <w:szCs w:val="19"/>
        </w:rPr>
        <w:t>entralne ogrzewanie (z tego 35,5</w:t>
      </w:r>
      <w:r w:rsidRPr="003C689E">
        <w:rPr>
          <w:rFonts w:cs="Fira Sans"/>
          <w:szCs w:val="19"/>
        </w:rPr>
        <w:t xml:space="preserve">% wyposażonych było w kotły/piece na </w:t>
      </w:r>
      <w:r w:rsidR="005C5981" w:rsidRPr="003C689E">
        <w:rPr>
          <w:rFonts w:cs="Fira Sans"/>
          <w:szCs w:val="19"/>
        </w:rPr>
        <w:t>paliwo gazowe, 19,0</w:t>
      </w:r>
      <w:r w:rsidRPr="003C689E">
        <w:rPr>
          <w:rFonts w:cs="Fira Sans"/>
          <w:szCs w:val="19"/>
        </w:rPr>
        <w:t xml:space="preserve">% </w:t>
      </w:r>
      <w:r w:rsidR="00DC37DD" w:rsidRPr="003C689E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6624" behindDoc="0" locked="0" layoutInCell="1" allowOverlap="1" wp14:anchorId="3AAA1F55" wp14:editId="4A0BC791">
                <wp:simplePos x="0" y="0"/>
                <wp:positionH relativeFrom="rightMargin">
                  <wp:posOffset>185420</wp:posOffset>
                </wp:positionH>
                <wp:positionV relativeFrom="paragraph">
                  <wp:posOffset>557530</wp:posOffset>
                </wp:positionV>
                <wp:extent cx="1748155" cy="1028700"/>
                <wp:effectExtent l="0" t="0" r="4445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6560ED57" w:rsidR="00066D40" w:rsidRPr="005F29E0" w:rsidRDefault="00066D40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5F29E0">
                              <w:rPr>
                                <w:szCs w:val="19"/>
                              </w:rPr>
                              <w:t xml:space="preserve">Liczba nowych budynków mieszkalnych oddanych do użytkowania </w:t>
                            </w:r>
                            <w:r>
                              <w:rPr>
                                <w:szCs w:val="19"/>
                              </w:rPr>
                              <w:t xml:space="preserve">w </w:t>
                            </w:r>
                            <w:r w:rsidR="00B566C0">
                              <w:rPr>
                                <w:szCs w:val="19"/>
                              </w:rPr>
                              <w:t>I-II</w:t>
                            </w:r>
                            <w:r w:rsidRPr="009E54FA">
                              <w:rPr>
                                <w:szCs w:val="19"/>
                              </w:rPr>
                              <w:t xml:space="preserve">I </w:t>
                            </w:r>
                            <w:r w:rsidR="00B566C0">
                              <w:rPr>
                                <w:szCs w:val="19"/>
                              </w:rPr>
                              <w:t>kwartale</w:t>
                            </w:r>
                            <w:r w:rsidRPr="009E54FA">
                              <w:rPr>
                                <w:szCs w:val="19"/>
                              </w:rPr>
                              <w:t xml:space="preserve"> 2019 roku</w:t>
                            </w:r>
                            <w:r>
                              <w:rPr>
                                <w:szCs w:val="19"/>
                              </w:rPr>
                              <w:t xml:space="preserve"> wzrosła</w:t>
                            </w:r>
                            <w:r w:rsidRPr="005F29E0">
                              <w:rPr>
                                <w:szCs w:val="19"/>
                              </w:rPr>
                              <w:t xml:space="preserve"> o </w:t>
                            </w:r>
                            <w:r w:rsidR="00B566C0">
                              <w:rPr>
                                <w:szCs w:val="19"/>
                              </w:rPr>
                              <w:t>7</w:t>
                            </w:r>
                            <w:r>
                              <w:rPr>
                                <w:szCs w:val="19"/>
                              </w:rPr>
                              <w:t>,</w:t>
                            </w:r>
                            <w:r w:rsidR="00B566C0">
                              <w:rPr>
                                <w:szCs w:val="19"/>
                              </w:rPr>
                              <w:t>9</w:t>
                            </w:r>
                            <w:r w:rsidRPr="005F29E0">
                              <w:rPr>
                                <w:szCs w:val="19"/>
                              </w:rPr>
                              <w:t>% 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1F5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.6pt;margin-top:43.9pt;width:137.65pt;height:81pt;z-index:2518666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LhEAIAAAIEAAAOAAAAZHJzL2Uyb0RvYy54bWysU9Fu2yAUfZ+0f0C8L7azJk2tkKpr12lS&#10;t1Xq9gEE4xgVuAxI7O7re8FJZm1v0/yAuIZ77j3nHtbXg9HkIH1QYBmtZiUl0gpolN0x+uP7/bsV&#10;JSFy23ANVjL6IgO93rx9s+5dLefQgW6kJwhiQ907RrsYXV0UQXTS8DADJy0etuANjxj6XdF43iO6&#10;0cW8LJdFD75xHoQMAf/ejYd0k/HbVor4rW2DjEQzir3FvPq8btNabNa83nnuOiWObfB/6MJwZbHo&#10;GeqOR072Xv0FZZTwEKCNMwGmgLZVQmYOyKYq/2Dz1HEnMxcUJ7izTOH/wYqvh0dPVMPovLyixHKD&#10;Q3oELUmUzyFCL0m1TCr1LtR4+cnh9Th8gAGnnRkH9wDiORALtx23O3njPfSd5A12WaXMYpI64oQE&#10;su2/QIPF+D5CBhpab5KEKApBdJzWy3lCcohEpJKXF6tqsaBE4FlVzleXZZ5hwetTuvMhfpJgSNow&#10;6tECGZ4fHkJM7fD6dCVVs3CvtM420Jb0jF4t5oucMDkxKqJLtTKMrsr0jb5JLD/aJidHrvS4xwLa&#10;HmknpiPnOGyHrPPFSc0tNC+og4fRlPiIcNOB/0VJj4ZkNPzccy8p0Z8tavl+meqSOA38NNhOA24F&#10;QjEaKRm3tzG7fqR8g5q3KquRhjN2cmwZjZZFOj6K5ORpnG/9frqbVwAAAP//AwBQSwMEFAAGAAgA&#10;AAAhAKLqu2vfAAAACQEAAA8AAABkcnMvZG93bnJldi54bWxMj0FPwkAQhe8m/ofNmHiTraVKKd0S&#10;I1EPnARiOG67Q1vszjbdBcq/dzzpcfK9vPlevhxtJ844+NaRgsdJBAKpcqalWsFu+/aQgvBBk9Gd&#10;I1RwRQ/L4vYm15lxF/rE8ybUgkvIZ1pBE0KfSemrBq32E9cjMTu4werA51BLM+gLl9tOxlH0LK1u&#10;iT80usfXBqvvzckqOJbXj3jnV+tjSKaHbfia7VfvpVL3d+PLAkTAMfyF4Vef1aFgp9KdyHjRKYjn&#10;MScVpDNewHwaJU8gSgbJPAVZ5PL/guIHAAD//wMAUEsBAi0AFAAGAAgAAAAhALaDOJL+AAAA4QEA&#10;ABMAAAAAAAAAAAAAAAAAAAAAAFtDb250ZW50X1R5cGVzXS54bWxQSwECLQAUAAYACAAAACEAOP0h&#10;/9YAAACUAQAACwAAAAAAAAAAAAAAAAAvAQAAX3JlbHMvLnJlbHNQSwECLQAUAAYACAAAACEArBoy&#10;4RACAAACBAAADgAAAAAAAAAAAAAAAAAuAgAAZHJzL2Uyb0RvYy54bWxQSwECLQAUAAYACAAAACEA&#10;ouq7a98AAAAJAQAADwAAAAAAAAAAAAAAAABqBAAAZHJzL2Rvd25yZXYueG1sUEsFBgAAAAAEAAQA&#10;8wAAAHYFAAAAAA==&#10;" filled="f" stroked="f">
                <v:textbox inset="1mm,1mm,1mm,1mm">
                  <w:txbxContent>
                    <w:p w14:paraId="60953C32" w14:textId="6560ED57" w:rsidR="00066D40" w:rsidRPr="005F29E0" w:rsidRDefault="00066D40" w:rsidP="00066D40">
                      <w:pPr>
                        <w:pStyle w:val="tekstzboku"/>
                        <w:rPr>
                          <w:szCs w:val="19"/>
                        </w:rPr>
                      </w:pPr>
                      <w:r w:rsidRPr="005F29E0">
                        <w:rPr>
                          <w:szCs w:val="19"/>
                        </w:rPr>
                        <w:t xml:space="preserve">Liczba nowych budynków mieszkalnych oddanych do użytkowania </w:t>
                      </w:r>
                      <w:r>
                        <w:rPr>
                          <w:szCs w:val="19"/>
                        </w:rPr>
                        <w:t xml:space="preserve">w </w:t>
                      </w:r>
                      <w:r w:rsidR="00B566C0">
                        <w:rPr>
                          <w:szCs w:val="19"/>
                        </w:rPr>
                        <w:t>I-II</w:t>
                      </w:r>
                      <w:r w:rsidRPr="009E54FA">
                        <w:rPr>
                          <w:szCs w:val="19"/>
                        </w:rPr>
                        <w:t xml:space="preserve">I </w:t>
                      </w:r>
                      <w:r w:rsidR="00B566C0">
                        <w:rPr>
                          <w:szCs w:val="19"/>
                        </w:rPr>
                        <w:t>kwartale</w:t>
                      </w:r>
                      <w:r w:rsidRPr="009E54FA">
                        <w:rPr>
                          <w:szCs w:val="19"/>
                        </w:rPr>
                        <w:t xml:space="preserve"> 2019 roku</w:t>
                      </w:r>
                      <w:r>
                        <w:rPr>
                          <w:szCs w:val="19"/>
                        </w:rPr>
                        <w:t xml:space="preserve"> wzrosła</w:t>
                      </w:r>
                      <w:r w:rsidRPr="005F29E0">
                        <w:rPr>
                          <w:szCs w:val="19"/>
                        </w:rPr>
                        <w:t xml:space="preserve"> o </w:t>
                      </w:r>
                      <w:r w:rsidR="00B566C0">
                        <w:rPr>
                          <w:szCs w:val="19"/>
                        </w:rPr>
                        <w:t>7</w:t>
                      </w:r>
                      <w:r>
                        <w:rPr>
                          <w:szCs w:val="19"/>
                        </w:rPr>
                        <w:t>,</w:t>
                      </w:r>
                      <w:r w:rsidR="00B566C0">
                        <w:rPr>
                          <w:szCs w:val="19"/>
                        </w:rPr>
                        <w:t>9</w:t>
                      </w:r>
                      <w:r w:rsidRPr="005F29E0">
                        <w:rPr>
                          <w:szCs w:val="19"/>
                        </w:rPr>
                        <w:t>% 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89E">
        <w:rPr>
          <w:rFonts w:cs="Fira Sans"/>
          <w:szCs w:val="19"/>
        </w:rPr>
        <w:t>w</w:t>
      </w:r>
      <w:r w:rsidR="00727F66" w:rsidRPr="003C689E">
        <w:rPr>
          <w:rFonts w:cs="Fira Sans"/>
          <w:szCs w:val="19"/>
        </w:rPr>
        <w:t> </w:t>
      </w:r>
      <w:r w:rsidRPr="003C689E">
        <w:rPr>
          <w:rFonts w:cs="Fira Sans"/>
          <w:szCs w:val="19"/>
        </w:rPr>
        <w:t>pi</w:t>
      </w:r>
      <w:r w:rsidR="005C5981" w:rsidRPr="003C689E">
        <w:rPr>
          <w:rFonts w:cs="Fira Sans"/>
          <w:szCs w:val="19"/>
        </w:rPr>
        <w:t>ece/kotły na paliwo stałe, a 3,6</w:t>
      </w:r>
      <w:r w:rsidRPr="003C689E">
        <w:rPr>
          <w:rFonts w:cs="Fira Sans"/>
          <w:szCs w:val="19"/>
        </w:rPr>
        <w:t>% w pozostałe rodzaje ogrzewania).</w:t>
      </w:r>
    </w:p>
    <w:p w14:paraId="4C739467" w14:textId="706EA84E" w:rsidR="00066D40" w:rsidRPr="003C689E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4"/>
          <w:szCs w:val="19"/>
        </w:rPr>
      </w:pPr>
      <w:r w:rsidRPr="003C689E">
        <w:rPr>
          <w:rFonts w:cs="Fira Sans"/>
          <w:spacing w:val="-6"/>
          <w:szCs w:val="19"/>
        </w:rPr>
        <w:t>W I</w:t>
      </w:r>
      <w:r w:rsidR="009865BF" w:rsidRPr="003C689E">
        <w:rPr>
          <w:rFonts w:cs="Fira Sans"/>
          <w:spacing w:val="-6"/>
          <w:szCs w:val="19"/>
        </w:rPr>
        <w:t>-III kwart</w:t>
      </w:r>
      <w:r w:rsidR="00312C7E" w:rsidRPr="003C689E">
        <w:rPr>
          <w:rFonts w:cs="Fira Sans"/>
          <w:spacing w:val="-6"/>
          <w:szCs w:val="19"/>
        </w:rPr>
        <w:t>a</w:t>
      </w:r>
      <w:r w:rsidR="009865BF" w:rsidRPr="003C689E">
        <w:rPr>
          <w:rFonts w:cs="Fira Sans"/>
          <w:spacing w:val="-6"/>
          <w:szCs w:val="19"/>
        </w:rPr>
        <w:t>le</w:t>
      </w:r>
      <w:r w:rsidRPr="003C689E">
        <w:rPr>
          <w:rFonts w:cs="Fira Sans"/>
          <w:spacing w:val="-6"/>
          <w:szCs w:val="19"/>
        </w:rPr>
        <w:t xml:space="preserve"> 2019 roku oddano do użytkowania </w:t>
      </w:r>
      <w:r w:rsidR="009865BF" w:rsidRPr="003C689E">
        <w:rPr>
          <w:rFonts w:cs="Fira Sans"/>
          <w:spacing w:val="-6"/>
          <w:szCs w:val="19"/>
        </w:rPr>
        <w:t>61 119</w:t>
      </w:r>
      <w:r w:rsidRPr="003C689E">
        <w:rPr>
          <w:rFonts w:cs="Fira Sans"/>
          <w:spacing w:val="-6"/>
          <w:szCs w:val="19"/>
        </w:rPr>
        <w:t xml:space="preserve"> </w:t>
      </w:r>
      <w:r w:rsidRPr="003C689E">
        <w:rPr>
          <w:rFonts w:cs="Fira Sans"/>
          <w:b/>
          <w:spacing w:val="-6"/>
          <w:szCs w:val="19"/>
        </w:rPr>
        <w:t>nowych budynków mieszkalnych</w:t>
      </w:r>
      <w:r w:rsidR="00CF1350" w:rsidRPr="003C689E">
        <w:rPr>
          <w:rStyle w:val="Odwoanieprzypisudolnego"/>
          <w:spacing w:val="-6"/>
          <w:szCs w:val="19"/>
        </w:rPr>
        <w:footnoteReference w:id="4"/>
      </w:r>
      <w:r w:rsidR="00314C5F" w:rsidRPr="003C689E">
        <w:rPr>
          <w:rFonts w:cs="Fira Sans"/>
          <w:spacing w:val="-6"/>
          <w:szCs w:val="19"/>
        </w:rPr>
        <w:t>,</w:t>
      </w:r>
      <w:r w:rsidRPr="003C689E">
        <w:rPr>
          <w:rFonts w:cs="Fira Sans"/>
          <w:spacing w:val="-4"/>
          <w:szCs w:val="19"/>
        </w:rPr>
        <w:t xml:space="preserve"> </w:t>
      </w:r>
      <w:r w:rsidR="00314C5F" w:rsidRPr="003C689E">
        <w:rPr>
          <w:rFonts w:cs="Fira Sans"/>
          <w:spacing w:val="-6"/>
          <w:szCs w:val="19"/>
        </w:rPr>
        <w:t>tj. o </w:t>
      </w:r>
      <w:r w:rsidR="009865BF" w:rsidRPr="003C689E">
        <w:rPr>
          <w:rFonts w:cs="Fira Sans"/>
          <w:spacing w:val="-6"/>
          <w:szCs w:val="19"/>
        </w:rPr>
        <w:t>7,9</w:t>
      </w:r>
      <w:r w:rsidR="00314C5F" w:rsidRPr="003C689E">
        <w:rPr>
          <w:rFonts w:cs="Fira Sans"/>
          <w:spacing w:val="-6"/>
          <w:szCs w:val="19"/>
        </w:rPr>
        <w:t xml:space="preserve">% </w:t>
      </w:r>
      <w:r w:rsidR="00314C5F" w:rsidRPr="003C689E">
        <w:rPr>
          <w:rFonts w:cs="Fira Sans"/>
          <w:spacing w:val="-4"/>
          <w:szCs w:val="19"/>
        </w:rPr>
        <w:t xml:space="preserve">więcej w porównaniu do analogicznego okresu roku poprzedniego. Łączna kubatura nowych budynków mieszkalnych wyniosła </w:t>
      </w:r>
      <w:r w:rsidR="00B566C0" w:rsidRPr="003C689E">
        <w:rPr>
          <w:rFonts w:cs="Fira Sans"/>
          <w:spacing w:val="-4"/>
          <w:szCs w:val="19"/>
        </w:rPr>
        <w:t>63 647</w:t>
      </w:r>
      <w:r w:rsidR="00314C5F" w:rsidRPr="003C689E">
        <w:rPr>
          <w:rFonts w:cs="Fira Sans"/>
          <w:spacing w:val="-4"/>
          <w:szCs w:val="19"/>
        </w:rPr>
        <w:t>,</w:t>
      </w:r>
      <w:r w:rsidR="00B566C0" w:rsidRPr="003C689E">
        <w:rPr>
          <w:rFonts w:cs="Fira Sans"/>
          <w:spacing w:val="-4"/>
          <w:szCs w:val="19"/>
        </w:rPr>
        <w:t>5</w:t>
      </w:r>
      <w:r w:rsidR="00314C5F" w:rsidRPr="003C689E">
        <w:rPr>
          <w:rFonts w:cs="Fira Sans"/>
          <w:spacing w:val="-4"/>
          <w:szCs w:val="19"/>
        </w:rPr>
        <w:t xml:space="preserve"> tys. m</w:t>
      </w:r>
      <w:r w:rsidR="00314C5F" w:rsidRPr="003C689E">
        <w:rPr>
          <w:rFonts w:cs="Fira Sans"/>
          <w:spacing w:val="-4"/>
          <w:szCs w:val="19"/>
          <w:vertAlign w:val="superscript"/>
        </w:rPr>
        <w:t>3</w:t>
      </w:r>
      <w:r w:rsidR="00314C5F" w:rsidRPr="003C689E">
        <w:rPr>
          <w:rFonts w:cs="Fira Sans"/>
          <w:spacing w:val="-4"/>
          <w:szCs w:val="19"/>
        </w:rPr>
        <w:t xml:space="preserve"> – 1</w:t>
      </w:r>
      <w:r w:rsidR="00B566C0" w:rsidRPr="003C689E">
        <w:rPr>
          <w:rFonts w:cs="Fira Sans"/>
          <w:spacing w:val="-4"/>
          <w:szCs w:val="19"/>
        </w:rPr>
        <w:t>2</w:t>
      </w:r>
      <w:r w:rsidR="00314C5F" w:rsidRPr="003C689E">
        <w:rPr>
          <w:rFonts w:cs="Fira Sans"/>
          <w:spacing w:val="-4"/>
          <w:szCs w:val="19"/>
        </w:rPr>
        <w:t>,</w:t>
      </w:r>
      <w:r w:rsidR="00B566C0" w:rsidRPr="003C689E">
        <w:rPr>
          <w:rFonts w:cs="Fira Sans"/>
          <w:spacing w:val="-4"/>
          <w:szCs w:val="19"/>
        </w:rPr>
        <w:t>2</w:t>
      </w:r>
      <w:r w:rsidR="00314C5F" w:rsidRPr="003C689E">
        <w:rPr>
          <w:rFonts w:cs="Fira Sans"/>
          <w:spacing w:val="-4"/>
          <w:szCs w:val="19"/>
        </w:rPr>
        <w:t>% więcej r/r.</w:t>
      </w:r>
      <w:r w:rsidRPr="003C689E">
        <w:rPr>
          <w:rFonts w:cs="Fira Sans"/>
          <w:spacing w:val="-4"/>
          <w:szCs w:val="19"/>
        </w:rPr>
        <w:t xml:space="preserve"> Budynki jednorodzinne stanowiły 96,7% wszystkich budynków oddanych do użytkowania. Mimo stosunkowo niewielkiego udziału (3,3%) budynków wielorodzinnych, wybudowano w</w:t>
      </w:r>
      <w:r w:rsidR="009920F4" w:rsidRPr="003C689E">
        <w:rPr>
          <w:rFonts w:cs="Fira Sans"/>
          <w:spacing w:val="-4"/>
          <w:szCs w:val="19"/>
        </w:rPr>
        <w:t> </w:t>
      </w:r>
      <w:r w:rsidR="00314C5F" w:rsidRPr="003C689E">
        <w:rPr>
          <w:rFonts w:cs="Fira Sans"/>
          <w:spacing w:val="-4"/>
          <w:szCs w:val="19"/>
        </w:rPr>
        <w:t>nich 5</w:t>
      </w:r>
      <w:r w:rsidR="00B566C0" w:rsidRPr="003C689E">
        <w:rPr>
          <w:rFonts w:cs="Fira Sans"/>
          <w:spacing w:val="-4"/>
          <w:szCs w:val="19"/>
        </w:rPr>
        <w:t>5</w:t>
      </w:r>
      <w:r w:rsidR="00314C5F" w:rsidRPr="003C689E">
        <w:rPr>
          <w:rFonts w:cs="Fira Sans"/>
          <w:spacing w:val="-4"/>
          <w:szCs w:val="19"/>
        </w:rPr>
        <w:t>,4% wszystkich mieszkań.</w:t>
      </w:r>
    </w:p>
    <w:p w14:paraId="09112370" w14:textId="3121BF0C" w:rsidR="00066D40" w:rsidRPr="003C689E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 xml:space="preserve">W budownictwie mieszkaniowym dominowała tradycyjna udoskonalona </w:t>
      </w:r>
      <w:r w:rsidRPr="003C689E">
        <w:rPr>
          <w:rFonts w:cs="Fira Sans"/>
          <w:b/>
          <w:szCs w:val="19"/>
        </w:rPr>
        <w:t>technologia wznoszenia</w:t>
      </w:r>
      <w:r w:rsidRPr="003C689E">
        <w:rPr>
          <w:rFonts w:cs="Fira Sans"/>
          <w:szCs w:val="19"/>
        </w:rPr>
        <w:t xml:space="preserve">, którą zastosowano, podobnie jak </w:t>
      </w:r>
      <w:r w:rsidR="00DD3D8D" w:rsidRPr="003C689E">
        <w:rPr>
          <w:rFonts w:cs="Fira Sans"/>
          <w:szCs w:val="19"/>
        </w:rPr>
        <w:t>w pierwszych trzech kwartałach roku ubiegłego</w:t>
      </w:r>
      <w:r w:rsidRPr="003C689E">
        <w:rPr>
          <w:rFonts w:cs="Fira Sans"/>
          <w:szCs w:val="19"/>
        </w:rPr>
        <w:t>, przy budowie 98,</w:t>
      </w:r>
      <w:r w:rsidR="000D7F7F" w:rsidRPr="003C689E">
        <w:rPr>
          <w:rFonts w:cs="Fira Sans"/>
          <w:szCs w:val="19"/>
        </w:rPr>
        <w:t>4</w:t>
      </w:r>
      <w:r w:rsidRPr="003C689E">
        <w:rPr>
          <w:rFonts w:cs="Fira Sans"/>
          <w:szCs w:val="19"/>
        </w:rPr>
        <w:t xml:space="preserve">% nowych budynków mieszkalnych oddanych do użytkowania. </w:t>
      </w:r>
    </w:p>
    <w:p w14:paraId="52181E41" w14:textId="16D80342" w:rsidR="002543F3" w:rsidRPr="003C689E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 xml:space="preserve">Biorąc pod uwagę </w:t>
      </w:r>
      <w:r w:rsidRPr="003C689E">
        <w:rPr>
          <w:rFonts w:cs="Fira Sans"/>
          <w:b/>
          <w:szCs w:val="19"/>
        </w:rPr>
        <w:t>liczbę kondygnacji</w:t>
      </w:r>
      <w:r w:rsidRPr="003C689E">
        <w:rPr>
          <w:rFonts w:cs="Fira Sans"/>
          <w:szCs w:val="19"/>
        </w:rPr>
        <w:t xml:space="preserve">, najwięcej wybudowano nowych budynków </w:t>
      </w:r>
      <w:r w:rsidRPr="003C689E">
        <w:rPr>
          <w:rFonts w:cs="Fira Sans"/>
          <w:szCs w:val="19"/>
        </w:rPr>
        <w:br/>
        <w:t>2-kondygnacyjnych (66,2%) i 1-kondygnacyjnych (2</w:t>
      </w:r>
      <w:r w:rsidR="000D7F7F" w:rsidRPr="003C689E">
        <w:rPr>
          <w:rFonts w:cs="Fira Sans"/>
          <w:szCs w:val="19"/>
        </w:rPr>
        <w:t>8</w:t>
      </w:r>
      <w:r w:rsidRPr="003C689E">
        <w:rPr>
          <w:rFonts w:cs="Fira Sans"/>
          <w:szCs w:val="19"/>
        </w:rPr>
        <w:t>,1%), w których znalazło się odpowiednio 31,</w:t>
      </w:r>
      <w:r w:rsidR="00203D4D" w:rsidRPr="003C689E">
        <w:rPr>
          <w:rFonts w:cs="Fira Sans"/>
          <w:szCs w:val="19"/>
        </w:rPr>
        <w:t>7</w:t>
      </w:r>
      <w:r w:rsidRPr="003C689E">
        <w:rPr>
          <w:rFonts w:cs="Fira Sans"/>
          <w:szCs w:val="19"/>
        </w:rPr>
        <w:t>% i 12,</w:t>
      </w:r>
      <w:r w:rsidR="00203D4D" w:rsidRPr="003C689E">
        <w:rPr>
          <w:rFonts w:cs="Fira Sans"/>
          <w:szCs w:val="19"/>
        </w:rPr>
        <w:t>4</w:t>
      </w:r>
      <w:r w:rsidRPr="003C689E">
        <w:rPr>
          <w:rFonts w:cs="Fira Sans"/>
          <w:szCs w:val="19"/>
        </w:rPr>
        <w:t>% ogółu oddanych do użytkowania mieszkań. Z kolei w budynkach</w:t>
      </w:r>
      <w:r w:rsidR="00DD3D8D" w:rsidRPr="003C689E">
        <w:rPr>
          <w:rFonts w:cs="Fira Sans"/>
          <w:szCs w:val="19"/>
        </w:rPr>
        <w:t>:</w:t>
      </w:r>
      <w:r w:rsidRPr="003C689E">
        <w:rPr>
          <w:rFonts w:cs="Fira Sans"/>
          <w:szCs w:val="19"/>
        </w:rPr>
        <w:br/>
        <w:t xml:space="preserve">3-, 4- i 5-kondygnacyjnych (5,0% nowych budynków) usytuowanych zostało </w:t>
      </w:r>
      <w:r w:rsidR="00203D4D" w:rsidRPr="003C689E">
        <w:rPr>
          <w:rFonts w:cs="Fira Sans"/>
          <w:szCs w:val="19"/>
        </w:rPr>
        <w:t>30,6</w:t>
      </w:r>
      <w:r w:rsidRPr="003C689E">
        <w:rPr>
          <w:rFonts w:cs="Fira Sans"/>
          <w:szCs w:val="19"/>
        </w:rPr>
        <w:t>% mieszkań.</w:t>
      </w:r>
    </w:p>
    <w:p w14:paraId="024D779D" w14:textId="7CC4A4D8" w:rsidR="002543F3" w:rsidRPr="003C689E" w:rsidRDefault="002543F3" w:rsidP="009539CF">
      <w:pPr>
        <w:autoSpaceDE w:val="0"/>
        <w:autoSpaceDN w:val="0"/>
        <w:adjustRightInd w:val="0"/>
        <w:spacing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3C689E">
        <w:rPr>
          <w:rFonts w:cs="Fira Sans"/>
          <w:b/>
          <w:bCs/>
          <w:sz w:val="18"/>
          <w:szCs w:val="19"/>
        </w:rPr>
        <w:t>Tablica 2.</w:t>
      </w:r>
      <w:r w:rsidR="00A36F89" w:rsidRPr="003C689E">
        <w:rPr>
          <w:rFonts w:cs="Fira Sans"/>
          <w:b/>
          <w:bCs/>
          <w:sz w:val="18"/>
          <w:szCs w:val="19"/>
        </w:rPr>
        <w:tab/>
      </w:r>
      <w:r w:rsidRPr="003C689E">
        <w:rPr>
          <w:rFonts w:cs="Fira Sans"/>
          <w:b/>
          <w:bCs/>
          <w:sz w:val="18"/>
          <w:szCs w:val="19"/>
        </w:rPr>
        <w:t>Nowe budynki mieszkalne oddane do użytkowania według rodzajów budynków i</w:t>
      </w:r>
      <w:r w:rsidR="004F2AF9" w:rsidRPr="003C689E">
        <w:rPr>
          <w:rFonts w:cs="Fira Sans"/>
          <w:b/>
          <w:bCs/>
          <w:sz w:val="18"/>
          <w:szCs w:val="19"/>
        </w:rPr>
        <w:t> </w:t>
      </w:r>
      <w:r w:rsidRPr="003C689E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3C689E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7777777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GB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 w:rsidRPr="003C689E">
              <w:rPr>
                <w:rFonts w:cs="Fira Sans"/>
                <w:color w:val="000000"/>
                <w:sz w:val="16"/>
                <w:szCs w:val="16"/>
              </w:rPr>
              <w:br/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3C689E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="00FD532B" w:rsidRPr="003C689E" w14:paraId="3A1DECC2" w14:textId="77777777" w:rsidTr="0045134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2C77" w14:textId="77777777" w:rsidR="00FD532B" w:rsidRPr="003C689E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899" w14:textId="687DFF76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b/>
                <w:sz w:val="16"/>
                <w:szCs w:val="16"/>
              </w:rPr>
              <w:t>61 119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C77B" w14:textId="7FC5A2D9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b/>
                <w:sz w:val="16"/>
                <w:szCs w:val="16"/>
              </w:rPr>
              <w:t>63 647 484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819D" w14:textId="5532ACFB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b/>
                <w:sz w:val="16"/>
                <w:szCs w:val="16"/>
              </w:rPr>
              <w:t>142 729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4C42" w14:textId="1D9B0A4B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b/>
                <w:sz w:val="16"/>
                <w:szCs w:val="16"/>
              </w:rPr>
              <w:t>12 786 872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7338" w14:textId="2B107AF5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b/>
                <w:sz w:val="16"/>
                <w:szCs w:val="16"/>
              </w:rPr>
              <w:t>39,4</w:t>
            </w:r>
          </w:p>
        </w:tc>
      </w:tr>
      <w:tr w:rsidR="00FD532B" w:rsidRPr="003C689E" w14:paraId="712286CF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97E8" w14:textId="77777777" w:rsidR="00FD532B" w:rsidRPr="00F261D4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F261D4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96B" w14:textId="57C6E7AF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59 073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EB6B" w14:textId="61895DAB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40 880 029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30ED" w14:textId="14C08E33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63 661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1C1" w14:textId="5D2D268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8 587 120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B45" w14:textId="40C6D561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48,4</w:t>
            </w:r>
          </w:p>
        </w:tc>
      </w:tr>
      <w:tr w:rsidR="00FD532B" w:rsidRPr="003C689E" w14:paraId="13A8B51C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9B80" w14:textId="77777777" w:rsidR="00FD532B" w:rsidRPr="00F261D4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F261D4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686C" w14:textId="18D93082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2 046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8CA" w14:textId="67BA300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22 767 455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AA42" w14:textId="36A976BD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79 068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569A" w14:textId="263328E6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4 199 752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4DBB" w14:textId="1992258F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23,4</w:t>
            </w:r>
          </w:p>
        </w:tc>
      </w:tr>
      <w:tr w:rsidR="00FD532B" w:rsidRPr="003C689E" w14:paraId="07CFF225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B329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0A60" w14:textId="1DCF165F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60 134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06F3" w14:textId="2C0069E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55 016 588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B4" w14:textId="3B02EC75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115 285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4EC" w14:textId="056B535B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11 298 095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A9EE" w14:textId="48B6AEC9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41,8</w:t>
            </w:r>
          </w:p>
        </w:tc>
      </w:tr>
      <w:tr w:rsidR="00FD532B" w:rsidRPr="003C689E" w14:paraId="3BB6C8A6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3162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626D" w14:textId="208A6190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EA08" w14:textId="2520CBE4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6 072 967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071A" w14:textId="4247044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19 200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5440" w14:textId="6B07486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321 953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2FE" w14:textId="518715D5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23,7</w:t>
            </w:r>
          </w:p>
        </w:tc>
      </w:tr>
      <w:tr w:rsidR="00FD532B" w:rsidRPr="003C689E" w14:paraId="02862D8E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61FE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760" w14:textId="068C3683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926" w14:textId="36632DB3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1 727 623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6DEB" w14:textId="59D5573A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5 895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A32B" w14:textId="18634000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102 511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7772" w14:textId="7D0B460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23,6</w:t>
            </w:r>
          </w:p>
        </w:tc>
      </w:tr>
      <w:tr w:rsidR="00FD532B" w:rsidRPr="003C689E" w14:paraId="590FB2A3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4B98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A1A" w14:textId="4659153A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B6CC" w14:textId="4D819761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577 198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714C" w14:textId="36A7232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1 814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B80" w14:textId="1FC5E0E3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1 010 759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DA3" w14:textId="15D36A69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24,5</w:t>
            </w:r>
          </w:p>
        </w:tc>
      </w:tr>
      <w:tr w:rsidR="00FD532B" w:rsidRPr="003C689E" w14:paraId="76CC257B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EAAF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22C0" w14:textId="7E6F0D2F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508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E2A" w14:textId="6016662D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250 949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3FA3" w14:textId="70D11826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524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3AC3" w14:textId="0DE071D3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53 171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2FEC" w14:textId="7798542A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35,2</w:t>
            </w:r>
          </w:p>
        </w:tc>
      </w:tr>
      <w:tr w:rsidR="00FD532B" w:rsidRPr="003C689E" w14:paraId="1D4C8E70" w14:textId="77777777" w:rsidTr="0045134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B18" w14:textId="77777777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17D" w14:textId="54BE8C2F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53F9" w14:textId="138F5C46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2 159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4FF2" w14:textId="3AB2DC65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E49B" w14:textId="5EF0E4B8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0B84" w14:textId="7BA824F6" w:rsidR="00FD532B" w:rsidRPr="003C689E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C689E">
              <w:rPr>
                <w:rFonts w:cs="Fira Sans"/>
                <w:sz w:val="16"/>
                <w:szCs w:val="16"/>
              </w:rPr>
              <w:t>25,8</w:t>
            </w:r>
          </w:p>
        </w:tc>
      </w:tr>
    </w:tbl>
    <w:p w14:paraId="1D011D1B" w14:textId="19BA2F73" w:rsidR="002543F3" w:rsidRPr="003C689E" w:rsidRDefault="00A36F89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3C689E">
        <w:rPr>
          <w:rFonts w:cs="Fira Sans"/>
          <w:b/>
          <w:spacing w:val="-2"/>
          <w:szCs w:val="19"/>
        </w:rPr>
        <w:t>Przeciętny czas trwania budowy</w:t>
      </w:r>
      <w:r w:rsidRPr="003C689E">
        <w:rPr>
          <w:rFonts w:cs="Fira Sans"/>
          <w:spacing w:val="-2"/>
          <w:szCs w:val="19"/>
        </w:rPr>
        <w:t xml:space="preserve"> nowego budynku mieszkalnego, liczony od daty jego </w:t>
      </w:r>
      <w:r w:rsidRPr="003C689E">
        <w:rPr>
          <w:rFonts w:cs="Fira Sans"/>
          <w:spacing w:val="-2"/>
          <w:szCs w:val="19"/>
        </w:rPr>
        <w:br/>
        <w:t xml:space="preserve">rozpoczęcia do terminu oddania budynku do użytkowania, w </w:t>
      </w:r>
      <w:r w:rsidR="00612D7A" w:rsidRPr="003C689E">
        <w:rPr>
          <w:rFonts w:cs="Fira Sans"/>
          <w:spacing w:val="-2"/>
          <w:szCs w:val="19"/>
        </w:rPr>
        <w:t xml:space="preserve">pierwszych </w:t>
      </w:r>
      <w:r w:rsidR="00FD532B" w:rsidRPr="003C689E">
        <w:rPr>
          <w:rFonts w:cs="Fira Sans"/>
          <w:spacing w:val="-2"/>
          <w:szCs w:val="19"/>
        </w:rPr>
        <w:t>trzech kwartałach</w:t>
      </w:r>
      <w:r w:rsidR="00612D7A" w:rsidRPr="003C689E">
        <w:rPr>
          <w:rFonts w:cs="Fira Sans"/>
          <w:spacing w:val="-2"/>
          <w:szCs w:val="19"/>
        </w:rPr>
        <w:t xml:space="preserve"> 2019 </w:t>
      </w:r>
      <w:r w:rsidRPr="003C689E">
        <w:rPr>
          <w:rFonts w:cs="Fira Sans"/>
          <w:spacing w:val="-2"/>
          <w:szCs w:val="19"/>
        </w:rPr>
        <w:t>roku skrócił się w stosunku do analogicznego okresu roku poprzednie</w:t>
      </w:r>
      <w:r w:rsidR="00612D7A" w:rsidRPr="003C689E">
        <w:rPr>
          <w:rFonts w:cs="Fira Sans"/>
          <w:spacing w:val="-2"/>
          <w:szCs w:val="19"/>
        </w:rPr>
        <w:t>go o 1,4 miesiąca i </w:t>
      </w:r>
      <w:r w:rsidR="00FD532B" w:rsidRPr="003C689E">
        <w:rPr>
          <w:rFonts w:cs="Fira Sans"/>
          <w:spacing w:val="-2"/>
          <w:szCs w:val="19"/>
        </w:rPr>
        <w:t>wyniósł 39,4</w:t>
      </w:r>
      <w:r w:rsidRPr="003C689E">
        <w:rPr>
          <w:rFonts w:cs="Fira Sans"/>
          <w:spacing w:val="-2"/>
          <w:szCs w:val="19"/>
        </w:rPr>
        <w:t xml:space="preserve"> miesiąca. Budynki wielorodzinne oddane do użytkowania w analizowanym okresie wznoszono w czasie ponad 2-krotnie krótszym niż jednorodzinne (odpowiednio 23,</w:t>
      </w:r>
      <w:r w:rsidR="00612D7A" w:rsidRPr="003C689E">
        <w:rPr>
          <w:rFonts w:cs="Fira Sans"/>
          <w:spacing w:val="-2"/>
          <w:szCs w:val="19"/>
        </w:rPr>
        <w:t>4 i </w:t>
      </w:r>
      <w:r w:rsidR="00FD532B" w:rsidRPr="003C689E">
        <w:rPr>
          <w:rFonts w:cs="Fira Sans"/>
          <w:spacing w:val="-2"/>
          <w:szCs w:val="19"/>
        </w:rPr>
        <w:t>48,4</w:t>
      </w:r>
      <w:r w:rsidRPr="003C689E">
        <w:rPr>
          <w:rFonts w:cs="Fira Sans"/>
          <w:spacing w:val="-2"/>
          <w:szCs w:val="19"/>
        </w:rPr>
        <w:t xml:space="preserve"> miesiąca).</w:t>
      </w:r>
    </w:p>
    <w:p w14:paraId="0C681478" w14:textId="255AB489" w:rsidR="00AE28AE" w:rsidRPr="003C689E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755427A3" w:rsidR="00AE28AE" w:rsidRPr="003C689E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3C689E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75182DB3" wp14:editId="5B659936">
                <wp:simplePos x="0" y="0"/>
                <wp:positionH relativeFrom="rightMargin">
                  <wp:posOffset>171289</wp:posOffset>
                </wp:positionH>
                <wp:positionV relativeFrom="paragraph">
                  <wp:posOffset>310391</wp:posOffset>
                </wp:positionV>
                <wp:extent cx="1748155" cy="885825"/>
                <wp:effectExtent l="0" t="0" r="4445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8352" w14:textId="77777777" w:rsidR="00C83209" w:rsidRDefault="00AE28AE" w:rsidP="00AE28AE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mieszkań, których budowę rozpoczęto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wzrosła </w:t>
                            </w:r>
                          </w:p>
                          <w:p w14:paraId="0F35F60A" w14:textId="6F2DBDE4" w:rsidR="00AE28AE" w:rsidRPr="008350FF" w:rsidRDefault="00AE28AE" w:rsidP="00C83209">
                            <w:pPr>
                              <w:pStyle w:val="tekstzboku"/>
                              <w:spacing w:before="0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Cs w:val="19"/>
                              </w:rPr>
                              <w:t> I</w:t>
                            </w:r>
                            <w:r w:rsidR="009E0E59">
                              <w:rPr>
                                <w:szCs w:val="19"/>
                              </w:rPr>
                              <w:t>-III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="009E0E59">
                              <w:rPr>
                                <w:szCs w:val="19"/>
                              </w:rPr>
                              <w:t>kwartale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szCs w:val="19"/>
                              </w:rPr>
                              <w:t>9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roku o</w:t>
                            </w:r>
                            <w:r>
                              <w:rPr>
                                <w:szCs w:val="19"/>
                              </w:rPr>
                              <w:t> 1</w:t>
                            </w:r>
                            <w:r w:rsidRPr="00EE77C6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5</w:t>
                            </w:r>
                            <w:r w:rsidRPr="00EE77C6">
                              <w:rPr>
                                <w:szCs w:val="19"/>
                              </w:rPr>
                              <w:t>%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8350FF">
                              <w:rPr>
                                <w:szCs w:val="19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2DB3" id="_x0000_s1031" type="#_x0000_t202" style="position:absolute;margin-left:13.5pt;margin-top:24.45pt;width:137.65pt;height:69.7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JuDAIAAAEEAAAOAAAAZHJzL2Uyb0RvYy54bWysU1Fv0zAQfkfiP1h+p2k6WkrUdBobQ0gD&#10;Jg1+wNVxGmu2z9huk/Lrd3a6rhpviDxYvpzvu/s+f15dDkazvfRBoa15OZlyJq3ARtltzX/9vH23&#10;5CxEsA1otLLmBxn45frtm1XvKjnDDnUjPSMQG6re1byL0VVFEUQnDYQJOmkp2aI3ECn026Lx0BO6&#10;0cVsOl0UPfrGeRQyBPp7Myb5OuO3rRTxR9sGGZmuOc0W8+rzuklrsV5BtfXgOiWOY8A/TGFAWWp6&#10;grqBCGzn1V9QRgmPAds4EWgKbFslZOZAbMrpKzYPHTiZuZA4wZ1kCv8PVnzf33ummprPygvOLBi6&#10;pHvUkkX5GCL2kpWLpFLvQkWHHxwdj8MnHOi2M+Pg7lA8BmbxugO7lVfeY99JaGjKMlUWZ6UjTkgg&#10;m/4bNtQMdhEz0NB6kyQkURih020dTjckh8hEavnh/bKczzkTlFsu58vZPLeA6rna+RC/SDQsbWru&#10;yQEZHfZ3IaZpoHo+kppZvFVaZxdoy/qaf5wT5KuMUZFMqpWhntP0jbZJJD/bJhdHUHrcUwNtj6wT&#10;0ZFyHDZDljnPmxTZYHMgGTyOnqQ3RJsO/R/OevJjzcPvHXjJmf5qScqLRerL4nngz4PNeQBWEFTN&#10;I2fj9jpm04/ErkjyVmU1XiY5jkw+yyId30Qy8nmcT7283PUTAAAA//8DAFBLAwQUAAYACAAAACEA&#10;+gnLouAAAAAJAQAADwAAAGRycy9kb3ducmV2LnhtbEyPQU+DQBSE7yb+h80z8WYXgVhKWRpjox48&#10;2TbG48K+ApXdJexrS/+9z1M9TmYy802xmmwvTjiGzjsFj7MIBLram841Cnbb14cMRCDtjO69QwUX&#10;DLAqb28KnRt/dp942lAjuMSFXCtoiYZcylC3aHWY+QEde3s/Wk0sx0aaUZ+53PYyjqInaXXneKHV&#10;A760WP9sjlbBobq8x7uw/jhQmuy39DX/Xr9VSt3fTc9LEIQTXcPwh8/oUDJT5Y/OBNEriOd8hRSk&#10;2QIE+0kUJyAqDmZZCrIs5P8H5S8AAAD//wMAUEsBAi0AFAAGAAgAAAAhALaDOJL+AAAA4QEAABMA&#10;AAAAAAAAAAAAAAAAAAAAAFtDb250ZW50X1R5cGVzXS54bWxQSwECLQAUAAYACAAAACEAOP0h/9YA&#10;AACUAQAACwAAAAAAAAAAAAAAAAAvAQAAX3JlbHMvLnJlbHNQSwECLQAUAAYACAAAACEAlF0ibgwC&#10;AAABBAAADgAAAAAAAAAAAAAAAAAuAgAAZHJzL2Uyb0RvYy54bWxQSwECLQAUAAYACAAAACEA+gnL&#10;ouAAAAAJAQAADwAAAAAAAAAAAAAAAABmBAAAZHJzL2Rvd25yZXYueG1sUEsFBgAAAAAEAAQA8wAA&#10;AHMFAAAAAA==&#10;" filled="f" stroked="f">
                <v:textbox inset="1mm,1mm,1mm,1mm">
                  <w:txbxContent>
                    <w:p w14:paraId="288E8352" w14:textId="77777777" w:rsidR="00C83209" w:rsidRDefault="00AE28AE" w:rsidP="00AE28AE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mieszkań, których budowę rozpoczęto</w:t>
                      </w:r>
                      <w:r w:rsidRPr="00EE77C6">
                        <w:rPr>
                          <w:szCs w:val="19"/>
                        </w:rPr>
                        <w:t xml:space="preserve"> wzrosła </w:t>
                      </w:r>
                    </w:p>
                    <w:p w14:paraId="0F35F60A" w14:textId="6F2DBDE4" w:rsidR="00AE28AE" w:rsidRPr="008350FF" w:rsidRDefault="00AE28AE" w:rsidP="00C83209">
                      <w:pPr>
                        <w:pStyle w:val="tekstzboku"/>
                        <w:spacing w:before="0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w</w:t>
                      </w:r>
                      <w:r>
                        <w:rPr>
                          <w:szCs w:val="19"/>
                        </w:rPr>
                        <w:t> I</w:t>
                      </w:r>
                      <w:r w:rsidR="009E0E59">
                        <w:rPr>
                          <w:szCs w:val="19"/>
                        </w:rPr>
                        <w:t>-III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="009E0E59">
                        <w:rPr>
                          <w:szCs w:val="19"/>
                        </w:rPr>
                        <w:t>kwartale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>201</w:t>
                      </w:r>
                      <w:r>
                        <w:rPr>
                          <w:szCs w:val="19"/>
                        </w:rPr>
                        <w:t>9</w:t>
                      </w:r>
                      <w:r w:rsidRPr="00EE77C6">
                        <w:rPr>
                          <w:szCs w:val="19"/>
                        </w:rPr>
                        <w:t xml:space="preserve"> roku o</w:t>
                      </w:r>
                      <w:r>
                        <w:rPr>
                          <w:szCs w:val="19"/>
                        </w:rPr>
                        <w:t> 1</w:t>
                      </w:r>
                      <w:r w:rsidRPr="00EE77C6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5</w:t>
                      </w:r>
                      <w:r w:rsidRPr="00EE77C6">
                        <w:rPr>
                          <w:szCs w:val="19"/>
                        </w:rPr>
                        <w:t>%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8350FF">
                        <w:rPr>
                          <w:szCs w:val="19"/>
                        </w:rPr>
                        <w:t>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t>Mieszkania, których budowę rozpoczęto oraz mieszkania, na których</w:t>
      </w: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br/>
        <w:t>budowę wydano pozwolenia</w:t>
      </w:r>
      <w:r w:rsidRPr="003C689E"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5"/>
      </w:r>
    </w:p>
    <w:p w14:paraId="48DAD754" w14:textId="19FB7CF8" w:rsidR="009E0E59" w:rsidRPr="003C689E" w:rsidRDefault="009E0E59" w:rsidP="00AE28AE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>W I-III kwartale 2019 roku rozpoczęto budowę 178 444 mieszkań, tj. o 4</w:t>
      </w:r>
      <w:r w:rsidR="001A4050">
        <w:rPr>
          <w:rFonts w:cs="Fira Sans"/>
          <w:szCs w:val="19"/>
        </w:rPr>
        <w:t xml:space="preserve"> </w:t>
      </w:r>
      <w:r w:rsidRPr="003C689E">
        <w:rPr>
          <w:rFonts w:cs="Fira Sans"/>
          <w:szCs w:val="19"/>
        </w:rPr>
        <w:t>483 mieszka</w:t>
      </w:r>
      <w:r w:rsidR="001A4050">
        <w:rPr>
          <w:rFonts w:cs="Fira Sans"/>
          <w:szCs w:val="19"/>
        </w:rPr>
        <w:t>nia</w:t>
      </w:r>
      <w:r w:rsidRPr="003C689E">
        <w:rPr>
          <w:rFonts w:cs="Fira Sans"/>
          <w:szCs w:val="19"/>
        </w:rPr>
        <w:t xml:space="preserve"> (o</w:t>
      </w:r>
      <w:r w:rsidR="001A4050">
        <w:rPr>
          <w:rFonts w:cs="Fira Sans"/>
          <w:szCs w:val="19"/>
        </w:rPr>
        <w:t> </w:t>
      </w:r>
      <w:r w:rsidRPr="003C689E">
        <w:rPr>
          <w:rFonts w:cs="Fira Sans"/>
          <w:szCs w:val="19"/>
        </w:rPr>
        <w:t xml:space="preserve">2,6%) więcej niż w analogicznym okresie roku poprzedniego. Mieszkania realizowane w budownictwie indywidualnym stanowiły 40,7 % ogółu, zaś mieszkania przeznaczone na sprzedaż lub wynajem – 57,3%. Pozostałe 2,0% mieszkań, których budowę rozpoczęto, </w:t>
      </w:r>
      <w:r w:rsidRPr="003C689E">
        <w:rPr>
          <w:rFonts w:cs="Fira Sans"/>
          <w:szCs w:val="19"/>
        </w:rPr>
        <w:lastRenderedPageBreak/>
        <w:t xml:space="preserve">stanowiły inwestycje mieszkaniowe realizowane w spółdzielczej, komunalnej, społecznej </w:t>
      </w:r>
      <w:r w:rsidR="007C389E" w:rsidRPr="003C689E">
        <w:rPr>
          <w:rFonts w:ascii="Fira Sans SemiBold" w:hAnsi="Fira Sans SemiBold"/>
          <w:noProof/>
          <w:color w:val="00B050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900416" behindDoc="0" locked="0" layoutInCell="1" allowOverlap="1" wp14:anchorId="04E30686" wp14:editId="6EA8161B">
                <wp:simplePos x="0" y="0"/>
                <wp:positionH relativeFrom="page">
                  <wp:posOffset>5742305</wp:posOffset>
                </wp:positionH>
                <wp:positionV relativeFrom="paragraph">
                  <wp:posOffset>255905</wp:posOffset>
                </wp:positionV>
                <wp:extent cx="1860760" cy="1194179"/>
                <wp:effectExtent l="0" t="0" r="6350" b="635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760" cy="1194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E643" w14:textId="0749D7D0" w:rsidR="009E0E59" w:rsidRPr="00C341E7" w:rsidRDefault="009E0E59" w:rsidP="009E0E59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C341E7">
                              <w:rPr>
                                <w:szCs w:val="19"/>
                              </w:rPr>
                              <w:t>Liczba mieszkań, na których budowę wydano pozwolenia lub</w:t>
                            </w:r>
                            <w:r w:rsidR="002A25D8">
                              <w:rPr>
                                <w:szCs w:val="19"/>
                              </w:rPr>
                              <w:t> </w:t>
                            </w:r>
                            <w:r w:rsidRPr="00C341E7">
                              <w:rPr>
                                <w:szCs w:val="19"/>
                              </w:rPr>
                              <w:t>dokonano zgłoszenia z projektem budowlanym w I</w:t>
                            </w:r>
                            <w:r w:rsidR="002A25D8">
                              <w:rPr>
                                <w:szCs w:val="19"/>
                              </w:rPr>
                              <w:noBreakHyphen/>
                            </w:r>
                            <w:r>
                              <w:rPr>
                                <w:szCs w:val="19"/>
                              </w:rPr>
                              <w:t>III</w:t>
                            </w:r>
                            <w:r w:rsidRPr="00C341E7">
                              <w:rPr>
                                <w:szCs w:val="19"/>
                              </w:rPr>
                              <w:t> </w:t>
                            </w:r>
                            <w:r>
                              <w:rPr>
                                <w:szCs w:val="19"/>
                              </w:rPr>
                              <w:t>kwartale</w:t>
                            </w:r>
                            <w:r w:rsidRPr="00C341E7">
                              <w:rPr>
                                <w:szCs w:val="19"/>
                              </w:rPr>
                              <w:t xml:space="preserve"> 2019</w:t>
                            </w:r>
                            <w:r w:rsidR="005B296B">
                              <w:rPr>
                                <w:szCs w:val="19"/>
                              </w:rPr>
                              <w:t> </w:t>
                            </w:r>
                            <w:r w:rsidRPr="00C341E7">
                              <w:rPr>
                                <w:szCs w:val="19"/>
                              </w:rPr>
                              <w:t xml:space="preserve">roku </w:t>
                            </w:r>
                            <w:r w:rsidRPr="009E0E59">
                              <w:rPr>
                                <w:szCs w:val="19"/>
                              </w:rPr>
                              <w:t>wzrosła</w:t>
                            </w:r>
                            <w:r w:rsidR="002A25D8">
                              <w:rPr>
                                <w:szCs w:val="19"/>
                              </w:rPr>
                              <w:t> </w:t>
                            </w:r>
                            <w:r w:rsidRPr="009E0E59">
                              <w:rPr>
                                <w:szCs w:val="19"/>
                              </w:rPr>
                              <w:t>o 3,8%</w:t>
                            </w:r>
                            <w:r w:rsidRPr="00C341E7">
                              <w:rPr>
                                <w:szCs w:val="19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0686" id="_x0000_s1032" type="#_x0000_t202" style="position:absolute;margin-left:452.15pt;margin-top:20.15pt;width:146.5pt;height:94.05pt;z-index:251900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+QDgIAAAIEAAAOAAAAZHJzL2Uyb0RvYy54bWysU8Fu2zAMvQ/YPwi6L7azNk2MKEXXrsOA&#10;bivQ7QMUWY6FSqImKbGzry8lp5mx3Yb5IIgm+cj3SK2vB6PJQfqgwDJazUpKpBXQKLtj9Mf3+3dL&#10;SkLktuEarGT0KAO93rx9s+5dLefQgW6kJwhiQ907RrsYXV0UQXTS8DADJy06W/CGRzT9rmg87xHd&#10;6GJelouiB984D0KGgH/vRifdZPy2lSJ+a9sgI9GMYm8xnz6f23QWmzWvd567TolTG/wfujBcWSx6&#10;hrrjkZO9V39BGSU8BGjjTIApoG2VkJkDsqnKP9g8ddzJzAXFCe4sU/h/sOLr4dET1TA6ry4osdzg&#10;kB5BSxLlc4jQS1Itkkq9CzUGPzkMj8MHGHDamXFwDyCeA7Fw23G7kzfeQ99J3mCXVcosJqkjTkgg&#10;2/4LNFiM7yNkoKH1JkmIohBEx2kdzxOSQyQilVwuyqsFugT6qmp1UV2tcg1ev6Y7H+InCYakC6Me&#10;VyDD88NDiKkdXr+GpGoW7pXWeQ20JT2jq8v5ZU6YeIyKuKVaGUaXZfrGvUksP9omJ0eu9HjHAtqe&#10;aCemI+c4bIes81nNLTRH1MHDuJT4iPDSgf9FSY8LyWj4uedeUqI/W9Ty/SLVJXFq+KmxnRrcCoRi&#10;NFIyXm9j3vqR8g1q3qqsRhrO2MmpZVy0LNLpUaRNnto56vfT3bwAAAD//wMAUEsDBBQABgAIAAAA&#10;IQAMjVjW4QAAAAsBAAAPAAAAZHJzL2Rvd25yZXYueG1sTI/BTsMwDIbvSLxDZCRuLFlXsa3UnRAT&#10;cODENiGOaZO1HY1TNdnWvT3eCU625U+/P+er0XXiZIfQekKYThQIS5U3LdUIu+3rwwJEiJqM7jxZ&#10;hIsNsCpub3KdGX+mT3vaxFpwCIVMIzQx9pmUoWqs02Hie0u82/vB6cjjUEsz6DOHu04mSj1Kp1vi&#10;C43u7Utjq5/N0SEcyst7sgvrj0NMZ/tt/Jp/r99KxPu78fkJRLRj/IPhqs/qULBT6Y9kgugQliqd&#10;MYqQKq5XYLqcc1ciJMkiBVnk8v8PxS8AAAD//wMAUEsBAi0AFAAGAAgAAAAhALaDOJL+AAAA4QEA&#10;ABMAAAAAAAAAAAAAAAAAAAAAAFtDb250ZW50X1R5cGVzXS54bWxQSwECLQAUAAYACAAAACEAOP0h&#10;/9YAAACUAQAACwAAAAAAAAAAAAAAAAAvAQAAX3JlbHMvLnJlbHNQSwECLQAUAAYACAAAACEAxZ/v&#10;kA4CAAACBAAADgAAAAAAAAAAAAAAAAAuAgAAZHJzL2Uyb0RvYy54bWxQSwECLQAUAAYACAAAACEA&#10;DI1Y1uEAAAALAQAADwAAAAAAAAAAAAAAAABoBAAAZHJzL2Rvd25yZXYueG1sUEsFBgAAAAAEAAQA&#10;8wAAAHYFAAAAAA==&#10;" filled="f" stroked="f">
                <v:textbox inset="1mm,1mm,1mm,1mm">
                  <w:txbxContent>
                    <w:p w14:paraId="453DE643" w14:textId="0749D7D0" w:rsidR="009E0E59" w:rsidRPr="00C341E7" w:rsidRDefault="009E0E59" w:rsidP="009E0E59">
                      <w:pPr>
                        <w:pStyle w:val="tekstzboku"/>
                        <w:rPr>
                          <w:szCs w:val="19"/>
                        </w:rPr>
                      </w:pPr>
                      <w:r w:rsidRPr="00C341E7">
                        <w:rPr>
                          <w:szCs w:val="19"/>
                        </w:rPr>
                        <w:t>Liczba mieszkań, na których budowę wydano pozwolenia lub</w:t>
                      </w:r>
                      <w:r w:rsidR="002A25D8">
                        <w:rPr>
                          <w:szCs w:val="19"/>
                        </w:rPr>
                        <w:t> </w:t>
                      </w:r>
                      <w:r w:rsidRPr="00C341E7">
                        <w:rPr>
                          <w:szCs w:val="19"/>
                        </w:rPr>
                        <w:t>dokonano zgłoszenia z projektem budowlanym w I</w:t>
                      </w:r>
                      <w:r w:rsidR="002A25D8">
                        <w:rPr>
                          <w:szCs w:val="19"/>
                        </w:rPr>
                        <w:noBreakHyphen/>
                      </w:r>
                      <w:r>
                        <w:rPr>
                          <w:szCs w:val="19"/>
                        </w:rPr>
                        <w:t>III</w:t>
                      </w:r>
                      <w:r w:rsidRPr="00C341E7">
                        <w:rPr>
                          <w:szCs w:val="19"/>
                        </w:rPr>
                        <w:t> </w:t>
                      </w:r>
                      <w:r>
                        <w:rPr>
                          <w:szCs w:val="19"/>
                        </w:rPr>
                        <w:t>kwartale</w:t>
                      </w:r>
                      <w:r w:rsidRPr="00C341E7">
                        <w:rPr>
                          <w:szCs w:val="19"/>
                        </w:rPr>
                        <w:t xml:space="preserve"> 2019</w:t>
                      </w:r>
                      <w:r w:rsidR="005B296B">
                        <w:rPr>
                          <w:szCs w:val="19"/>
                        </w:rPr>
                        <w:t> </w:t>
                      </w:r>
                      <w:r w:rsidRPr="00C341E7">
                        <w:rPr>
                          <w:szCs w:val="19"/>
                        </w:rPr>
                        <w:t xml:space="preserve">roku </w:t>
                      </w:r>
                      <w:r w:rsidRPr="009E0E59">
                        <w:rPr>
                          <w:szCs w:val="19"/>
                        </w:rPr>
                        <w:t>wzrosła</w:t>
                      </w:r>
                      <w:r w:rsidR="002A25D8">
                        <w:rPr>
                          <w:szCs w:val="19"/>
                        </w:rPr>
                        <w:t> </w:t>
                      </w:r>
                      <w:r w:rsidRPr="009E0E59">
                        <w:rPr>
                          <w:szCs w:val="19"/>
                        </w:rPr>
                        <w:t>o 3,8%</w:t>
                      </w:r>
                      <w:r w:rsidRPr="00C341E7">
                        <w:rPr>
                          <w:szCs w:val="19"/>
                        </w:rPr>
                        <w:t xml:space="preserve">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689E">
        <w:rPr>
          <w:rFonts w:cs="Fira Sans"/>
          <w:szCs w:val="19"/>
        </w:rPr>
        <w:t xml:space="preserve">czynszowej i zakładowej formie budownictwa. </w:t>
      </w:r>
    </w:p>
    <w:p w14:paraId="1350E6F8" w14:textId="09FBC106" w:rsidR="009E0E59" w:rsidRPr="003C689E" w:rsidRDefault="009E0E59" w:rsidP="009E0E5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>W pierwszych trzech kwartałach 2019 roku wydano pozwolenia na budowę lub dokonano zgłoszeń z projektem budowlanym budowy 201 327 mieszkań, tj. o 3,8% więcej niż przed rokiem, z czego 97,6% (podobnie jak przed rokiem) realizowanych będzie w nowych budynkach mieszkalnych. Pozostałe mieszkania powstaną w nowych budynkach niemieszkalnych, zbiorowego zamieszkania oraz w rozbudowywanych i przebudowywanych budynkach mieszkalnych i niemieszkalnych.</w:t>
      </w:r>
    </w:p>
    <w:p w14:paraId="1272AE51" w14:textId="58F8CC0B" w:rsidR="009E0E59" w:rsidRPr="003C689E" w:rsidRDefault="009E0E59" w:rsidP="009E0E5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>Średnia prognozowana powierzchnia mieszkań w nowych budynkach wielorodzinnych ukształtowała się na poziome 55,2 m</w:t>
      </w:r>
      <w:r w:rsidRPr="003C689E">
        <w:rPr>
          <w:rFonts w:cs="Fira Sans"/>
          <w:szCs w:val="19"/>
          <w:vertAlign w:val="superscript"/>
        </w:rPr>
        <w:t>2</w:t>
      </w:r>
      <w:r w:rsidRPr="003C689E">
        <w:rPr>
          <w:rFonts w:cs="Fira Sans"/>
          <w:szCs w:val="19"/>
        </w:rPr>
        <w:t xml:space="preserve"> (I-III kwartał 2018 roku </w:t>
      </w:r>
      <w:r w:rsidR="00451344">
        <w:rPr>
          <w:rFonts w:cs="Fira Sans"/>
          <w:szCs w:val="19"/>
        </w:rPr>
        <w:t>–</w:t>
      </w:r>
      <w:r w:rsidRPr="003C689E">
        <w:rPr>
          <w:rFonts w:cs="Fira Sans"/>
          <w:szCs w:val="19"/>
        </w:rPr>
        <w:t xml:space="preserve"> 55,0 m</w:t>
      </w:r>
      <w:r w:rsidRPr="003C689E">
        <w:rPr>
          <w:rFonts w:cs="Fira Sans"/>
          <w:szCs w:val="19"/>
          <w:vertAlign w:val="superscript"/>
        </w:rPr>
        <w:t>2</w:t>
      </w:r>
      <w:r w:rsidRPr="003C689E">
        <w:rPr>
          <w:rFonts w:cs="Fira Sans"/>
          <w:szCs w:val="19"/>
        </w:rPr>
        <w:t>), a w budynkach jednorodzinnych – 135,3 m</w:t>
      </w:r>
      <w:r w:rsidRPr="003C689E">
        <w:rPr>
          <w:rFonts w:cs="Fira Sans"/>
          <w:szCs w:val="19"/>
          <w:vertAlign w:val="superscript"/>
        </w:rPr>
        <w:t>2</w:t>
      </w:r>
      <w:r w:rsidRPr="003C689E">
        <w:rPr>
          <w:rFonts w:cs="Fira Sans"/>
          <w:szCs w:val="19"/>
        </w:rPr>
        <w:t xml:space="preserve"> (przed rokiem – 137,0 m</w:t>
      </w:r>
      <w:r w:rsidRPr="003C689E">
        <w:rPr>
          <w:rFonts w:cs="Fira Sans"/>
          <w:szCs w:val="19"/>
          <w:vertAlign w:val="superscript"/>
        </w:rPr>
        <w:t>2</w:t>
      </w:r>
      <w:r w:rsidRPr="003C689E">
        <w:rPr>
          <w:rFonts w:cs="Fira Sans"/>
          <w:szCs w:val="19"/>
        </w:rPr>
        <w:t>).</w:t>
      </w:r>
    </w:p>
    <w:p w14:paraId="3E48552B" w14:textId="549619F0" w:rsidR="00AE28AE" w:rsidRPr="003C689E" w:rsidRDefault="00AE28AE" w:rsidP="009E0E59">
      <w:pPr>
        <w:autoSpaceDE w:val="0"/>
        <w:autoSpaceDN w:val="0"/>
        <w:adjustRightInd w:val="0"/>
        <w:spacing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3C689E">
        <w:rPr>
          <w:rFonts w:cs="Fira Sans"/>
          <w:b/>
          <w:bCs/>
          <w:sz w:val="18"/>
          <w:szCs w:val="19"/>
        </w:rPr>
        <w:t>Tablica 3.</w:t>
      </w:r>
      <w:r w:rsidRPr="003C689E">
        <w:rPr>
          <w:rFonts w:cs="Fira Sans"/>
          <w:b/>
          <w:bCs/>
          <w:sz w:val="18"/>
          <w:szCs w:val="19"/>
        </w:rPr>
        <w:tab/>
        <w:t>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AE28AE" w:rsidRPr="003C689E" w14:paraId="0A2D3604" w14:textId="77777777" w:rsidTr="00B44B7B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38D2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C734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Pozwolenia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 xml:space="preserve">i zgłoszenia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 xml:space="preserve">z projektem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</w:r>
            <w:proofErr w:type="spellStart"/>
            <w:r w:rsidRPr="003C689E">
              <w:rPr>
                <w:rFonts w:cs="Fira Sans"/>
                <w:color w:val="000000"/>
                <w:sz w:val="16"/>
                <w:szCs w:val="16"/>
              </w:rPr>
              <w:t>budowlanym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D38E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3C689E">
              <w:rPr>
                <w:rFonts w:cs="Fira Sans"/>
                <w:color w:val="000000"/>
                <w:sz w:val="16"/>
                <w:szCs w:val="16"/>
              </w:rPr>
              <w:t>Budynki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DB3B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4ECE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>Powierzchnia użytkowa mieszkań w m</w:t>
            </w:r>
            <w:r w:rsidRPr="003C689E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E28AE" w:rsidRPr="003C689E" w14:paraId="11CF653B" w14:textId="77777777" w:rsidTr="00B44B7B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F0A1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F44F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276F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91AA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CD0C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2A25D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2B95183B" w14:textId="77777777" w:rsidR="00AE28AE" w:rsidRPr="003C689E" w:rsidRDefault="00AE28AE" w:rsidP="00B44B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C689E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3C689E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F41B4D" w:rsidRPr="00664603" w14:paraId="5521F04D" w14:textId="77777777" w:rsidTr="00B44B7B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B15" w14:textId="77777777" w:rsidR="00F41B4D" w:rsidRPr="00664603" w:rsidRDefault="00F41B4D" w:rsidP="00F41B4D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664603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CBE" w14:textId="62D84B87" w:rsidR="00F41B4D" w:rsidRPr="00F41B4D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41B4D">
              <w:rPr>
                <w:b/>
              </w:rPr>
              <w:t>78 361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F05" w14:textId="215F5FA0" w:rsidR="00F41B4D" w:rsidRPr="00F41B4D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41B4D">
              <w:rPr>
                <w:b/>
              </w:rPr>
              <w:t>92 320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CEC" w14:textId="6B87834F" w:rsidR="00F41B4D" w:rsidRPr="00F41B4D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41B4D">
              <w:rPr>
                <w:b/>
              </w:rPr>
              <w:t>196 533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5DD" w14:textId="547E5DA2" w:rsidR="00F41B4D" w:rsidRPr="00F41B4D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41B4D">
              <w:rPr>
                <w:b/>
              </w:rPr>
              <w:t>18 623 543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719AA7BD" w14:textId="00EA89F7" w:rsidR="00F41B4D" w:rsidRPr="00F41B4D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F41B4D">
              <w:rPr>
                <w:b/>
              </w:rPr>
              <w:t>94,8</w:t>
            </w:r>
          </w:p>
        </w:tc>
      </w:tr>
      <w:tr w:rsidR="00F41B4D" w:rsidRPr="00664603" w14:paraId="0AA570C4" w14:textId="77777777" w:rsidTr="00B44B7B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085" w14:textId="77777777" w:rsidR="00F41B4D" w:rsidRPr="00664603" w:rsidRDefault="00F41B4D" w:rsidP="00F41B4D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664603">
              <w:rPr>
                <w:rFonts w:cs="Fira Sans"/>
                <w:color w:val="000000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9EE" w14:textId="74BB21DD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76 830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800" w14:textId="3D628167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89 748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D5BF" w14:textId="52659C89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97 114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A747" w14:textId="0513C60C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13 136 201</w:t>
            </w:r>
          </w:p>
        </w:tc>
        <w:tc>
          <w:tcPr>
            <w:tcW w:w="1134" w:type="dxa"/>
          </w:tcPr>
          <w:p w14:paraId="255A0CB0" w14:textId="639B37F5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135,3</w:t>
            </w:r>
          </w:p>
        </w:tc>
      </w:tr>
      <w:tr w:rsidR="00F41B4D" w:rsidRPr="00664603" w14:paraId="3CFE2FCB" w14:textId="77777777" w:rsidTr="00B44B7B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C4DB" w14:textId="77777777" w:rsidR="00F41B4D" w:rsidRPr="00664603" w:rsidRDefault="00F41B4D" w:rsidP="00F41B4D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pacing w:val="-2"/>
                <w:sz w:val="16"/>
                <w:szCs w:val="16"/>
              </w:rPr>
            </w:pPr>
            <w:r w:rsidRPr="00664603">
              <w:rPr>
                <w:rFonts w:cs="Fira Sans"/>
                <w:color w:val="000000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B22" w14:textId="077586CF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1</w:t>
            </w:r>
            <w:r w:rsidR="00403147">
              <w:t xml:space="preserve"> </w:t>
            </w:r>
            <w:r w:rsidRPr="003F1333">
              <w:t>531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DC52" w14:textId="42C17822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2</w:t>
            </w:r>
            <w:r w:rsidR="00403147">
              <w:t xml:space="preserve"> </w:t>
            </w:r>
            <w:bookmarkStart w:id="0" w:name="_GoBack"/>
            <w:bookmarkEnd w:id="0"/>
            <w:r w:rsidRPr="003F1333">
              <w:t>572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0EE0" w14:textId="7F085956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99 419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673" w14:textId="18F8E50F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5 487 342</w:t>
            </w:r>
          </w:p>
        </w:tc>
        <w:tc>
          <w:tcPr>
            <w:tcW w:w="1134" w:type="dxa"/>
          </w:tcPr>
          <w:p w14:paraId="22088C61" w14:textId="601B005A" w:rsidR="00F41B4D" w:rsidRPr="00664603" w:rsidRDefault="00F41B4D" w:rsidP="00F41B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3F1333">
              <w:t>55,2</w:t>
            </w:r>
          </w:p>
        </w:tc>
      </w:tr>
    </w:tbl>
    <w:p w14:paraId="7E7C4E51" w14:textId="229AE736" w:rsidR="00AE28AE" w:rsidRPr="003C689E" w:rsidRDefault="00AE28AE" w:rsidP="009920F4">
      <w:pPr>
        <w:autoSpaceDE w:val="0"/>
        <w:autoSpaceDN w:val="0"/>
        <w:adjustRightInd w:val="0"/>
        <w:spacing w:before="60" w:after="60" w:line="160" w:lineRule="atLeast"/>
        <w:ind w:left="96" w:hanging="96"/>
        <w:jc w:val="both"/>
        <w:textAlignment w:val="center"/>
        <w:rPr>
          <w:rFonts w:cs="Fira Sans"/>
          <w:sz w:val="16"/>
          <w:szCs w:val="15"/>
        </w:rPr>
      </w:pPr>
      <w:r w:rsidRPr="003C689E">
        <w:rPr>
          <w:rFonts w:cs="Fira Sans"/>
          <w:sz w:val="16"/>
          <w:szCs w:val="15"/>
          <w:vertAlign w:val="superscript"/>
        </w:rPr>
        <w:t xml:space="preserve">a </w:t>
      </w:r>
      <w:r w:rsidRPr="003C689E">
        <w:rPr>
          <w:rFonts w:cs="Fira Sans"/>
          <w:sz w:val="16"/>
          <w:szCs w:val="15"/>
        </w:rPr>
        <w:t>Dane prezentowane są łącznie z domami letnimi i domkami wypoczynkowymi oraz rezydencjami wiejskimi nieprzystosowanymi do stałego zamieszkania.</w:t>
      </w:r>
    </w:p>
    <w:p w14:paraId="01D575E3" w14:textId="074CD8CA" w:rsidR="00AE28AE" w:rsidRPr="003C689E" w:rsidRDefault="009E0E59" w:rsidP="009E0E5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3C689E">
        <w:rPr>
          <w:rFonts w:cs="Fira Sans"/>
          <w:szCs w:val="19"/>
        </w:rPr>
        <w:t>Biorąc pod uwagę strukturę liczby mieszkań, na budowę których wydano pozwolenia lub dokonano zgłoszenia z projektem budowlanym według form budownictwa, największe udziały odnotowano dla budownictwa na sprzedaż lub wynajem (61,2%) oraz indywidualnego (37,2%). Pozostałe mieszkania będą realizowane w spółdzielczej, komunalnej, społecznej czynszowej i zakładowej formie budownictwa.</w:t>
      </w:r>
    </w:p>
    <w:p w14:paraId="246848C3" w14:textId="77777777" w:rsidR="00B41130" w:rsidRPr="003C689E" w:rsidRDefault="00B41130" w:rsidP="00B41130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3C689E">
        <w:rPr>
          <w:rFonts w:ascii="Fira Sans SemiBold" w:hAnsi="Fira Sans SemiBold"/>
          <w:noProof/>
          <w:color w:val="001D77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907584" behindDoc="0" locked="0" layoutInCell="1" allowOverlap="1" wp14:anchorId="3757DBA3" wp14:editId="72CBFBAF">
                <wp:simplePos x="0" y="0"/>
                <wp:positionH relativeFrom="column">
                  <wp:posOffset>5290498</wp:posOffset>
                </wp:positionH>
                <wp:positionV relativeFrom="paragraph">
                  <wp:posOffset>255270</wp:posOffset>
                </wp:positionV>
                <wp:extent cx="1748155" cy="964888"/>
                <wp:effectExtent l="0" t="0" r="4445" b="6985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964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5A0C" w14:textId="77777777" w:rsidR="00B41130" w:rsidRPr="00E62E5B" w:rsidRDefault="00B41130" w:rsidP="00B41130">
                            <w:pPr>
                              <w:pStyle w:val="tekstzboku"/>
                              <w:spacing w:after="120"/>
                              <w:rPr>
                                <w:color w:val="000000" w:themeColor="text1"/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Łączna powierzchnia budynków niemieszkalnych oddanych do użytkowania wzrosła w I-III kwartale 2019 roku o 5,9% r/r</w:t>
                            </w:r>
                          </w:p>
                          <w:p w14:paraId="108B446C" w14:textId="77777777" w:rsidR="00B41130" w:rsidRPr="009E0D29" w:rsidRDefault="00B41130" w:rsidP="00B4113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DBA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16.55pt;margin-top:20.1pt;width:137.65pt;height:76pt;z-index:25190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HRDAIAAP8DAAAOAAAAZHJzL2Uyb0RvYy54bWysU1Fv0zAQfkfiP1h+p2nL2oWo6TQ2hpAG&#10;TBr8gKvjNNZsn7HdJuXXc3baUsEbIg+WL3f33X3fnVc3g9FsL31QaGs+m0w5k1Zgo+y25t+/Pbwp&#10;OQsRbAMaraz5QQZ+s379atW7Ss6xQ91IzwjEhqp3Ne9idFVRBNFJA2GCTlpytugNRDL9tmg89IRu&#10;dDGfTpdFj75xHoUMgf7ej06+zvhtK0X82rZBRqZrTr3FfPp8btJZrFdQbT24ToljG/APXRhQloqe&#10;oe4hAtt59ReUUcJjwDZOBJoC21YJmTkQm9n0DzbPHTiZuZA4wZ1lCv8PVnzZP3mmmprPObNgaERP&#10;qCWL8iVE7CWbLZNGvQsVhT47Co7Dexxo1plvcI8oXgKzeNeB3cpb77HvJDTU4yxlFhepI05IIJv+&#10;MzZUDHYRM9DQepMEJEkYodOsDuf5yCEykUpeX5WzxYIzQb53y6uyLHMJqE7Zzof4UaJh6VJzT/PP&#10;6LB/DDF1A9UpJBWz+KC0zjugLesJdDFf5IQLj1GRVlQrU/Nymr5xaRLJD7bJyRGUHu9UQNsj60R0&#10;pByHzZBFvj6JucHmQDJ4HDeSXhBdOvQ/OetpG2sefuzAS870J0tSvl2muixeGv7S2FwaYAVB1Txy&#10;Nl7vYl75kfItSd6qrEaazdjJsWXasizS8UWkNb60c9Tvd7v+BQAA//8DAFBLAwQUAAYACAAAACEA&#10;eCQvWeEAAAALAQAADwAAAGRycy9kb3ducmV2LnhtbEyPwU7DMAyG70i8Q2QkbixpWkEpTSfEBBw4&#10;sU2IY9p4bUfjVE22dW9PdoKbLX/6/f3lcrYDO+Lke0cKkoUAhtQ401OrYLt5vcuB+aDJ6MERKjij&#10;h2V1fVXqwrgTfeJxHVoWQ8gXWkEXwlhw7psOrfYLNyLF285NVoe4Ti03kz7FcDtwKcQ9t7qn+KHT&#10;I7502PysD1bBvj6/y61ffexDlu424evhe/VWK3V7Mz8/AQs4hz8YLvpRHaroVLsDGc8GBXmaJhFV&#10;kAkJ7AIkIs+A1XF6lBJ4VfL/HapfAAAA//8DAFBLAQItABQABgAIAAAAIQC2gziS/gAAAOEBAAAT&#10;AAAAAAAAAAAAAAAAAAAAAABbQ29udGVudF9UeXBlc10ueG1sUEsBAi0AFAAGAAgAAAAhADj9If/W&#10;AAAAlAEAAAsAAAAAAAAAAAAAAAAALwEAAF9yZWxzLy5yZWxzUEsBAi0AFAAGAAgAAAAhAGMDUdEM&#10;AgAA/wMAAA4AAAAAAAAAAAAAAAAALgIAAGRycy9lMm9Eb2MueG1sUEsBAi0AFAAGAAgAAAAhAHgk&#10;L1nhAAAACwEAAA8AAAAAAAAAAAAAAAAAZgQAAGRycy9kb3ducmV2LnhtbFBLBQYAAAAABAAEAPMA&#10;AAB0BQAAAAA=&#10;" filled="f" stroked="f">
                <v:textbox inset="1mm,1mm,1mm,1mm">
                  <w:txbxContent>
                    <w:p w14:paraId="08005A0C" w14:textId="77777777" w:rsidR="00B41130" w:rsidRPr="00E62E5B" w:rsidRDefault="00B41130" w:rsidP="00B41130">
                      <w:pPr>
                        <w:pStyle w:val="tekstzboku"/>
                        <w:spacing w:after="120"/>
                        <w:rPr>
                          <w:color w:val="000000" w:themeColor="text1"/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>Łączna powierzchnia budynków niemieszkalnych oddanych do użytkowania wzrosła w I-III kwartale 2019 roku o 5,9% r/r</w:t>
                      </w:r>
                    </w:p>
                    <w:p w14:paraId="108B446C" w14:textId="77777777" w:rsidR="00B41130" w:rsidRPr="009E0D29" w:rsidRDefault="00B41130" w:rsidP="00B4113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t>Efekty rzeczowe budownictwa budynków niemieszkalnych</w:t>
      </w:r>
    </w:p>
    <w:p w14:paraId="4FBC38E1" w14:textId="000383A8" w:rsidR="00B41130" w:rsidRPr="003C689E" w:rsidRDefault="001A4050" w:rsidP="00B41130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W I-III kwartale 2019 roku</w:t>
      </w:r>
      <w:r w:rsidR="00B41130" w:rsidRPr="003C689E">
        <w:rPr>
          <w:szCs w:val="19"/>
          <w:shd w:val="clear" w:color="auto" w:fill="FFFFFF"/>
        </w:rPr>
        <w:t xml:space="preserve"> przekazano do eksploatacji 16 974 </w:t>
      </w:r>
      <w:r w:rsidR="00B41130" w:rsidRPr="003C689E">
        <w:rPr>
          <w:b/>
          <w:szCs w:val="19"/>
          <w:shd w:val="clear" w:color="auto" w:fill="FFFFFF"/>
        </w:rPr>
        <w:t>nowe budynki niemieszkalne</w:t>
      </w:r>
      <w:r w:rsidR="00B41130" w:rsidRPr="003C689E">
        <w:rPr>
          <w:szCs w:val="19"/>
          <w:shd w:val="clear" w:color="auto" w:fill="FFFFFF"/>
        </w:rPr>
        <w:t xml:space="preserve"> oraz rozbudowano 2</w:t>
      </w:r>
      <w:r w:rsidR="00451344">
        <w:rPr>
          <w:szCs w:val="19"/>
          <w:shd w:val="clear" w:color="auto" w:fill="FFFFFF"/>
        </w:rPr>
        <w:t xml:space="preserve"> </w:t>
      </w:r>
      <w:r w:rsidR="00B41130" w:rsidRPr="003C689E">
        <w:rPr>
          <w:szCs w:val="19"/>
          <w:shd w:val="clear" w:color="auto" w:fill="FFFFFF"/>
        </w:rPr>
        <w:t>347 (odpowiednio o 0,1% więcej i 14,0% mniej niż w roku poprzednim). Łączna powierzchnia użytkowa nowych i rozbudowanych budynków niemieszkalnych</w:t>
      </w:r>
      <w:r w:rsidR="00B41130" w:rsidRPr="003C689E">
        <w:rPr>
          <w:rStyle w:val="Odwoanieprzypisudolnego"/>
          <w:szCs w:val="19"/>
          <w:shd w:val="clear" w:color="auto" w:fill="FFFFFF"/>
        </w:rPr>
        <w:footnoteReference w:id="6"/>
      </w:r>
      <w:r w:rsidR="00B41130" w:rsidRPr="003C689E">
        <w:rPr>
          <w:szCs w:val="19"/>
          <w:shd w:val="clear" w:color="auto" w:fill="FFFFFF"/>
        </w:rPr>
        <w:t xml:space="preserve"> wyniosła 12 243,8 tys. m</w:t>
      </w:r>
      <w:r w:rsidR="00B41130" w:rsidRPr="003C689E">
        <w:rPr>
          <w:szCs w:val="19"/>
          <w:shd w:val="clear" w:color="auto" w:fill="FFFFFF"/>
          <w:vertAlign w:val="superscript"/>
        </w:rPr>
        <w:t>2</w:t>
      </w:r>
      <w:r w:rsidR="00B41130" w:rsidRPr="003C689E">
        <w:rPr>
          <w:szCs w:val="19"/>
          <w:shd w:val="clear" w:color="auto" w:fill="FFFFFF"/>
        </w:rPr>
        <w:t>, o 5,9% więcej niż w analogicznym okresie 2018 r</w:t>
      </w:r>
      <w:r>
        <w:rPr>
          <w:szCs w:val="19"/>
          <w:shd w:val="clear" w:color="auto" w:fill="FFFFFF"/>
        </w:rPr>
        <w:t>oku.</w:t>
      </w:r>
      <w:r w:rsidR="00B41130" w:rsidRPr="003C689E">
        <w:rPr>
          <w:szCs w:val="19"/>
          <w:shd w:val="clear" w:color="auto" w:fill="FFFFFF"/>
        </w:rPr>
        <w:t xml:space="preserve"> Pod względem powierzchni przekazanej do eksploatacji przeważały budynki przemysłowe i magazynowe (51,9%). Znaczące udziały miały także pozostałe budynki niemieszkalne (17,8%) oraz budynki handlowo-usługowe (12,4%).</w:t>
      </w:r>
      <w:r w:rsidR="00B41130" w:rsidRPr="003C689E">
        <w:t xml:space="preserve"> </w:t>
      </w:r>
      <w:r w:rsidR="00B41130" w:rsidRPr="003C689E">
        <w:rPr>
          <w:szCs w:val="19"/>
          <w:shd w:val="clear" w:color="auto" w:fill="FFFFFF"/>
        </w:rPr>
        <w:t>Największe wzrosty oddanej do użytkowania powierzchni odnotowano dla budynków przemysłowych i magazynowych (21,5%) oraz hoteli i budynków zakwaterowania turystycznego (19,0%).</w:t>
      </w:r>
    </w:p>
    <w:p w14:paraId="02DEF9FE" w14:textId="47E9E9E7" w:rsidR="00B41130" w:rsidRPr="003C689E" w:rsidRDefault="002A25D8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08608" behindDoc="1" locked="0" layoutInCell="1" allowOverlap="1" wp14:anchorId="348317A2" wp14:editId="66FB31AB">
            <wp:simplePos x="0" y="0"/>
            <wp:positionH relativeFrom="column">
              <wp:posOffset>-129654</wp:posOffset>
            </wp:positionH>
            <wp:positionV relativeFrom="paragraph">
              <wp:posOffset>72370</wp:posOffset>
            </wp:positionV>
            <wp:extent cx="1985453" cy="2198389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84" cy="223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3C689E">
        <w:rPr>
          <w:b/>
          <w:sz w:val="18"/>
          <w:szCs w:val="19"/>
          <w:shd w:val="clear" w:color="auto" w:fill="FFFFFF"/>
        </w:rPr>
        <w:t>Wykres 2.</w:t>
      </w:r>
      <w:r w:rsidR="00B41130" w:rsidRPr="003C689E">
        <w:rPr>
          <w:b/>
          <w:sz w:val="18"/>
          <w:szCs w:val="19"/>
          <w:shd w:val="clear" w:color="auto" w:fill="FFFFFF"/>
        </w:rPr>
        <w:tab/>
        <w:t>Struktura powierzchni użytkowej budynków niemieszkalnych oddanych do użytkowania w I-III kwartale 2019 r</w:t>
      </w:r>
      <w:r w:rsidR="00F157AC">
        <w:rPr>
          <w:b/>
          <w:sz w:val="18"/>
          <w:szCs w:val="19"/>
          <w:shd w:val="clear" w:color="auto" w:fill="FFFFFF"/>
        </w:rPr>
        <w:t>oku</w:t>
      </w:r>
    </w:p>
    <w:p w14:paraId="3F29281E" w14:textId="5B33FFB7" w:rsidR="00B41130" w:rsidRPr="003C689E" w:rsidRDefault="00AC3592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3C689E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2283528F" wp14:editId="4A99CAED">
                <wp:simplePos x="0" y="0"/>
                <wp:positionH relativeFrom="margin">
                  <wp:align>right</wp:align>
                </wp:positionH>
                <wp:positionV relativeFrom="paragraph">
                  <wp:posOffset>3099</wp:posOffset>
                </wp:positionV>
                <wp:extent cx="3055048" cy="1459065"/>
                <wp:effectExtent l="0" t="0" r="0" b="0"/>
                <wp:wrapNone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048" cy="145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A40C8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35241711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4495BBEB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3F5710EB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0A30EC74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1EBD2E5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1F0649E0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528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89.35pt;margin-top:.25pt;width:240.55pt;height:114.9pt;z-index:251904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sXFAIAAAEEAAAOAAAAZHJzL2Uyb0RvYy54bWysU9Fu2yAUfZ+0f0C8L3Yyu0usOFXXrtOk&#10;bqvU7gMwxjEqcBmQ2NnX74KTLNreqvkBgS/33HvOPayvR63IXjgvwdR0PsspEYZDK822pj+e798t&#10;KfGBmZYpMKKmB+Hp9ebtm/VgK7GAHlQrHEEQ46vB1rQPwVZZ5nkvNPMzsMJgsAOnWcCj22atYwOi&#10;a5Ut8vwqG8C11gEX3uPfuylINwm/6wQP37vOi0BUTbG3kFaX1iau2WbNqq1jtpf82AZ7RReaSYNF&#10;z1B3LDCyc/IfKC25Aw9dmHHQGXSd5CJxQDbz/C82Tz2zInFBcbw9y+T/Hyz/tn90RLY4u1VBiWEa&#10;h/QISpAgXnyAQZBFFGmwvsK7TxZvh/EjjJiQCHv7APzFEwO3PTNbceMcDL1gLTY5j5nZReqE4yNI&#10;M3yFFmuxXYAENHZORwVRE4LoOKzDeUBiDITjz/d5WeYFWopjbF6Uq/yqTDVYdUq3zofPAjSJm5o6&#10;dECCZ/sHH2I7rDpdidUM3EulkguUIUNNV+WiTAkXES0DmlRJXdNlHr/JNpHlJ9Om5MCkmvZYQJkj&#10;7ch04hzGZkwyL09qNtAeUAcHkyfxDeGmB/eLkgH9WFP/c8ecoER9Majlal4U0cDpUJQfFnhwl5Hm&#10;MsIMR6iaBkqm7W1Ipp8o36DmnUxqxOFMnRxbRp8lkY5vIhr58pxu/Xm5m98AAAD//wMAUEsDBBQA&#10;BgAIAAAAIQCl88P12wAAAAUBAAAPAAAAZHJzL2Rvd25yZXYueG1sTI9LT8MwEITvSPwHa5G40XX6&#10;QG3IpkIgriDKQ+rNjbdJRLyOYrcJ/x5zguNoRjPfFNvJderMQ2i9EGQzDYql8raVmuD97elmDSpE&#10;I9Z0XpjgmwNsy8uLwuTWj/LK512sVSqRkBuCJsY+RwxVw86Eme9Zknf0gzMxyaFGO5gxlbsO51rf&#10;ojOtpIXG9PzQcPW1OzmCj+fj/nOpX+pHt+pHP2kUt0Gi66vp/g5U5Cn+heEXP6FDmZgO/iQ2qI4g&#10;HYkEK1DJW66zDNSBYL7QC8CywP/05Q8AAAD//wMAUEsBAi0AFAAGAAgAAAAhALaDOJL+AAAA4QEA&#10;ABMAAAAAAAAAAAAAAAAAAAAAAFtDb250ZW50X1R5cGVzXS54bWxQSwECLQAUAAYACAAAACEAOP0h&#10;/9YAAACUAQAACwAAAAAAAAAAAAAAAAAvAQAAX3JlbHMvLnJlbHNQSwECLQAUAAYACAAAACEAd4Vr&#10;FxQCAAABBAAADgAAAAAAAAAAAAAAAAAuAgAAZHJzL2Uyb0RvYy54bWxQSwECLQAUAAYACAAAACEA&#10;pfPD9dsAAAAFAQAADwAAAAAAAAAAAAAAAABuBAAAZHJzL2Rvd25yZXYueG1sUEsFBgAAAAAEAAQA&#10;8wAAAHYFAAAAAA==&#10;" filled="f" stroked="f">
                <v:textbox>
                  <w:txbxContent>
                    <w:p w14:paraId="47CA40C8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35241711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4495BBEB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3F5710EB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14:paraId="0A30EC74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11EBD2E5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1F0649E0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4CC23" w14:textId="5880AB2F" w:rsidR="00B41130" w:rsidRPr="003C689E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52481EE6" w14:textId="7EFE4207" w:rsidR="00B41130" w:rsidRPr="003C689E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3D642A2" w14:textId="77777777" w:rsidR="00B41130" w:rsidRPr="003C689E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C71BF7" w14:textId="77777777" w:rsidR="00B41130" w:rsidRPr="003C689E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88A7C7" w14:textId="77777777" w:rsidR="00B41130" w:rsidRPr="003C689E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A0C789F" w14:textId="15213FB4" w:rsidR="00B41130" w:rsidRPr="003C689E" w:rsidRDefault="002A25D8" w:rsidP="00B41130">
      <w:pPr>
        <w:rPr>
          <w:shd w:val="clear" w:color="auto" w:fill="FFFFFF"/>
        </w:rPr>
      </w:pPr>
      <w:r w:rsidRPr="003C689E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3488" behindDoc="0" locked="0" layoutInCell="1" allowOverlap="1" wp14:anchorId="432559BA" wp14:editId="08BFEB9A">
                <wp:simplePos x="0" y="0"/>
                <wp:positionH relativeFrom="page">
                  <wp:posOffset>5715947</wp:posOffset>
                </wp:positionH>
                <wp:positionV relativeFrom="paragraph">
                  <wp:posOffset>-88388</wp:posOffset>
                </wp:positionV>
                <wp:extent cx="1772285" cy="1801505"/>
                <wp:effectExtent l="0" t="0" r="0" b="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80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722" w14:textId="77777777" w:rsidR="00B41130" w:rsidRPr="00E62E5B" w:rsidRDefault="00B41130" w:rsidP="00B41130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Powierzchnia użytkowa</w:t>
                            </w:r>
                            <w:r w:rsidRPr="00E62E5B">
                              <w:rPr>
                                <w:szCs w:val="19"/>
                              </w:rPr>
                              <w:br/>
                              <w:t>budynków niemieszkalnych oddanych do użytkowania na terenie województwa</w:t>
                            </w:r>
                            <w:r w:rsidRPr="00E62E5B">
                              <w:rPr>
                                <w:szCs w:val="19"/>
                              </w:rPr>
                              <w:br/>
                              <w:t>mazowieckiego, wielkopolskiego i łódzkiego stanowiła blisko</w:t>
                            </w:r>
                            <w:r w:rsidRPr="00E62E5B">
                              <w:rPr>
                                <w:color w:val="FF0000"/>
                                <w:szCs w:val="19"/>
                              </w:rPr>
                              <w:t xml:space="preserve"> </w:t>
                            </w:r>
                            <w:r w:rsidRPr="00E62E5B">
                              <w:rPr>
                                <w:szCs w:val="19"/>
                              </w:rPr>
                              <w:t>40% ogółu oddanej powierzchni w kraju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9BA" id="Pole tekstowe 195" o:spid="_x0000_s1035" type="#_x0000_t202" style="position:absolute;margin-left:450.05pt;margin-top:-6.95pt;width:139.55pt;height:141.85pt;z-index:251903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BFFgIAAP8DAAAOAAAAZHJzL2Uyb0RvYy54bWysU9tu2zAMfR+wfxD0vviCZEmMOEXXrsOA&#10;rivQ7QNkWY6FSqImKbGzrx8lJ1mwvQ3zgyCa5CHPIbW5GbUiB+G8BFPTYpZTIgyHVppdTb9/e3i3&#10;osQHZlqmwIiaHoWnN9u3bzaDrUQJPahWOIIgxleDrWkfgq2yzPNeaOZnYIVBZwdOs4Cm22WtYwOi&#10;a5WVef4+G8C11gEX3uPf+8lJtwm/6wQPX7vOi0BUTbG3kE6Xziae2XbDqp1jtpf81Ab7hy40kwaL&#10;XqDuWWBk7+RfUFpyBx66MOOgM+g6yUXigGyK/A82Lz2zInFBcby9yOT/Hyx/Ojw7Iluc3XpBiWEa&#10;h/QMSpAgXn2AQZDoQJkG6yuMfrEYH8YPMGJKouztI/BXTwzc9czsxK1zMPSCtdhmETOzq9QJx0eQ&#10;ZvgCLVZj+wAJaOycjhqiKgTRcVzHy4jEGAiPJZfLslxhpxx9xSovFnnqLmPVOd06Hz4J0CReaupw&#10;BxI8Ozz6ENth1TkkVjPwIJVKe6AMGWq6XpSLlHDl0TLgmiqpa7rK4zctTmT50bQpOTCppjsWUOZE&#10;OzKdOIexGZPQ67OaDbRH1MHBtJX4ivDSg/tJyYAbWVP/Y8+coER9NqjlOtUlIRkojpv+FvM5Gk0y&#10;5otliQYzHGFqGs7Xu5BWfqJ7i3p3MikRBzN1cWoXtywJdHoRcY2v7RT1+91ufwEAAP//AwBQSwME&#10;FAAGAAgAAAAhAP+nLQbjAAAADAEAAA8AAABkcnMvZG93bnJldi54bWxMj0FLw0AQhe+C/2EZwYu0&#10;m0SoSZpJkULx5MG2KN622WkSzc7G7LaJ/nq3Jz0O7+O9b4rVZDpxpsG1lhHieQSCuLK65Rphv9vM&#10;UhDOK9aqs0wI3+RgVV5fFSrXduQXOm99LUIJu1whNN73uZSuasgoN7c9cciOdjDKh3OopR7UGMpN&#10;J5MoWkijWg4Ljepp3VD1uT0ZhNfNxLv0Sd29v33ZRD+vP6p6/EG8vZkelyA8Tf4Phot+UIcyOB3s&#10;ibUTHUIWRXFAEWbxfQbiQsQPWQLigJAsshRkWcj/T5S/AAAA//8DAFBLAQItABQABgAIAAAAIQC2&#10;gziS/gAAAOEBAAATAAAAAAAAAAAAAAAAAAAAAABbQ29udGVudF9UeXBlc10ueG1sUEsBAi0AFAAG&#10;AAgAAAAhADj9If/WAAAAlAEAAAsAAAAAAAAAAAAAAAAALwEAAF9yZWxzLy5yZWxzUEsBAi0AFAAG&#10;AAgAAAAhAHA1QEUWAgAA/wMAAA4AAAAAAAAAAAAAAAAALgIAAGRycy9lMm9Eb2MueG1sUEsBAi0A&#10;FAAGAAgAAAAhAP+nLQbjAAAADAEAAA8AAAAAAAAAAAAAAAAAcAQAAGRycy9kb3ducmV2LnhtbFBL&#10;BQYAAAAABAAEAPMAAACABQAAAAA=&#10;" filled="f" stroked="f">
                <v:textbox inset="2.5mm,0">
                  <w:txbxContent>
                    <w:p w14:paraId="50D71722" w14:textId="77777777" w:rsidR="00B41130" w:rsidRPr="00E62E5B" w:rsidRDefault="00B41130" w:rsidP="00B41130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>Powierzchnia użytkowa</w:t>
                      </w:r>
                      <w:r w:rsidRPr="00E62E5B">
                        <w:rPr>
                          <w:szCs w:val="19"/>
                        </w:rPr>
                        <w:br/>
                        <w:t>budynków niemieszkalnych oddanych do użytkowania na terenie województwa</w:t>
                      </w:r>
                      <w:r w:rsidRPr="00E62E5B">
                        <w:rPr>
                          <w:szCs w:val="19"/>
                        </w:rPr>
                        <w:br/>
                        <w:t>mazowieckiego, wielkopolskiego i łódzkiego stanowiła blisko</w:t>
                      </w:r>
                      <w:r w:rsidRPr="00E62E5B">
                        <w:rPr>
                          <w:color w:val="FF0000"/>
                          <w:szCs w:val="19"/>
                        </w:rPr>
                        <w:t xml:space="preserve"> </w:t>
                      </w:r>
                      <w:r w:rsidRPr="00E62E5B">
                        <w:rPr>
                          <w:szCs w:val="19"/>
                        </w:rPr>
                        <w:t>40% ogółu oddanej powierzchni w 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1130" w:rsidRPr="003C689E">
        <w:rPr>
          <w:shd w:val="clear" w:color="auto" w:fill="FFFFFF"/>
        </w:rPr>
        <w:t xml:space="preserve">Największą </w:t>
      </w:r>
      <w:r w:rsidR="00B41130" w:rsidRPr="003C689E">
        <w:rPr>
          <w:b/>
          <w:shd w:val="clear" w:color="auto" w:fill="FFFFFF"/>
        </w:rPr>
        <w:t>powierzchnię użytkową budynków niemieszkalnych</w:t>
      </w:r>
      <w:r w:rsidR="00082CDC">
        <w:rPr>
          <w:shd w:val="clear" w:color="auto" w:fill="FFFFFF"/>
        </w:rPr>
        <w:t xml:space="preserve"> w I-III kwartale 2019 roku</w:t>
      </w:r>
      <w:r w:rsidR="00B41130" w:rsidRPr="003C689E">
        <w:rPr>
          <w:shd w:val="clear" w:color="auto" w:fill="FFFFFF"/>
        </w:rPr>
        <w:t xml:space="preserve"> oddano do użytkowania w województwach: mazowieckim (1</w:t>
      </w:r>
      <w:r w:rsidR="00451344">
        <w:rPr>
          <w:shd w:val="clear" w:color="auto" w:fill="FFFFFF"/>
        </w:rPr>
        <w:t xml:space="preserve"> </w:t>
      </w:r>
      <w:r w:rsidR="00B41130" w:rsidRPr="003C689E">
        <w:rPr>
          <w:shd w:val="clear" w:color="auto" w:fill="FFFFFF"/>
        </w:rPr>
        <w:t>882,3 tys. 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), wielkopolskim (1</w:t>
      </w:r>
      <w:r w:rsidR="00451344">
        <w:rPr>
          <w:shd w:val="clear" w:color="auto" w:fill="FFFFFF"/>
        </w:rPr>
        <w:t> </w:t>
      </w:r>
      <w:r w:rsidR="00B41130" w:rsidRPr="003C689E">
        <w:rPr>
          <w:shd w:val="clear" w:color="auto" w:fill="FFFFFF"/>
        </w:rPr>
        <w:t>609,3 tys. 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 i łódzkim (1</w:t>
      </w:r>
      <w:r w:rsidR="00451344">
        <w:rPr>
          <w:shd w:val="clear" w:color="auto" w:fill="FFFFFF"/>
        </w:rPr>
        <w:t xml:space="preserve"> </w:t>
      </w:r>
      <w:r w:rsidR="00B41130" w:rsidRPr="003C689E">
        <w:rPr>
          <w:shd w:val="clear" w:color="auto" w:fill="FFFFFF"/>
        </w:rPr>
        <w:t>362,1 tys. 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), najmniejszą zaś w lubuskim (240,9 tys. 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), świętokrzyskim (261,6 tys. 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 i opolskim (305,6 tys. m</w:t>
      </w:r>
      <w:r w:rsidR="00B41130" w:rsidRPr="003C689E">
        <w:rPr>
          <w:shd w:val="clear" w:color="auto" w:fill="FFFFFF"/>
          <w:vertAlign w:val="superscript"/>
        </w:rPr>
        <w:t>2</w:t>
      </w:r>
      <w:r w:rsidR="00B41130" w:rsidRPr="003C689E">
        <w:rPr>
          <w:shd w:val="clear" w:color="auto" w:fill="FFFFFF"/>
        </w:rPr>
        <w:t>). W stosunku do analogicznego okresu roku poprzedniego, największy przyrost powierzchni odnotowano w województwie</w:t>
      </w:r>
      <w:r w:rsidR="00B41130" w:rsidRPr="003C689E">
        <w:t xml:space="preserve"> </w:t>
      </w:r>
      <w:r w:rsidR="00B41130" w:rsidRPr="003C689E">
        <w:rPr>
          <w:shd w:val="clear" w:color="auto" w:fill="FFFFFF"/>
        </w:rPr>
        <w:t>dolnośląskim (wzrost o 69,4%), łódzkim (60,9%) i lubelskim (13,8%).</w:t>
      </w:r>
    </w:p>
    <w:p w14:paraId="05230930" w14:textId="051B3786" w:rsidR="00B41130" w:rsidRPr="003C689E" w:rsidRDefault="00B41130" w:rsidP="00B4113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 w:rsidRPr="003C689E">
        <w:rPr>
          <w:b/>
          <w:color w:val="auto"/>
          <w:szCs w:val="19"/>
          <w:shd w:val="clear" w:color="auto" w:fill="FFFFFF"/>
        </w:rPr>
        <w:t>Wykres 3.</w:t>
      </w:r>
      <w:r w:rsidRPr="003C689E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="00F157AC">
        <w:rPr>
          <w:b/>
          <w:color w:val="auto"/>
          <w:szCs w:val="19"/>
          <w:shd w:val="clear" w:color="auto" w:fill="FFFFFF"/>
        </w:rPr>
        <w:t>kowania w I</w:t>
      </w:r>
      <w:r w:rsidR="00F157AC">
        <w:rPr>
          <w:b/>
          <w:color w:val="auto"/>
          <w:szCs w:val="19"/>
          <w:shd w:val="clear" w:color="auto" w:fill="FFFFFF"/>
        </w:rPr>
        <w:noBreakHyphen/>
        <w:t>III kwartale 2019 roku</w:t>
      </w:r>
      <w:r w:rsidRPr="003C689E">
        <w:rPr>
          <w:b/>
          <w:color w:val="auto"/>
          <w:szCs w:val="19"/>
          <w:shd w:val="clear" w:color="auto" w:fill="FFFFFF"/>
        </w:rPr>
        <w:t xml:space="preserve"> według województw</w:t>
      </w:r>
    </w:p>
    <w:p w14:paraId="2C24298A" w14:textId="2B23C140" w:rsidR="00B41130" w:rsidRPr="003C689E" w:rsidRDefault="00E57499" w:rsidP="00B4113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>
        <w:rPr>
          <w:b w:val="0"/>
          <w:noProof/>
          <w:szCs w:val="19"/>
          <w:lang w:eastAsia="pl-PL"/>
        </w:rPr>
        <w:drawing>
          <wp:anchor distT="0" distB="0" distL="114300" distR="114300" simplePos="0" relativeHeight="251918848" behindDoc="1" locked="0" layoutInCell="1" allowOverlap="1" wp14:anchorId="0FB82FA9" wp14:editId="32BE2071">
            <wp:simplePos x="0" y="0"/>
            <wp:positionH relativeFrom="column">
              <wp:posOffset>1744</wp:posOffset>
            </wp:positionH>
            <wp:positionV relativeFrom="paragraph">
              <wp:posOffset>635</wp:posOffset>
            </wp:positionV>
            <wp:extent cx="5090795" cy="3288665"/>
            <wp:effectExtent l="0" t="0" r="0" b="698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28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A6855" w14:textId="6681366D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1612625" w14:textId="5A8EFA3A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014C28" w14:textId="092B6664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7D38EE5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1DC467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3047BC1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E0CA13D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5925A09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F7C961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F58F57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88D52C" w14:textId="77777777" w:rsidR="00B41130" w:rsidRPr="003C689E" w:rsidRDefault="00B41130" w:rsidP="00E57499">
      <w:pPr>
        <w:spacing w:before="360"/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 xml:space="preserve">Budynki niemieszkalne stanowią niejednorodną kategorię obiektów budowlanych. W celu uzupełnienia ogólnego opisu, poniżej przedstawiono krótką charakterystykę wybranych grup i klas budynków wg Polskiej Klasyfikacji Obiektów Budowlanych. </w:t>
      </w:r>
    </w:p>
    <w:p w14:paraId="2666C749" w14:textId="77777777" w:rsidR="00B41130" w:rsidRPr="003C689E" w:rsidRDefault="00B41130" w:rsidP="00B41130">
      <w:pPr>
        <w:spacing w:before="240"/>
        <w:rPr>
          <w:b/>
          <w:szCs w:val="19"/>
          <w:shd w:val="clear" w:color="auto" w:fill="FFFFFF"/>
        </w:rPr>
      </w:pPr>
      <w:r w:rsidRPr="003C689E">
        <w:rPr>
          <w:b/>
          <w:color w:val="001D77"/>
          <w:szCs w:val="19"/>
          <w:shd w:val="clear" w:color="auto" w:fill="FFFFFF"/>
        </w:rPr>
        <w:t>Budynki biurowe</w:t>
      </w:r>
    </w:p>
    <w:p w14:paraId="4FF80E3D" w14:textId="734AC936" w:rsidR="00B41130" w:rsidRPr="003C689E" w:rsidRDefault="00B41130" w:rsidP="00B41130">
      <w:pPr>
        <w:rPr>
          <w:b/>
          <w:spacing w:val="-2"/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>W I-III kwartale 2019 r</w:t>
      </w:r>
      <w:r w:rsidR="00E55A3B">
        <w:rPr>
          <w:szCs w:val="19"/>
          <w:shd w:val="clear" w:color="auto" w:fill="FFFFFF"/>
        </w:rPr>
        <w:t>oku</w:t>
      </w:r>
      <w:r w:rsidRPr="003C689E">
        <w:rPr>
          <w:szCs w:val="19"/>
          <w:shd w:val="clear" w:color="auto" w:fill="FFFFFF"/>
        </w:rPr>
        <w:t xml:space="preserve"> oddano do użytkowania 423 nowe budynki biurowe, co oznaczało wzrost o 14,9% względem analogicznego okresu roku 2018. Łączna powierzchnia użytkowa charakteryzowanych budynków wyniosła 725,7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, a największa jej część przypadła na województwa: mazowieckie (27,7% wartości krajowej), dolnośląskie (17,7%) i wielkopolskie (14,4%). Z kolei najmniejszy jej udział odnotowano w województwie lubelskim (0,9%), opolskim (1,0%) i podlaskim (1,1%).</w:t>
      </w:r>
    </w:p>
    <w:p w14:paraId="7A472860" w14:textId="024BE5DF" w:rsidR="00B41130" w:rsidRPr="003C689E" w:rsidRDefault="009D2784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27040" behindDoc="1" locked="0" layoutInCell="1" allowOverlap="1" wp14:anchorId="13CB3441" wp14:editId="424BC214">
            <wp:simplePos x="0" y="0"/>
            <wp:positionH relativeFrom="column">
              <wp:posOffset>-39756</wp:posOffset>
            </wp:positionH>
            <wp:positionV relativeFrom="paragraph">
              <wp:posOffset>333320</wp:posOffset>
            </wp:positionV>
            <wp:extent cx="5084445" cy="2743200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3C689E">
        <w:rPr>
          <w:b/>
          <w:sz w:val="18"/>
          <w:szCs w:val="19"/>
          <w:shd w:val="clear" w:color="auto" w:fill="FFFFFF"/>
        </w:rPr>
        <w:t>Wykres 4.</w:t>
      </w:r>
      <w:r w:rsidR="00B41130" w:rsidRPr="003C689E">
        <w:rPr>
          <w:b/>
          <w:sz w:val="18"/>
          <w:szCs w:val="19"/>
          <w:shd w:val="clear" w:color="auto" w:fill="FFFFFF"/>
        </w:rPr>
        <w:tab/>
        <w:t>Powierzchnia użytkowa budynków biurowych oddanych do użytkowania w I-III kwartale 2019 r</w:t>
      </w:r>
      <w:r w:rsidR="00E55A3B">
        <w:rPr>
          <w:b/>
          <w:sz w:val="18"/>
          <w:szCs w:val="19"/>
          <w:shd w:val="clear" w:color="auto" w:fill="FFFFFF"/>
        </w:rPr>
        <w:t>oku</w:t>
      </w:r>
      <w:r w:rsidR="00B41130"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16E4F280" w14:textId="0F225F3D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837C348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3E4B967F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4D94AD8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4F192FF6" w14:textId="77777777" w:rsidR="00B41130" w:rsidRDefault="00B41130" w:rsidP="00B41130">
      <w:pPr>
        <w:spacing w:before="240"/>
        <w:rPr>
          <w:szCs w:val="19"/>
          <w:shd w:val="clear" w:color="auto" w:fill="FFFFFF"/>
        </w:rPr>
      </w:pPr>
    </w:p>
    <w:p w14:paraId="10AE8DBC" w14:textId="77777777" w:rsidR="00E57499" w:rsidRDefault="00E57499" w:rsidP="00B41130">
      <w:pPr>
        <w:spacing w:before="240"/>
        <w:rPr>
          <w:szCs w:val="19"/>
          <w:shd w:val="clear" w:color="auto" w:fill="FFFFFF"/>
        </w:rPr>
      </w:pPr>
    </w:p>
    <w:p w14:paraId="31E6ACC5" w14:textId="77777777" w:rsidR="00E57499" w:rsidRDefault="00E57499" w:rsidP="00B41130">
      <w:pPr>
        <w:spacing w:before="240"/>
        <w:rPr>
          <w:szCs w:val="19"/>
          <w:shd w:val="clear" w:color="auto" w:fill="FFFFFF"/>
        </w:rPr>
      </w:pPr>
    </w:p>
    <w:p w14:paraId="269C6D9B" w14:textId="77777777" w:rsidR="000631C2" w:rsidRDefault="000631C2" w:rsidP="00B41130">
      <w:pPr>
        <w:spacing w:before="240"/>
        <w:rPr>
          <w:b/>
          <w:color w:val="001D77"/>
          <w:szCs w:val="19"/>
          <w:shd w:val="clear" w:color="auto" w:fill="FFFFFF"/>
        </w:rPr>
      </w:pPr>
    </w:p>
    <w:p w14:paraId="5C1EB699" w14:textId="25972DC0" w:rsidR="00B41130" w:rsidRPr="003C689E" w:rsidRDefault="00F765CE" w:rsidP="00B41130">
      <w:pPr>
        <w:spacing w:before="240"/>
        <w:rPr>
          <w:color w:val="001D77"/>
          <w:szCs w:val="19"/>
          <w:shd w:val="clear" w:color="auto" w:fill="FFFFFF"/>
        </w:rPr>
      </w:pPr>
      <w:r w:rsidRPr="003C689E">
        <w:rPr>
          <w:b/>
          <w:color w:val="001D77"/>
          <w:szCs w:val="19"/>
          <w:shd w:val="clear" w:color="auto" w:fill="FFFFFF"/>
        </w:rPr>
        <w:lastRenderedPageBreak/>
        <w:t>B</w:t>
      </w:r>
      <w:r w:rsidR="00B41130" w:rsidRPr="003C689E">
        <w:rPr>
          <w:b/>
          <w:color w:val="001D77"/>
          <w:szCs w:val="19"/>
          <w:shd w:val="clear" w:color="auto" w:fill="FFFFFF"/>
        </w:rPr>
        <w:t>udynki handlowo-usługowe</w:t>
      </w:r>
    </w:p>
    <w:p w14:paraId="214FEDAA" w14:textId="40827971" w:rsidR="00B41130" w:rsidRPr="003C689E" w:rsidRDefault="00B41130" w:rsidP="00B41130">
      <w:pPr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 xml:space="preserve">W omawianym okresie oddano do eksploatacji </w:t>
      </w:r>
      <w:r w:rsidR="0001081C" w:rsidRPr="003C689E">
        <w:rPr>
          <w:szCs w:val="19"/>
          <w:shd w:val="clear" w:color="auto" w:fill="FFFFFF"/>
        </w:rPr>
        <w:t>2</w:t>
      </w:r>
      <w:r w:rsidR="00451344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011 nowych budynków handlowo-</w:t>
      </w:r>
      <w:r w:rsidR="00EE12C0">
        <w:rPr>
          <w:szCs w:val="19"/>
          <w:shd w:val="clear" w:color="auto" w:fill="FFFFFF"/>
        </w:rPr>
        <w:t>u</w:t>
      </w:r>
      <w:r w:rsidRPr="003C689E">
        <w:rPr>
          <w:szCs w:val="19"/>
          <w:shd w:val="clear" w:color="auto" w:fill="FFFFFF"/>
        </w:rPr>
        <w:t>sługowych (wzrost o 6,1%</w:t>
      </w:r>
      <w:r w:rsidRPr="003C689E">
        <w:t> </w:t>
      </w:r>
      <w:r w:rsidRPr="003C689E">
        <w:rPr>
          <w:szCs w:val="19"/>
          <w:shd w:val="clear" w:color="auto" w:fill="FFFFFF"/>
        </w:rPr>
        <w:t xml:space="preserve">r/r). Łączna powierzchnia użytkowa budynków tego typu wyniosła </w:t>
      </w:r>
      <w:r w:rsidR="0001081C" w:rsidRPr="003C689E">
        <w:rPr>
          <w:szCs w:val="19"/>
          <w:shd w:val="clear" w:color="auto" w:fill="FFFFFF"/>
        </w:rPr>
        <w:t>1</w:t>
      </w:r>
      <w:r w:rsidR="00451344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519,5 tys. 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, co oznaczało spadek o 4,2% w stosunku do poprzedniego roku. Województwami, na terenie których odnotowano największą nowo wybudowaną powierzchnię handlowo-usługową, były: mazowieckie (17,3% udziału w kraju) oraz małopolskie (12,6%) i wielkopolskie (10,9%). Najmniejszą powierzchnię oddano do użytkowania w województwie lubuskim (1,5%), opolskim (1,6%) i podlaskim (1,9%).</w:t>
      </w:r>
    </w:p>
    <w:p w14:paraId="125D63AF" w14:textId="20460A37" w:rsidR="00B41130" w:rsidRPr="003C689E" w:rsidRDefault="00B4113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11680" behindDoc="1" locked="0" layoutInCell="1" allowOverlap="1" wp14:anchorId="3C44A5E4" wp14:editId="309CDE5E">
            <wp:simplePos x="0" y="0"/>
            <wp:positionH relativeFrom="column">
              <wp:posOffset>-43891</wp:posOffset>
            </wp:positionH>
            <wp:positionV relativeFrom="paragraph">
              <wp:posOffset>409651</wp:posOffset>
            </wp:positionV>
            <wp:extent cx="5084445" cy="2743200"/>
            <wp:effectExtent l="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9E">
        <w:rPr>
          <w:b/>
          <w:sz w:val="18"/>
          <w:szCs w:val="19"/>
          <w:shd w:val="clear" w:color="auto" w:fill="FFFFFF"/>
        </w:rPr>
        <w:t>Wykres 5.</w:t>
      </w:r>
      <w:r w:rsidRPr="003C689E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 I-III kwartale 2019 r</w:t>
      </w:r>
      <w:r w:rsidR="00EE12C0">
        <w:rPr>
          <w:b/>
          <w:sz w:val="18"/>
          <w:szCs w:val="19"/>
          <w:shd w:val="clear" w:color="auto" w:fill="FFFFFF"/>
        </w:rPr>
        <w:t>oku</w:t>
      </w:r>
      <w:r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23C5EAA5" w14:textId="77777777" w:rsidR="00B41130" w:rsidRPr="003C689E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AC78D03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4799A75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82769C5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B11A0A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6E4D0AB2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1CA03B63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4A130E05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80DB37A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0AB2B1C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  <w:r w:rsidRPr="003C689E">
        <w:rPr>
          <w:b/>
          <w:color w:val="001D77"/>
          <w:szCs w:val="19"/>
          <w:shd w:val="clear" w:color="auto" w:fill="FFFFFF"/>
        </w:rPr>
        <w:t>Budynki przemysłowe</w:t>
      </w:r>
      <w:r w:rsidRPr="003C689E">
        <w:rPr>
          <w:noProof/>
          <w:color w:val="001D77"/>
          <w:szCs w:val="19"/>
          <w:shd w:val="clear" w:color="auto" w:fill="FFFFFF"/>
          <w:lang w:eastAsia="pl-PL"/>
        </w:rPr>
        <w:t xml:space="preserve"> </w:t>
      </w:r>
    </w:p>
    <w:p w14:paraId="61A19834" w14:textId="039A3D3F" w:rsidR="00B41130" w:rsidRPr="003C689E" w:rsidRDefault="00B41130" w:rsidP="00B41130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 I-III kwartale 2019 roku wybudowano 813 nowych budynków przemysłowych (wzrost o 3,3% w porównaniu z analogicznym okresem roku 2018). Ich łączna powierzchnia użytkowa wyniosła </w:t>
      </w:r>
      <w:r w:rsidR="0001081C"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</w:t>
      </w:r>
      <w:r w:rsidR="00915DC1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835,6 tys. m</w:t>
      </w:r>
      <w:r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 była większa o 24,4% niż rok wcześniej. Największy udział w powierzchni budynków przemysłowych posiadało województwo dolnośląskie (17,0%), łódzkie (15,8%) oraz wielkopolskie (10,2%); najmniejszy </w:t>
      </w:r>
      <w:r w:rsidR="0001081C"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–</w:t>
      </w:r>
      <w:r w:rsidRPr="003C689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województwo świętokrzyskie (0,8%), podlaskie (2,1%) i kujawsko-pomorskie (2,2%).</w:t>
      </w:r>
    </w:p>
    <w:p w14:paraId="0F58E43A" w14:textId="10ABD7FF" w:rsidR="00B41130" w:rsidRPr="003C689E" w:rsidRDefault="00B4113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noProof/>
          <w:szCs w:val="19"/>
          <w:lang w:eastAsia="pl-PL"/>
        </w:rPr>
        <w:drawing>
          <wp:anchor distT="0" distB="0" distL="114300" distR="114300" simplePos="0" relativeHeight="251912704" behindDoc="1" locked="0" layoutInCell="1" allowOverlap="1" wp14:anchorId="0D0B7B04" wp14:editId="0C7B0B25">
            <wp:simplePos x="0" y="0"/>
            <wp:positionH relativeFrom="column">
              <wp:posOffset>-7315</wp:posOffset>
            </wp:positionH>
            <wp:positionV relativeFrom="paragraph">
              <wp:posOffset>445592</wp:posOffset>
            </wp:positionV>
            <wp:extent cx="5084445" cy="274320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9E">
        <w:rPr>
          <w:b/>
          <w:sz w:val="18"/>
          <w:szCs w:val="19"/>
          <w:shd w:val="clear" w:color="auto" w:fill="FFFFFF"/>
        </w:rPr>
        <w:t>Wykres 6.</w:t>
      </w:r>
      <w:r w:rsidRPr="003C689E">
        <w:rPr>
          <w:b/>
          <w:sz w:val="18"/>
          <w:szCs w:val="19"/>
          <w:shd w:val="clear" w:color="auto" w:fill="FFFFFF"/>
        </w:rPr>
        <w:tab/>
        <w:t>Powierzchnia użytkowa budynków przemysłowych oddanych do użytkowania w I</w:t>
      </w:r>
      <w:r w:rsidRPr="003C689E">
        <w:rPr>
          <w:b/>
          <w:sz w:val="18"/>
          <w:szCs w:val="19"/>
          <w:shd w:val="clear" w:color="auto" w:fill="FFFFFF"/>
        </w:rPr>
        <w:noBreakHyphen/>
        <w:t>III kwartale 2019 r</w:t>
      </w:r>
      <w:r w:rsidR="00EE12C0">
        <w:rPr>
          <w:b/>
          <w:sz w:val="18"/>
          <w:szCs w:val="19"/>
          <w:shd w:val="clear" w:color="auto" w:fill="FFFFFF"/>
        </w:rPr>
        <w:t>oku</w:t>
      </w:r>
      <w:r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03836AC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679647C3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0B4BF788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C63E143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1EC5C4C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41A961B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AFD49CD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204F598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34EA3EF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1AF3C7E4" w14:textId="77777777" w:rsidR="00B41130" w:rsidRPr="003C689E" w:rsidRDefault="00B41130" w:rsidP="00B41130">
      <w:pPr>
        <w:spacing w:before="240"/>
        <w:rPr>
          <w:b/>
          <w:color w:val="001D77"/>
          <w:szCs w:val="19"/>
          <w:shd w:val="clear" w:color="auto" w:fill="FFFFFF"/>
        </w:rPr>
      </w:pPr>
      <w:r w:rsidRPr="003C689E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3C689E"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14:paraId="154834EC" w14:textId="0DD825C7" w:rsidR="00B41130" w:rsidRPr="003C689E" w:rsidRDefault="00B41130" w:rsidP="00B41130">
      <w:pPr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>W analizowanym okresie przekazano do użytkowania 1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762 nowe budynki magazynowe (o 8,1% więcej niż przed rokiem). Łączna powierzchnia użytkowa tego rodzaju budynków wzrosła względem poprzedniego roku o 19,2% i wyniosła 3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513,1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, osiągając największą wartość w województwach: śląskim (18,6% udziału w kraju), łódzkim (14,9%) i wielkopolskim (14,0%). Najmniejszą powierzchnię odnotowano w: podl</w:t>
      </w:r>
      <w:r w:rsidR="00D21BA9">
        <w:rPr>
          <w:szCs w:val="19"/>
          <w:shd w:val="clear" w:color="auto" w:fill="FFFFFF"/>
        </w:rPr>
        <w:t>askim i</w:t>
      </w:r>
      <w:r w:rsidRPr="003C689E">
        <w:rPr>
          <w:szCs w:val="19"/>
          <w:shd w:val="clear" w:color="auto" w:fill="FFFFFF"/>
        </w:rPr>
        <w:t xml:space="preserve"> lubuskim (</w:t>
      </w:r>
      <w:r w:rsidR="00D21BA9">
        <w:rPr>
          <w:szCs w:val="19"/>
          <w:shd w:val="clear" w:color="auto" w:fill="FFFFFF"/>
        </w:rPr>
        <w:t xml:space="preserve">po </w:t>
      </w:r>
      <w:r w:rsidRPr="003C689E">
        <w:rPr>
          <w:szCs w:val="19"/>
          <w:shd w:val="clear" w:color="auto" w:fill="FFFFFF"/>
        </w:rPr>
        <w:t>1,3%) oraz lubelskim (1,5%).</w:t>
      </w:r>
    </w:p>
    <w:p w14:paraId="0E22F2F7" w14:textId="6B06C348" w:rsidR="00B41130" w:rsidRPr="003C689E" w:rsidRDefault="00B41130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noProof/>
          <w:szCs w:val="19"/>
          <w:lang w:eastAsia="pl-PL"/>
        </w:rPr>
        <w:drawing>
          <wp:anchor distT="0" distB="0" distL="114300" distR="114300" simplePos="0" relativeHeight="251913728" behindDoc="1" locked="0" layoutInCell="1" allowOverlap="1" wp14:anchorId="676730E1" wp14:editId="7CCB088B">
            <wp:simplePos x="0" y="0"/>
            <wp:positionH relativeFrom="column">
              <wp:posOffset>-58521</wp:posOffset>
            </wp:positionH>
            <wp:positionV relativeFrom="paragraph">
              <wp:posOffset>416332</wp:posOffset>
            </wp:positionV>
            <wp:extent cx="5084445" cy="2749550"/>
            <wp:effectExtent l="0" t="0" r="190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9E">
        <w:rPr>
          <w:b/>
          <w:sz w:val="18"/>
          <w:szCs w:val="19"/>
          <w:shd w:val="clear" w:color="auto" w:fill="FFFFFF"/>
        </w:rPr>
        <w:t>Wykres 7.</w:t>
      </w:r>
      <w:r w:rsidRPr="003C689E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="00EE12C0">
        <w:rPr>
          <w:b/>
          <w:sz w:val="18"/>
          <w:szCs w:val="19"/>
          <w:shd w:val="clear" w:color="auto" w:fill="FFFFFF"/>
        </w:rPr>
        <w:t>kowania w I</w:t>
      </w:r>
      <w:r w:rsidR="00EE12C0">
        <w:rPr>
          <w:b/>
          <w:sz w:val="18"/>
          <w:szCs w:val="19"/>
          <w:shd w:val="clear" w:color="auto" w:fill="FFFFFF"/>
        </w:rPr>
        <w:noBreakHyphen/>
        <w:t>III kwartale 2019 roku</w:t>
      </w:r>
      <w:r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DCFAE2B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359898D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CFECFA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4670DC9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2CB32B1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864A61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48448883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0835E06F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15EFC9CF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2B1DC89E" w14:textId="77777777" w:rsidR="00B41130" w:rsidRPr="003C689E" w:rsidRDefault="00B41130" w:rsidP="00B41130">
      <w:pPr>
        <w:spacing w:before="240"/>
        <w:rPr>
          <w:color w:val="001D77"/>
          <w:szCs w:val="19"/>
          <w:shd w:val="clear" w:color="auto" w:fill="FFFFFF"/>
        </w:rPr>
      </w:pPr>
      <w:r w:rsidRPr="003C689E">
        <w:rPr>
          <w:b/>
          <w:color w:val="001D77"/>
          <w:szCs w:val="19"/>
          <w:shd w:val="clear" w:color="auto" w:fill="FFFFFF"/>
        </w:rPr>
        <w:t>Budynki gospodarstw rolnych</w:t>
      </w:r>
    </w:p>
    <w:p w14:paraId="30A614A4" w14:textId="172BA244" w:rsidR="00B41130" w:rsidRPr="003C689E" w:rsidRDefault="00B41130" w:rsidP="00B41130">
      <w:pPr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>W I-III kwartale 2019 roku wybudowano 4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812 nowych budynków gospodarstw rolnych – o 1,5% mniej niż w analogicznym okresie roku poprzedniego. Łączna powierzchnia użytkowa tego typu obiektów wyniosła 2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017,6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 xml:space="preserve"> (spadek o 10,0% r/r). Największym udziałem powierzchni w wartości ogólnopolskiej cechowały się województwa: mazowieckie (25,0%), wielkopolskie (21,1%) oraz podlaskie (10,4%), najmniejszym: zachodniopomorskie, podkarpackie oraz śląskie </w:t>
      </w:r>
      <w:r w:rsidR="00234F3A" w:rsidRPr="003C689E">
        <w:rPr>
          <w:szCs w:val="19"/>
          <w:shd w:val="clear" w:color="auto" w:fill="FFFFFF"/>
        </w:rPr>
        <w:t>–</w:t>
      </w:r>
      <w:r w:rsidRPr="003C689E">
        <w:rPr>
          <w:szCs w:val="19"/>
          <w:shd w:val="clear" w:color="auto" w:fill="FFFFFF"/>
        </w:rPr>
        <w:t xml:space="preserve"> odpowiednio 0,8%, 1,4% oraz 1,5%. </w:t>
      </w:r>
    </w:p>
    <w:p w14:paraId="6E7296BD" w14:textId="7D852586" w:rsidR="00B41130" w:rsidRPr="003C689E" w:rsidRDefault="009D2784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28064" behindDoc="1" locked="0" layoutInCell="1" allowOverlap="1" wp14:anchorId="040AF313" wp14:editId="6156208B">
            <wp:simplePos x="0" y="0"/>
            <wp:positionH relativeFrom="column">
              <wp:posOffset>-55659</wp:posOffset>
            </wp:positionH>
            <wp:positionV relativeFrom="paragraph">
              <wp:posOffset>357173</wp:posOffset>
            </wp:positionV>
            <wp:extent cx="5078095" cy="2743200"/>
            <wp:effectExtent l="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3C689E">
        <w:rPr>
          <w:b/>
          <w:sz w:val="18"/>
          <w:szCs w:val="19"/>
          <w:shd w:val="clear" w:color="auto" w:fill="FFFFFF"/>
        </w:rPr>
        <w:t>Wykres 8. Powierzchnia użytkowa budynków gospodarstw rolnych oddanych do użyt</w:t>
      </w:r>
      <w:r w:rsidR="005B59DF">
        <w:rPr>
          <w:b/>
          <w:sz w:val="18"/>
          <w:szCs w:val="19"/>
          <w:shd w:val="clear" w:color="auto" w:fill="FFFFFF"/>
        </w:rPr>
        <w:t>kowania w I</w:t>
      </w:r>
      <w:r w:rsidR="005B59DF">
        <w:rPr>
          <w:b/>
          <w:sz w:val="18"/>
          <w:szCs w:val="19"/>
          <w:shd w:val="clear" w:color="auto" w:fill="FFFFFF"/>
        </w:rPr>
        <w:noBreakHyphen/>
        <w:t>III kwartale 2019 roku</w:t>
      </w:r>
      <w:r w:rsidR="00B41130"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3D0DD595" w14:textId="6FDC9D22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6C797F5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421D823F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011A887A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1F25EC6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A2AC372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5598D8FC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63C91D07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356B7B72" w14:textId="77777777" w:rsidR="00B41130" w:rsidRPr="003C689E" w:rsidRDefault="00B41130" w:rsidP="00B41130">
      <w:pPr>
        <w:spacing w:before="240"/>
        <w:rPr>
          <w:szCs w:val="19"/>
          <w:shd w:val="clear" w:color="auto" w:fill="FFFFFF"/>
        </w:rPr>
      </w:pPr>
    </w:p>
    <w:p w14:paraId="776B9F73" w14:textId="77777777" w:rsidR="00B41130" w:rsidRPr="003C689E" w:rsidRDefault="00B41130" w:rsidP="00B41130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14:paraId="76D0F337" w14:textId="77777777" w:rsidR="00B41130" w:rsidRPr="003C689E" w:rsidRDefault="00B41130" w:rsidP="00B41130">
      <w:pPr>
        <w:spacing w:before="240"/>
        <w:rPr>
          <w:shd w:val="clear" w:color="auto" w:fill="FFFFFF"/>
        </w:rPr>
      </w:pPr>
      <w:r w:rsidRPr="003C689E">
        <w:rPr>
          <w:rFonts w:ascii="Fira Sans SemiBold" w:hAnsi="Fira Sans SemiBold"/>
          <w:noProof/>
          <w:color w:val="001D77"/>
          <w:sz w:val="24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4F17E638" wp14:editId="7506EA27">
                <wp:simplePos x="0" y="0"/>
                <wp:positionH relativeFrom="column">
                  <wp:posOffset>5240171</wp:posOffset>
                </wp:positionH>
                <wp:positionV relativeFrom="paragraph">
                  <wp:posOffset>153670</wp:posOffset>
                </wp:positionV>
                <wp:extent cx="1762125" cy="1419367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1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DB1" w14:textId="4CF5062A" w:rsidR="00B41130" w:rsidRPr="00E62E5B" w:rsidRDefault="00B41130" w:rsidP="00B41130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>Największy udział (41,</w:t>
                            </w:r>
                            <w:r w:rsidR="00A20509" w:rsidRPr="00E62E5B">
                              <w:rPr>
                                <w:spacing w:val="-2"/>
                                <w:szCs w:val="19"/>
                              </w:rPr>
                              <w:t>2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%) w powierzchni użytkowej nowych budynków niemieszkalnych, na których budowę wydano pozwolenia, miały budynki przemysłowe i magazynowe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E638" id="_x0000_s1036" type="#_x0000_t202" style="position:absolute;margin-left:412.6pt;margin-top:12.1pt;width:138.75pt;height:111.7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sHFQIAAP8DAAAOAAAAZHJzL2Uyb0RvYy54bWysU8tu2zAQvBfoPxC817JcP2LBcpAmTVEg&#10;bQOk/YA1RVlESC5LMpHSr8+Ssp0gvRXVgeBqubM7w+HmfDCaPUofFNqal5MpZ9IKbJTd1/zXz+sP&#10;Z5yFCLYBjVbW/EkGfr59/27Tu0rOsEPdSM8IxIaqdzXvYnRVUQTRSQNhgk5aSrboDUQK/b5oPPSE&#10;bnQxm06XRY++cR6FDIH+Xo1Jvs34bStF/NG2QUama06zxbz6vO7SWmw3UO09uE6JwxjwD1MYUJaa&#10;nqCuIAJ78OovKKOEx4BtnAg0BbatEjJzIDbl9A2buw6czFxInOBOMoX/Byu+P956phq6u/WKMwuG&#10;LukWtWRR3oeIvWTlMqnUu1DR4TtHx+PwCQeqyIyDu0FxH5jFyw7sXl54j30noaEpy1RZvCodcUIC&#10;2fXfsKFm8BAxAw2tN0lCEoUROt3W0+mG5BCZSC1Xy1k5W3AmKFfOy/XH5Sr3gOpY7nyIXyQaljY1&#10;92SBDA+PNyGmcaA6HkndLF4rrbMNtGV9zdcLwn+TMSqSS7UyNT+bpm/0TWL52Ta5OILS454aaHug&#10;nZiOnOOwG0adc3HSZIfNEwnhcXQlvSLadOj/cNaTI2sefj+Al5zpr5bEXOfGLOaA1PHj33I+p2CX&#10;g/liNaMArCCYmsfj9jJmy4+sLkjwVmUpXqY4zEsuywodXkSy8es4n3p5t9tnAAAA//8DAFBLAwQU&#10;AAYACAAAACEA+28s3+AAAAALAQAADwAAAGRycy9kb3ducmV2LnhtbEyPwU7DMAyG70i8Q2QkLoil&#10;i4BWpemEJk2cOLBNIG5eY9pC45QmWwtPT3qCk2X70+/PxWqynTjR4FvHGpaLBARx5UzLtYb9bnOd&#10;gfAB2WDnmDR8k4dVeX5WYG7cyM902oZaxBD2OWpoQuhzKX3VkEW/cD1x3L27wWKI7VBLM+AYw20n&#10;VZLcSYstxwsN9rRuqPrcHq2Gl83Eu+wRr95ev5wyT+uPqh5/tL68mB7uQQSawh8Ms35UhzI6HdyR&#10;jRedhkzdqohqUDexzsAyUSmIwzxJU5BlIf//UP4CAAD//wMAUEsBAi0AFAAGAAgAAAAhALaDOJL+&#10;AAAA4QEAABMAAAAAAAAAAAAAAAAAAAAAAFtDb250ZW50X1R5cGVzXS54bWxQSwECLQAUAAYACAAA&#10;ACEAOP0h/9YAAACUAQAACwAAAAAAAAAAAAAAAAAvAQAAX3JlbHMvLnJlbHNQSwECLQAUAAYACAAA&#10;ACEAgRkrBxUCAAD/AwAADgAAAAAAAAAAAAAAAAAuAgAAZHJzL2Uyb0RvYy54bWxQSwECLQAUAAYA&#10;CAAAACEA+28s3+AAAAALAQAADwAAAAAAAAAAAAAAAABvBAAAZHJzL2Rvd25yZXYueG1sUEsFBgAA&#10;AAAEAAQA8wAAAHwFAAAAAA==&#10;" filled="f" stroked="f">
                <v:textbox inset="2.5mm,0">
                  <w:txbxContent>
                    <w:p w14:paraId="08CB7DB1" w14:textId="4CF5062A" w:rsidR="00B41130" w:rsidRPr="00E62E5B" w:rsidRDefault="00B41130" w:rsidP="00B41130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>Największy udział (41,</w:t>
                      </w:r>
                      <w:r w:rsidR="00A20509" w:rsidRPr="00E62E5B">
                        <w:rPr>
                          <w:spacing w:val="-2"/>
                          <w:szCs w:val="19"/>
                        </w:rPr>
                        <w:t>2</w:t>
                      </w:r>
                      <w:r w:rsidRPr="00E62E5B">
                        <w:rPr>
                          <w:spacing w:val="-2"/>
                          <w:szCs w:val="19"/>
                        </w:rPr>
                        <w:t>%) w powierzchni użytkowej nowych budynków niemieszkalnych, na których budowę wydano pozwolenia, miały budynki przemysłowe i magazynowe</w:t>
                      </w:r>
                    </w:p>
                  </w:txbxContent>
                </v:textbox>
              </v:shape>
            </w:pict>
          </mc:Fallback>
        </mc:AlternateContent>
      </w:r>
      <w:r w:rsidRPr="003C689E">
        <w:rPr>
          <w:rFonts w:ascii="Fira Sans SemiBold" w:hAnsi="Fira Sans SemiBold"/>
          <w:color w:val="001D77"/>
          <w:sz w:val="24"/>
          <w:shd w:val="clear" w:color="auto" w:fill="FFFFFF"/>
        </w:rPr>
        <w:t>Pozwolenia na budowę nowych budynków niemieszkalnych</w:t>
      </w:r>
    </w:p>
    <w:p w14:paraId="490F694F" w14:textId="33F2F72C" w:rsidR="00B41130" w:rsidRPr="003C689E" w:rsidRDefault="00B41130" w:rsidP="00B41130">
      <w:pPr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 xml:space="preserve">W I-III kwartale 2019 roku wydano </w:t>
      </w:r>
      <w:r w:rsidRPr="003C689E">
        <w:rPr>
          <w:b/>
          <w:szCs w:val="19"/>
          <w:shd w:val="clear" w:color="auto" w:fill="FFFFFF"/>
        </w:rPr>
        <w:t>pozwolenia na budowę</w:t>
      </w:r>
      <w:r w:rsidRPr="003C689E">
        <w:rPr>
          <w:szCs w:val="19"/>
          <w:shd w:val="clear" w:color="auto" w:fill="FFFFFF"/>
        </w:rPr>
        <w:t xml:space="preserve"> 25</w:t>
      </w:r>
      <w:r w:rsidR="00244764" w:rsidRPr="003C689E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 xml:space="preserve">437 nowych budynków niemieszkalnych o łącznej powierzchni użytkowej 13 332,1 tys. m². W porównaniu z analogicznym okresem roku poprzedniego odnotowano spadek powierzchni o 20,2%, natomiast w przypadku liczby budynków – spadek o 7,1%. </w:t>
      </w:r>
      <w:r w:rsidRPr="003C689E">
        <w:rPr>
          <w:spacing w:val="-2"/>
          <w:szCs w:val="19"/>
          <w:shd w:val="clear" w:color="auto" w:fill="FFFFFF"/>
        </w:rPr>
        <w:t>Wszystkie kategorie budynków charakteryzował spadek planowanej do wybudowania powierzchni użytkowej – największe w przypadku budynków o charakterze edukacyjnym, budynków szpitali i zakładów opieki medycznej oraz budynków kultury fizycznej (o 38,4%), hoteli</w:t>
      </w:r>
      <w:r w:rsidRPr="003C689E">
        <w:rPr>
          <w:spacing w:val="-4"/>
          <w:szCs w:val="19"/>
          <w:shd w:val="clear" w:color="auto" w:fill="FFFFFF"/>
        </w:rPr>
        <w:t xml:space="preserve"> i budynków zakwaterowania turystycznego (o 34,7%),</w:t>
      </w:r>
      <w:r w:rsidRPr="003C689E">
        <w:rPr>
          <w:spacing w:val="-2"/>
          <w:szCs w:val="19"/>
          <w:shd w:val="clear" w:color="auto" w:fill="FFFFFF"/>
        </w:rPr>
        <w:t xml:space="preserve"> budynków przemysłowych i magazynowych (o 27,6%) oraz budynków transportu i łączności (o 22,1%).</w:t>
      </w:r>
      <w:r w:rsidRPr="003C689E">
        <w:rPr>
          <w:szCs w:val="19"/>
          <w:shd w:val="clear" w:color="auto" w:fill="FFFFFF"/>
        </w:rPr>
        <w:t xml:space="preserve"> W strukturze powierzchni użytkowej nowych budynków, na budowę których wydano pozwolenia, dominowały budynki przemysłowe i magazynowe (41,</w:t>
      </w:r>
      <w:r w:rsidR="00E57499">
        <w:rPr>
          <w:szCs w:val="19"/>
          <w:shd w:val="clear" w:color="auto" w:fill="FFFFFF"/>
        </w:rPr>
        <w:t>2</w:t>
      </w:r>
      <w:r w:rsidRPr="003C689E">
        <w:rPr>
          <w:szCs w:val="19"/>
          <w:shd w:val="clear" w:color="auto" w:fill="FFFFFF"/>
        </w:rPr>
        <w:t>%), pozostałe budynki niemieszkalne (25,7%) oraz budynki handlowo-usługowe (14,8%).</w:t>
      </w:r>
    </w:p>
    <w:p w14:paraId="6F47DDED" w14:textId="10C5096D" w:rsidR="00B41130" w:rsidRPr="003C689E" w:rsidRDefault="00B41130" w:rsidP="00AC5820">
      <w:pPr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15776" behindDoc="1" locked="0" layoutInCell="1" allowOverlap="1" wp14:anchorId="717FB985" wp14:editId="54202648">
            <wp:simplePos x="0" y="0"/>
            <wp:positionH relativeFrom="column">
              <wp:posOffset>-306231</wp:posOffset>
            </wp:positionH>
            <wp:positionV relativeFrom="paragraph">
              <wp:posOffset>95885</wp:posOffset>
            </wp:positionV>
            <wp:extent cx="2379173" cy="2463421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73" cy="2463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9E">
        <w:rPr>
          <w:b/>
          <w:sz w:val="18"/>
          <w:szCs w:val="19"/>
          <w:shd w:val="clear" w:color="auto" w:fill="FFFFFF"/>
        </w:rPr>
        <w:t>Wykres 9.</w:t>
      </w:r>
      <w:r w:rsidRPr="003C689E">
        <w:rPr>
          <w:b/>
          <w:sz w:val="18"/>
          <w:szCs w:val="19"/>
          <w:shd w:val="clear" w:color="auto" w:fill="FFFFFF"/>
        </w:rPr>
        <w:tab/>
        <w:t>Struktura powierzchni użytkowej nowych budynków niemieszkalnych, na których budowę wydano pozwolenia w I-III kwartale 2019 r</w:t>
      </w:r>
      <w:r w:rsidR="005B59DF">
        <w:rPr>
          <w:b/>
          <w:sz w:val="18"/>
          <w:szCs w:val="19"/>
          <w:shd w:val="clear" w:color="auto" w:fill="FFFFFF"/>
        </w:rPr>
        <w:t>oku</w:t>
      </w:r>
    </w:p>
    <w:p w14:paraId="3319D252" w14:textId="77777777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0A66C22" w14:textId="0C4289AC" w:rsidR="00B41130" w:rsidRPr="003C689E" w:rsidRDefault="00E57499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3C689E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472C0F60" wp14:editId="62DDFD9F">
                <wp:simplePos x="0" y="0"/>
                <wp:positionH relativeFrom="margin">
                  <wp:posOffset>1951355</wp:posOffset>
                </wp:positionH>
                <wp:positionV relativeFrom="paragraph">
                  <wp:posOffset>94454</wp:posOffset>
                </wp:positionV>
                <wp:extent cx="3054985" cy="1486602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86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9D10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C502B5B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3A9C1E69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124763EF" w14:textId="77777777" w:rsidR="00B41130" w:rsidRPr="008573DA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57D18DBB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D372AD5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872F66F" w14:textId="77777777" w:rsidR="00B41130" w:rsidRPr="00672716" w:rsidRDefault="00B41130" w:rsidP="00B4113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0F60" id="_x0000_s1037" type="#_x0000_t202" style="position:absolute;margin-left:153.65pt;margin-top:7.45pt;width:240.55pt;height:117.05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MGEwIAAAEEAAAOAAAAZHJzL2Uyb0RvYy54bWysU9Fu2yAUfZ+0f0C8L3a8JEusOFXXrtOk&#10;bqvU7QMwxjEqcBmQ2NnX94LT1NrepvkBcX3vPdxzOGyvBq3IUTgvwVR0PsspEYZDI82+oj9/3L1b&#10;U+IDMw1TYERFT8LTq93bN9velqKADlQjHEEQ48veVrQLwZZZ5nknNPMzsMJgsgWnWcDQ7bPGsR7R&#10;tcqKPF9lPbjGOuDCe/x7OybpLuG3reDhe9t6EYiqKM4W0urSWsc1221ZuXfMdpKfx2D/MIVm0uCh&#10;F6hbFhg5OPkXlJbcgYc2zDjoDNpWcpE4IJt5/gebx45ZkbigON5eZPL/D5Z/Oz44Ihu8u4ISwzTe&#10;0QMoQYJ48gF6QYqoUW99iaWPFovD8BEGrE98vb0H/uSJgZuOmb24dg76TrAGZ5zHzmzSOuL4CFL3&#10;X6HBs9ghQAIaWqejgCgJQXS8q9PlfsQQCMef7/PlYrNeUsIxN1+sV6s8TZex8qXdOh8+C9Akbirq&#10;0AAJnh3vfYjjsPKlJJ5m4E4qlUygDOkrulkWy9QwyWgZ0KNK6oqu8/iNroksP5kmNQcm1bjHA5Q5&#10;045MR85hqIdR5SRK1KSG5oRCOBg9iW8INx2435T06MeK+l8H5gQl6otBMTfzxSIaOAWL5YcCAzfN&#10;1NMMMxyhKhooGbc3IZl+5HyNorcyyfE6yXlm9FlS6fwmopGncap6fbm7ZwAAAP//AwBQSwMEFAAG&#10;AAgAAAAhAAX8hOLfAAAACgEAAA8AAABkcnMvZG93bnJldi54bWxMj8tOwzAQRfdI/QdrkNhRmza0&#10;SYhTIRBbUMtDYufG0yRqPI5itwl/z7Ciy9E9uvdMsZlcJ844hNaThru5AoFUedtSreHj/eU2BRGi&#10;IWs6T6jhBwNsytlVYXLrR9rieRdrwSUUcqOhibHPpQxVg86Eue+RODv4wZnI51BLO5iRy10nF0qt&#10;pDMt8UJjenxqsDruTk7D5+vh+ytRb/Wzu+9HPylJLpNa31xPjw8gIk7xH4Y/fVaHkp32/kQ2iE7D&#10;Uq2XjHKQZCAYWKdpAmKvYZFkCmRZyMsXyl8AAAD//wMAUEsBAi0AFAAGAAgAAAAhALaDOJL+AAAA&#10;4QEAABMAAAAAAAAAAAAAAAAAAAAAAFtDb250ZW50X1R5cGVzXS54bWxQSwECLQAUAAYACAAAACEA&#10;OP0h/9YAAACUAQAACwAAAAAAAAAAAAAAAAAvAQAAX3JlbHMvLnJlbHNQSwECLQAUAAYACAAAACEA&#10;1e2jBhMCAAABBAAADgAAAAAAAAAAAAAAAAAuAgAAZHJzL2Uyb0RvYy54bWxQSwECLQAUAAYACAAA&#10;ACEABfyE4t8AAAAKAQAADwAAAAAAAAAAAAAAAABtBAAAZHJzL2Rvd25yZXYueG1sUEsFBgAAAAAE&#10;AAQA8wAAAHkFAAAAAA==&#10;" filled="f" stroked="f">
                <v:textbox>
                  <w:txbxContent>
                    <w:p w14:paraId="31029D10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4C502B5B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3A9C1E69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124763EF" w14:textId="77777777" w:rsidR="00B41130" w:rsidRPr="008573DA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14:paraId="57D18DBB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1D372AD5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14:paraId="6872F66F" w14:textId="77777777" w:rsidR="00B41130" w:rsidRPr="00672716" w:rsidRDefault="00B41130" w:rsidP="00B4113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F0DC0" w14:textId="66DB75C9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A0F377A" w14:textId="77777777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4CFEF32" w14:textId="77777777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817FEE9" w14:textId="77777777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B9AF326" w14:textId="77777777" w:rsidR="00B41130" w:rsidRPr="003C689E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9220B5A" w14:textId="77777777" w:rsidR="00B41130" w:rsidRPr="003C689E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56438A8A" w14:textId="5D7070FC" w:rsidR="00B41130" w:rsidRPr="003C689E" w:rsidRDefault="00E57499" w:rsidP="00B41130">
      <w:pPr>
        <w:spacing w:before="0" w:after="0" w:line="240" w:lineRule="auto"/>
        <w:rPr>
          <w:szCs w:val="19"/>
          <w:shd w:val="clear" w:color="auto" w:fill="FFFFFF"/>
        </w:rPr>
      </w:pPr>
      <w:r w:rsidRPr="003C689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5536" behindDoc="0" locked="0" layoutInCell="1" allowOverlap="1" wp14:anchorId="1AB958F9" wp14:editId="6FA778D0">
                <wp:simplePos x="0" y="0"/>
                <wp:positionH relativeFrom="column">
                  <wp:posOffset>5271438</wp:posOffset>
                </wp:positionH>
                <wp:positionV relativeFrom="paragraph">
                  <wp:posOffset>182880</wp:posOffset>
                </wp:positionV>
                <wp:extent cx="1762125" cy="1739900"/>
                <wp:effectExtent l="0" t="0" r="0" b="0"/>
                <wp:wrapNone/>
                <wp:docPr id="20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E856" w14:textId="61A5F800" w:rsidR="00B41130" w:rsidRPr="00E62E5B" w:rsidRDefault="00B41130" w:rsidP="00B41130">
                            <w:pPr>
                              <w:pStyle w:val="tekstzboku"/>
                              <w:spacing w:after="120"/>
                              <w:rPr>
                                <w:bCs w:val="0"/>
                                <w:sz w:val="16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Powierzchnia użytkowa nowych budynków niemieszkalnych, na których budowę wydano pozwolenia w województwie mazowieckim, wielkopolskim i</w:t>
                            </w:r>
                            <w:r w:rsidR="00E62E5B">
                              <w:rPr>
                                <w:szCs w:val="19"/>
                              </w:rPr>
                              <w:t> </w:t>
                            </w:r>
                            <w:r w:rsidRPr="00E62E5B">
                              <w:rPr>
                                <w:szCs w:val="19"/>
                              </w:rPr>
                              <w:t>śląskim, stanowiła prawie 39% ogółu planowanej do wybudowania powierzchni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58F9" id="_x0000_s1038" type="#_x0000_t202" style="position:absolute;margin-left:415.05pt;margin-top:14.4pt;width:138.75pt;height:137pt;z-index:25190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nrFgIAAP8DAAAOAAAAZHJzL2Uyb0RvYy54bWysU8tu2zAQvBfoPxC813rUj1iwHKRJUxRI&#10;2wBpP4CiKIsIyWVJ2pL79V1Sthukt6I6ELsiObszO9xcj1qRg3BegqlpMcspEYZDK82upj++37+7&#10;osQHZlqmwIiaHoWn19u3bzaDrUQJPahWOIIgxleDrWkfgq2yzPNeaOZnYIXBzQ6cZgFTt8taxwZE&#10;1yor83yZDeBa64AL7/Hv3bRJtwm/6wQP37rOi0BUTbG3kFaX1iau2XbDqp1jtpf81Ab7hy40kwaL&#10;XqDuWGBk7+RfUFpyBx66MOOgM+g6yUXigGyK/BWbp55ZkbigON5eZPL/D5Z/PTw6ItuaYn1KDNM4&#10;pEdQggTx7AMMghTLqNJgfYWHnyweD+MHGHHaibG3D8CfPTFw2zOzEzfOwdAL1mKXRbyZvbg64fgI&#10;0gxfoMVibB8gAY2d01FCFIUgOk7reJmQGAPhseRqWRblghKOe8Xq/XqdpxlmrDpft86HTwI0iUFN&#10;HVogwbPDgw+xHVadj8RqBu6lUskGypChpusF4r/a0TKgS5XUNb3K4zf5JrL8aNp0OTCpphgLKHOi&#10;HZlOnMPYjEnnojzL2UB7RCEcTK7EV4RBD+4XJQM6sqb+5545QYn6bFBMpIqFSUgJBm76W8znmDQp&#10;mS9WJSbMcISpaTiHtyFZfmJ1g4J3MkkRJzN1ceoXXZYUOr2IaOOXeTr1591ufwMAAP//AwBQSwME&#10;FAAGAAgAAAAhAB0XvKLhAAAACwEAAA8AAABkcnMvZG93bnJldi54bWxMj0FLw0AQhe+C/2EZwYu0&#10;u0mhhjSTIoXiyYNtUbxts2MSzc7G7LaJ/nq3Jz0O8/He94r1ZDtxpsG3jhGSuQJBXDnTco1w2G9n&#10;GQgfNBvdOSaEb/KwLq+vCp0bN/IznXehFjGEfa4RmhD6XEpfNWS1n7ueOP7e3WB1iOdQSzPoMYbb&#10;TqZKLaXVLceGRve0aaj63J0swst24n32qO/eXr9cap42H1U9/iDe3kwPKxCBpvAHw0U/qkMZnY7u&#10;xMaLDiFbqCSiCGkWJ1yARN0vQRwRFirNQJaF/L+h/AUAAP//AwBQSwECLQAUAAYACAAAACEAtoM4&#10;kv4AAADhAQAAEwAAAAAAAAAAAAAAAAAAAAAAW0NvbnRlbnRfVHlwZXNdLnhtbFBLAQItABQABgAI&#10;AAAAIQA4/SH/1gAAAJQBAAALAAAAAAAAAAAAAAAAAC8BAABfcmVscy8ucmVsc1BLAQItABQABgAI&#10;AAAAIQCzLGnrFgIAAP8DAAAOAAAAAAAAAAAAAAAAAC4CAABkcnMvZTJvRG9jLnhtbFBLAQItABQA&#10;BgAIAAAAIQAdF7yi4QAAAAsBAAAPAAAAAAAAAAAAAAAAAHAEAABkcnMvZG93bnJldi54bWxQSwUG&#10;AAAAAAQABADzAAAAfgUAAAAA&#10;" filled="f" stroked="f">
                <v:textbox inset="2.5mm,0">
                  <w:txbxContent>
                    <w:p w14:paraId="41A4E856" w14:textId="61A5F800" w:rsidR="00B41130" w:rsidRPr="00E62E5B" w:rsidRDefault="00B41130" w:rsidP="00B41130">
                      <w:pPr>
                        <w:pStyle w:val="tekstzboku"/>
                        <w:spacing w:after="120"/>
                        <w:rPr>
                          <w:bCs w:val="0"/>
                          <w:sz w:val="16"/>
                        </w:rPr>
                      </w:pPr>
                      <w:r w:rsidRPr="00E62E5B">
                        <w:rPr>
                          <w:szCs w:val="19"/>
                        </w:rPr>
                        <w:t>Powierzchnia użytkowa nowych budynków niemieszkalnych, na których budowę wydano pozwolenia w województwie mazowieckim, wielkopolskim i</w:t>
                      </w:r>
                      <w:r w:rsidR="00E62E5B">
                        <w:rPr>
                          <w:szCs w:val="19"/>
                        </w:rPr>
                        <w:t> </w:t>
                      </w:r>
                      <w:r w:rsidRPr="00E62E5B">
                        <w:rPr>
                          <w:szCs w:val="19"/>
                        </w:rPr>
                        <w:t>śląskim, stanowiła prawie 39% ogółu planowanej do wybudowania powierzchni</w:t>
                      </w:r>
                    </w:p>
                  </w:txbxContent>
                </v:textbox>
              </v:shape>
            </w:pict>
          </mc:Fallback>
        </mc:AlternateContent>
      </w:r>
    </w:p>
    <w:p w14:paraId="7826A480" w14:textId="7385573B" w:rsidR="00B41130" w:rsidRPr="003C689E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3734169C" w14:textId="1E59346C" w:rsidR="00B41130" w:rsidRPr="00283B73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  <w:r w:rsidRPr="003C689E">
        <w:rPr>
          <w:szCs w:val="19"/>
          <w:shd w:val="clear" w:color="auto" w:fill="FFFFFF"/>
        </w:rPr>
        <w:t>Według pozwoleń wydanych w I-III kwartale 2019 r</w:t>
      </w:r>
      <w:r w:rsidR="005B59DF">
        <w:rPr>
          <w:szCs w:val="19"/>
          <w:shd w:val="clear" w:color="auto" w:fill="FFFFFF"/>
        </w:rPr>
        <w:t>oku</w:t>
      </w:r>
      <w:r w:rsidRPr="003C689E">
        <w:rPr>
          <w:szCs w:val="19"/>
          <w:shd w:val="clear" w:color="auto" w:fill="FFFFFF"/>
        </w:rPr>
        <w:t xml:space="preserve"> największą powierzchnię nowych budynków niemieszkalnych planuje się wybudować w województwach: mazowieckim (2</w:t>
      </w:r>
      <w:r w:rsidR="00915DC1">
        <w:rPr>
          <w:szCs w:val="19"/>
          <w:shd w:val="clear" w:color="auto" w:fill="FFFFFF"/>
        </w:rPr>
        <w:t> </w:t>
      </w:r>
      <w:r w:rsidRPr="003C689E">
        <w:rPr>
          <w:szCs w:val="19"/>
          <w:shd w:val="clear" w:color="auto" w:fill="FFFFFF"/>
        </w:rPr>
        <w:t>195,2 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), wielkopolskim (1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552,7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 i śląskim (1</w:t>
      </w:r>
      <w:r w:rsidR="00915DC1">
        <w:rPr>
          <w:szCs w:val="19"/>
          <w:shd w:val="clear" w:color="auto" w:fill="FFFFFF"/>
        </w:rPr>
        <w:t xml:space="preserve"> </w:t>
      </w:r>
      <w:r w:rsidRPr="003C689E">
        <w:rPr>
          <w:szCs w:val="19"/>
          <w:shd w:val="clear" w:color="auto" w:fill="FFFFFF"/>
        </w:rPr>
        <w:t>393,9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), najmniejszą zaś w opolskim (284,1 tys. 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), świętokrzyskim (298,2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 oraz lubuskim (349,3 tys. m</w:t>
      </w:r>
      <w:r w:rsidRPr="003C689E">
        <w:rPr>
          <w:szCs w:val="19"/>
          <w:shd w:val="clear" w:color="auto" w:fill="FFFFFF"/>
          <w:vertAlign w:val="superscript"/>
        </w:rPr>
        <w:t>2</w:t>
      </w:r>
      <w:r w:rsidRPr="003C689E">
        <w:rPr>
          <w:szCs w:val="19"/>
          <w:shd w:val="clear" w:color="auto" w:fill="FFFFFF"/>
        </w:rPr>
        <w:t>). Największy wzrost planowanej do wybudowania powierzchni w stosunku do analogicznego okresu roku poprzedniego zanotowano w województwach: opolskim (16,7%), podkarpackim (10,3%) oraz śląskim (2,5%).</w:t>
      </w:r>
    </w:p>
    <w:p w14:paraId="645421E1" w14:textId="38FF0D08" w:rsidR="00B41130" w:rsidRPr="003C689E" w:rsidRDefault="00B41130" w:rsidP="00283B73">
      <w:pPr>
        <w:ind w:left="851" w:hanging="851"/>
        <w:rPr>
          <w:b/>
          <w:sz w:val="18"/>
          <w:szCs w:val="19"/>
          <w:shd w:val="clear" w:color="auto" w:fill="FFFFFF"/>
        </w:rPr>
      </w:pPr>
      <w:r w:rsidRPr="003C689E">
        <w:rPr>
          <w:b/>
          <w:sz w:val="18"/>
          <w:szCs w:val="19"/>
          <w:shd w:val="clear" w:color="auto" w:fill="FFFFFF"/>
        </w:rPr>
        <w:t>Wykres 10. Powierzchnia użytkowa nowych budynków niemieszkalnych, na których budowę wydano poz</w:t>
      </w:r>
      <w:r w:rsidR="005B59DF">
        <w:rPr>
          <w:b/>
          <w:sz w:val="18"/>
          <w:szCs w:val="19"/>
          <w:shd w:val="clear" w:color="auto" w:fill="FFFFFF"/>
        </w:rPr>
        <w:t>wolenia w I-III kwartale 2019 roku</w:t>
      </w:r>
      <w:r w:rsidRPr="003C689E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0AA4B252" w14:textId="4B9F3FBB" w:rsidR="00B41130" w:rsidRPr="003C689E" w:rsidRDefault="00AC5820" w:rsidP="00B41130">
      <w:pPr>
        <w:rPr>
          <w:color w:val="000000"/>
          <w:szCs w:val="19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24992" behindDoc="1" locked="0" layoutInCell="1" allowOverlap="1" wp14:anchorId="61217511" wp14:editId="57937241">
            <wp:simplePos x="0" y="0"/>
            <wp:positionH relativeFrom="column">
              <wp:posOffset>13648</wp:posOffset>
            </wp:positionH>
            <wp:positionV relativeFrom="paragraph">
              <wp:posOffset>-1621</wp:posOffset>
            </wp:positionV>
            <wp:extent cx="5145405" cy="3173105"/>
            <wp:effectExtent l="0" t="0" r="0" b="825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80" cy="317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B7BF" w14:textId="77777777" w:rsidR="00B41130" w:rsidRPr="003C689E" w:rsidRDefault="00B41130" w:rsidP="00B41130">
      <w:pPr>
        <w:rPr>
          <w:color w:val="000000"/>
          <w:szCs w:val="19"/>
        </w:rPr>
      </w:pPr>
    </w:p>
    <w:p w14:paraId="6BEB10EC" w14:textId="77777777" w:rsidR="00B41130" w:rsidRPr="003C689E" w:rsidRDefault="00B41130" w:rsidP="00B41130">
      <w:pPr>
        <w:rPr>
          <w:color w:val="000000"/>
          <w:szCs w:val="19"/>
        </w:rPr>
      </w:pPr>
    </w:p>
    <w:p w14:paraId="33F5155C" w14:textId="77777777" w:rsidR="00B41130" w:rsidRPr="003C689E" w:rsidRDefault="00B41130" w:rsidP="00B41130">
      <w:pPr>
        <w:rPr>
          <w:color w:val="000000"/>
          <w:szCs w:val="19"/>
        </w:rPr>
      </w:pPr>
    </w:p>
    <w:p w14:paraId="5C414C5A" w14:textId="77777777" w:rsidR="00B41130" w:rsidRPr="003C689E" w:rsidRDefault="00B41130" w:rsidP="00B41130">
      <w:pPr>
        <w:rPr>
          <w:color w:val="000000"/>
          <w:szCs w:val="19"/>
        </w:rPr>
      </w:pPr>
    </w:p>
    <w:p w14:paraId="501B020B" w14:textId="77777777" w:rsidR="00B41130" w:rsidRPr="003C689E" w:rsidRDefault="00B41130" w:rsidP="00B41130">
      <w:pPr>
        <w:rPr>
          <w:color w:val="000000"/>
          <w:szCs w:val="19"/>
        </w:rPr>
      </w:pPr>
    </w:p>
    <w:p w14:paraId="372A48AC" w14:textId="77777777" w:rsidR="00B41130" w:rsidRPr="003C689E" w:rsidRDefault="00B41130" w:rsidP="00B41130">
      <w:pPr>
        <w:rPr>
          <w:color w:val="000000"/>
          <w:szCs w:val="19"/>
        </w:rPr>
      </w:pPr>
    </w:p>
    <w:p w14:paraId="6C32BECE" w14:textId="77777777" w:rsidR="00B41130" w:rsidRPr="003C689E" w:rsidRDefault="00B41130" w:rsidP="00B41130">
      <w:pPr>
        <w:rPr>
          <w:color w:val="000000"/>
          <w:szCs w:val="19"/>
        </w:rPr>
      </w:pPr>
    </w:p>
    <w:p w14:paraId="71CEDA3F" w14:textId="77777777" w:rsidR="00B41130" w:rsidRPr="003C689E" w:rsidRDefault="00B41130" w:rsidP="00B41130">
      <w:pPr>
        <w:rPr>
          <w:color w:val="000000"/>
          <w:szCs w:val="19"/>
        </w:rPr>
      </w:pPr>
    </w:p>
    <w:p w14:paraId="27979501" w14:textId="77777777" w:rsidR="00B41130" w:rsidRPr="003C689E" w:rsidRDefault="00B41130" w:rsidP="00B41130">
      <w:pPr>
        <w:rPr>
          <w:color w:val="000000"/>
          <w:szCs w:val="19"/>
        </w:rPr>
      </w:pPr>
    </w:p>
    <w:p w14:paraId="7D3C1369" w14:textId="77777777" w:rsidR="00B41130" w:rsidRPr="003C689E" w:rsidRDefault="00B41130" w:rsidP="00B41130">
      <w:pPr>
        <w:rPr>
          <w:color w:val="000000"/>
          <w:szCs w:val="19"/>
        </w:rPr>
      </w:pPr>
    </w:p>
    <w:p w14:paraId="04C1B15D" w14:textId="77777777" w:rsidR="00B41130" w:rsidRPr="003C689E" w:rsidRDefault="00B41130" w:rsidP="00B41130">
      <w:pPr>
        <w:rPr>
          <w:color w:val="000000"/>
          <w:szCs w:val="19"/>
        </w:rPr>
      </w:pPr>
    </w:p>
    <w:p w14:paraId="080818A5" w14:textId="77777777" w:rsidR="00B41130" w:rsidRPr="003C689E" w:rsidRDefault="00B41130" w:rsidP="00283B73">
      <w:pPr>
        <w:spacing w:after="240"/>
        <w:rPr>
          <w:color w:val="000000"/>
          <w:szCs w:val="19"/>
        </w:rPr>
      </w:pPr>
    </w:p>
    <w:p w14:paraId="17B96548" w14:textId="323A475F" w:rsidR="00064F51" w:rsidRDefault="00B41130" w:rsidP="00AC5820">
      <w:pPr>
        <w:spacing w:before="480" w:after="0"/>
        <w:rPr>
          <w:szCs w:val="19"/>
        </w:rPr>
        <w:sectPr w:rsidR="00064F51" w:rsidSect="007F3A63">
          <w:headerReference w:type="even" r:id="rId19"/>
          <w:headerReference w:type="default" r:id="rId20"/>
          <w:headerReference w:type="first" r:id="rId21"/>
          <w:pgSz w:w="11906" w:h="16838" w:code="9"/>
          <w:pgMar w:top="993" w:right="3119" w:bottom="720" w:left="720" w:header="284" w:footer="397" w:gutter="0"/>
          <w:cols w:space="708"/>
          <w:titlePg/>
          <w:docGrid w:linePitch="360"/>
        </w:sectPr>
      </w:pPr>
      <w:r w:rsidRPr="003C689E">
        <w:rPr>
          <w:szCs w:val="19"/>
        </w:rPr>
        <w:t>W rozpatrywanym okresie wydano 37 064 pozwolenia na budowę lub dokonano zgłoszenia z projektem budowlanym budowy nowych obiektów inżynierii lądowej i wodnej,</w:t>
      </w:r>
      <w:r w:rsidR="005B59DF">
        <w:rPr>
          <w:szCs w:val="19"/>
        </w:rPr>
        <w:t xml:space="preserve"> co stanowiło wzrost o 1,2% r/r.</w:t>
      </w:r>
    </w:p>
    <w:p w14:paraId="06539850" w14:textId="77777777" w:rsidR="00064F51" w:rsidRPr="003E73B2" w:rsidRDefault="00064F51" w:rsidP="00064F51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064F51" w:rsidRPr="00403147" w14:paraId="0076FCB8" w14:textId="77777777" w:rsidTr="00393B04">
        <w:trPr>
          <w:trHeight w:val="1912"/>
        </w:trPr>
        <w:tc>
          <w:tcPr>
            <w:tcW w:w="4249" w:type="dxa"/>
          </w:tcPr>
          <w:p w14:paraId="5006DFD9" w14:textId="77777777" w:rsidR="00064F51" w:rsidRDefault="00064F51" w:rsidP="00393B04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C656CF" w14:textId="77777777" w:rsidR="00064F51" w:rsidRDefault="00064F51" w:rsidP="00393B04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US LUBLIN</w:t>
            </w:r>
          </w:p>
          <w:p w14:paraId="7DFD07E8" w14:textId="77777777" w:rsidR="00064F51" w:rsidRPr="00E818F0" w:rsidRDefault="00064F51" w:rsidP="00393B04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E818F0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6F253EC6" w14:textId="77777777" w:rsidR="00064F51" w:rsidRPr="00E818F0" w:rsidRDefault="00064F51" w:rsidP="00393B04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E818F0">
              <w:rPr>
                <w:rFonts w:ascii="Fira Sans" w:hAnsi="Fira Sans" w:cs="Arial"/>
                <w:color w:val="auto"/>
                <w:sz w:val="20"/>
                <w:lang w:val="fi-FI"/>
              </w:rPr>
              <w:t>Tel: 81 533 2301</w:t>
            </w:r>
          </w:p>
          <w:p w14:paraId="02E61690" w14:textId="77777777" w:rsidR="00064F51" w:rsidRPr="00ED7F24" w:rsidRDefault="00064F51" w:rsidP="00393B04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 w:eastAsia="en-US"/>
              </w:rPr>
            </w:pPr>
            <w:r w:rsidRPr="00F261D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F261D4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818" w:type="dxa"/>
          </w:tcPr>
          <w:p w14:paraId="4FFC43B1" w14:textId="77777777" w:rsidR="00064F51" w:rsidRPr="0050555C" w:rsidRDefault="00064F51" w:rsidP="00393B04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0555C">
              <w:rPr>
                <w:rFonts w:cs="Arial"/>
                <w:color w:val="000000"/>
                <w:sz w:val="20"/>
              </w:rPr>
              <w:t>Rozpowszechnianie:</w:t>
            </w:r>
            <w:r w:rsidRPr="0050555C">
              <w:rPr>
                <w:rFonts w:cs="Arial"/>
                <w:color w:val="000000"/>
                <w:sz w:val="20"/>
              </w:rPr>
              <w:br/>
            </w:r>
            <w:r w:rsidRPr="0050555C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BBDABAE" w14:textId="77777777" w:rsidR="00064F51" w:rsidRPr="00E818F0" w:rsidRDefault="00064F51" w:rsidP="00393B04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ED7F24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</w:t>
            </w:r>
            <w:r w:rsidRPr="00E818F0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rolina Banaszek</w:t>
            </w:r>
          </w:p>
          <w:p w14:paraId="566FFC8A" w14:textId="77777777" w:rsidR="00064F51" w:rsidRPr="00E818F0" w:rsidRDefault="00064F51" w:rsidP="00393B04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E818F0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 3475, 22 608 3009</w:t>
            </w:r>
          </w:p>
          <w:p w14:paraId="21381B2B" w14:textId="77777777" w:rsidR="00064F51" w:rsidRPr="00ED7F24" w:rsidRDefault="00064F51" w:rsidP="00393B04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E818F0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23" w:history="1">
              <w:r w:rsidRPr="00E818F0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6FC9C5E1" w14:textId="77777777" w:rsidR="00064F51" w:rsidRPr="00056571" w:rsidRDefault="00064F51" w:rsidP="00064F51">
      <w:pPr>
        <w:rPr>
          <w:sz w:val="18"/>
          <w:lang w:val="en-US"/>
        </w:rPr>
      </w:pPr>
    </w:p>
    <w:p w14:paraId="2AB93AEF" w14:textId="77777777" w:rsidR="00064F51" w:rsidRPr="00056571" w:rsidRDefault="00064F51" w:rsidP="00064F51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064F51" w:rsidRPr="00424C46" w14:paraId="79BFDA7C" w14:textId="77777777" w:rsidTr="00393B0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F169AF3" w14:textId="77777777" w:rsidR="00064F51" w:rsidRPr="0050555C" w:rsidRDefault="00064F51" w:rsidP="00393B04">
            <w:pPr>
              <w:rPr>
                <w:b/>
                <w:sz w:val="20"/>
              </w:rPr>
            </w:pPr>
            <w:r w:rsidRPr="00056571">
              <w:rPr>
                <w:b/>
                <w:sz w:val="20"/>
                <w:lang w:val="en-US"/>
              </w:rPr>
              <w:t xml:space="preserve"> </w:t>
            </w:r>
            <w:r w:rsidRPr="0050555C">
              <w:rPr>
                <w:b/>
                <w:sz w:val="20"/>
              </w:rPr>
              <w:t xml:space="preserve">Wydział Współpracy z Mediami </w:t>
            </w:r>
          </w:p>
          <w:p w14:paraId="414311A0" w14:textId="77777777" w:rsidR="00064F51" w:rsidRPr="00553FBE" w:rsidRDefault="00064F51" w:rsidP="00393B0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553FBE">
              <w:rPr>
                <w:sz w:val="20"/>
              </w:rPr>
              <w:t>Tel:</w:t>
            </w:r>
            <w:r w:rsidRPr="00553FBE">
              <w:rPr>
                <w:b/>
                <w:sz w:val="20"/>
              </w:rPr>
              <w:t xml:space="preserve"> </w:t>
            </w:r>
            <w:r w:rsidRPr="00553FBE">
              <w:rPr>
                <w:sz w:val="20"/>
              </w:rPr>
              <w:t xml:space="preserve">22 608 3491, 22 608 3804  </w:t>
            </w:r>
          </w:p>
          <w:p w14:paraId="45080D8D" w14:textId="77777777" w:rsidR="00064F51" w:rsidRPr="0050555C" w:rsidRDefault="00064F51" w:rsidP="00393B04">
            <w:pPr>
              <w:rPr>
                <w:sz w:val="18"/>
                <w:lang w:val="en-US"/>
              </w:rPr>
            </w:pPr>
            <w:r w:rsidRPr="00553FBE">
              <w:rPr>
                <w:b/>
                <w:sz w:val="20"/>
              </w:rPr>
              <w:t xml:space="preserve"> </w:t>
            </w:r>
            <w:r w:rsidRPr="0050555C">
              <w:rPr>
                <w:b/>
                <w:sz w:val="20"/>
                <w:lang w:val="en-US"/>
              </w:rPr>
              <w:t>e-mail:</w:t>
            </w:r>
            <w:r w:rsidRPr="0050555C">
              <w:rPr>
                <w:sz w:val="20"/>
                <w:lang w:val="en-US"/>
              </w:rPr>
              <w:t xml:space="preserve"> </w:t>
            </w:r>
            <w:hyperlink r:id="rId24" w:history="1">
              <w:r w:rsidRPr="00424C46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0FCBFAD" w14:textId="77777777" w:rsidR="00064F51" w:rsidRPr="0050555C" w:rsidRDefault="00064F51" w:rsidP="00393B04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anchorId="07EF59EE" wp14:editId="0459A48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B522770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  <w:r w:rsidRPr="00424C46">
              <w:rPr>
                <w:sz w:val="20"/>
                <w:lang w:val="en-US"/>
              </w:rPr>
              <w:t>www.stat.gov.pl</w:t>
            </w:r>
          </w:p>
        </w:tc>
      </w:tr>
      <w:tr w:rsidR="00064F51" w:rsidRPr="00424C46" w14:paraId="36F45FA4" w14:textId="77777777" w:rsidTr="00393B04">
        <w:trPr>
          <w:trHeight w:val="436"/>
        </w:trPr>
        <w:tc>
          <w:tcPr>
            <w:tcW w:w="2721" w:type="pct"/>
            <w:vMerge/>
            <w:vAlign w:val="center"/>
          </w:tcPr>
          <w:p w14:paraId="502DCF57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8782609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922944" behindDoc="0" locked="0" layoutInCell="1" allowOverlap="1" wp14:anchorId="7E0A8BB0" wp14:editId="759DD04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457CA31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  <w:r w:rsidRPr="00424C46">
              <w:rPr>
                <w:sz w:val="20"/>
                <w:lang w:val="en-US"/>
              </w:rPr>
              <w:t>@GUS_STAT</w:t>
            </w:r>
          </w:p>
        </w:tc>
      </w:tr>
      <w:tr w:rsidR="00064F51" w:rsidRPr="00424C46" w14:paraId="13DFF9A9" w14:textId="77777777" w:rsidTr="00393B04">
        <w:trPr>
          <w:trHeight w:val="436"/>
        </w:trPr>
        <w:tc>
          <w:tcPr>
            <w:tcW w:w="2721" w:type="pct"/>
            <w:vMerge/>
            <w:vAlign w:val="center"/>
          </w:tcPr>
          <w:p w14:paraId="5805E600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75557C84" w14:textId="77777777" w:rsidR="00064F51" w:rsidRPr="00424C46" w:rsidRDefault="00064F51" w:rsidP="00393B04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anchorId="424D136E" wp14:editId="21EF4DB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B96D115" w14:textId="77777777" w:rsidR="00064F51" w:rsidRPr="00424C46" w:rsidRDefault="00064F51" w:rsidP="00393B04">
            <w:pPr>
              <w:rPr>
                <w:sz w:val="20"/>
                <w:lang w:val="en-US"/>
              </w:rPr>
            </w:pPr>
            <w:r w:rsidRPr="00424C46">
              <w:rPr>
                <w:sz w:val="20"/>
                <w:lang w:val="en-US"/>
              </w:rPr>
              <w:t>@</w:t>
            </w:r>
            <w:proofErr w:type="spellStart"/>
            <w:r w:rsidRPr="00424C46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2797295" w14:textId="77777777" w:rsidR="00064F51" w:rsidRPr="00424C46" w:rsidRDefault="00064F51" w:rsidP="00064F51">
      <w:pPr>
        <w:rPr>
          <w:sz w:val="18"/>
          <w:lang w:val="en-US"/>
        </w:rPr>
      </w:pPr>
    </w:p>
    <w:p w14:paraId="582D7BB8" w14:textId="77777777" w:rsidR="00064F51" w:rsidRPr="00424C46" w:rsidRDefault="00064F51" w:rsidP="00064F51">
      <w:pPr>
        <w:rPr>
          <w:sz w:val="18"/>
          <w:lang w:val="en-US"/>
        </w:rPr>
      </w:pPr>
    </w:p>
    <w:p w14:paraId="63F02785" w14:textId="77777777" w:rsidR="00064F51" w:rsidRPr="00424C46" w:rsidRDefault="00064F51" w:rsidP="00064F51">
      <w:pPr>
        <w:rPr>
          <w:sz w:val="18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3968" behindDoc="1" locked="0" layoutInCell="1" allowOverlap="1" wp14:anchorId="7485F8EA" wp14:editId="42B2D494">
                <wp:simplePos x="0" y="0"/>
                <wp:positionH relativeFrom="margin">
                  <wp:posOffset>-42985</wp:posOffset>
                </wp:positionH>
                <wp:positionV relativeFrom="paragraph">
                  <wp:posOffset>49920</wp:posOffset>
                </wp:positionV>
                <wp:extent cx="6255026" cy="4353169"/>
                <wp:effectExtent l="0" t="0" r="12700" b="2857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35316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CBE" w14:textId="77777777" w:rsidR="00064F51" w:rsidRDefault="00064F51" w:rsidP="00064F51">
                            <w:pPr>
                              <w:rPr>
                                <w:b/>
                              </w:rPr>
                            </w:pPr>
                          </w:p>
                          <w:p w14:paraId="176588CA" w14:textId="77777777" w:rsidR="00064F51" w:rsidRDefault="00064F51" w:rsidP="00064F5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D3D7936" w14:textId="77777777" w:rsidR="00064F51" w:rsidRPr="00F75ECD" w:rsidRDefault="00064F51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2A5FDF91" w14:textId="77777777" w:rsidR="00064F51" w:rsidRPr="001E07D3" w:rsidRDefault="00064F51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3B107413" w14:textId="77777777" w:rsidR="00064F51" w:rsidRDefault="00064F51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141D1CD" w14:textId="77777777" w:rsidR="00064F51" w:rsidRPr="00E36CA6" w:rsidRDefault="00064F51" w:rsidP="00064F5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51A513B" w14:textId="77777777" w:rsidR="00064F51" w:rsidRPr="001E07D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064F5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6DAB2145" w14:textId="77777777" w:rsidR="00064F51" w:rsidRPr="001E07D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064F5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59283B64" w14:textId="77777777" w:rsidR="00064F51" w:rsidRDefault="00064F51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77B57BF" w14:textId="77777777" w:rsidR="00064F51" w:rsidRDefault="00064F51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E23438" w14:textId="77777777" w:rsidR="00064F51" w:rsidRPr="001E07D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064F51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064F51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064F51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064F51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6DFA2FAB" w14:textId="77777777" w:rsidR="00064F51" w:rsidRPr="001E07D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064F51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2039F78" w14:textId="77777777" w:rsidR="00064F51" w:rsidRPr="0027120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064F51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50098B3F" w14:textId="77777777" w:rsidR="00064F51" w:rsidRPr="0027120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064F51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192FC2C3" w14:textId="77777777" w:rsidR="00064F51" w:rsidRPr="00271203" w:rsidRDefault="009530C8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064F51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84F6245" w14:textId="77777777" w:rsidR="00064F51" w:rsidRDefault="009530C8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6" w:history="1">
                              <w:r w:rsidR="00064F51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7879CA14" w14:textId="77777777" w:rsidR="00064F51" w:rsidRPr="00F56DE2" w:rsidRDefault="009530C8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064F51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5F8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margin-left:-3.4pt;margin-top:3.95pt;width:492.5pt;height:342.75pt;z-index:-25139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AVMQIAAFoEAAAOAAAAZHJzL2Uyb0RvYy54bWysVNtu2zAMfR+wfxD0vviSSxsjTtGlyzCg&#10;uwDtPkCWZVuYLGqSErv7+lFymmW3l2EOIIgidUieQ2VzM/aKHIV1EnRJs1lKidAcaqnbkn5+3L+6&#10;psR5pmumQIuSPglHb7YvX2wGU4gcOlC1sARBtCsGU9LOe1MkieOd6JmbgREanQ3Ynnk0bZvUlg2I&#10;3qskT9NVMoCtjQUunMPTu8lJtxG/aQT3H5vGCU9USbE2H1cb1yqsyXbDitYy00l+KoP9QxU9kxqT&#10;nqHumGfkYOVvUL3kFhw0fsahT6BpJBexB+wmS3/p5qFjRsRekBxnzjS5/wfLPxw/WSLrkuZXlGjW&#10;o0aPYvTkNYxkHugZjCsw6sFgnB/xGGWOrTpzD/yLIxp2HdOtuLUWhk6wGsvLws3k4uqE4wJINbyH&#10;GtOwg4cINDa2D9whGwTRUaanszShFI6Hq3y5TPMVJRx9i/lynq3WMQcrnq8b6/xbAT0Jm5Ja1D7C&#10;s+O986EcVjyHhGwOlKz3Uqlo2LbaKUuODOdkn4ffCf2nMKXJUNL1Ml9ODPwdYh++P0H00uPAK9mX&#10;9DoNXwhiReDtja7j3jOppj2WrPSJyMDdxKIfqzFKlp0FqqB+QmotTAOODxI3HdhvlAw43CV1Xw/M&#10;CkrUO43yrLPFIryGaCyWVzka9tJTXXqY5ghVUk/JtN356QUdjJVth5mmgdBwi5I2MpIdtJ+qOtWP&#10;Axw1OD228EIu7Rj14y9h+x0AAP//AwBQSwMEFAAGAAgAAAAhAIZ41mPhAAAACAEAAA8AAABkcnMv&#10;ZG93bnJldi54bWxMj09Pg0AUxO8mfofNM/Fi2qXUQEEejfHPwURNbJv0usATSNm3yG4Bv73rSY+T&#10;mcz8JtvOuhMjDbY1jLBaBiCIS1O1XCMc9s+LDQjrFFeqM0wI32Rhm19eZCqtzMQfNO5cLXwJ21Qh&#10;NM71qZS2bEgruzQ9sfc+zaCV83KoZTWoyZfrToZBEEmtWvYLjerpoaHytDtrhMfwfVrFrzf9qdgX&#10;T2/jF7/Y4xrx+mq+vwPhaHZ/YfjF9+iQe6bCnLmyokNYRJ7cIcQJCG8n8SYEUSBEyfoWZJ7J/wfy&#10;HwAAAP//AwBQSwECLQAUAAYACAAAACEAtoM4kv4AAADhAQAAEwAAAAAAAAAAAAAAAAAAAAAAW0Nv&#10;bnRlbnRfVHlwZXNdLnhtbFBLAQItABQABgAIAAAAIQA4/SH/1gAAAJQBAAALAAAAAAAAAAAAAAAA&#10;AC8BAABfcmVscy8ucmVsc1BLAQItABQABgAIAAAAIQAZ09AVMQIAAFoEAAAOAAAAAAAAAAAAAAAA&#10;AC4CAABkcnMvZTJvRG9jLnhtbFBLAQItABQABgAIAAAAIQCGeNZj4QAAAAgBAAAPAAAAAAAAAAAA&#10;AAAAAIsEAABkcnMvZG93bnJldi54bWxQSwUGAAAAAAQABADzAAAAmQUAAAAA&#10;" fillcolor="#f2f2f2" strokecolor="white">
                <v:textbox>
                  <w:txbxContent>
                    <w:p w14:paraId="65B2CCBE" w14:textId="77777777" w:rsidR="00064F51" w:rsidRDefault="00064F51" w:rsidP="00064F51">
                      <w:pPr>
                        <w:rPr>
                          <w:b/>
                        </w:rPr>
                      </w:pPr>
                    </w:p>
                    <w:p w14:paraId="176588CA" w14:textId="77777777" w:rsidR="00064F51" w:rsidRDefault="00064F51" w:rsidP="00064F5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2D3D7936" w14:textId="77777777" w:rsidR="00064F51" w:rsidRPr="00F75ECD" w:rsidRDefault="00064F51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14:paraId="2A5FDF91" w14:textId="77777777" w:rsidR="00064F51" w:rsidRPr="001E07D3" w:rsidRDefault="00064F51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38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3B107413" w14:textId="77777777" w:rsidR="00064F51" w:rsidRDefault="00064F51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0141D1CD" w14:textId="77777777" w:rsidR="00064F51" w:rsidRPr="00E36CA6" w:rsidRDefault="00064F51" w:rsidP="00064F5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551A513B" w14:textId="77777777" w:rsidR="00064F51" w:rsidRPr="001E07D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39" w:history="1">
                        <w:r w:rsidR="00064F51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6DAB2145" w14:textId="77777777" w:rsidR="00064F51" w:rsidRPr="001E07D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0" w:history="1">
                        <w:r w:rsidR="00064F51"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59283B64" w14:textId="77777777" w:rsidR="00064F51" w:rsidRDefault="00064F51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777B57BF" w14:textId="77777777" w:rsidR="00064F51" w:rsidRDefault="00064F51" w:rsidP="00064F5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1E23438" w14:textId="77777777" w:rsidR="00064F51" w:rsidRPr="001E07D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="00064F51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="00064F51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="00064F51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064F51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14:paraId="6DFA2FAB" w14:textId="77777777" w:rsidR="00064F51" w:rsidRPr="001E07D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="00064F51" w:rsidRPr="00D458C6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14:paraId="32039F78" w14:textId="77777777" w:rsidR="00064F51" w:rsidRPr="0027120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 w:rsidR="00064F51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50098B3F" w14:textId="77777777" w:rsidR="00064F51" w:rsidRPr="0027120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="00064F51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192FC2C3" w14:textId="77777777" w:rsidR="00064F51" w:rsidRPr="00271203" w:rsidRDefault="00E83F9C" w:rsidP="00064F5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="00064F51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14:paraId="584F6245" w14:textId="77777777" w:rsidR="00064F51" w:rsidRDefault="00E83F9C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6" w:history="1">
                        <w:r w:rsidR="00064F51" w:rsidRPr="00271203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14:paraId="7879CA14" w14:textId="77777777" w:rsidR="00064F51" w:rsidRPr="00F56DE2" w:rsidRDefault="00E83F9C" w:rsidP="00064F5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7" w:history="1">
                        <w:r w:rsidR="00064F51" w:rsidRPr="00F56DE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05D1" w14:textId="77777777" w:rsidR="00064F51" w:rsidRPr="00424C46" w:rsidRDefault="00064F51" w:rsidP="00064F51">
      <w:pPr>
        <w:rPr>
          <w:sz w:val="18"/>
          <w:lang w:val="en-US"/>
        </w:rPr>
      </w:pPr>
    </w:p>
    <w:p w14:paraId="33D0D701" w14:textId="77777777" w:rsidR="00064F51" w:rsidRPr="00424C46" w:rsidRDefault="00064F51" w:rsidP="00064F51">
      <w:pPr>
        <w:rPr>
          <w:sz w:val="18"/>
          <w:lang w:val="en-US"/>
        </w:rPr>
      </w:pPr>
    </w:p>
    <w:p w14:paraId="6DD4FE0D" w14:textId="77777777" w:rsidR="00064F51" w:rsidRPr="00424C46" w:rsidRDefault="00064F51" w:rsidP="00064F51">
      <w:pPr>
        <w:rPr>
          <w:sz w:val="18"/>
          <w:lang w:val="en-US"/>
        </w:rPr>
      </w:pPr>
    </w:p>
    <w:p w14:paraId="1F233DDF" w14:textId="77777777" w:rsidR="00064F51" w:rsidRPr="00424C46" w:rsidRDefault="00064F51" w:rsidP="00064F51">
      <w:pPr>
        <w:rPr>
          <w:sz w:val="18"/>
          <w:lang w:val="en-US"/>
        </w:rPr>
      </w:pPr>
    </w:p>
    <w:p w14:paraId="26096550" w14:textId="77777777" w:rsidR="00064F51" w:rsidRPr="00424C46" w:rsidRDefault="00064F51" w:rsidP="00064F51">
      <w:pPr>
        <w:rPr>
          <w:sz w:val="18"/>
          <w:lang w:val="en-US"/>
        </w:rPr>
      </w:pPr>
    </w:p>
    <w:p w14:paraId="5180649C" w14:textId="77777777" w:rsidR="00064F51" w:rsidRPr="00424C46" w:rsidRDefault="00064F51" w:rsidP="00064F51">
      <w:pPr>
        <w:rPr>
          <w:sz w:val="18"/>
          <w:lang w:val="en-US"/>
        </w:rPr>
      </w:pPr>
    </w:p>
    <w:p w14:paraId="45A09781" w14:textId="77777777" w:rsidR="00064F51" w:rsidRPr="00424C46" w:rsidRDefault="00064F51" w:rsidP="00064F51">
      <w:pPr>
        <w:rPr>
          <w:sz w:val="18"/>
          <w:lang w:val="en-US"/>
        </w:rPr>
      </w:pPr>
    </w:p>
    <w:p w14:paraId="3CE0F9BE" w14:textId="77777777" w:rsidR="00064F51" w:rsidRPr="00424C46" w:rsidRDefault="00064F51" w:rsidP="00064F51">
      <w:pPr>
        <w:rPr>
          <w:sz w:val="18"/>
          <w:lang w:val="en-US"/>
        </w:rPr>
      </w:pPr>
    </w:p>
    <w:p w14:paraId="1DD9CB9C" w14:textId="77777777" w:rsidR="00064F51" w:rsidRPr="00424C46" w:rsidRDefault="00064F51" w:rsidP="00064F51">
      <w:pPr>
        <w:rPr>
          <w:sz w:val="18"/>
          <w:lang w:val="en-US"/>
        </w:rPr>
      </w:pPr>
    </w:p>
    <w:p w14:paraId="4764F47E" w14:textId="77777777" w:rsidR="00064F51" w:rsidRPr="00424C46" w:rsidRDefault="00064F51" w:rsidP="00064F51">
      <w:pPr>
        <w:rPr>
          <w:sz w:val="18"/>
          <w:lang w:val="en-US"/>
        </w:rPr>
      </w:pPr>
    </w:p>
    <w:p w14:paraId="070450EE" w14:textId="77777777" w:rsidR="00064F51" w:rsidRPr="00424C46" w:rsidRDefault="00064F51" w:rsidP="00064F51">
      <w:pPr>
        <w:rPr>
          <w:sz w:val="18"/>
          <w:lang w:val="en-US"/>
        </w:rPr>
      </w:pPr>
    </w:p>
    <w:p w14:paraId="4BA1750E" w14:textId="77777777" w:rsidR="00064F51" w:rsidRPr="00424C46" w:rsidRDefault="00064F51" w:rsidP="00064F51">
      <w:pPr>
        <w:rPr>
          <w:sz w:val="18"/>
          <w:lang w:val="en-US"/>
        </w:rPr>
      </w:pPr>
    </w:p>
    <w:p w14:paraId="0C147594" w14:textId="77777777" w:rsidR="00064F51" w:rsidRPr="00424C46" w:rsidRDefault="00064F51" w:rsidP="00064F51">
      <w:pPr>
        <w:rPr>
          <w:sz w:val="18"/>
          <w:lang w:val="en-US"/>
        </w:rPr>
      </w:pPr>
    </w:p>
    <w:p w14:paraId="0DE79308" w14:textId="703AB833" w:rsidR="00B41130" w:rsidRPr="003C689E" w:rsidRDefault="00B41130" w:rsidP="003C689E">
      <w:pPr>
        <w:spacing w:before="0" w:after="0"/>
        <w:rPr>
          <w:sz w:val="18"/>
        </w:rPr>
      </w:pPr>
    </w:p>
    <w:sectPr w:rsidR="00B41130" w:rsidRPr="003C689E" w:rsidSect="004552FA">
      <w:headerReference w:type="first" r:id="rId48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7588" w14:textId="77777777" w:rsidR="009530C8" w:rsidRDefault="009530C8" w:rsidP="000662E2">
      <w:pPr>
        <w:spacing w:after="0" w:line="240" w:lineRule="auto"/>
      </w:pPr>
      <w:r>
        <w:separator/>
      </w:r>
    </w:p>
  </w:endnote>
  <w:endnote w:type="continuationSeparator" w:id="0">
    <w:p w14:paraId="4C0026EE" w14:textId="77777777" w:rsidR="009530C8" w:rsidRDefault="009530C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6876" w14:textId="77777777" w:rsidR="009530C8" w:rsidRDefault="009530C8" w:rsidP="000662E2">
      <w:pPr>
        <w:spacing w:after="0" w:line="240" w:lineRule="auto"/>
      </w:pPr>
      <w:r>
        <w:separator/>
      </w:r>
    </w:p>
  </w:footnote>
  <w:footnote w:type="continuationSeparator" w:id="0">
    <w:p w14:paraId="0A03183F" w14:textId="77777777" w:rsidR="009530C8" w:rsidRDefault="009530C8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217E1A" w:rsidRPr="006F5B67" w:rsidRDefault="00217E1A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6F5B67">
        <w:rPr>
          <w:rStyle w:val="Odwoanieprzypisudolnego"/>
          <w:rFonts w:ascii="Fira Sans" w:hAnsi="Fira Sans"/>
          <w:sz w:val="16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 w:rsidR="00A8598E"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7A801153" w:rsidR="0053756A" w:rsidRDefault="0053756A" w:rsidP="0053756A">
      <w:pPr>
        <w:pStyle w:val="Tekstprzypisudolnego"/>
        <w:spacing w:before="0"/>
      </w:pPr>
      <w:r w:rsidRPr="00A75B17">
        <w:rPr>
          <w:rStyle w:val="Odwoanieprzypisudolnego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A75B17">
        <w:rPr>
          <w:rFonts w:ascii="Fira Sans" w:hAnsi="Fira Sans"/>
          <w:sz w:val="16"/>
          <w:szCs w:val="16"/>
        </w:rPr>
        <w:t xml:space="preserve"> stan na 30.06.</w:t>
      </w:r>
      <w:r w:rsidRPr="00596D0D">
        <w:rPr>
          <w:rFonts w:ascii="Fira Sans" w:hAnsi="Fira Sans"/>
          <w:sz w:val="16"/>
          <w:szCs w:val="16"/>
        </w:rPr>
        <w:t>201</w:t>
      </w:r>
      <w:r w:rsidR="0060789F">
        <w:rPr>
          <w:rFonts w:ascii="Fira Sans" w:hAnsi="Fira Sans"/>
          <w:sz w:val="16"/>
          <w:szCs w:val="16"/>
        </w:rPr>
        <w:t>9</w:t>
      </w:r>
      <w:r>
        <w:rPr>
          <w:rFonts w:ascii="Fira Sans" w:hAnsi="Fira Sans"/>
          <w:sz w:val="16"/>
          <w:szCs w:val="16"/>
        </w:rPr>
        <w:t xml:space="preserve"> </w:t>
      </w:r>
      <w:r w:rsidRPr="00596D0D">
        <w:rPr>
          <w:rFonts w:ascii="Fira Sans" w:hAnsi="Fira Sans"/>
          <w:sz w:val="16"/>
          <w:szCs w:val="16"/>
        </w:rPr>
        <w:t>r</w:t>
      </w:r>
      <w:r w:rsidRPr="00A75B17">
        <w:rPr>
          <w:rFonts w:ascii="Fira Sans" w:hAnsi="Fira Sans"/>
          <w:sz w:val="16"/>
          <w:szCs w:val="16"/>
        </w:rPr>
        <w:t>.</w:t>
      </w:r>
    </w:p>
  </w:footnote>
  <w:footnote w:id="3">
    <w:p w14:paraId="4E0D3EAC" w14:textId="7B691424" w:rsidR="00D5672C" w:rsidRDefault="00D5672C" w:rsidP="00A36F89">
      <w:pPr>
        <w:pStyle w:val="Tekstprzypisudolnego"/>
        <w:ind w:left="113" w:hanging="113"/>
      </w:pPr>
      <w:r w:rsidRPr="004065D6">
        <w:rPr>
          <w:rFonts w:ascii="Fira Sans" w:hAnsi="Fira Sans"/>
          <w:sz w:val="16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66825D7B" w:rsidR="00CF1350" w:rsidRDefault="00CF1350" w:rsidP="009920F4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314C5F"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 w:rsidR="00F73676">
        <w:rPr>
          <w:rFonts w:ascii="Fira Sans" w:hAnsi="Fira Sans"/>
          <w:sz w:val="16"/>
          <w:szCs w:val="16"/>
        </w:rPr>
        <w:t>,</w:t>
      </w:r>
      <w:r w:rsidR="00314C5F"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 w:rsidR="00AA75CC">
        <w:rPr>
          <w:rFonts w:ascii="Fira Sans" w:hAnsi="Fira Sans"/>
          <w:sz w:val="16"/>
          <w:szCs w:val="16"/>
        </w:rPr>
        <w:t>padku przeciętnego czasu budowy oraz</w:t>
      </w:r>
      <w:r w:rsidR="00314C5F" w:rsidRPr="00314C5F">
        <w:rPr>
          <w:rFonts w:ascii="Fira Sans" w:hAnsi="Fira Sans"/>
          <w:sz w:val="16"/>
          <w:szCs w:val="16"/>
        </w:rPr>
        <w:t xml:space="preserve"> kubatury</w:t>
      </w:r>
      <w:r w:rsidR="00AA75CC">
        <w:rPr>
          <w:rFonts w:ascii="Fira Sans" w:hAnsi="Fira Sans"/>
          <w:sz w:val="16"/>
          <w:szCs w:val="16"/>
        </w:rPr>
        <w:t xml:space="preserve"> nowych budynków mieszkalnych a także</w:t>
      </w:r>
      <w:r w:rsidR="00314C5F" w:rsidRPr="00314C5F">
        <w:rPr>
          <w:rFonts w:ascii="Fira Sans" w:hAnsi="Fira Sans"/>
          <w:sz w:val="16"/>
          <w:szCs w:val="16"/>
        </w:rPr>
        <w:t xml:space="preserve"> liczby i powierzchni użytkowej </w:t>
      </w:r>
      <w:r w:rsidR="00AA75CC">
        <w:rPr>
          <w:rFonts w:ascii="Fira Sans" w:hAnsi="Fira Sans"/>
          <w:sz w:val="16"/>
          <w:szCs w:val="16"/>
        </w:rPr>
        <w:t xml:space="preserve">znajdujących się w nich mieszkań, </w:t>
      </w:r>
      <w:r w:rsidR="00314C5F"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7F4CF29A" w14:textId="77777777" w:rsidR="00AE28AE" w:rsidRPr="005C5E14" w:rsidRDefault="00AE28AE" w:rsidP="00AE28AE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Łącznie ze zgłoszeniami budowy z projektem budowlanym.</w:t>
      </w:r>
    </w:p>
  </w:footnote>
  <w:footnote w:id="6">
    <w:p w14:paraId="538B4FEF" w14:textId="77777777" w:rsidR="00B41130" w:rsidRPr="005C5E14" w:rsidRDefault="00B41130" w:rsidP="00B41130">
      <w:pPr>
        <w:pStyle w:val="Tekstprzypisudolnego"/>
        <w:ind w:left="113" w:hanging="113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ab/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7">
    <w:p w14:paraId="228664EF" w14:textId="77777777" w:rsidR="00B41130" w:rsidRPr="005C5E14" w:rsidRDefault="00B41130" w:rsidP="00B41130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58515F" w:rsidRDefault="005851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7BA70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58515F" w:rsidRDefault="005851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4B3CA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4552FA" w:rsidRDefault="00A40E2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1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58515F" w:rsidRPr="003C6C8D" w:rsidRDefault="0058515F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40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58515F" w:rsidRPr="003C6C8D" w:rsidRDefault="0058515F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4552FA" w:rsidRDefault="0045512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97B2A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4552FA" w:rsidRDefault="0058515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7D4F89E3" w:rsidR="0058515F" w:rsidRPr="00C97596" w:rsidRDefault="0058515F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7D4F89E3" w:rsidR="0058515F" w:rsidRPr="00C97596" w:rsidRDefault="0058515F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4552FA" w:rsidRDefault="004552FA">
    <w:pPr>
      <w:pStyle w:val="Nagwek"/>
    </w:pPr>
  </w:p>
  <w:p w14:paraId="283C6E54" w14:textId="77777777" w:rsidR="004552FA" w:rsidRDefault="004552FA">
    <w:pPr>
      <w:pStyle w:val="Nagwek"/>
    </w:pPr>
  </w:p>
  <w:p w14:paraId="3161458A" w14:textId="77777777" w:rsidR="004552FA" w:rsidRDefault="00455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45pt;height:130.65pt;visibility:visible" o:bullet="t">
        <v:imagedata r:id="rId1" o:title=""/>
      </v:shape>
    </w:pict>
  </w:numPicBullet>
  <w:numPicBullet w:numPicBulletId="1">
    <w:pict>
      <v:shape id="_x0000_i1029" type="#_x0000_t75" style="width:123.45pt;height:130.6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9"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1C5B"/>
    <w:rsid w:val="00002290"/>
    <w:rsid w:val="000024F6"/>
    <w:rsid w:val="000033CE"/>
    <w:rsid w:val="00003437"/>
    <w:rsid w:val="000039D0"/>
    <w:rsid w:val="00003ED8"/>
    <w:rsid w:val="0000709F"/>
    <w:rsid w:val="00010016"/>
    <w:rsid w:val="000101ED"/>
    <w:rsid w:val="0001081C"/>
    <w:rsid w:val="000108B8"/>
    <w:rsid w:val="00010E3A"/>
    <w:rsid w:val="00012CBE"/>
    <w:rsid w:val="00013B5C"/>
    <w:rsid w:val="00013B5E"/>
    <w:rsid w:val="000152F5"/>
    <w:rsid w:val="00015EF1"/>
    <w:rsid w:val="00021311"/>
    <w:rsid w:val="0002292A"/>
    <w:rsid w:val="00022FA3"/>
    <w:rsid w:val="000232FC"/>
    <w:rsid w:val="0002341F"/>
    <w:rsid w:val="00023621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40AA0"/>
    <w:rsid w:val="00044EC8"/>
    <w:rsid w:val="0004582E"/>
    <w:rsid w:val="000470AA"/>
    <w:rsid w:val="00047869"/>
    <w:rsid w:val="000508A2"/>
    <w:rsid w:val="00050EDE"/>
    <w:rsid w:val="00053DC7"/>
    <w:rsid w:val="00056571"/>
    <w:rsid w:val="00057B90"/>
    <w:rsid w:val="00057CA1"/>
    <w:rsid w:val="00061586"/>
    <w:rsid w:val="000631C2"/>
    <w:rsid w:val="0006404B"/>
    <w:rsid w:val="00064F51"/>
    <w:rsid w:val="000662E2"/>
    <w:rsid w:val="00066883"/>
    <w:rsid w:val="00066D40"/>
    <w:rsid w:val="000704CA"/>
    <w:rsid w:val="00070982"/>
    <w:rsid w:val="00074DD8"/>
    <w:rsid w:val="00075BF9"/>
    <w:rsid w:val="000761AC"/>
    <w:rsid w:val="00076474"/>
    <w:rsid w:val="000764B0"/>
    <w:rsid w:val="00077285"/>
    <w:rsid w:val="000806F7"/>
    <w:rsid w:val="000809C8"/>
    <w:rsid w:val="00082664"/>
    <w:rsid w:val="00082CDC"/>
    <w:rsid w:val="00085121"/>
    <w:rsid w:val="0008643A"/>
    <w:rsid w:val="0008743E"/>
    <w:rsid w:val="00090877"/>
    <w:rsid w:val="0009204F"/>
    <w:rsid w:val="00092F25"/>
    <w:rsid w:val="0009389F"/>
    <w:rsid w:val="000969BC"/>
    <w:rsid w:val="000A0457"/>
    <w:rsid w:val="000A2C30"/>
    <w:rsid w:val="000A30F2"/>
    <w:rsid w:val="000A38B9"/>
    <w:rsid w:val="000A68CB"/>
    <w:rsid w:val="000A7137"/>
    <w:rsid w:val="000A7614"/>
    <w:rsid w:val="000A7F5B"/>
    <w:rsid w:val="000B0727"/>
    <w:rsid w:val="000B4F1E"/>
    <w:rsid w:val="000B6E1A"/>
    <w:rsid w:val="000B7943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674D"/>
    <w:rsid w:val="000D7F7F"/>
    <w:rsid w:val="000E01F9"/>
    <w:rsid w:val="000E0918"/>
    <w:rsid w:val="000E2191"/>
    <w:rsid w:val="000E363D"/>
    <w:rsid w:val="000E4099"/>
    <w:rsid w:val="000E41A2"/>
    <w:rsid w:val="000E4219"/>
    <w:rsid w:val="000E663E"/>
    <w:rsid w:val="000E66FF"/>
    <w:rsid w:val="000F1475"/>
    <w:rsid w:val="000F1CBC"/>
    <w:rsid w:val="000F363F"/>
    <w:rsid w:val="001008E9"/>
    <w:rsid w:val="001011C3"/>
    <w:rsid w:val="00102F1A"/>
    <w:rsid w:val="001031F1"/>
    <w:rsid w:val="00103770"/>
    <w:rsid w:val="00104DAC"/>
    <w:rsid w:val="0010687B"/>
    <w:rsid w:val="00110D87"/>
    <w:rsid w:val="00114DB9"/>
    <w:rsid w:val="00114E09"/>
    <w:rsid w:val="001158BE"/>
    <w:rsid w:val="00116087"/>
    <w:rsid w:val="001169D7"/>
    <w:rsid w:val="0011736A"/>
    <w:rsid w:val="00117AB4"/>
    <w:rsid w:val="00121258"/>
    <w:rsid w:val="001213BE"/>
    <w:rsid w:val="001222DD"/>
    <w:rsid w:val="00122515"/>
    <w:rsid w:val="00126670"/>
    <w:rsid w:val="00126F8E"/>
    <w:rsid w:val="00127256"/>
    <w:rsid w:val="00130296"/>
    <w:rsid w:val="001304F1"/>
    <w:rsid w:val="001378D2"/>
    <w:rsid w:val="00137B21"/>
    <w:rsid w:val="001403E8"/>
    <w:rsid w:val="001406FE"/>
    <w:rsid w:val="00141DBE"/>
    <w:rsid w:val="001423B6"/>
    <w:rsid w:val="00142B7C"/>
    <w:rsid w:val="00142DAC"/>
    <w:rsid w:val="001437F2"/>
    <w:rsid w:val="001448A7"/>
    <w:rsid w:val="00146621"/>
    <w:rsid w:val="00150287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1204"/>
    <w:rsid w:val="00161D94"/>
    <w:rsid w:val="00162125"/>
    <w:rsid w:val="00162325"/>
    <w:rsid w:val="001623D4"/>
    <w:rsid w:val="00164743"/>
    <w:rsid w:val="00166274"/>
    <w:rsid w:val="00170750"/>
    <w:rsid w:val="00170966"/>
    <w:rsid w:val="00171E9C"/>
    <w:rsid w:val="00173973"/>
    <w:rsid w:val="00174E7E"/>
    <w:rsid w:val="0017508C"/>
    <w:rsid w:val="00175652"/>
    <w:rsid w:val="001758E0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9D"/>
    <w:rsid w:val="0019070D"/>
    <w:rsid w:val="00190E0D"/>
    <w:rsid w:val="001926FC"/>
    <w:rsid w:val="00192D62"/>
    <w:rsid w:val="001951DA"/>
    <w:rsid w:val="001952F2"/>
    <w:rsid w:val="00195767"/>
    <w:rsid w:val="00197675"/>
    <w:rsid w:val="001A0A33"/>
    <w:rsid w:val="001A1820"/>
    <w:rsid w:val="001A324E"/>
    <w:rsid w:val="001A4050"/>
    <w:rsid w:val="001A4380"/>
    <w:rsid w:val="001A5784"/>
    <w:rsid w:val="001A6F80"/>
    <w:rsid w:val="001B2192"/>
    <w:rsid w:val="001C2DA2"/>
    <w:rsid w:val="001C306C"/>
    <w:rsid w:val="001C3269"/>
    <w:rsid w:val="001C3979"/>
    <w:rsid w:val="001C52A0"/>
    <w:rsid w:val="001C5A46"/>
    <w:rsid w:val="001C5D15"/>
    <w:rsid w:val="001D03B4"/>
    <w:rsid w:val="001D0CB4"/>
    <w:rsid w:val="001D0ECD"/>
    <w:rsid w:val="001D1DB4"/>
    <w:rsid w:val="001D270F"/>
    <w:rsid w:val="001D2A8C"/>
    <w:rsid w:val="001D2AD6"/>
    <w:rsid w:val="001D62D0"/>
    <w:rsid w:val="001D6352"/>
    <w:rsid w:val="001D7E03"/>
    <w:rsid w:val="001E0901"/>
    <w:rsid w:val="001E1C67"/>
    <w:rsid w:val="001E2609"/>
    <w:rsid w:val="001E3BE5"/>
    <w:rsid w:val="001E6E9D"/>
    <w:rsid w:val="001E7336"/>
    <w:rsid w:val="001E7F82"/>
    <w:rsid w:val="001F1CC9"/>
    <w:rsid w:val="001F3B90"/>
    <w:rsid w:val="001F6797"/>
    <w:rsid w:val="001F7A9F"/>
    <w:rsid w:val="001F7E58"/>
    <w:rsid w:val="00201179"/>
    <w:rsid w:val="00202665"/>
    <w:rsid w:val="00202E71"/>
    <w:rsid w:val="00203D4D"/>
    <w:rsid w:val="00204A8E"/>
    <w:rsid w:val="00205EE5"/>
    <w:rsid w:val="00207C2E"/>
    <w:rsid w:val="00210383"/>
    <w:rsid w:val="00210FD5"/>
    <w:rsid w:val="00213A79"/>
    <w:rsid w:val="00213C1D"/>
    <w:rsid w:val="00213CA2"/>
    <w:rsid w:val="00217E1A"/>
    <w:rsid w:val="0022147F"/>
    <w:rsid w:val="002230B1"/>
    <w:rsid w:val="00223943"/>
    <w:rsid w:val="002245C4"/>
    <w:rsid w:val="00230C53"/>
    <w:rsid w:val="00231BCF"/>
    <w:rsid w:val="00233DC9"/>
    <w:rsid w:val="00234F3A"/>
    <w:rsid w:val="00236405"/>
    <w:rsid w:val="0023734A"/>
    <w:rsid w:val="002379E1"/>
    <w:rsid w:val="00240B3E"/>
    <w:rsid w:val="002424C3"/>
    <w:rsid w:val="00243B14"/>
    <w:rsid w:val="00244764"/>
    <w:rsid w:val="00246ECD"/>
    <w:rsid w:val="00247A60"/>
    <w:rsid w:val="002508DE"/>
    <w:rsid w:val="002543F3"/>
    <w:rsid w:val="002574F9"/>
    <w:rsid w:val="002629F5"/>
    <w:rsid w:val="002631F3"/>
    <w:rsid w:val="00264314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5F66"/>
    <w:rsid w:val="00276811"/>
    <w:rsid w:val="0027785E"/>
    <w:rsid w:val="00282699"/>
    <w:rsid w:val="00283B73"/>
    <w:rsid w:val="00284612"/>
    <w:rsid w:val="00285207"/>
    <w:rsid w:val="00290126"/>
    <w:rsid w:val="0029047B"/>
    <w:rsid w:val="00290F23"/>
    <w:rsid w:val="00292220"/>
    <w:rsid w:val="002925D4"/>
    <w:rsid w:val="002926DF"/>
    <w:rsid w:val="00296697"/>
    <w:rsid w:val="002A0E7B"/>
    <w:rsid w:val="002A167D"/>
    <w:rsid w:val="002A25D8"/>
    <w:rsid w:val="002A359F"/>
    <w:rsid w:val="002A4348"/>
    <w:rsid w:val="002A437B"/>
    <w:rsid w:val="002A50E0"/>
    <w:rsid w:val="002A5BE1"/>
    <w:rsid w:val="002A7668"/>
    <w:rsid w:val="002B0009"/>
    <w:rsid w:val="002B0472"/>
    <w:rsid w:val="002B18C6"/>
    <w:rsid w:val="002B1CB5"/>
    <w:rsid w:val="002B2087"/>
    <w:rsid w:val="002B29B9"/>
    <w:rsid w:val="002B4323"/>
    <w:rsid w:val="002B47BE"/>
    <w:rsid w:val="002B6B12"/>
    <w:rsid w:val="002B6B7B"/>
    <w:rsid w:val="002B7514"/>
    <w:rsid w:val="002C1D1A"/>
    <w:rsid w:val="002C6270"/>
    <w:rsid w:val="002D01F9"/>
    <w:rsid w:val="002D0DA2"/>
    <w:rsid w:val="002D1C52"/>
    <w:rsid w:val="002D2547"/>
    <w:rsid w:val="002D4AFD"/>
    <w:rsid w:val="002D7793"/>
    <w:rsid w:val="002D7B00"/>
    <w:rsid w:val="002E13A8"/>
    <w:rsid w:val="002E17DE"/>
    <w:rsid w:val="002E1A9E"/>
    <w:rsid w:val="002E3284"/>
    <w:rsid w:val="002E3888"/>
    <w:rsid w:val="002E5257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72E"/>
    <w:rsid w:val="002F77C8"/>
    <w:rsid w:val="00302DB0"/>
    <w:rsid w:val="00303046"/>
    <w:rsid w:val="00304F22"/>
    <w:rsid w:val="00306792"/>
    <w:rsid w:val="00306C7C"/>
    <w:rsid w:val="00306F47"/>
    <w:rsid w:val="00312C7E"/>
    <w:rsid w:val="00313708"/>
    <w:rsid w:val="00313891"/>
    <w:rsid w:val="00314C5F"/>
    <w:rsid w:val="00320924"/>
    <w:rsid w:val="003223DE"/>
    <w:rsid w:val="00322858"/>
    <w:rsid w:val="00322A6A"/>
    <w:rsid w:val="00322EDD"/>
    <w:rsid w:val="0032490A"/>
    <w:rsid w:val="00326B05"/>
    <w:rsid w:val="00332320"/>
    <w:rsid w:val="00333420"/>
    <w:rsid w:val="003341CD"/>
    <w:rsid w:val="00334837"/>
    <w:rsid w:val="00335BE5"/>
    <w:rsid w:val="003406E6"/>
    <w:rsid w:val="00340961"/>
    <w:rsid w:val="0034440F"/>
    <w:rsid w:val="0034475D"/>
    <w:rsid w:val="00347A3C"/>
    <w:rsid w:val="00347D72"/>
    <w:rsid w:val="00351404"/>
    <w:rsid w:val="00351D29"/>
    <w:rsid w:val="00351E73"/>
    <w:rsid w:val="00353114"/>
    <w:rsid w:val="003557E1"/>
    <w:rsid w:val="00357000"/>
    <w:rsid w:val="00357611"/>
    <w:rsid w:val="00360544"/>
    <w:rsid w:val="00361746"/>
    <w:rsid w:val="00363693"/>
    <w:rsid w:val="00365A3C"/>
    <w:rsid w:val="00365F22"/>
    <w:rsid w:val="00367237"/>
    <w:rsid w:val="00367B3F"/>
    <w:rsid w:val="00367EC7"/>
    <w:rsid w:val="0037077F"/>
    <w:rsid w:val="003726D9"/>
    <w:rsid w:val="00373882"/>
    <w:rsid w:val="00374475"/>
    <w:rsid w:val="00375215"/>
    <w:rsid w:val="003759F8"/>
    <w:rsid w:val="00375D5D"/>
    <w:rsid w:val="00381354"/>
    <w:rsid w:val="00381995"/>
    <w:rsid w:val="00381B0D"/>
    <w:rsid w:val="003843DB"/>
    <w:rsid w:val="00386065"/>
    <w:rsid w:val="00387B3D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A2B"/>
    <w:rsid w:val="003A567B"/>
    <w:rsid w:val="003B1454"/>
    <w:rsid w:val="003B2CE3"/>
    <w:rsid w:val="003B401E"/>
    <w:rsid w:val="003B49BF"/>
    <w:rsid w:val="003B6350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D1130"/>
    <w:rsid w:val="003D329A"/>
    <w:rsid w:val="003D35A2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F147E"/>
    <w:rsid w:val="003F2379"/>
    <w:rsid w:val="003F272D"/>
    <w:rsid w:val="003F4A91"/>
    <w:rsid w:val="003F4C97"/>
    <w:rsid w:val="003F7FE6"/>
    <w:rsid w:val="00400193"/>
    <w:rsid w:val="0040032A"/>
    <w:rsid w:val="00400EAB"/>
    <w:rsid w:val="00403147"/>
    <w:rsid w:val="00403B3E"/>
    <w:rsid w:val="004065D6"/>
    <w:rsid w:val="00407169"/>
    <w:rsid w:val="00411842"/>
    <w:rsid w:val="0041188E"/>
    <w:rsid w:val="00413D56"/>
    <w:rsid w:val="00416A63"/>
    <w:rsid w:val="00420C2A"/>
    <w:rsid w:val="004212E7"/>
    <w:rsid w:val="0042446D"/>
    <w:rsid w:val="00424C46"/>
    <w:rsid w:val="00427281"/>
    <w:rsid w:val="00427BF8"/>
    <w:rsid w:val="00431B8B"/>
    <w:rsid w:val="00431C02"/>
    <w:rsid w:val="00434177"/>
    <w:rsid w:val="00434773"/>
    <w:rsid w:val="004358B0"/>
    <w:rsid w:val="00435BD0"/>
    <w:rsid w:val="00436369"/>
    <w:rsid w:val="00436707"/>
    <w:rsid w:val="00437395"/>
    <w:rsid w:val="004441AB"/>
    <w:rsid w:val="00444AA7"/>
    <w:rsid w:val="00444FD6"/>
    <w:rsid w:val="00445047"/>
    <w:rsid w:val="004458D2"/>
    <w:rsid w:val="004466B1"/>
    <w:rsid w:val="00447F34"/>
    <w:rsid w:val="00450F5D"/>
    <w:rsid w:val="00451344"/>
    <w:rsid w:val="0045512C"/>
    <w:rsid w:val="004552FA"/>
    <w:rsid w:val="0045654E"/>
    <w:rsid w:val="00456783"/>
    <w:rsid w:val="00457FDB"/>
    <w:rsid w:val="0046060D"/>
    <w:rsid w:val="00463E39"/>
    <w:rsid w:val="00464E0B"/>
    <w:rsid w:val="004657FC"/>
    <w:rsid w:val="00465AAB"/>
    <w:rsid w:val="00466438"/>
    <w:rsid w:val="0047005B"/>
    <w:rsid w:val="00470DB5"/>
    <w:rsid w:val="004733F6"/>
    <w:rsid w:val="00474E69"/>
    <w:rsid w:val="00485267"/>
    <w:rsid w:val="00487096"/>
    <w:rsid w:val="0049221D"/>
    <w:rsid w:val="004943E8"/>
    <w:rsid w:val="00494700"/>
    <w:rsid w:val="004954AA"/>
    <w:rsid w:val="00495CA7"/>
    <w:rsid w:val="0049621B"/>
    <w:rsid w:val="00497505"/>
    <w:rsid w:val="004A17C9"/>
    <w:rsid w:val="004A1934"/>
    <w:rsid w:val="004A3242"/>
    <w:rsid w:val="004A32EE"/>
    <w:rsid w:val="004A4649"/>
    <w:rsid w:val="004A51B7"/>
    <w:rsid w:val="004A6F58"/>
    <w:rsid w:val="004B29AE"/>
    <w:rsid w:val="004B32B3"/>
    <w:rsid w:val="004B3557"/>
    <w:rsid w:val="004B5745"/>
    <w:rsid w:val="004C00DF"/>
    <w:rsid w:val="004C062B"/>
    <w:rsid w:val="004C1895"/>
    <w:rsid w:val="004C2091"/>
    <w:rsid w:val="004C257A"/>
    <w:rsid w:val="004C284F"/>
    <w:rsid w:val="004C2986"/>
    <w:rsid w:val="004C4CC5"/>
    <w:rsid w:val="004C6A54"/>
    <w:rsid w:val="004C6D40"/>
    <w:rsid w:val="004D09B9"/>
    <w:rsid w:val="004D665D"/>
    <w:rsid w:val="004E136D"/>
    <w:rsid w:val="004E1482"/>
    <w:rsid w:val="004E44E5"/>
    <w:rsid w:val="004E4F7F"/>
    <w:rsid w:val="004E6642"/>
    <w:rsid w:val="004F0C3C"/>
    <w:rsid w:val="004F2AF9"/>
    <w:rsid w:val="004F63FC"/>
    <w:rsid w:val="005009E1"/>
    <w:rsid w:val="00500A17"/>
    <w:rsid w:val="0050313D"/>
    <w:rsid w:val="005038B2"/>
    <w:rsid w:val="005038CA"/>
    <w:rsid w:val="0050555C"/>
    <w:rsid w:val="00505A92"/>
    <w:rsid w:val="00512169"/>
    <w:rsid w:val="00512C5A"/>
    <w:rsid w:val="005143FA"/>
    <w:rsid w:val="00517624"/>
    <w:rsid w:val="005203F1"/>
    <w:rsid w:val="00521B5E"/>
    <w:rsid w:val="00521BC3"/>
    <w:rsid w:val="005229A6"/>
    <w:rsid w:val="00527F29"/>
    <w:rsid w:val="0053024A"/>
    <w:rsid w:val="00532123"/>
    <w:rsid w:val="00533166"/>
    <w:rsid w:val="00533632"/>
    <w:rsid w:val="00534424"/>
    <w:rsid w:val="00535B20"/>
    <w:rsid w:val="00536352"/>
    <w:rsid w:val="0053756A"/>
    <w:rsid w:val="00537F42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3FBE"/>
    <w:rsid w:val="005561E8"/>
    <w:rsid w:val="00556CF1"/>
    <w:rsid w:val="00556E5D"/>
    <w:rsid w:val="0056183F"/>
    <w:rsid w:val="00563312"/>
    <w:rsid w:val="00565BC0"/>
    <w:rsid w:val="00567866"/>
    <w:rsid w:val="0057114E"/>
    <w:rsid w:val="00573E16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515F"/>
    <w:rsid w:val="0058529D"/>
    <w:rsid w:val="00587857"/>
    <w:rsid w:val="00587DBB"/>
    <w:rsid w:val="005916D7"/>
    <w:rsid w:val="00591857"/>
    <w:rsid w:val="00592731"/>
    <w:rsid w:val="00593509"/>
    <w:rsid w:val="00594F5C"/>
    <w:rsid w:val="00595681"/>
    <w:rsid w:val="00596D0D"/>
    <w:rsid w:val="005973DD"/>
    <w:rsid w:val="005973F6"/>
    <w:rsid w:val="005A047D"/>
    <w:rsid w:val="005A0649"/>
    <w:rsid w:val="005A5B5D"/>
    <w:rsid w:val="005A61D6"/>
    <w:rsid w:val="005A698C"/>
    <w:rsid w:val="005A725A"/>
    <w:rsid w:val="005B1E34"/>
    <w:rsid w:val="005B296B"/>
    <w:rsid w:val="005B386B"/>
    <w:rsid w:val="005B59DF"/>
    <w:rsid w:val="005B5FEA"/>
    <w:rsid w:val="005C00FD"/>
    <w:rsid w:val="005C1010"/>
    <w:rsid w:val="005C3D19"/>
    <w:rsid w:val="005C464A"/>
    <w:rsid w:val="005C5065"/>
    <w:rsid w:val="005C5981"/>
    <w:rsid w:val="005C5C20"/>
    <w:rsid w:val="005C5E14"/>
    <w:rsid w:val="005D01B4"/>
    <w:rsid w:val="005D4E8B"/>
    <w:rsid w:val="005D6964"/>
    <w:rsid w:val="005D7AC0"/>
    <w:rsid w:val="005E0799"/>
    <w:rsid w:val="005E1366"/>
    <w:rsid w:val="005E2614"/>
    <w:rsid w:val="005E40CF"/>
    <w:rsid w:val="005E4AA4"/>
    <w:rsid w:val="005E4B3F"/>
    <w:rsid w:val="005E4E00"/>
    <w:rsid w:val="005E5557"/>
    <w:rsid w:val="005E61F7"/>
    <w:rsid w:val="005E675C"/>
    <w:rsid w:val="005F29E0"/>
    <w:rsid w:val="005F2E17"/>
    <w:rsid w:val="005F4D75"/>
    <w:rsid w:val="005F5A80"/>
    <w:rsid w:val="005F5DEC"/>
    <w:rsid w:val="005F61D3"/>
    <w:rsid w:val="006011AD"/>
    <w:rsid w:val="0060379C"/>
    <w:rsid w:val="006044FF"/>
    <w:rsid w:val="00606810"/>
    <w:rsid w:val="0060789F"/>
    <w:rsid w:val="00607CC5"/>
    <w:rsid w:val="006102AA"/>
    <w:rsid w:val="00610965"/>
    <w:rsid w:val="006120C8"/>
    <w:rsid w:val="00612D7A"/>
    <w:rsid w:val="00613E35"/>
    <w:rsid w:val="0061718F"/>
    <w:rsid w:val="00621207"/>
    <w:rsid w:val="00622054"/>
    <w:rsid w:val="00626402"/>
    <w:rsid w:val="0062733E"/>
    <w:rsid w:val="006277A8"/>
    <w:rsid w:val="00627CBE"/>
    <w:rsid w:val="006319E2"/>
    <w:rsid w:val="006322BA"/>
    <w:rsid w:val="00633014"/>
    <w:rsid w:val="0063437B"/>
    <w:rsid w:val="006373E5"/>
    <w:rsid w:val="0064104F"/>
    <w:rsid w:val="006417A1"/>
    <w:rsid w:val="00643412"/>
    <w:rsid w:val="006441C5"/>
    <w:rsid w:val="0065081C"/>
    <w:rsid w:val="0065335A"/>
    <w:rsid w:val="00655025"/>
    <w:rsid w:val="00655F4D"/>
    <w:rsid w:val="00660957"/>
    <w:rsid w:val="00664603"/>
    <w:rsid w:val="00664C68"/>
    <w:rsid w:val="00664F4A"/>
    <w:rsid w:val="00665417"/>
    <w:rsid w:val="006672A5"/>
    <w:rsid w:val="006673CA"/>
    <w:rsid w:val="00667D6F"/>
    <w:rsid w:val="00672716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83AC0"/>
    <w:rsid w:val="00687DCB"/>
    <w:rsid w:val="0069051E"/>
    <w:rsid w:val="00690F8C"/>
    <w:rsid w:val="00691447"/>
    <w:rsid w:val="00694AF0"/>
    <w:rsid w:val="00694DF4"/>
    <w:rsid w:val="006A0715"/>
    <w:rsid w:val="006A1938"/>
    <w:rsid w:val="006A1E17"/>
    <w:rsid w:val="006A1F23"/>
    <w:rsid w:val="006A2E57"/>
    <w:rsid w:val="006A3682"/>
    <w:rsid w:val="006A6760"/>
    <w:rsid w:val="006A7F7F"/>
    <w:rsid w:val="006B03BF"/>
    <w:rsid w:val="006B0E9E"/>
    <w:rsid w:val="006B4A55"/>
    <w:rsid w:val="006B5AE4"/>
    <w:rsid w:val="006B6138"/>
    <w:rsid w:val="006B70B9"/>
    <w:rsid w:val="006B7C4D"/>
    <w:rsid w:val="006C0272"/>
    <w:rsid w:val="006C3D2E"/>
    <w:rsid w:val="006C5B4F"/>
    <w:rsid w:val="006D3228"/>
    <w:rsid w:val="006D38A1"/>
    <w:rsid w:val="006D3B7E"/>
    <w:rsid w:val="006D3B94"/>
    <w:rsid w:val="006D4054"/>
    <w:rsid w:val="006D4B73"/>
    <w:rsid w:val="006D5022"/>
    <w:rsid w:val="006D5890"/>
    <w:rsid w:val="006D5AA2"/>
    <w:rsid w:val="006D71DD"/>
    <w:rsid w:val="006E02EC"/>
    <w:rsid w:val="006E062A"/>
    <w:rsid w:val="006E658B"/>
    <w:rsid w:val="006F4043"/>
    <w:rsid w:val="006F5152"/>
    <w:rsid w:val="006F5D51"/>
    <w:rsid w:val="006F5EF5"/>
    <w:rsid w:val="006F7713"/>
    <w:rsid w:val="007005FD"/>
    <w:rsid w:val="0070081B"/>
    <w:rsid w:val="00700E4D"/>
    <w:rsid w:val="007015DD"/>
    <w:rsid w:val="007036B9"/>
    <w:rsid w:val="00703A1D"/>
    <w:rsid w:val="00706682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4C5D"/>
    <w:rsid w:val="00726610"/>
    <w:rsid w:val="00727F66"/>
    <w:rsid w:val="007317AC"/>
    <w:rsid w:val="00732601"/>
    <w:rsid w:val="00732B0E"/>
    <w:rsid w:val="0073336D"/>
    <w:rsid w:val="007343FE"/>
    <w:rsid w:val="00734AD2"/>
    <w:rsid w:val="00734CF1"/>
    <w:rsid w:val="007362C9"/>
    <w:rsid w:val="00737FDA"/>
    <w:rsid w:val="00740172"/>
    <w:rsid w:val="00743623"/>
    <w:rsid w:val="00743A47"/>
    <w:rsid w:val="00746187"/>
    <w:rsid w:val="00746816"/>
    <w:rsid w:val="007502EC"/>
    <w:rsid w:val="00752C5E"/>
    <w:rsid w:val="0075442E"/>
    <w:rsid w:val="007608BE"/>
    <w:rsid w:val="0076254F"/>
    <w:rsid w:val="00763A78"/>
    <w:rsid w:val="007663B2"/>
    <w:rsid w:val="00770725"/>
    <w:rsid w:val="007722DF"/>
    <w:rsid w:val="00773B3E"/>
    <w:rsid w:val="00774267"/>
    <w:rsid w:val="0077736D"/>
    <w:rsid w:val="00777DA1"/>
    <w:rsid w:val="007801F5"/>
    <w:rsid w:val="007804AF"/>
    <w:rsid w:val="00783600"/>
    <w:rsid w:val="007836EF"/>
    <w:rsid w:val="00783CA4"/>
    <w:rsid w:val="007842FB"/>
    <w:rsid w:val="0078523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DD2"/>
    <w:rsid w:val="007961A8"/>
    <w:rsid w:val="00797294"/>
    <w:rsid w:val="0079740F"/>
    <w:rsid w:val="007A01F9"/>
    <w:rsid w:val="007A1014"/>
    <w:rsid w:val="007A2DC1"/>
    <w:rsid w:val="007A3A7A"/>
    <w:rsid w:val="007A57FF"/>
    <w:rsid w:val="007A613A"/>
    <w:rsid w:val="007B0E35"/>
    <w:rsid w:val="007B19CF"/>
    <w:rsid w:val="007B1FA9"/>
    <w:rsid w:val="007B3DB7"/>
    <w:rsid w:val="007B4786"/>
    <w:rsid w:val="007B4F73"/>
    <w:rsid w:val="007C173F"/>
    <w:rsid w:val="007C389E"/>
    <w:rsid w:val="007C6E43"/>
    <w:rsid w:val="007C792E"/>
    <w:rsid w:val="007D1339"/>
    <w:rsid w:val="007D3109"/>
    <w:rsid w:val="007D3319"/>
    <w:rsid w:val="007D335D"/>
    <w:rsid w:val="007D3DF3"/>
    <w:rsid w:val="007D51B3"/>
    <w:rsid w:val="007D585A"/>
    <w:rsid w:val="007E18E5"/>
    <w:rsid w:val="007E1E73"/>
    <w:rsid w:val="007E2E07"/>
    <w:rsid w:val="007E3314"/>
    <w:rsid w:val="007E4B03"/>
    <w:rsid w:val="007E5F5E"/>
    <w:rsid w:val="007E6683"/>
    <w:rsid w:val="007F04EF"/>
    <w:rsid w:val="007F324B"/>
    <w:rsid w:val="007F3A63"/>
    <w:rsid w:val="007F5386"/>
    <w:rsid w:val="007F54BA"/>
    <w:rsid w:val="007F69A5"/>
    <w:rsid w:val="007F6B07"/>
    <w:rsid w:val="007F7483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78BA"/>
    <w:rsid w:val="00811428"/>
    <w:rsid w:val="00814321"/>
    <w:rsid w:val="008167A7"/>
    <w:rsid w:val="00816EE2"/>
    <w:rsid w:val="00824894"/>
    <w:rsid w:val="008254DD"/>
    <w:rsid w:val="00825DC2"/>
    <w:rsid w:val="00826F60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402CD"/>
    <w:rsid w:val="00841814"/>
    <w:rsid w:val="00843795"/>
    <w:rsid w:val="008450AB"/>
    <w:rsid w:val="00846059"/>
    <w:rsid w:val="0084691F"/>
    <w:rsid w:val="00847A2B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6152F"/>
    <w:rsid w:val="0086262B"/>
    <w:rsid w:val="00870E2D"/>
    <w:rsid w:val="00871300"/>
    <w:rsid w:val="0087289A"/>
    <w:rsid w:val="00872DA5"/>
    <w:rsid w:val="008738A4"/>
    <w:rsid w:val="00873A94"/>
    <w:rsid w:val="00874132"/>
    <w:rsid w:val="00874F6B"/>
    <w:rsid w:val="00876A0A"/>
    <w:rsid w:val="00877F81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D51"/>
    <w:rsid w:val="008A26D9"/>
    <w:rsid w:val="008A29D6"/>
    <w:rsid w:val="008A3599"/>
    <w:rsid w:val="008A396E"/>
    <w:rsid w:val="008B050C"/>
    <w:rsid w:val="008B1B4A"/>
    <w:rsid w:val="008B2F34"/>
    <w:rsid w:val="008B32B1"/>
    <w:rsid w:val="008B3CA0"/>
    <w:rsid w:val="008B6D3E"/>
    <w:rsid w:val="008B71CD"/>
    <w:rsid w:val="008B71D3"/>
    <w:rsid w:val="008B7C02"/>
    <w:rsid w:val="008C0C29"/>
    <w:rsid w:val="008C4548"/>
    <w:rsid w:val="008C55D2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3DA1"/>
    <w:rsid w:val="008E59C7"/>
    <w:rsid w:val="008E6225"/>
    <w:rsid w:val="008F06DF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902BF6"/>
    <w:rsid w:val="00905586"/>
    <w:rsid w:val="009065FA"/>
    <w:rsid w:val="00907CCC"/>
    <w:rsid w:val="009127BA"/>
    <w:rsid w:val="00913F92"/>
    <w:rsid w:val="00914EB6"/>
    <w:rsid w:val="00915193"/>
    <w:rsid w:val="00915DC1"/>
    <w:rsid w:val="009161BB"/>
    <w:rsid w:val="00916C22"/>
    <w:rsid w:val="00916ECA"/>
    <w:rsid w:val="009170F3"/>
    <w:rsid w:val="00917964"/>
    <w:rsid w:val="00921240"/>
    <w:rsid w:val="009216C3"/>
    <w:rsid w:val="009222DE"/>
    <w:rsid w:val="009224B6"/>
    <w:rsid w:val="00922794"/>
    <w:rsid w:val="009227A6"/>
    <w:rsid w:val="00923B2B"/>
    <w:rsid w:val="009249D6"/>
    <w:rsid w:val="009301B3"/>
    <w:rsid w:val="00930E76"/>
    <w:rsid w:val="00931AE5"/>
    <w:rsid w:val="0093209A"/>
    <w:rsid w:val="00933EC1"/>
    <w:rsid w:val="0093694C"/>
    <w:rsid w:val="009375B9"/>
    <w:rsid w:val="00941D29"/>
    <w:rsid w:val="009444F7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6094"/>
    <w:rsid w:val="00957412"/>
    <w:rsid w:val="00960A9C"/>
    <w:rsid w:val="00960BE4"/>
    <w:rsid w:val="00963563"/>
    <w:rsid w:val="009635A8"/>
    <w:rsid w:val="009666E8"/>
    <w:rsid w:val="00967481"/>
    <w:rsid w:val="009705EE"/>
    <w:rsid w:val="00971982"/>
    <w:rsid w:val="0097328B"/>
    <w:rsid w:val="00974591"/>
    <w:rsid w:val="00976DE6"/>
    <w:rsid w:val="00977927"/>
    <w:rsid w:val="009804A4"/>
    <w:rsid w:val="0098051A"/>
    <w:rsid w:val="00980B30"/>
    <w:rsid w:val="0098135C"/>
    <w:rsid w:val="0098156A"/>
    <w:rsid w:val="00984209"/>
    <w:rsid w:val="00984481"/>
    <w:rsid w:val="009856B1"/>
    <w:rsid w:val="009865BF"/>
    <w:rsid w:val="009869C9"/>
    <w:rsid w:val="009875E9"/>
    <w:rsid w:val="00987F5D"/>
    <w:rsid w:val="00991BAC"/>
    <w:rsid w:val="009920F4"/>
    <w:rsid w:val="009944B9"/>
    <w:rsid w:val="00994505"/>
    <w:rsid w:val="009A1424"/>
    <w:rsid w:val="009A1D39"/>
    <w:rsid w:val="009A3551"/>
    <w:rsid w:val="009A3BF0"/>
    <w:rsid w:val="009A480B"/>
    <w:rsid w:val="009A5631"/>
    <w:rsid w:val="009A6EA0"/>
    <w:rsid w:val="009B004C"/>
    <w:rsid w:val="009B32CA"/>
    <w:rsid w:val="009B39CE"/>
    <w:rsid w:val="009B39FC"/>
    <w:rsid w:val="009B3F7D"/>
    <w:rsid w:val="009B48DD"/>
    <w:rsid w:val="009B7919"/>
    <w:rsid w:val="009B7A06"/>
    <w:rsid w:val="009C0B16"/>
    <w:rsid w:val="009C0CCF"/>
    <w:rsid w:val="009C1335"/>
    <w:rsid w:val="009C1AB2"/>
    <w:rsid w:val="009C32E5"/>
    <w:rsid w:val="009C3541"/>
    <w:rsid w:val="009C7251"/>
    <w:rsid w:val="009D2784"/>
    <w:rsid w:val="009D3940"/>
    <w:rsid w:val="009D4D66"/>
    <w:rsid w:val="009E09B2"/>
    <w:rsid w:val="009E0D29"/>
    <w:rsid w:val="009E0E59"/>
    <w:rsid w:val="009E119A"/>
    <w:rsid w:val="009E2157"/>
    <w:rsid w:val="009E2E91"/>
    <w:rsid w:val="009E4EFA"/>
    <w:rsid w:val="009E6745"/>
    <w:rsid w:val="009E7534"/>
    <w:rsid w:val="009F01BD"/>
    <w:rsid w:val="009F28A1"/>
    <w:rsid w:val="009F32CE"/>
    <w:rsid w:val="009F388E"/>
    <w:rsid w:val="009F4495"/>
    <w:rsid w:val="009F5601"/>
    <w:rsid w:val="009F7B04"/>
    <w:rsid w:val="00A0061A"/>
    <w:rsid w:val="00A029D9"/>
    <w:rsid w:val="00A04304"/>
    <w:rsid w:val="00A0464D"/>
    <w:rsid w:val="00A06C38"/>
    <w:rsid w:val="00A07F6D"/>
    <w:rsid w:val="00A10589"/>
    <w:rsid w:val="00A109B4"/>
    <w:rsid w:val="00A11943"/>
    <w:rsid w:val="00A12C03"/>
    <w:rsid w:val="00A1372A"/>
    <w:rsid w:val="00A139F5"/>
    <w:rsid w:val="00A14540"/>
    <w:rsid w:val="00A1685D"/>
    <w:rsid w:val="00A1742D"/>
    <w:rsid w:val="00A17589"/>
    <w:rsid w:val="00A20509"/>
    <w:rsid w:val="00A20E9E"/>
    <w:rsid w:val="00A20F36"/>
    <w:rsid w:val="00A225A9"/>
    <w:rsid w:val="00A242D7"/>
    <w:rsid w:val="00A24879"/>
    <w:rsid w:val="00A24AAB"/>
    <w:rsid w:val="00A25AB4"/>
    <w:rsid w:val="00A26EA0"/>
    <w:rsid w:val="00A27102"/>
    <w:rsid w:val="00A3002B"/>
    <w:rsid w:val="00A33A46"/>
    <w:rsid w:val="00A35767"/>
    <w:rsid w:val="00A365F4"/>
    <w:rsid w:val="00A36F89"/>
    <w:rsid w:val="00A40E2C"/>
    <w:rsid w:val="00A4333F"/>
    <w:rsid w:val="00A444E9"/>
    <w:rsid w:val="00A4469F"/>
    <w:rsid w:val="00A46049"/>
    <w:rsid w:val="00A47D80"/>
    <w:rsid w:val="00A506F1"/>
    <w:rsid w:val="00A519B5"/>
    <w:rsid w:val="00A53132"/>
    <w:rsid w:val="00A5450E"/>
    <w:rsid w:val="00A563F2"/>
    <w:rsid w:val="00A566E8"/>
    <w:rsid w:val="00A602DB"/>
    <w:rsid w:val="00A60F95"/>
    <w:rsid w:val="00A61254"/>
    <w:rsid w:val="00A65CC6"/>
    <w:rsid w:val="00A67000"/>
    <w:rsid w:val="00A72A90"/>
    <w:rsid w:val="00A74B6C"/>
    <w:rsid w:val="00A75B17"/>
    <w:rsid w:val="00A76762"/>
    <w:rsid w:val="00A810F9"/>
    <w:rsid w:val="00A8598E"/>
    <w:rsid w:val="00A86173"/>
    <w:rsid w:val="00A8668F"/>
    <w:rsid w:val="00A86D83"/>
    <w:rsid w:val="00A86ECC"/>
    <w:rsid w:val="00A86FCC"/>
    <w:rsid w:val="00A87939"/>
    <w:rsid w:val="00A9154E"/>
    <w:rsid w:val="00A92A6F"/>
    <w:rsid w:val="00A92C80"/>
    <w:rsid w:val="00A93CE5"/>
    <w:rsid w:val="00A97DCC"/>
    <w:rsid w:val="00AA0008"/>
    <w:rsid w:val="00AA3569"/>
    <w:rsid w:val="00AA3EB6"/>
    <w:rsid w:val="00AA4ACE"/>
    <w:rsid w:val="00AA710D"/>
    <w:rsid w:val="00AA75CC"/>
    <w:rsid w:val="00AB097F"/>
    <w:rsid w:val="00AB6D25"/>
    <w:rsid w:val="00AC0CDD"/>
    <w:rsid w:val="00AC176D"/>
    <w:rsid w:val="00AC1D45"/>
    <w:rsid w:val="00AC3592"/>
    <w:rsid w:val="00AC4295"/>
    <w:rsid w:val="00AC4F15"/>
    <w:rsid w:val="00AC5820"/>
    <w:rsid w:val="00AC7C0C"/>
    <w:rsid w:val="00AD000B"/>
    <w:rsid w:val="00AD05CA"/>
    <w:rsid w:val="00AD17D4"/>
    <w:rsid w:val="00AD4C32"/>
    <w:rsid w:val="00AD7ECC"/>
    <w:rsid w:val="00AE28AE"/>
    <w:rsid w:val="00AE2D4B"/>
    <w:rsid w:val="00AE3FB3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E7B"/>
    <w:rsid w:val="00B36F27"/>
    <w:rsid w:val="00B37BB7"/>
    <w:rsid w:val="00B37EB2"/>
    <w:rsid w:val="00B407D3"/>
    <w:rsid w:val="00B41130"/>
    <w:rsid w:val="00B41DBE"/>
    <w:rsid w:val="00B41DFD"/>
    <w:rsid w:val="00B42455"/>
    <w:rsid w:val="00B45219"/>
    <w:rsid w:val="00B4641A"/>
    <w:rsid w:val="00B47CB4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7B4F"/>
    <w:rsid w:val="00B6142B"/>
    <w:rsid w:val="00B62730"/>
    <w:rsid w:val="00B64AF3"/>
    <w:rsid w:val="00B653AB"/>
    <w:rsid w:val="00B65F9E"/>
    <w:rsid w:val="00B66B19"/>
    <w:rsid w:val="00B66FFF"/>
    <w:rsid w:val="00B677B3"/>
    <w:rsid w:val="00B75532"/>
    <w:rsid w:val="00B76621"/>
    <w:rsid w:val="00B8129D"/>
    <w:rsid w:val="00B81852"/>
    <w:rsid w:val="00B81880"/>
    <w:rsid w:val="00B81E92"/>
    <w:rsid w:val="00B82EB4"/>
    <w:rsid w:val="00B84CDA"/>
    <w:rsid w:val="00B85693"/>
    <w:rsid w:val="00B87A5A"/>
    <w:rsid w:val="00B914E9"/>
    <w:rsid w:val="00B92FD4"/>
    <w:rsid w:val="00B9356F"/>
    <w:rsid w:val="00B935E9"/>
    <w:rsid w:val="00B956EE"/>
    <w:rsid w:val="00B95A49"/>
    <w:rsid w:val="00B968F9"/>
    <w:rsid w:val="00B96AD0"/>
    <w:rsid w:val="00BA0FBD"/>
    <w:rsid w:val="00BA2BA1"/>
    <w:rsid w:val="00BA31CD"/>
    <w:rsid w:val="00BA32A4"/>
    <w:rsid w:val="00BA6D5B"/>
    <w:rsid w:val="00BB29D4"/>
    <w:rsid w:val="00BB2DCF"/>
    <w:rsid w:val="00BB4436"/>
    <w:rsid w:val="00BB4F09"/>
    <w:rsid w:val="00BB50B6"/>
    <w:rsid w:val="00BB59B0"/>
    <w:rsid w:val="00BB6CDD"/>
    <w:rsid w:val="00BB77D5"/>
    <w:rsid w:val="00BC1105"/>
    <w:rsid w:val="00BC1DCC"/>
    <w:rsid w:val="00BC2340"/>
    <w:rsid w:val="00BC58F2"/>
    <w:rsid w:val="00BC6C8D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213C"/>
    <w:rsid w:val="00BE460B"/>
    <w:rsid w:val="00BE58EB"/>
    <w:rsid w:val="00BE6548"/>
    <w:rsid w:val="00BE6AB1"/>
    <w:rsid w:val="00BE7401"/>
    <w:rsid w:val="00BE7B58"/>
    <w:rsid w:val="00BF005C"/>
    <w:rsid w:val="00BF04DA"/>
    <w:rsid w:val="00BF06D8"/>
    <w:rsid w:val="00BF5A59"/>
    <w:rsid w:val="00BF5A69"/>
    <w:rsid w:val="00C030DE"/>
    <w:rsid w:val="00C12D05"/>
    <w:rsid w:val="00C1445B"/>
    <w:rsid w:val="00C14485"/>
    <w:rsid w:val="00C1599D"/>
    <w:rsid w:val="00C15DF8"/>
    <w:rsid w:val="00C168D4"/>
    <w:rsid w:val="00C207FF"/>
    <w:rsid w:val="00C21628"/>
    <w:rsid w:val="00C22105"/>
    <w:rsid w:val="00C230EE"/>
    <w:rsid w:val="00C244B6"/>
    <w:rsid w:val="00C262E4"/>
    <w:rsid w:val="00C27E88"/>
    <w:rsid w:val="00C30AC7"/>
    <w:rsid w:val="00C3411F"/>
    <w:rsid w:val="00C341E7"/>
    <w:rsid w:val="00C34DFE"/>
    <w:rsid w:val="00C367B9"/>
    <w:rsid w:val="00C3702F"/>
    <w:rsid w:val="00C4118F"/>
    <w:rsid w:val="00C45C6B"/>
    <w:rsid w:val="00C46C64"/>
    <w:rsid w:val="00C477D5"/>
    <w:rsid w:val="00C47820"/>
    <w:rsid w:val="00C47E73"/>
    <w:rsid w:val="00C47F03"/>
    <w:rsid w:val="00C50C8C"/>
    <w:rsid w:val="00C546E9"/>
    <w:rsid w:val="00C55EA2"/>
    <w:rsid w:val="00C579F3"/>
    <w:rsid w:val="00C605D3"/>
    <w:rsid w:val="00C61739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69EB"/>
    <w:rsid w:val="00C76B2F"/>
    <w:rsid w:val="00C77A62"/>
    <w:rsid w:val="00C77C0E"/>
    <w:rsid w:val="00C77D61"/>
    <w:rsid w:val="00C81BB7"/>
    <w:rsid w:val="00C81E05"/>
    <w:rsid w:val="00C83209"/>
    <w:rsid w:val="00C85A06"/>
    <w:rsid w:val="00C86F50"/>
    <w:rsid w:val="00C91258"/>
    <w:rsid w:val="00C91687"/>
    <w:rsid w:val="00C91EDB"/>
    <w:rsid w:val="00C924A8"/>
    <w:rsid w:val="00C945FE"/>
    <w:rsid w:val="00C94D80"/>
    <w:rsid w:val="00C96E79"/>
    <w:rsid w:val="00C96FAA"/>
    <w:rsid w:val="00C97135"/>
    <w:rsid w:val="00C97596"/>
    <w:rsid w:val="00C97A04"/>
    <w:rsid w:val="00CA107B"/>
    <w:rsid w:val="00CA2DC0"/>
    <w:rsid w:val="00CA484D"/>
    <w:rsid w:val="00CA56A9"/>
    <w:rsid w:val="00CA56E2"/>
    <w:rsid w:val="00CA5A72"/>
    <w:rsid w:val="00CB137D"/>
    <w:rsid w:val="00CB1714"/>
    <w:rsid w:val="00CB17F1"/>
    <w:rsid w:val="00CB2E97"/>
    <w:rsid w:val="00CB6DD9"/>
    <w:rsid w:val="00CB77FC"/>
    <w:rsid w:val="00CC0A96"/>
    <w:rsid w:val="00CC1C7C"/>
    <w:rsid w:val="00CC20F2"/>
    <w:rsid w:val="00CC3119"/>
    <w:rsid w:val="00CC3D49"/>
    <w:rsid w:val="00CC5399"/>
    <w:rsid w:val="00CC739E"/>
    <w:rsid w:val="00CD07B6"/>
    <w:rsid w:val="00CD19A6"/>
    <w:rsid w:val="00CD58B7"/>
    <w:rsid w:val="00CE04C2"/>
    <w:rsid w:val="00CE3A47"/>
    <w:rsid w:val="00CE7D7D"/>
    <w:rsid w:val="00CF0172"/>
    <w:rsid w:val="00CF0937"/>
    <w:rsid w:val="00CF1350"/>
    <w:rsid w:val="00CF35F4"/>
    <w:rsid w:val="00CF4099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1BA9"/>
    <w:rsid w:val="00D23432"/>
    <w:rsid w:val="00D23C58"/>
    <w:rsid w:val="00D242D7"/>
    <w:rsid w:val="00D247EC"/>
    <w:rsid w:val="00D254E8"/>
    <w:rsid w:val="00D2614A"/>
    <w:rsid w:val="00D261A2"/>
    <w:rsid w:val="00D3100F"/>
    <w:rsid w:val="00D319AA"/>
    <w:rsid w:val="00D31EF5"/>
    <w:rsid w:val="00D326B3"/>
    <w:rsid w:val="00D33CF7"/>
    <w:rsid w:val="00D34DB9"/>
    <w:rsid w:val="00D3785A"/>
    <w:rsid w:val="00D37F7E"/>
    <w:rsid w:val="00D40EE5"/>
    <w:rsid w:val="00D41349"/>
    <w:rsid w:val="00D41E92"/>
    <w:rsid w:val="00D41F22"/>
    <w:rsid w:val="00D43C5B"/>
    <w:rsid w:val="00D44740"/>
    <w:rsid w:val="00D458C6"/>
    <w:rsid w:val="00D45A80"/>
    <w:rsid w:val="00D47C99"/>
    <w:rsid w:val="00D52431"/>
    <w:rsid w:val="00D54994"/>
    <w:rsid w:val="00D5672C"/>
    <w:rsid w:val="00D569E3"/>
    <w:rsid w:val="00D57544"/>
    <w:rsid w:val="00D57B57"/>
    <w:rsid w:val="00D6027A"/>
    <w:rsid w:val="00D604E6"/>
    <w:rsid w:val="00D611CB"/>
    <w:rsid w:val="00D616D2"/>
    <w:rsid w:val="00D63B5F"/>
    <w:rsid w:val="00D66632"/>
    <w:rsid w:val="00D70EF7"/>
    <w:rsid w:val="00D7204D"/>
    <w:rsid w:val="00D72420"/>
    <w:rsid w:val="00D732E9"/>
    <w:rsid w:val="00D75AC8"/>
    <w:rsid w:val="00D82434"/>
    <w:rsid w:val="00D82D42"/>
    <w:rsid w:val="00D8397C"/>
    <w:rsid w:val="00D84227"/>
    <w:rsid w:val="00D84674"/>
    <w:rsid w:val="00D909DE"/>
    <w:rsid w:val="00D9348C"/>
    <w:rsid w:val="00D93B52"/>
    <w:rsid w:val="00D94303"/>
    <w:rsid w:val="00D94370"/>
    <w:rsid w:val="00D944D5"/>
    <w:rsid w:val="00D94EED"/>
    <w:rsid w:val="00D96026"/>
    <w:rsid w:val="00DA2545"/>
    <w:rsid w:val="00DA6EA0"/>
    <w:rsid w:val="00DA7B02"/>
    <w:rsid w:val="00DA7C1C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37DD"/>
    <w:rsid w:val="00DC4F14"/>
    <w:rsid w:val="00DC55FE"/>
    <w:rsid w:val="00DC622B"/>
    <w:rsid w:val="00DC660E"/>
    <w:rsid w:val="00DC6708"/>
    <w:rsid w:val="00DD11D3"/>
    <w:rsid w:val="00DD3D8D"/>
    <w:rsid w:val="00DD4DFB"/>
    <w:rsid w:val="00DD581E"/>
    <w:rsid w:val="00DD6499"/>
    <w:rsid w:val="00DD7927"/>
    <w:rsid w:val="00DE1FF8"/>
    <w:rsid w:val="00DE3D0B"/>
    <w:rsid w:val="00DE526D"/>
    <w:rsid w:val="00DE7495"/>
    <w:rsid w:val="00DF0DB3"/>
    <w:rsid w:val="00DF18C1"/>
    <w:rsid w:val="00DF1F1F"/>
    <w:rsid w:val="00DF217B"/>
    <w:rsid w:val="00DF2C2B"/>
    <w:rsid w:val="00DF2C5B"/>
    <w:rsid w:val="00DF347E"/>
    <w:rsid w:val="00DF5EAB"/>
    <w:rsid w:val="00DF79BB"/>
    <w:rsid w:val="00E01432"/>
    <w:rsid w:val="00E01436"/>
    <w:rsid w:val="00E019E8"/>
    <w:rsid w:val="00E0283E"/>
    <w:rsid w:val="00E045BD"/>
    <w:rsid w:val="00E04DA7"/>
    <w:rsid w:val="00E0590E"/>
    <w:rsid w:val="00E05D9B"/>
    <w:rsid w:val="00E14D38"/>
    <w:rsid w:val="00E15B87"/>
    <w:rsid w:val="00E15D68"/>
    <w:rsid w:val="00E15F82"/>
    <w:rsid w:val="00E17B77"/>
    <w:rsid w:val="00E20016"/>
    <w:rsid w:val="00E20A2F"/>
    <w:rsid w:val="00E2320E"/>
    <w:rsid w:val="00E23337"/>
    <w:rsid w:val="00E259EA"/>
    <w:rsid w:val="00E260BD"/>
    <w:rsid w:val="00E27C44"/>
    <w:rsid w:val="00E27E57"/>
    <w:rsid w:val="00E30E0C"/>
    <w:rsid w:val="00E32061"/>
    <w:rsid w:val="00E34341"/>
    <w:rsid w:val="00E35326"/>
    <w:rsid w:val="00E358B8"/>
    <w:rsid w:val="00E365E7"/>
    <w:rsid w:val="00E36CA6"/>
    <w:rsid w:val="00E41755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1E6D"/>
    <w:rsid w:val="00E522A7"/>
    <w:rsid w:val="00E52BE5"/>
    <w:rsid w:val="00E54452"/>
    <w:rsid w:val="00E55A3B"/>
    <w:rsid w:val="00E564CB"/>
    <w:rsid w:val="00E566AA"/>
    <w:rsid w:val="00E5749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1A71"/>
    <w:rsid w:val="00E72AEF"/>
    <w:rsid w:val="00E74EFD"/>
    <w:rsid w:val="00E76D26"/>
    <w:rsid w:val="00E77CA0"/>
    <w:rsid w:val="00E818F0"/>
    <w:rsid w:val="00E82417"/>
    <w:rsid w:val="00E8241F"/>
    <w:rsid w:val="00E827C6"/>
    <w:rsid w:val="00E839A3"/>
    <w:rsid w:val="00E83E5B"/>
    <w:rsid w:val="00E83F9C"/>
    <w:rsid w:val="00E911D8"/>
    <w:rsid w:val="00E91F20"/>
    <w:rsid w:val="00E927BF"/>
    <w:rsid w:val="00E92C50"/>
    <w:rsid w:val="00E933C8"/>
    <w:rsid w:val="00E93EC8"/>
    <w:rsid w:val="00E94640"/>
    <w:rsid w:val="00E9796C"/>
    <w:rsid w:val="00EA08FC"/>
    <w:rsid w:val="00EA29C5"/>
    <w:rsid w:val="00EA66F1"/>
    <w:rsid w:val="00EA7720"/>
    <w:rsid w:val="00EB1390"/>
    <w:rsid w:val="00EB2C71"/>
    <w:rsid w:val="00EB4340"/>
    <w:rsid w:val="00EB556D"/>
    <w:rsid w:val="00EB597B"/>
    <w:rsid w:val="00EB5A7D"/>
    <w:rsid w:val="00EB62AD"/>
    <w:rsid w:val="00EC41E1"/>
    <w:rsid w:val="00EC4857"/>
    <w:rsid w:val="00EC6929"/>
    <w:rsid w:val="00ED0DA5"/>
    <w:rsid w:val="00ED162C"/>
    <w:rsid w:val="00ED190D"/>
    <w:rsid w:val="00ED382A"/>
    <w:rsid w:val="00ED3946"/>
    <w:rsid w:val="00ED55C0"/>
    <w:rsid w:val="00ED682B"/>
    <w:rsid w:val="00ED6887"/>
    <w:rsid w:val="00ED7F24"/>
    <w:rsid w:val="00EE104A"/>
    <w:rsid w:val="00EE12C0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2404"/>
    <w:rsid w:val="00F02688"/>
    <w:rsid w:val="00F02AC8"/>
    <w:rsid w:val="00F037A4"/>
    <w:rsid w:val="00F10DEB"/>
    <w:rsid w:val="00F11A4E"/>
    <w:rsid w:val="00F135F5"/>
    <w:rsid w:val="00F141C5"/>
    <w:rsid w:val="00F157AC"/>
    <w:rsid w:val="00F16725"/>
    <w:rsid w:val="00F2097F"/>
    <w:rsid w:val="00F21E25"/>
    <w:rsid w:val="00F25E93"/>
    <w:rsid w:val="00F261D4"/>
    <w:rsid w:val="00F279C1"/>
    <w:rsid w:val="00F27C8F"/>
    <w:rsid w:val="00F30026"/>
    <w:rsid w:val="00F31E41"/>
    <w:rsid w:val="00F32749"/>
    <w:rsid w:val="00F35B03"/>
    <w:rsid w:val="00F35F67"/>
    <w:rsid w:val="00F3689B"/>
    <w:rsid w:val="00F36FBC"/>
    <w:rsid w:val="00F37172"/>
    <w:rsid w:val="00F407AC"/>
    <w:rsid w:val="00F41B4D"/>
    <w:rsid w:val="00F428FB"/>
    <w:rsid w:val="00F42B79"/>
    <w:rsid w:val="00F43718"/>
    <w:rsid w:val="00F443DC"/>
    <w:rsid w:val="00F4477E"/>
    <w:rsid w:val="00F5176B"/>
    <w:rsid w:val="00F56387"/>
    <w:rsid w:val="00F564AF"/>
    <w:rsid w:val="00F56DE2"/>
    <w:rsid w:val="00F56E08"/>
    <w:rsid w:val="00F6158E"/>
    <w:rsid w:val="00F63CF6"/>
    <w:rsid w:val="00F64547"/>
    <w:rsid w:val="00F64AC1"/>
    <w:rsid w:val="00F65B96"/>
    <w:rsid w:val="00F6649C"/>
    <w:rsid w:val="00F67AC9"/>
    <w:rsid w:val="00F67D8F"/>
    <w:rsid w:val="00F72D50"/>
    <w:rsid w:val="00F73676"/>
    <w:rsid w:val="00F742E9"/>
    <w:rsid w:val="00F7520F"/>
    <w:rsid w:val="00F75289"/>
    <w:rsid w:val="00F75EFD"/>
    <w:rsid w:val="00F765CE"/>
    <w:rsid w:val="00F76881"/>
    <w:rsid w:val="00F76935"/>
    <w:rsid w:val="00F775A7"/>
    <w:rsid w:val="00F802BE"/>
    <w:rsid w:val="00F84706"/>
    <w:rsid w:val="00F86024"/>
    <w:rsid w:val="00F8611A"/>
    <w:rsid w:val="00F8742E"/>
    <w:rsid w:val="00F9175A"/>
    <w:rsid w:val="00F93B0D"/>
    <w:rsid w:val="00F94C36"/>
    <w:rsid w:val="00F95916"/>
    <w:rsid w:val="00F9784B"/>
    <w:rsid w:val="00FA1F0C"/>
    <w:rsid w:val="00FA1FBA"/>
    <w:rsid w:val="00FA3C7D"/>
    <w:rsid w:val="00FA5128"/>
    <w:rsid w:val="00FA544B"/>
    <w:rsid w:val="00FA6130"/>
    <w:rsid w:val="00FB0E10"/>
    <w:rsid w:val="00FB42D4"/>
    <w:rsid w:val="00FB5472"/>
    <w:rsid w:val="00FB57EA"/>
    <w:rsid w:val="00FB5906"/>
    <w:rsid w:val="00FB5CE7"/>
    <w:rsid w:val="00FB73D5"/>
    <w:rsid w:val="00FB762F"/>
    <w:rsid w:val="00FB7D0A"/>
    <w:rsid w:val="00FC0A3C"/>
    <w:rsid w:val="00FC19E8"/>
    <w:rsid w:val="00FC2AED"/>
    <w:rsid w:val="00FC3A72"/>
    <w:rsid w:val="00FC3D6D"/>
    <w:rsid w:val="00FC72BB"/>
    <w:rsid w:val="00FD021B"/>
    <w:rsid w:val="00FD440A"/>
    <w:rsid w:val="00FD4A9C"/>
    <w:rsid w:val="00FD532B"/>
    <w:rsid w:val="00FD5EA7"/>
    <w:rsid w:val="00FE0E7F"/>
    <w:rsid w:val="00FE17E2"/>
    <w:rsid w:val="00FE19D5"/>
    <w:rsid w:val="00FE51A2"/>
    <w:rsid w:val="00FE638A"/>
    <w:rsid w:val="00FE6CB4"/>
    <w:rsid w:val="00FF0242"/>
    <w:rsid w:val="00FF1064"/>
    <w:rsid w:val="00FF147C"/>
    <w:rsid w:val="00FF407B"/>
    <w:rsid w:val="00FF45E1"/>
    <w:rsid w:val="00FF4B2F"/>
    <w:rsid w:val="00FF4D12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6.png"/><Relationship Id="rId39" Type="http://schemas.openxmlformats.org/officeDocument/2006/relationships/hyperlink" Target="http://swaid.stat.gov.pl/SitePagesDBW/Budownictwo.aspx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yperlink" Target="http://stat.gov.pl/metainformacje/slownik-pojec/pojecia-stosowane-w-statystyce-publicznej/1743,pojecie.html" TargetMode="External"/><Relationship Id="rId42" Type="http://schemas.openxmlformats.org/officeDocument/2006/relationships/hyperlink" Target="https://stat.gov.pl/metainformacje/slownik-pojec/pojecia-stosowane-w-statystyce-publicznej/3175,pojecie.html" TargetMode="External"/><Relationship Id="rId47" Type="http://schemas.openxmlformats.org/officeDocument/2006/relationships/hyperlink" Target="https://stat.gov.pl/metainformacje/slownik-pojec/pojecia-stosowane-w-statystyce-publicznej/168,pojecie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5.png"/><Relationship Id="rId33" Type="http://schemas.openxmlformats.org/officeDocument/2006/relationships/hyperlink" Target="http://stat.gov.pl/metainformacje/slownik-pojec/pojecia-stosowane-w-statystyce-publicznej/3176,pojecie.html" TargetMode="External"/><Relationship Id="rId38" Type="http://schemas.openxmlformats.org/officeDocument/2006/relationships/hyperlink" Target="https://stat.gov.pl/obszary-tematyczne/przemysl-budownictwo-srodki-trwale/budownictwo/publikacja,5.html" TargetMode="External"/><Relationship Id="rId46" Type="http://schemas.openxmlformats.org/officeDocument/2006/relationships/hyperlink" Target="https://stat.gov.pl/metainformacje/slownik-pojec/pojecia-stosowane-w-statystyce-publicznej/1311,pojeci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Budownictwo.aspx" TargetMode="External"/><Relationship Id="rId41" Type="http://schemas.openxmlformats.org/officeDocument/2006/relationships/hyperlink" Target="https://stat.gov.pl/metainformacje/slownik-pojec/pojecia-stosowane-w-statystyce-publicznej/942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stat.gov.pl/metainformacje/slownik-pojec/pojecia-stosowane-w-statystyce-publicznej/3175,pojecie.html" TargetMode="External"/><Relationship Id="rId37" Type="http://schemas.openxmlformats.org/officeDocument/2006/relationships/hyperlink" Target="https://stat.gov.pl/metainformacje/slownik-pojec/pojecia-stosowane-w-statystyce-publicznej/168,pojecie.html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yperlink" Target="http://stat.gov.pl/metainformacje/slownik-pojec/pojecia-stosowane-w-statystyce-publicznej/329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stat.gov.pl/obszary-tematyczne/przemysl-budownictwo-srodki-trwale/budownictwo/publikacja,5.html" TargetMode="External"/><Relationship Id="rId36" Type="http://schemas.openxmlformats.org/officeDocument/2006/relationships/hyperlink" Target="https://stat.gov.pl/metainformacje/slownik-pojec/pojecia-stosowane-w-statystyce-publicznej/1311,pojecie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31" Type="http://schemas.openxmlformats.org/officeDocument/2006/relationships/hyperlink" Target="https://stat.gov.pl/metainformacje/slownik-pojec/pojecia-stosowane-w-statystyce-publicznej/942,pojecie.html" TargetMode="External"/><Relationship Id="rId44" Type="http://schemas.openxmlformats.org/officeDocument/2006/relationships/hyperlink" Target="http://stat.gov.pl/metainformacje/slownik-pojec/pojecia-stosowane-w-statystyce-publicznej/1743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Z.Kurlej@stat.gov.pl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329,pojecie.html" TargetMode="External"/><Relationship Id="rId43" Type="http://schemas.openxmlformats.org/officeDocument/2006/relationships/hyperlink" Target="http://stat.gov.pl/metainformacje/slownik-pojec/pojecia-stosowane-w-statystyce-publicznej/3176,pojecie.html" TargetMode="External"/><Relationship Id="rId48" Type="http://schemas.openxmlformats.org/officeDocument/2006/relationships/header" Target="header4.xml"/><Relationship Id="rId8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AB79-6D29-4D50-A558-9156AC17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2330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okresie trzech kwartałów 2019 roku.</dc:title>
  <cp:revision>4</cp:revision>
  <cp:lastPrinted>2019-12-13T10:18:00Z</cp:lastPrinted>
  <dcterms:created xsi:type="dcterms:W3CDTF">2019-12-13T10:18:00Z</dcterms:created>
  <dcterms:modified xsi:type="dcterms:W3CDTF">2019-12-16T09:20:00Z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