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FC56C" w14:textId="77777777" w:rsidR="004F169E" w:rsidRDefault="004F169E" w:rsidP="00287268">
      <w:pPr>
        <w:pStyle w:val="tytuinformacji"/>
        <w:suppressAutoHyphens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 xml:space="preserve">Nakłady inwestycyjne oraz środki trwałe </w:t>
      </w:r>
      <w:r>
        <w:rPr>
          <w:shd w:val="clear" w:color="auto" w:fill="FFFFFF"/>
        </w:rPr>
        <w:br/>
        <w:t xml:space="preserve">w gospodarce narodowej w 2018 r. </w:t>
      </w:r>
    </w:p>
    <w:p w14:paraId="5825A52A" w14:textId="77777777" w:rsidR="004F169E" w:rsidRPr="0022306F" w:rsidRDefault="004F169E" w:rsidP="00287268">
      <w:pPr>
        <w:pStyle w:val="tytuinformacji"/>
        <w:suppressAutoHyphens/>
        <w:rPr>
          <w:sz w:val="32"/>
        </w:rPr>
      </w:pPr>
      <w:r w:rsidRPr="0022306F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09515B2" wp14:editId="426E0809">
                <wp:simplePos x="0" y="0"/>
                <wp:positionH relativeFrom="column">
                  <wp:posOffset>5236210</wp:posOffset>
                </wp:positionH>
                <wp:positionV relativeFrom="paragraph">
                  <wp:posOffset>252095</wp:posOffset>
                </wp:positionV>
                <wp:extent cx="1767840" cy="1042670"/>
                <wp:effectExtent l="0" t="0" r="0" b="5080"/>
                <wp:wrapTight wrapText="bothSides">
                  <wp:wrapPolygon edited="0">
                    <wp:start x="698" y="0"/>
                    <wp:lineTo x="698" y="21311"/>
                    <wp:lineTo x="20716" y="21311"/>
                    <wp:lineTo x="20716" y="0"/>
                    <wp:lineTo x="698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EA4C" w14:textId="77777777" w:rsidR="004F169E" w:rsidRDefault="004F169E" w:rsidP="00FF1D3B">
                            <w:pPr>
                              <w:pStyle w:val="tekstzboku"/>
                              <w:suppressAutoHyphens/>
                            </w:pPr>
                            <w:r>
                              <w:t xml:space="preserve">Wzrost nakładów inwestycyjnych o 15,4%. </w:t>
                            </w:r>
                            <w:r>
                              <w:br/>
                              <w:t>Wzrost wartości brutto środków trwałych o 3,9%</w:t>
                            </w:r>
                          </w:p>
                          <w:p w14:paraId="09A06A29" w14:textId="77777777" w:rsidR="004F169E" w:rsidRPr="00074DD8" w:rsidRDefault="004F169E" w:rsidP="004F169E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515B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3pt;margin-top:19.85pt;width:139.2pt;height:82.1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" filled="f" stroked="f">
                <v:textbox>
                  <w:txbxContent>
                    <w:p w14:paraId="73E3EA4C" w14:textId="77777777" w:rsidR="004F169E" w:rsidRDefault="004F169E" w:rsidP="00FF1D3B">
                      <w:pPr>
                        <w:pStyle w:val="tekstzboku"/>
                        <w:suppressAutoHyphens/>
                      </w:pPr>
                      <w:r>
                        <w:t xml:space="preserve">Wzrost nakładów inwestycyjnych o 15,4%. </w:t>
                      </w:r>
                      <w:r>
                        <w:br/>
                        <w:t>Wzrost wartości brutto środków trwałych o 3,9%</w:t>
                      </w:r>
                    </w:p>
                    <w:p w14:paraId="09A06A29" w14:textId="77777777" w:rsidR="004F169E" w:rsidRPr="00074DD8" w:rsidRDefault="004F169E" w:rsidP="004F169E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3E2070" w14:textId="699B800C" w:rsidR="004F169E" w:rsidRDefault="004F169E" w:rsidP="00D21F4A">
      <w:pPr>
        <w:pStyle w:val="LID"/>
        <w:suppressAutoHyphens/>
      </w:pPr>
      <w: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23707DB" wp14:editId="64351414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7135"/>
                <wp:effectExtent l="0" t="0" r="0" b="0"/>
                <wp:wrapSquare wrapText="bothSides"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71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566CE" w14:textId="77777777" w:rsidR="004F169E" w:rsidRDefault="004F169E" w:rsidP="004F169E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2DDA4E51" wp14:editId="2AFB391E">
                                  <wp:extent cx="336550" cy="343535"/>
                                  <wp:effectExtent l="0" t="0" r="6350" b="0"/>
                                  <wp:docPr id="36" name="Obraz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43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1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115,4</w:t>
                            </w:r>
                          </w:p>
                          <w:p w14:paraId="5215EAB7" w14:textId="77777777" w:rsidR="004F169E" w:rsidRDefault="004F169E" w:rsidP="004F169E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Dynamika realna inwestycji w 2018 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07DB" id="Pole tekstowe 37" o:spid="_x0000_s1027" type="#_x0000_t202" style="position:absolute;left:0;text-align:left;margin-left:0;margin-top:6.55pt;width:2in;height:95.0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" fillcolor="#001d77" stroked="f">
                <v:textbox>
                  <w:txbxContent>
                    <w:p w14:paraId="6A1566CE" w14:textId="77777777" w:rsidR="004F169E" w:rsidRDefault="004F169E" w:rsidP="004F169E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2DDA4E51" wp14:editId="2AFB391E">
                            <wp:extent cx="336550" cy="343535"/>
                            <wp:effectExtent l="0" t="0" r="6350" b="0"/>
                            <wp:docPr id="36" name="Obraz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43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1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115,4</w:t>
                      </w:r>
                    </w:p>
                    <w:p w14:paraId="5215EAB7" w14:textId="77777777" w:rsidR="004F169E" w:rsidRDefault="004F169E" w:rsidP="004F169E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Dynamika realna inwestycji w 2018 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Wartoś</w:t>
      </w:r>
      <w:r w:rsidR="00330800">
        <w:t>ć</w:t>
      </w:r>
      <w:r>
        <w:t xml:space="preserve"> nakładów inwestycyjnych w gospodarce narodowej w porównaniu z poprzednim rokiem wzrosła </w:t>
      </w:r>
      <w:r>
        <w:br/>
        <w:t xml:space="preserve">o 15,4%. Wartość brutto środków trwałych wzrosła o 3,9% (w cenach stałych). </w:t>
      </w:r>
    </w:p>
    <w:p w14:paraId="656F3CE8" w14:textId="77777777" w:rsidR="004F169E" w:rsidRPr="0022306F" w:rsidRDefault="004F169E" w:rsidP="00287268">
      <w:pPr>
        <w:pStyle w:val="Nagwek1"/>
        <w:suppressAutoHyphens/>
        <w:spacing w:before="0"/>
        <w:jc w:val="center"/>
        <w:rPr>
          <w:rFonts w:ascii="Fira Sans" w:hAnsi="Fira Sans"/>
          <w:b/>
          <w:color w:val="212492"/>
          <w:spacing w:val="-2"/>
          <w:szCs w:val="19"/>
        </w:rPr>
      </w:pPr>
    </w:p>
    <w:p w14:paraId="77807069" w14:textId="77777777" w:rsidR="004F169E" w:rsidRPr="0022306F" w:rsidRDefault="004F169E" w:rsidP="00287268">
      <w:pPr>
        <w:pStyle w:val="Nagwek1"/>
        <w:suppressAutoHyphens/>
        <w:rPr>
          <w:shd w:val="clear" w:color="auto" w:fill="FFFFFF"/>
        </w:rPr>
      </w:pPr>
      <w:r w:rsidRPr="0022306F">
        <w:rPr>
          <w:shd w:val="clear" w:color="auto" w:fill="FFFFFF"/>
        </w:rPr>
        <w:t xml:space="preserve"> </w:t>
      </w:r>
    </w:p>
    <w:p w14:paraId="15656E13" w14:textId="77777777" w:rsidR="004F169E" w:rsidRPr="0022306F" w:rsidRDefault="004F169E" w:rsidP="00287268">
      <w:pPr>
        <w:pStyle w:val="Nagwek1"/>
        <w:suppressAutoHyphens/>
      </w:pPr>
    </w:p>
    <w:p w14:paraId="77294240" w14:textId="77777777" w:rsidR="00F0372F" w:rsidRDefault="00F0372F" w:rsidP="00287268">
      <w:pPr>
        <w:pStyle w:val="Nagwek1"/>
        <w:suppressAutoHyphens/>
      </w:pPr>
    </w:p>
    <w:p w14:paraId="7F3496FA" w14:textId="77777777" w:rsidR="004F169E" w:rsidRDefault="004F169E" w:rsidP="00287268">
      <w:pPr>
        <w:pStyle w:val="Nagwek1"/>
        <w:suppressAutoHyphens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635033F5" wp14:editId="16E61F0A">
                <wp:simplePos x="0" y="0"/>
                <wp:positionH relativeFrom="column">
                  <wp:posOffset>5270500</wp:posOffset>
                </wp:positionH>
                <wp:positionV relativeFrom="paragraph">
                  <wp:posOffset>158115</wp:posOffset>
                </wp:positionV>
                <wp:extent cx="1725295" cy="1026160"/>
                <wp:effectExtent l="0" t="0" r="0" b="2540"/>
                <wp:wrapTight wrapText="bothSides">
                  <wp:wrapPolygon edited="0">
                    <wp:start x="715" y="0"/>
                    <wp:lineTo x="715" y="21252"/>
                    <wp:lineTo x="20749" y="21252"/>
                    <wp:lineTo x="20749" y="0"/>
                    <wp:lineTo x="715" y="0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6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AF684" w14:textId="77777777" w:rsidR="004F169E" w:rsidRDefault="004F169E" w:rsidP="00FF1D3B">
                            <w:pPr>
                              <w:pStyle w:val="tekstzboku"/>
                              <w:suppressAutoHyphens/>
                            </w:pPr>
                            <w:r>
                              <w:t>Nakłady inwestycyjne</w:t>
                            </w:r>
                            <w:r>
                              <w:br/>
                              <w:t>w gospodarce narodowej</w:t>
                            </w:r>
                            <w:r>
                              <w:br/>
                              <w:t>w 2018 r. wyniosły</w:t>
                            </w:r>
                            <w:r>
                              <w:br/>
                              <w:t>302 675 mln zł (w cenach bieżących)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033F5" id="Pole tekstowe 38" o:spid="_x0000_s1028" type="#_x0000_t202" style="position:absolute;margin-left:415pt;margin-top:12.45pt;width:135.85pt;height:80.8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" filled="f" stroked="f">
                <v:textbox>
                  <w:txbxContent>
                    <w:p w14:paraId="02CAF684" w14:textId="77777777" w:rsidR="004F169E" w:rsidRDefault="004F169E" w:rsidP="00FF1D3B">
                      <w:pPr>
                        <w:pStyle w:val="tekstzboku"/>
                        <w:suppressAutoHyphens/>
                      </w:pPr>
                      <w:r>
                        <w:t>Nakłady inwestycyjne</w:t>
                      </w:r>
                      <w:r>
                        <w:br/>
                        <w:t>w gospodarce narodowej</w:t>
                      </w:r>
                      <w:r>
                        <w:br/>
                        <w:t>w 2018 r. wyniosły</w:t>
                      </w:r>
                      <w:r>
                        <w:br/>
                        <w:t>302 675 mln zł (w cenach bieżących)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Nakłady inwestycyjne w gospodarce narodowej w 2018 r.</w:t>
      </w:r>
    </w:p>
    <w:p w14:paraId="1F90E9EF" w14:textId="77777777" w:rsidR="004F169E" w:rsidRDefault="004F169E" w:rsidP="00D21F4A">
      <w:pPr>
        <w:suppressAutoHyphens/>
        <w:rPr>
          <w:shd w:val="clear" w:color="auto" w:fill="FFFFFF"/>
        </w:rPr>
      </w:pPr>
      <w:r>
        <w:rPr>
          <w:shd w:val="clear" w:color="auto" w:fill="FFFFFF"/>
        </w:rPr>
        <w:t>W 2018 roku wartość nakładów inwestycyjnych w gospodarce narodowej wyniosła</w:t>
      </w:r>
      <w:r>
        <w:rPr>
          <w:shd w:val="clear" w:color="auto" w:fill="FFFFFF"/>
        </w:rPr>
        <w:br/>
        <w:t xml:space="preserve">302 675 mln zł, w tym wartość nakładów na: </w:t>
      </w:r>
    </w:p>
    <w:p w14:paraId="156B4C12" w14:textId="4E8D84B2" w:rsidR="004F169E" w:rsidRDefault="004F169E" w:rsidP="00D21F4A">
      <w:pPr>
        <w:pStyle w:val="Akapitzlist"/>
        <w:numPr>
          <w:ilvl w:val="0"/>
          <w:numId w:val="3"/>
        </w:numPr>
        <w:suppressAutoHyphens/>
        <w:rPr>
          <w:shd w:val="clear" w:color="auto" w:fill="FFFFFF"/>
        </w:rPr>
      </w:pPr>
      <w:r>
        <w:rPr>
          <w:shd w:val="clear" w:color="auto" w:fill="FFFFFF"/>
        </w:rPr>
        <w:t>budynki i budowle – 161 930 mln zł (53,5%)</w:t>
      </w:r>
      <w:r w:rsidR="00D4350F">
        <w:rPr>
          <w:shd w:val="clear" w:color="auto" w:fill="FFFFFF"/>
        </w:rPr>
        <w:t>,</w:t>
      </w:r>
    </w:p>
    <w:p w14:paraId="505204A3" w14:textId="262871E3" w:rsidR="004F169E" w:rsidRDefault="004F169E" w:rsidP="00D21F4A">
      <w:pPr>
        <w:pStyle w:val="Akapitzlist"/>
        <w:numPr>
          <w:ilvl w:val="0"/>
          <w:numId w:val="3"/>
        </w:numPr>
        <w:suppressAutoHyphens/>
        <w:rPr>
          <w:shd w:val="clear" w:color="auto" w:fill="FFFFFF"/>
        </w:rPr>
      </w:pPr>
      <w:r>
        <w:rPr>
          <w:shd w:val="clear" w:color="auto" w:fill="FFFFFF"/>
        </w:rPr>
        <w:t>maszyny, urządzenia techniczne i narzędzia – 100 241 mln zł (33,1%)</w:t>
      </w:r>
      <w:r w:rsidR="00D4350F">
        <w:rPr>
          <w:shd w:val="clear" w:color="auto" w:fill="FFFFFF"/>
        </w:rPr>
        <w:t>,</w:t>
      </w:r>
    </w:p>
    <w:p w14:paraId="7588C098" w14:textId="77777777" w:rsidR="004F169E" w:rsidRDefault="004F169E" w:rsidP="00D21F4A">
      <w:pPr>
        <w:pStyle w:val="Akapitzlist"/>
        <w:numPr>
          <w:ilvl w:val="0"/>
          <w:numId w:val="3"/>
        </w:numPr>
        <w:suppressAutoHyphens/>
        <w:rPr>
          <w:shd w:val="clear" w:color="auto" w:fill="FFFFFF"/>
        </w:rPr>
      </w:pPr>
      <w:r>
        <w:rPr>
          <w:shd w:val="clear" w:color="auto" w:fill="FFFFFF"/>
        </w:rPr>
        <w:t>środki transportu – 38 120 mln zł (12,6%).</w:t>
      </w:r>
    </w:p>
    <w:p w14:paraId="1A519031" w14:textId="77777777" w:rsidR="004F169E" w:rsidRDefault="004F169E" w:rsidP="00D21F4A">
      <w:pPr>
        <w:suppressAutoHyphens/>
        <w:rPr>
          <w:shd w:val="clear" w:color="auto" w:fill="FFFFFF"/>
        </w:rPr>
      </w:pPr>
    </w:p>
    <w:p w14:paraId="46155CC6" w14:textId="39766BE6" w:rsidR="004F169E" w:rsidRDefault="004F169E" w:rsidP="00D21F4A">
      <w:pPr>
        <w:suppressAutoHyphens/>
        <w:rPr>
          <w:shd w:val="clear" w:color="auto" w:fill="FFFFFF"/>
        </w:rPr>
      </w:pPr>
      <w:r>
        <w:rPr>
          <w:shd w:val="clear" w:color="auto" w:fill="FFFFFF"/>
        </w:rPr>
        <w:t>W 2018 roku udział jednostek sektora prywatnego w nakładach ogółem spadł z 69,7% do 64,4% w porównaniu z rokiem poprzednim. Udział sektora publi</w:t>
      </w:r>
      <w:r w:rsidR="00D4350F">
        <w:rPr>
          <w:shd w:val="clear" w:color="auto" w:fill="FFFFFF"/>
        </w:rPr>
        <w:t>cznego wzrósł odpowiednio z 30,</w:t>
      </w:r>
      <w:r>
        <w:rPr>
          <w:shd w:val="clear" w:color="auto" w:fill="FFFFFF"/>
        </w:rPr>
        <w:t xml:space="preserve">3% do 35,6%. </w:t>
      </w:r>
    </w:p>
    <w:p w14:paraId="3C9501E1" w14:textId="162FE6D2" w:rsidR="004F169E" w:rsidRDefault="004F169E" w:rsidP="00D21F4A">
      <w:pPr>
        <w:suppressAutoHyphens/>
        <w:rPr>
          <w:shd w:val="clear" w:color="auto" w:fill="FFFFFF"/>
        </w:rPr>
      </w:pPr>
      <w:r>
        <w:rPr>
          <w:shd w:val="clear" w:color="auto" w:fill="FFFFFF"/>
        </w:rPr>
        <w:t>Wartość nakładów</w:t>
      </w:r>
      <w:r w:rsidR="00287268">
        <w:rPr>
          <w:shd w:val="clear" w:color="auto" w:fill="FFFFFF"/>
        </w:rPr>
        <w:t xml:space="preserve"> inwestycyjnych</w:t>
      </w:r>
      <w:r>
        <w:rPr>
          <w:shd w:val="clear" w:color="auto" w:fill="FFFFFF"/>
        </w:rPr>
        <w:t xml:space="preserve"> (w cenach stałych), w porównaniu z</w:t>
      </w:r>
      <w:r w:rsidR="00287268">
        <w:rPr>
          <w:shd w:val="clear" w:color="auto" w:fill="FFFFFF"/>
        </w:rPr>
        <w:t xml:space="preserve"> rokiem poprzednim, była wyższa </w:t>
      </w:r>
      <w:r>
        <w:rPr>
          <w:shd w:val="clear" w:color="auto" w:fill="FFFFFF"/>
        </w:rPr>
        <w:t>o 15,4%. Nakłady na budynki i budowle wzrosły o 18,4%, na maszyny, urządzenia techniczne</w:t>
      </w:r>
      <w:r w:rsidR="00287268">
        <w:rPr>
          <w:shd w:val="clear" w:color="auto" w:fill="FFFFFF"/>
        </w:rPr>
        <w:t xml:space="preserve"> </w:t>
      </w:r>
      <w:r>
        <w:rPr>
          <w:shd w:val="clear" w:color="auto" w:fill="FFFFFF"/>
        </w:rPr>
        <w:t>i narzędzia o 11,1 %, a na środki transportu o 15,2%.</w:t>
      </w:r>
    </w:p>
    <w:p w14:paraId="3B75E86F" w14:textId="236F7B45" w:rsidR="004F169E" w:rsidRDefault="004F169E" w:rsidP="00D21F4A">
      <w:pPr>
        <w:suppressAutoHyphens/>
        <w:rPr>
          <w:shd w:val="clear" w:color="auto" w:fill="FFFFFF"/>
        </w:rPr>
      </w:pPr>
      <w:r>
        <w:rPr>
          <w:shd w:val="clear" w:color="auto" w:fill="FFFFFF"/>
        </w:rPr>
        <w:t>Wzrost dynamiki nakładów inwestycyjn</w:t>
      </w:r>
      <w:r w:rsidR="00287268">
        <w:rPr>
          <w:shd w:val="clear" w:color="auto" w:fill="FFFFFF"/>
        </w:rPr>
        <w:t xml:space="preserve">ych zaobserwowano w większości </w:t>
      </w:r>
      <w:r w:rsidR="00D4350F">
        <w:rPr>
          <w:shd w:val="clear" w:color="auto" w:fill="FFFFFF"/>
        </w:rPr>
        <w:t>obszarów gospodarki</w:t>
      </w:r>
      <w:r>
        <w:rPr>
          <w:shd w:val="clear" w:color="auto" w:fill="FFFFFF"/>
        </w:rPr>
        <w:t>.</w:t>
      </w:r>
      <w:r w:rsidR="00287268">
        <w:rPr>
          <w:shd w:val="clear" w:color="auto" w:fill="FFFFFF"/>
        </w:rPr>
        <w:t xml:space="preserve"> N</w:t>
      </w:r>
      <w:r>
        <w:rPr>
          <w:shd w:val="clear" w:color="auto" w:fill="FFFFFF"/>
        </w:rPr>
        <w:t>ajwyższy wzrost zanotowano w działalności związanej z kulturą, rozrywk</w:t>
      </w:r>
      <w:r w:rsidR="0007156E">
        <w:rPr>
          <w:shd w:val="clear" w:color="auto" w:fill="FFFFFF"/>
        </w:rPr>
        <w:t>ą</w:t>
      </w:r>
      <w:r>
        <w:rPr>
          <w:shd w:val="clear" w:color="auto" w:fill="FFFFFF"/>
        </w:rPr>
        <w:t xml:space="preserve"> i sztuką (dynamika w stosunku do roku poprzedniego wyniosła 166,3), w dostawie wody</w:t>
      </w:r>
      <w:r w:rsidR="0007156E">
        <w:rPr>
          <w:shd w:val="clear" w:color="auto" w:fill="FFFFFF"/>
        </w:rPr>
        <w:t>,</w:t>
      </w:r>
      <w:r>
        <w:rPr>
          <w:shd w:val="clear" w:color="auto" w:fill="FFFFFF"/>
        </w:rPr>
        <w:t xml:space="preserve"> gospodarowaniu ściekami i odpadami oraz działalności związanej z rekultywacją (dynamika 163,6)</w:t>
      </w:r>
      <w:r w:rsidR="0033416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oraz w </w:t>
      </w:r>
      <w:r w:rsidR="00287268">
        <w:rPr>
          <w:shd w:val="clear" w:color="auto" w:fill="FFFFFF"/>
        </w:rPr>
        <w:t>edukacji</w:t>
      </w:r>
      <w:r>
        <w:rPr>
          <w:shd w:val="clear" w:color="auto" w:fill="FFFFFF"/>
        </w:rPr>
        <w:t xml:space="preserve"> (dynamika 140,</w:t>
      </w:r>
      <w:r w:rsidR="00287268">
        <w:rPr>
          <w:shd w:val="clear" w:color="auto" w:fill="FFFFFF"/>
        </w:rPr>
        <w:t>8</w:t>
      </w:r>
      <w:r>
        <w:rPr>
          <w:shd w:val="clear" w:color="auto" w:fill="FFFFFF"/>
        </w:rPr>
        <w:t>)</w:t>
      </w:r>
      <w:r w:rsidR="00F0372F">
        <w:rPr>
          <w:shd w:val="clear" w:color="auto" w:fill="FFFFFF"/>
        </w:rPr>
        <w:t>.</w:t>
      </w:r>
    </w:p>
    <w:p w14:paraId="3562C00B" w14:textId="6B57E350" w:rsidR="004F169E" w:rsidRDefault="004F169E" w:rsidP="00D21F4A">
      <w:pPr>
        <w:suppressAutoHyphens/>
        <w:rPr>
          <w:shd w:val="clear" w:color="auto" w:fill="FFFFFF"/>
        </w:rPr>
      </w:pPr>
      <w:r>
        <w:rPr>
          <w:shd w:val="clear" w:color="auto" w:fill="FFFFFF"/>
        </w:rPr>
        <w:t xml:space="preserve">Spadki wystąpiły w trzech </w:t>
      </w:r>
      <w:r w:rsidR="005101B8">
        <w:rPr>
          <w:shd w:val="clear" w:color="auto" w:fill="FFFFFF"/>
        </w:rPr>
        <w:t>obszarach gospodarki</w:t>
      </w:r>
      <w:r>
        <w:rPr>
          <w:shd w:val="clear" w:color="auto" w:fill="FFFFFF"/>
        </w:rPr>
        <w:t xml:space="preserve">: w wytwarzaniu i zaopatrywaniu w energię elektryczną, gaz, parę wodną, gorącą wodę i powietrze do układów klimatyzacyjnych (dynamika w stosunku do roku poprzedniego wyniosła 99,4), w działalności związanej </w:t>
      </w:r>
      <w:r w:rsidR="00456425">
        <w:rPr>
          <w:shd w:val="clear" w:color="auto" w:fill="FFFFFF"/>
        </w:rPr>
        <w:br/>
      </w:r>
      <w:r>
        <w:rPr>
          <w:shd w:val="clear" w:color="auto" w:fill="FFFFFF"/>
        </w:rPr>
        <w:t xml:space="preserve">z obsługą rynku nieruchomości (dynamika 94,1) oraz w działalności finansowej </w:t>
      </w:r>
      <w:r w:rsidR="00FF1D3B">
        <w:rPr>
          <w:shd w:val="clear" w:color="auto" w:fill="FFFFFF"/>
        </w:rPr>
        <w:br/>
      </w:r>
      <w:r>
        <w:rPr>
          <w:shd w:val="clear" w:color="auto" w:fill="FFFFFF"/>
        </w:rPr>
        <w:t>i ubezpieczeniowej (dynamika 93,4).</w:t>
      </w:r>
    </w:p>
    <w:p w14:paraId="286E380B" w14:textId="77777777" w:rsidR="004F169E" w:rsidRDefault="004F169E" w:rsidP="00287268">
      <w:pPr>
        <w:suppressAutoHyphens/>
        <w:jc w:val="both"/>
        <w:rPr>
          <w:shd w:val="clear" w:color="auto" w:fill="FFFFFF"/>
        </w:rPr>
      </w:pPr>
    </w:p>
    <w:p w14:paraId="2768D3DE" w14:textId="77777777" w:rsidR="004F169E" w:rsidRDefault="004F169E" w:rsidP="00287268">
      <w:pPr>
        <w:suppressAutoHyphens/>
        <w:jc w:val="both"/>
        <w:rPr>
          <w:shd w:val="clear" w:color="auto" w:fill="FFFFFF"/>
        </w:rPr>
      </w:pPr>
      <w:r>
        <w:rPr>
          <w:shd w:val="clear" w:color="auto" w:fill="FFFFFF"/>
        </w:rPr>
        <w:t>Wartość nakładów inwestycyjnych w 2018 r. przedstawia tablica 1.</w:t>
      </w:r>
    </w:p>
    <w:p w14:paraId="41249F8B" w14:textId="77777777" w:rsidR="004F169E" w:rsidRDefault="004F169E" w:rsidP="00287268">
      <w:pPr>
        <w:suppressAutoHyphens/>
        <w:spacing w:before="0" w:after="160" w:line="259" w:lineRule="auto"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br w:type="page"/>
      </w:r>
    </w:p>
    <w:p w14:paraId="40CEF28E" w14:textId="0D8C48E5" w:rsidR="004F169E" w:rsidRDefault="004F169E" w:rsidP="00287268">
      <w:pPr>
        <w:suppressAutoHyphens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lastRenderedPageBreak/>
        <w:t>Tablica 1. Nakłady in</w:t>
      </w:r>
      <w:r w:rsidR="00287268">
        <w:rPr>
          <w:b/>
          <w:spacing w:val="-2"/>
          <w:sz w:val="18"/>
          <w:shd w:val="clear" w:color="auto" w:fill="FFFFFF"/>
        </w:rPr>
        <w:t xml:space="preserve">westycyjne według sekcji </w:t>
      </w:r>
      <w:r w:rsidR="00355AD6">
        <w:rPr>
          <w:b/>
          <w:spacing w:val="-2"/>
          <w:sz w:val="18"/>
          <w:shd w:val="clear" w:color="auto" w:fill="FFFFFF"/>
        </w:rPr>
        <w:t xml:space="preserve">PKD 2007 </w:t>
      </w:r>
      <w:r w:rsidR="00287268">
        <w:rPr>
          <w:b/>
          <w:spacing w:val="-2"/>
          <w:sz w:val="18"/>
          <w:shd w:val="clear" w:color="auto" w:fill="FFFFFF"/>
        </w:rPr>
        <w:t>w 2018</w:t>
      </w:r>
      <w:r>
        <w:rPr>
          <w:b/>
          <w:spacing w:val="-2"/>
          <w:sz w:val="18"/>
          <w:shd w:val="clear" w:color="auto" w:fill="FFFFFF"/>
        </w:rPr>
        <w:t xml:space="preserve"> r. </w:t>
      </w:r>
    </w:p>
    <w:tbl>
      <w:tblPr>
        <w:tblStyle w:val="Siatkatabelijasna"/>
        <w:tblpPr w:leftFromText="141" w:rightFromText="141" w:vertAnchor="text" w:horzAnchor="margin" w:tblpY="-36"/>
        <w:tblW w:w="7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1966"/>
      </w:tblGrid>
      <w:tr w:rsidR="008326F2" w14:paraId="5B8BDF44" w14:textId="77777777" w:rsidTr="008326F2">
        <w:trPr>
          <w:trHeight w:val="369"/>
        </w:trPr>
        <w:tc>
          <w:tcPr>
            <w:tcW w:w="3686" w:type="dxa"/>
            <w:tcBorders>
              <w:top w:val="nil"/>
              <w:left w:val="nil"/>
              <w:bottom w:val="single" w:sz="12" w:space="0" w:color="212492"/>
              <w:right w:val="single" w:sz="4" w:space="0" w:color="212492"/>
            </w:tcBorders>
            <w:vAlign w:val="center"/>
            <w:hideMark/>
          </w:tcPr>
          <w:p w14:paraId="779F9384" w14:textId="77777777" w:rsidR="008326F2" w:rsidRDefault="008326F2" w:rsidP="008326F2">
            <w:pPr>
              <w:pStyle w:val="Nagwek1"/>
              <w:tabs>
                <w:tab w:val="right" w:leader="dot" w:pos="4139"/>
              </w:tabs>
              <w:suppressAutoHyphens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  <w:lang w:eastAsia="en-US"/>
              </w:rPr>
              <w:t>WYSZCZEGÓLNIENIE</w:t>
            </w:r>
          </w:p>
        </w:tc>
        <w:tc>
          <w:tcPr>
            <w:tcW w:w="1984" w:type="dxa"/>
            <w:tcBorders>
              <w:top w:val="nil"/>
              <w:left w:val="single" w:sz="4" w:space="0" w:color="212492"/>
              <w:bottom w:val="single" w:sz="12" w:space="0" w:color="212492"/>
              <w:right w:val="single" w:sz="4" w:space="0" w:color="212492"/>
            </w:tcBorders>
            <w:vAlign w:val="center"/>
            <w:hideMark/>
          </w:tcPr>
          <w:p w14:paraId="3FEB215E" w14:textId="77777777" w:rsidR="008326F2" w:rsidRDefault="008326F2" w:rsidP="008326F2">
            <w:pPr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 mln zł </w:t>
            </w:r>
            <w:r>
              <w:rPr>
                <w:color w:val="000000" w:themeColor="text1"/>
                <w:sz w:val="16"/>
                <w:szCs w:val="16"/>
              </w:rPr>
              <w:br/>
              <w:t>(ceny bieżące)</w:t>
            </w:r>
          </w:p>
        </w:tc>
        <w:tc>
          <w:tcPr>
            <w:tcW w:w="1966" w:type="dxa"/>
            <w:tcBorders>
              <w:top w:val="nil"/>
              <w:left w:val="single" w:sz="4" w:space="0" w:color="212492"/>
              <w:bottom w:val="single" w:sz="12" w:space="0" w:color="212492"/>
              <w:right w:val="nil"/>
            </w:tcBorders>
            <w:vAlign w:val="center"/>
            <w:hideMark/>
          </w:tcPr>
          <w:p w14:paraId="3A6BFB13" w14:textId="77777777" w:rsidR="008326F2" w:rsidRDefault="008326F2" w:rsidP="008326F2">
            <w:pPr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Rok poprzedni = 100 (ceny stałe)</w:t>
            </w:r>
          </w:p>
        </w:tc>
      </w:tr>
      <w:tr w:rsidR="008326F2" w14:paraId="315F49A4" w14:textId="77777777" w:rsidTr="008326F2">
        <w:trPr>
          <w:trHeight w:val="239"/>
        </w:trPr>
        <w:tc>
          <w:tcPr>
            <w:tcW w:w="3686" w:type="dxa"/>
            <w:tcBorders>
              <w:top w:val="single" w:sz="12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20012BF7" w14:textId="77777777" w:rsidR="008326F2" w:rsidRDefault="008326F2" w:rsidP="008326F2">
            <w:pPr>
              <w:pStyle w:val="Nagwek5"/>
              <w:tabs>
                <w:tab w:val="right" w:leader="dot" w:pos="4156"/>
              </w:tabs>
              <w:suppressAutoHyphens/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984" w:type="dxa"/>
            <w:tcBorders>
              <w:top w:val="single" w:sz="12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68006AA9" w14:textId="77777777" w:rsidR="008326F2" w:rsidRDefault="008326F2" w:rsidP="008326F2">
            <w:pPr>
              <w:suppressAutoHyphens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302 675</w:t>
            </w:r>
          </w:p>
        </w:tc>
        <w:tc>
          <w:tcPr>
            <w:tcW w:w="1966" w:type="dxa"/>
            <w:tcBorders>
              <w:top w:val="single" w:sz="12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  <w:hideMark/>
          </w:tcPr>
          <w:p w14:paraId="7308BD9E" w14:textId="77777777" w:rsidR="008326F2" w:rsidRDefault="008326F2" w:rsidP="008326F2">
            <w:pPr>
              <w:suppressAutoHyphens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115,4</w:t>
            </w:r>
          </w:p>
        </w:tc>
      </w:tr>
      <w:tr w:rsidR="008326F2" w14:paraId="67290DFE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2F98DA24" w14:textId="77777777" w:rsidR="008326F2" w:rsidRDefault="008326F2" w:rsidP="008326F2">
            <w:pPr>
              <w:pStyle w:val="Nagwek2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Rolnictwo, leśnictwo, łowiectwo i rybactwo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15F56E73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6 562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  <w:hideMark/>
          </w:tcPr>
          <w:p w14:paraId="039ADD51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104,3</w:t>
            </w:r>
          </w:p>
        </w:tc>
      </w:tr>
      <w:tr w:rsidR="008326F2" w14:paraId="4CF43A19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2D0AB180" w14:textId="77777777" w:rsidR="008326F2" w:rsidRDefault="008326F2" w:rsidP="008326F2">
            <w:pPr>
              <w:tabs>
                <w:tab w:val="right" w:leader="dot" w:pos="4156"/>
              </w:tabs>
              <w:suppressAutoHyphens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Górnictwo i wydobywanie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0E484861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6 646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  <w:hideMark/>
          </w:tcPr>
          <w:p w14:paraId="060D72A8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106,4</w:t>
            </w:r>
          </w:p>
        </w:tc>
      </w:tr>
      <w:tr w:rsidR="008326F2" w14:paraId="53673305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5065AB38" w14:textId="77777777" w:rsidR="008326F2" w:rsidRDefault="008326F2" w:rsidP="008326F2">
            <w:pPr>
              <w:pStyle w:val="Nagwek9"/>
              <w:tabs>
                <w:tab w:val="right" w:leader="dot" w:pos="4156"/>
              </w:tabs>
              <w:suppressAutoHyphens/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Przetwórstwo przemysłowe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676670E3" w14:textId="77777777" w:rsidR="008326F2" w:rsidRDefault="008326F2" w:rsidP="008326F2">
            <w:pPr>
              <w:suppressAutoHyphens/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67 172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  <w:hideMark/>
          </w:tcPr>
          <w:p w14:paraId="6005A3BB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108,4</w:t>
            </w:r>
          </w:p>
        </w:tc>
      </w:tr>
      <w:tr w:rsidR="008326F2" w14:paraId="4044BA75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391D2AD9" w14:textId="77777777" w:rsidR="008326F2" w:rsidRDefault="008326F2" w:rsidP="008326F2">
            <w:pPr>
              <w:tabs>
                <w:tab w:val="right" w:leader="dot" w:pos="4156"/>
              </w:tabs>
              <w:suppressAutoHyphens/>
              <w:rPr>
                <w:rFonts w:cstheme="majorBidi"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 xml:space="preserve">Wytwarzanie i zaopatrywanie w energię 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br/>
              <w:t>elektryczną, gaz, parę wodną i gorącą wodę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a)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bottom"/>
            <w:hideMark/>
          </w:tcPr>
          <w:p w14:paraId="2F018D1E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21 701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bottom"/>
            <w:hideMark/>
          </w:tcPr>
          <w:p w14:paraId="698F79E8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99,4</w:t>
            </w:r>
          </w:p>
        </w:tc>
      </w:tr>
      <w:tr w:rsidR="008326F2" w14:paraId="22BB90CE" w14:textId="77777777" w:rsidTr="008326F2">
        <w:trPr>
          <w:trHeight w:val="26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27B1FA0A" w14:textId="59D52852" w:rsidR="008326F2" w:rsidRDefault="008326F2" w:rsidP="00330800">
            <w:pPr>
              <w:suppressAutoHyphens/>
              <w:spacing w:before="0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Dostawa wody; gospodarowanie ściekami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i odpadami, rekultywacja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a)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bottom"/>
            <w:hideMark/>
          </w:tcPr>
          <w:p w14:paraId="71D21BCF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9 362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bottom"/>
            <w:hideMark/>
          </w:tcPr>
          <w:p w14:paraId="2481CDA9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163,6</w:t>
            </w:r>
          </w:p>
        </w:tc>
      </w:tr>
      <w:tr w:rsidR="008326F2" w14:paraId="19388E27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10AF0276" w14:textId="77777777" w:rsidR="008326F2" w:rsidRDefault="008326F2" w:rsidP="008326F2">
            <w:pPr>
              <w:tabs>
                <w:tab w:val="right" w:leader="dot" w:pos="4156"/>
              </w:tabs>
              <w:suppressAutoHyphens/>
              <w:rPr>
                <w:rFonts w:cstheme="majorBidi"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Budownictwo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24FE1141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10 338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  <w:hideMark/>
          </w:tcPr>
          <w:p w14:paraId="41E8C0C8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140,1</w:t>
            </w:r>
          </w:p>
        </w:tc>
      </w:tr>
      <w:tr w:rsidR="008326F2" w14:paraId="716435FA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29B22B50" w14:textId="77777777" w:rsidR="008326F2" w:rsidRDefault="008326F2" w:rsidP="008326F2">
            <w:pPr>
              <w:tabs>
                <w:tab w:val="right" w:leader="dot" w:pos="4156"/>
              </w:tabs>
              <w:suppressAutoHyphens/>
              <w:rPr>
                <w:rFonts w:cstheme="majorBidi"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Handel; naprawa pojazdów samochodowych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a)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bottom"/>
            <w:hideMark/>
          </w:tcPr>
          <w:p w14:paraId="333457EE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24 614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bottom"/>
            <w:hideMark/>
          </w:tcPr>
          <w:p w14:paraId="7A1E2451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110,7</w:t>
            </w:r>
          </w:p>
        </w:tc>
      </w:tr>
      <w:tr w:rsidR="008326F2" w14:paraId="41E7B81D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2C77B015" w14:textId="77777777" w:rsidR="008326F2" w:rsidRDefault="008326F2" w:rsidP="008326F2">
            <w:pPr>
              <w:tabs>
                <w:tab w:val="right" w:leader="dot" w:pos="4156"/>
              </w:tabs>
              <w:suppressAutoHyphens/>
              <w:rPr>
                <w:rFonts w:cstheme="majorBidi"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Transport i gospodarka magazynowa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bottom"/>
            <w:hideMark/>
          </w:tcPr>
          <w:p w14:paraId="06AADDA4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57 009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bottom"/>
            <w:hideMark/>
          </w:tcPr>
          <w:p w14:paraId="64057F0B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133,1</w:t>
            </w:r>
          </w:p>
        </w:tc>
      </w:tr>
      <w:tr w:rsidR="008326F2" w14:paraId="51262613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718F18AF" w14:textId="77777777" w:rsidR="008326F2" w:rsidRDefault="008326F2" w:rsidP="008326F2">
            <w:pPr>
              <w:suppressAutoHyphens/>
              <w:spacing w:before="0" w:after="0" w:line="240" w:lineRule="auto"/>
              <w:rPr>
                <w:rFonts w:cstheme="majorBidi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Zakwaterowanie i gastronomia 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bottom"/>
            <w:hideMark/>
          </w:tcPr>
          <w:p w14:paraId="19B2DDD9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2 917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bottom"/>
            <w:hideMark/>
          </w:tcPr>
          <w:p w14:paraId="7DF59370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123,5</w:t>
            </w:r>
          </w:p>
        </w:tc>
      </w:tr>
      <w:tr w:rsidR="008326F2" w14:paraId="27F7EE94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3F8F8071" w14:textId="77777777" w:rsidR="008326F2" w:rsidRDefault="008326F2" w:rsidP="008326F2">
            <w:pPr>
              <w:tabs>
                <w:tab w:val="right" w:leader="dot" w:pos="4156"/>
              </w:tabs>
              <w:suppressAutoHyphens/>
              <w:rPr>
                <w:rFonts w:cstheme="majorBidi"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Informacja i komunikacja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bottom"/>
            <w:hideMark/>
          </w:tcPr>
          <w:p w14:paraId="7F3F4B36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8 964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bottom"/>
            <w:hideMark/>
          </w:tcPr>
          <w:p w14:paraId="3A35407E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119,5</w:t>
            </w:r>
          </w:p>
        </w:tc>
      </w:tr>
      <w:tr w:rsidR="008326F2" w14:paraId="00D5628B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6D885E35" w14:textId="77777777" w:rsidR="008326F2" w:rsidRDefault="008326F2" w:rsidP="008326F2">
            <w:pPr>
              <w:tabs>
                <w:tab w:val="right" w:leader="dot" w:pos="4156"/>
              </w:tabs>
              <w:suppressAutoHyphens/>
              <w:rPr>
                <w:rFonts w:cstheme="majorBidi"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Działalność finansowa i ubezpieczeniowa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23930B2C" w14:textId="77777777" w:rsidR="008326F2" w:rsidRDefault="008326F2" w:rsidP="008326F2">
            <w:pPr>
              <w:suppressAutoHyphens/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6 084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  <w:hideMark/>
          </w:tcPr>
          <w:p w14:paraId="5B204A75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93,4</w:t>
            </w:r>
          </w:p>
        </w:tc>
      </w:tr>
      <w:tr w:rsidR="008326F2" w14:paraId="04DCC870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15322186" w14:textId="77777777" w:rsidR="008326F2" w:rsidRDefault="008326F2" w:rsidP="008326F2">
            <w:pPr>
              <w:suppressAutoHyphens/>
              <w:spacing w:before="0" w:after="0" w:line="240" w:lineRule="auto"/>
              <w:rPr>
                <w:rFonts w:cstheme="majorBidi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Obsługa rynku nieruchomości 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3F3CDFE8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32 061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  <w:hideMark/>
          </w:tcPr>
          <w:p w14:paraId="1D669E8A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94,1</w:t>
            </w:r>
          </w:p>
        </w:tc>
      </w:tr>
      <w:tr w:rsidR="008326F2" w14:paraId="174C4A1E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25021BEC" w14:textId="77777777" w:rsidR="008326F2" w:rsidRDefault="008326F2" w:rsidP="008326F2">
            <w:pPr>
              <w:tabs>
                <w:tab w:val="right" w:leader="dot" w:pos="4156"/>
              </w:tabs>
              <w:suppressAutoHyphens/>
              <w:rPr>
                <w:rFonts w:cstheme="majorBidi"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 xml:space="preserve">Działalność profesjonalna, naukowa 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br/>
              <w:t>i techniczna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5CF5FF27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4 355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  <w:hideMark/>
          </w:tcPr>
          <w:p w14:paraId="644A73E0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115,3</w:t>
            </w:r>
          </w:p>
        </w:tc>
      </w:tr>
      <w:tr w:rsidR="008326F2" w14:paraId="1A89CD50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64C43065" w14:textId="77777777" w:rsidR="008326F2" w:rsidRDefault="008326F2" w:rsidP="008326F2">
            <w:pPr>
              <w:tabs>
                <w:tab w:val="right" w:leader="dot" w:pos="4156"/>
              </w:tabs>
              <w:suppressAutoHyphens/>
              <w:rPr>
                <w:rFonts w:cstheme="majorBidi"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 xml:space="preserve">Administrowanie i działalność wspierająca 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5581882E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10 255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  <w:hideMark/>
          </w:tcPr>
          <w:p w14:paraId="65521F5B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128,4</w:t>
            </w:r>
          </w:p>
        </w:tc>
      </w:tr>
      <w:tr w:rsidR="008326F2" w14:paraId="59361A85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33963514" w14:textId="77777777" w:rsidR="008326F2" w:rsidRDefault="008326F2" w:rsidP="008326F2">
            <w:pPr>
              <w:tabs>
                <w:tab w:val="right" w:leader="dot" w:pos="4156"/>
              </w:tabs>
              <w:suppressAutoHyphens/>
              <w:rPr>
                <w:rFonts w:cstheme="majorBidi"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247F10E4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7 810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  <w:hideMark/>
          </w:tcPr>
          <w:p w14:paraId="39B7BF63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114,3</w:t>
            </w:r>
          </w:p>
        </w:tc>
      </w:tr>
      <w:tr w:rsidR="008326F2" w14:paraId="728131E2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0BA44D31" w14:textId="77777777" w:rsidR="008326F2" w:rsidRDefault="008326F2" w:rsidP="008326F2">
            <w:pPr>
              <w:tabs>
                <w:tab w:val="right" w:leader="dot" w:pos="4156"/>
              </w:tabs>
              <w:suppressAutoHyphens/>
              <w:rPr>
                <w:rFonts w:cstheme="majorBidi"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3932015B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9 327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  <w:hideMark/>
          </w:tcPr>
          <w:p w14:paraId="4E6ACE82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140,8</w:t>
            </w:r>
          </w:p>
        </w:tc>
      </w:tr>
      <w:tr w:rsidR="008326F2" w14:paraId="602F470B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61639114" w14:textId="77777777" w:rsidR="008326F2" w:rsidRDefault="008326F2" w:rsidP="008326F2">
            <w:pPr>
              <w:tabs>
                <w:tab w:val="right" w:leader="dot" w:pos="4156"/>
              </w:tabs>
              <w:suppressAutoHyphens/>
              <w:rPr>
                <w:rFonts w:cstheme="majorBidi"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Opieka zdrowotna i pomoc społeczna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43C18E59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8 704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  <w:hideMark/>
          </w:tcPr>
          <w:p w14:paraId="737EBD40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129,1</w:t>
            </w:r>
          </w:p>
        </w:tc>
      </w:tr>
      <w:tr w:rsidR="008326F2" w14:paraId="1CECF214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10C56883" w14:textId="77777777" w:rsidR="008326F2" w:rsidRDefault="008326F2" w:rsidP="008326F2">
            <w:pPr>
              <w:tabs>
                <w:tab w:val="right" w:leader="dot" w:pos="4156"/>
              </w:tabs>
              <w:suppressAutoHyphens/>
              <w:rPr>
                <w:rFonts w:cstheme="majorBidi"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 xml:space="preserve">Działalność związana z kulturą, rozrywką 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br/>
              <w:t>i rekreacją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00471235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7 920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  <w:hideMark/>
          </w:tcPr>
          <w:p w14:paraId="4192199A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166,3</w:t>
            </w:r>
          </w:p>
        </w:tc>
      </w:tr>
      <w:tr w:rsidR="008326F2" w14:paraId="62B2FF84" w14:textId="77777777" w:rsidTr="008326F2">
        <w:trPr>
          <w:trHeight w:val="45"/>
        </w:trPr>
        <w:tc>
          <w:tcPr>
            <w:tcW w:w="3686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  <w:vAlign w:val="center"/>
            <w:hideMark/>
          </w:tcPr>
          <w:p w14:paraId="490FB5EB" w14:textId="77777777" w:rsidR="008326F2" w:rsidRDefault="008326F2" w:rsidP="008326F2">
            <w:pPr>
              <w:tabs>
                <w:tab w:val="right" w:leader="dot" w:pos="4156"/>
              </w:tabs>
              <w:suppressAutoHyphens/>
              <w:rPr>
                <w:rFonts w:cstheme="majorBidi"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Pozostała działalność usługowa</w:t>
            </w:r>
          </w:p>
        </w:tc>
        <w:tc>
          <w:tcPr>
            <w:tcW w:w="1984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vAlign w:val="center"/>
            <w:hideMark/>
          </w:tcPr>
          <w:p w14:paraId="7AC2CB3D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874</w:t>
            </w:r>
          </w:p>
        </w:tc>
        <w:tc>
          <w:tcPr>
            <w:tcW w:w="1966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vAlign w:val="center"/>
            <w:hideMark/>
          </w:tcPr>
          <w:p w14:paraId="1DFBDF52" w14:textId="77777777" w:rsidR="008326F2" w:rsidRDefault="008326F2" w:rsidP="008326F2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120,4</w:t>
            </w:r>
          </w:p>
        </w:tc>
      </w:tr>
    </w:tbl>
    <w:p w14:paraId="3258C7A7" w14:textId="77777777" w:rsidR="00287268" w:rsidRPr="009A0014" w:rsidRDefault="00287268" w:rsidP="00287268">
      <w:pPr>
        <w:rPr>
          <w:b/>
          <w:spacing w:val="-2"/>
          <w:sz w:val="18"/>
        </w:rPr>
      </w:pPr>
      <w:r w:rsidRPr="003079B6">
        <w:rPr>
          <w:color w:val="000000" w:themeColor="text1"/>
          <w:sz w:val="16"/>
          <w:szCs w:val="16"/>
          <w:vertAlign w:val="superscript"/>
        </w:rPr>
        <w:t>a)</w:t>
      </w:r>
      <w:r>
        <w:rPr>
          <w:color w:val="000000" w:themeColor="text1"/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Nazwa skrócona według PKD 2007</w:t>
      </w:r>
    </w:p>
    <w:p w14:paraId="60BB3A8C" w14:textId="77777777" w:rsidR="004F169E" w:rsidRDefault="004F169E" w:rsidP="00287268">
      <w:pPr>
        <w:pStyle w:val="Nagwek1"/>
        <w:suppressAutoHyphens/>
        <w:rPr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0BDF2C46" wp14:editId="3B3306F3">
                <wp:simplePos x="0" y="0"/>
                <wp:positionH relativeFrom="column">
                  <wp:posOffset>5253990</wp:posOffset>
                </wp:positionH>
                <wp:positionV relativeFrom="paragraph">
                  <wp:posOffset>114300</wp:posOffset>
                </wp:positionV>
                <wp:extent cx="1725295" cy="1064260"/>
                <wp:effectExtent l="0" t="0" r="0" b="2540"/>
                <wp:wrapTight wrapText="bothSides">
                  <wp:wrapPolygon edited="0">
                    <wp:start x="715" y="0"/>
                    <wp:lineTo x="715" y="21265"/>
                    <wp:lineTo x="20749" y="21265"/>
                    <wp:lineTo x="20749" y="0"/>
                    <wp:lineTo x="715" y="0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2FAC6" w14:textId="239C6212" w:rsidR="004F169E" w:rsidRDefault="004F169E" w:rsidP="00891B12">
                            <w:pPr>
                              <w:suppressAutoHyphens/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Środki trwałe w gospodarce narodowej na koniec 2018 r. wyniosły 4 029 717 mln zł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>(w bieżących</w:t>
                            </w:r>
                            <w:r w:rsidR="0028726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cenach ewidencyjnych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F2C46" id="Pole tekstowe 40" o:spid="_x0000_s1029" type="#_x0000_t202" style="position:absolute;margin-left:413.7pt;margin-top:9pt;width:135.85pt;height:83.8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" filled="f" stroked="f">
                <v:textbox>
                  <w:txbxContent>
                    <w:p w14:paraId="2AE2FAC6" w14:textId="239C6212" w:rsidR="004F169E" w:rsidRDefault="004F169E" w:rsidP="00891B12">
                      <w:pPr>
                        <w:suppressAutoHyphens/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Środki trwałe w gospodarce narodowej na koniec 2018 r. wyniosły 4 029 717 mln zł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>(w bieżących</w:t>
                      </w:r>
                      <w:r w:rsidR="0028726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cenach ewidencyjnych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color w:val="auto"/>
        </w:rPr>
        <w:t>Środki trwałe w gospodarce narodowej w 2018 r.</w:t>
      </w:r>
    </w:p>
    <w:p w14:paraId="09C1E4AE" w14:textId="37E3872E" w:rsidR="004F169E" w:rsidRDefault="004F169E" w:rsidP="00D21F4A">
      <w:pPr>
        <w:suppressAutoHyphens/>
        <w:rPr>
          <w:shd w:val="clear" w:color="auto" w:fill="FFFFFF"/>
        </w:rPr>
      </w:pPr>
      <w:r>
        <w:rPr>
          <w:shd w:val="clear" w:color="auto" w:fill="FFFFFF"/>
        </w:rPr>
        <w:t xml:space="preserve">Wartość brutto środków trwałych w gospodarce narodowej według stanu na koniec 2018 r. </w:t>
      </w:r>
      <w:r>
        <w:rPr>
          <w:shd w:val="clear" w:color="auto" w:fill="FFFFFF"/>
        </w:rPr>
        <w:br/>
        <w:t xml:space="preserve">w bieżących cenach ewidencyjnych wyniosła 4 029 717 mln zł, w tym wartość środków </w:t>
      </w:r>
      <w:r w:rsidR="00330800">
        <w:rPr>
          <w:shd w:val="clear" w:color="auto" w:fill="FFFFFF"/>
        </w:rPr>
        <w:t>wg grup</w:t>
      </w:r>
      <w:r>
        <w:rPr>
          <w:shd w:val="clear" w:color="auto" w:fill="FFFFFF"/>
        </w:rPr>
        <w:t>:</w:t>
      </w:r>
    </w:p>
    <w:p w14:paraId="6E6E9630" w14:textId="260E461F" w:rsidR="004F169E" w:rsidRDefault="004F169E" w:rsidP="00D21F4A">
      <w:pPr>
        <w:pStyle w:val="Akapitzlist"/>
        <w:numPr>
          <w:ilvl w:val="0"/>
          <w:numId w:val="4"/>
        </w:numPr>
        <w:suppressAutoHyphens/>
        <w:rPr>
          <w:shd w:val="clear" w:color="auto" w:fill="FFFFFF"/>
        </w:rPr>
      </w:pPr>
      <w:r>
        <w:rPr>
          <w:shd w:val="clear" w:color="auto" w:fill="FFFFFF"/>
        </w:rPr>
        <w:t xml:space="preserve">budynki i budowle </w:t>
      </w:r>
      <w:r w:rsidR="00287268">
        <w:rPr>
          <w:shd w:val="clear" w:color="auto" w:fill="FFFFFF"/>
        </w:rPr>
        <w:t xml:space="preserve">- </w:t>
      </w:r>
      <w:r>
        <w:rPr>
          <w:shd w:val="clear" w:color="auto" w:fill="FFFFFF"/>
        </w:rPr>
        <w:t>2 598 860 mln zł (64,5%)</w:t>
      </w:r>
      <w:r w:rsidR="00D4350F">
        <w:rPr>
          <w:shd w:val="clear" w:color="auto" w:fill="FFFFFF"/>
        </w:rPr>
        <w:t>,</w:t>
      </w:r>
    </w:p>
    <w:p w14:paraId="2384AB5F" w14:textId="0CA4E9CF" w:rsidR="004F169E" w:rsidRDefault="004F169E" w:rsidP="00D21F4A">
      <w:pPr>
        <w:pStyle w:val="Akapitzlist"/>
        <w:numPr>
          <w:ilvl w:val="0"/>
          <w:numId w:val="4"/>
        </w:numPr>
        <w:suppressAutoHyphens/>
        <w:rPr>
          <w:shd w:val="clear" w:color="auto" w:fill="FFFFFF"/>
        </w:rPr>
      </w:pPr>
      <w:r>
        <w:rPr>
          <w:shd w:val="clear" w:color="auto" w:fill="FFFFFF"/>
        </w:rPr>
        <w:t xml:space="preserve">maszyny, urządzenia techniczne i narzędzia </w:t>
      </w:r>
      <w:r w:rsidR="00287268">
        <w:rPr>
          <w:shd w:val="clear" w:color="auto" w:fill="FFFFFF"/>
        </w:rPr>
        <w:t xml:space="preserve">- </w:t>
      </w:r>
      <w:r>
        <w:rPr>
          <w:shd w:val="clear" w:color="auto" w:fill="FFFFFF"/>
        </w:rPr>
        <w:t>1 114 482 mln zł (27,</w:t>
      </w:r>
      <w:r w:rsidR="00287268">
        <w:rPr>
          <w:shd w:val="clear" w:color="auto" w:fill="FFFFFF"/>
        </w:rPr>
        <w:t>6</w:t>
      </w:r>
      <w:r>
        <w:rPr>
          <w:shd w:val="clear" w:color="auto" w:fill="FFFFFF"/>
        </w:rPr>
        <w:t>%)</w:t>
      </w:r>
      <w:r w:rsidR="00D4350F">
        <w:rPr>
          <w:shd w:val="clear" w:color="auto" w:fill="FFFFFF"/>
        </w:rPr>
        <w:t>,</w:t>
      </w:r>
    </w:p>
    <w:p w14:paraId="33AF1FC6" w14:textId="77777777" w:rsidR="004F169E" w:rsidRDefault="004F169E" w:rsidP="00D21F4A">
      <w:pPr>
        <w:pStyle w:val="Akapitzlist"/>
        <w:numPr>
          <w:ilvl w:val="0"/>
          <w:numId w:val="4"/>
        </w:numPr>
        <w:suppressAutoHyphens/>
        <w:rPr>
          <w:shd w:val="clear" w:color="auto" w:fill="FFFFFF"/>
        </w:rPr>
      </w:pPr>
      <w:r>
        <w:rPr>
          <w:shd w:val="clear" w:color="auto" w:fill="FFFFFF"/>
        </w:rPr>
        <w:t>środki transportu – 296 457 mln zł (7,4%).</w:t>
      </w:r>
    </w:p>
    <w:p w14:paraId="6062B49D" w14:textId="34481A56" w:rsidR="004F169E" w:rsidRDefault="004F169E" w:rsidP="00D21F4A">
      <w:pPr>
        <w:suppressAutoHyphens/>
      </w:pPr>
      <w:r>
        <w:t xml:space="preserve">Udział jednostek sektora </w:t>
      </w:r>
      <w:r w:rsidR="00287268">
        <w:t>publicznego</w:t>
      </w:r>
      <w:r>
        <w:t xml:space="preserve"> w środkach trwałych ogółem wzrósł z 40,0% do 40,1%</w:t>
      </w:r>
      <w:r>
        <w:br/>
        <w:t xml:space="preserve">w porównaniu z rokiem poprzednim, natomiast udział sektora </w:t>
      </w:r>
      <w:r w:rsidR="00287268">
        <w:t>prywatnego</w:t>
      </w:r>
      <w:r>
        <w:t xml:space="preserve"> spadł odpowiednio z 60,0% do 59,9%. </w:t>
      </w:r>
    </w:p>
    <w:p w14:paraId="45B7C207" w14:textId="72574427" w:rsidR="004F169E" w:rsidRDefault="004F169E" w:rsidP="00D21F4A">
      <w:pPr>
        <w:suppressAutoHyphens/>
      </w:pPr>
      <w:r>
        <w:t xml:space="preserve">W porównaniu z rokiem poprzednim wartość brutto środków trwałych w gospodarce narodowej (w cenach stałych) wzrosła o 3,9%, w tym: wartość budynków i budowli </w:t>
      </w:r>
      <w:r w:rsidR="00287268">
        <w:t>o</w:t>
      </w:r>
      <w:r>
        <w:t xml:space="preserve"> 3,0%; wartość maszyn, urządzeń technicznych i narzędzi </w:t>
      </w:r>
      <w:r w:rsidR="00287268">
        <w:t>o</w:t>
      </w:r>
      <w:r>
        <w:t xml:space="preserve"> 6,0%; wartość środków transportu </w:t>
      </w:r>
      <w:r w:rsidR="00287268">
        <w:t>o</w:t>
      </w:r>
      <w:r>
        <w:t xml:space="preserve"> 7,5%.</w:t>
      </w:r>
    </w:p>
    <w:p w14:paraId="359B5BF6" w14:textId="6B427DDA" w:rsidR="004F169E" w:rsidRDefault="004F169E" w:rsidP="00D21F4A">
      <w:pPr>
        <w:suppressAutoHyphens/>
      </w:pPr>
      <w:r>
        <w:t>Struktur</w:t>
      </w:r>
      <w:r w:rsidR="002117AA">
        <w:t>a</w:t>
      </w:r>
      <w:r>
        <w:t xml:space="preserve"> wartości brutto środków trwałych w 2018 r. </w:t>
      </w:r>
      <w:r w:rsidR="00287268">
        <w:t>została przedstawiona w tablicy</w:t>
      </w:r>
      <w:r>
        <w:t xml:space="preserve"> 2. </w:t>
      </w:r>
    </w:p>
    <w:p w14:paraId="556589FE" w14:textId="77777777" w:rsidR="004F169E" w:rsidRDefault="004F169E" w:rsidP="00287268">
      <w:pPr>
        <w:suppressAutoHyphens/>
        <w:spacing w:before="0" w:after="160" w:line="256" w:lineRule="auto"/>
        <w:rPr>
          <w:b/>
          <w:spacing w:val="-2"/>
          <w:sz w:val="18"/>
          <w:shd w:val="clear" w:color="auto" w:fill="FFFFFF"/>
        </w:rPr>
      </w:pPr>
    </w:p>
    <w:p w14:paraId="0DDC3EE5" w14:textId="77777777" w:rsidR="004F169E" w:rsidRDefault="004F169E" w:rsidP="00287268">
      <w:pPr>
        <w:suppressAutoHyphens/>
        <w:spacing w:before="0" w:after="160" w:line="256" w:lineRule="auto"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t xml:space="preserve">Tablica 2. Struktura wartości brutto środków trwałych w 2018 r. </w:t>
      </w:r>
    </w:p>
    <w:tbl>
      <w:tblPr>
        <w:tblStyle w:val="Siatkatabelijasna"/>
        <w:tblpPr w:leftFromText="141" w:rightFromText="141" w:vertAnchor="text" w:horzAnchor="margin" w:tblpY="-28"/>
        <w:tblW w:w="8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94"/>
        <w:gridCol w:w="1164"/>
        <w:gridCol w:w="1204"/>
        <w:gridCol w:w="1326"/>
        <w:gridCol w:w="1315"/>
        <w:gridCol w:w="1264"/>
      </w:tblGrid>
      <w:tr w:rsidR="005304D7" w:rsidRPr="0022306F" w14:paraId="57908C41" w14:textId="77777777" w:rsidTr="005304D7">
        <w:trPr>
          <w:trHeight w:val="376"/>
        </w:trPr>
        <w:tc>
          <w:tcPr>
            <w:tcW w:w="1794" w:type="dxa"/>
            <w:tcBorders>
              <w:top w:val="nil"/>
              <w:bottom w:val="single" w:sz="12" w:space="0" w:color="212492"/>
            </w:tcBorders>
            <w:vAlign w:val="center"/>
          </w:tcPr>
          <w:p w14:paraId="235C0C05" w14:textId="77777777" w:rsidR="005304D7" w:rsidRPr="0022306F" w:rsidRDefault="005304D7" w:rsidP="005304D7">
            <w:pPr>
              <w:pStyle w:val="Nagwek1"/>
              <w:tabs>
                <w:tab w:val="right" w:leader="dot" w:pos="4139"/>
              </w:tabs>
              <w:suppressAutoHyphens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 w:rsidRPr="0022306F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164" w:type="dxa"/>
            <w:tcBorders>
              <w:top w:val="nil"/>
              <w:bottom w:val="single" w:sz="12" w:space="0" w:color="212492"/>
            </w:tcBorders>
            <w:vAlign w:val="center"/>
          </w:tcPr>
          <w:p w14:paraId="1D45E22D" w14:textId="77777777" w:rsidR="005304D7" w:rsidRPr="0022306F" w:rsidRDefault="005304D7" w:rsidP="005304D7">
            <w:pPr>
              <w:suppressAutoHyphens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2306F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4" w:type="dxa"/>
            <w:tcBorders>
              <w:top w:val="nil"/>
              <w:bottom w:val="single" w:sz="12" w:space="0" w:color="212492"/>
            </w:tcBorders>
            <w:vAlign w:val="center"/>
          </w:tcPr>
          <w:p w14:paraId="1D02A155" w14:textId="77777777" w:rsidR="005304D7" w:rsidRPr="0022306F" w:rsidRDefault="005304D7" w:rsidP="005304D7">
            <w:pPr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  <w:r w:rsidRPr="0022306F">
              <w:rPr>
                <w:color w:val="000000" w:themeColor="text1"/>
                <w:sz w:val="16"/>
                <w:szCs w:val="16"/>
              </w:rPr>
              <w:t>Budynki i budowle</w:t>
            </w:r>
          </w:p>
        </w:tc>
        <w:tc>
          <w:tcPr>
            <w:tcW w:w="1326" w:type="dxa"/>
            <w:tcBorders>
              <w:top w:val="nil"/>
              <w:bottom w:val="single" w:sz="12" w:space="0" w:color="212492"/>
            </w:tcBorders>
          </w:tcPr>
          <w:p w14:paraId="08F3EA36" w14:textId="77777777" w:rsidR="005304D7" w:rsidRPr="0022306F" w:rsidRDefault="005304D7" w:rsidP="005304D7">
            <w:pPr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  <w:r w:rsidRPr="0022306F">
              <w:rPr>
                <w:color w:val="000000" w:themeColor="text1"/>
                <w:sz w:val="16"/>
                <w:szCs w:val="16"/>
              </w:rPr>
              <w:t>W tym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2306F">
              <w:rPr>
                <w:color w:val="000000" w:themeColor="text1"/>
                <w:sz w:val="16"/>
                <w:szCs w:val="16"/>
              </w:rPr>
              <w:t>maszyny, urządzenia techniczne i narzędzia</w:t>
            </w:r>
          </w:p>
        </w:tc>
        <w:tc>
          <w:tcPr>
            <w:tcW w:w="1315" w:type="dxa"/>
            <w:tcBorders>
              <w:top w:val="nil"/>
              <w:bottom w:val="single" w:sz="12" w:space="0" w:color="212492"/>
            </w:tcBorders>
          </w:tcPr>
          <w:p w14:paraId="106CD32A" w14:textId="77777777" w:rsidR="005304D7" w:rsidRPr="0022306F" w:rsidRDefault="005304D7" w:rsidP="005304D7">
            <w:pPr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9EDB8EA" w14:textId="77777777" w:rsidR="005304D7" w:rsidRPr="0022306F" w:rsidRDefault="005304D7" w:rsidP="005304D7">
            <w:pPr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  <w:r w:rsidRPr="0022306F">
              <w:rPr>
                <w:color w:val="000000" w:themeColor="text1"/>
                <w:sz w:val="16"/>
                <w:szCs w:val="16"/>
              </w:rPr>
              <w:t>Środki transportu</w:t>
            </w:r>
          </w:p>
        </w:tc>
        <w:tc>
          <w:tcPr>
            <w:tcW w:w="1264" w:type="dxa"/>
            <w:tcBorders>
              <w:top w:val="nil"/>
              <w:bottom w:val="single" w:sz="12" w:space="0" w:color="212492"/>
            </w:tcBorders>
          </w:tcPr>
          <w:p w14:paraId="6FDBCDDC" w14:textId="77777777" w:rsidR="005304D7" w:rsidRDefault="005304D7" w:rsidP="005304D7">
            <w:pPr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E755D7E" w14:textId="77777777" w:rsidR="005304D7" w:rsidRPr="0022306F" w:rsidRDefault="005304D7" w:rsidP="005304D7">
            <w:pPr>
              <w:suppressAutoHyphens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Pozostałe</w:t>
            </w:r>
          </w:p>
        </w:tc>
      </w:tr>
      <w:tr w:rsidR="005304D7" w:rsidRPr="0022306F" w14:paraId="3A65C5FE" w14:textId="77777777" w:rsidTr="005304D7">
        <w:trPr>
          <w:gridAfter w:val="2"/>
          <w:wAfter w:w="2579" w:type="dxa"/>
          <w:trHeight w:val="370"/>
        </w:trPr>
        <w:tc>
          <w:tcPr>
            <w:tcW w:w="5488" w:type="dxa"/>
            <w:gridSpan w:val="4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14:paraId="5F617F84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                          </w:t>
            </w:r>
            <w:r w:rsidRPr="0022306F">
              <w:rPr>
                <w:rFonts w:cs="Arial"/>
                <w:color w:val="000000" w:themeColor="text1"/>
                <w:sz w:val="16"/>
                <w:szCs w:val="16"/>
              </w:rPr>
              <w:t>Według grup środków trwałych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w %</w:t>
            </w:r>
          </w:p>
        </w:tc>
      </w:tr>
      <w:tr w:rsidR="005304D7" w:rsidRPr="0022306F" w14:paraId="1434E68C" w14:textId="77777777" w:rsidTr="005304D7">
        <w:trPr>
          <w:trHeight w:val="45"/>
        </w:trPr>
        <w:tc>
          <w:tcPr>
            <w:tcW w:w="179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6D696F59" w14:textId="77777777" w:rsidR="005304D7" w:rsidRPr="0022306F" w:rsidRDefault="005304D7" w:rsidP="005304D7">
            <w:pPr>
              <w:pStyle w:val="Nagwek5"/>
              <w:tabs>
                <w:tab w:val="right" w:leader="dot" w:pos="4156"/>
              </w:tabs>
              <w:suppressAutoHyphens/>
              <w:spacing w:before="0"/>
              <w:contextualSpacing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22306F">
              <w:rPr>
                <w:rFonts w:ascii="Fira Sans" w:hAnsi="Fira Sans"/>
                <w:color w:val="000000" w:themeColor="text1"/>
                <w:sz w:val="16"/>
                <w:szCs w:val="16"/>
              </w:rPr>
              <w:t>Gospodarka narodowa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00E18D84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204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7FEAEE2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64,5</w:t>
            </w:r>
          </w:p>
        </w:tc>
        <w:tc>
          <w:tcPr>
            <w:tcW w:w="1326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3087FB35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31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</w:tcPr>
          <w:p w14:paraId="6BBCDCCB" w14:textId="77777777" w:rsidR="005304D7" w:rsidRDefault="005304D7" w:rsidP="005304D7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126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476F4EF5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0,5</w:t>
            </w:r>
          </w:p>
        </w:tc>
      </w:tr>
      <w:tr w:rsidR="005304D7" w:rsidRPr="0022306F" w14:paraId="7BD99CE7" w14:textId="77777777" w:rsidTr="005304D7">
        <w:trPr>
          <w:gridAfter w:val="5"/>
          <w:wAfter w:w="6273" w:type="dxa"/>
          <w:trHeight w:val="45"/>
        </w:trPr>
        <w:tc>
          <w:tcPr>
            <w:tcW w:w="179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4C7D3EA8" w14:textId="77777777" w:rsidR="005304D7" w:rsidRPr="0022306F" w:rsidRDefault="005304D7" w:rsidP="005304D7">
            <w:pPr>
              <w:pStyle w:val="Nagwek2"/>
              <w:tabs>
                <w:tab w:val="right" w:leader="dot" w:pos="4156"/>
              </w:tabs>
              <w:suppressAutoHyphens/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22306F">
              <w:rPr>
                <w:rFonts w:ascii="Fira Sans" w:hAnsi="Fira Sans"/>
                <w:color w:val="000000" w:themeColor="text1"/>
                <w:sz w:val="16"/>
                <w:szCs w:val="16"/>
              </w:rPr>
              <w:t>z tego:</w:t>
            </w:r>
          </w:p>
        </w:tc>
      </w:tr>
      <w:tr w:rsidR="005304D7" w:rsidRPr="0022306F" w14:paraId="0ADC1A3F" w14:textId="77777777" w:rsidTr="005304D7">
        <w:trPr>
          <w:trHeight w:val="45"/>
        </w:trPr>
        <w:tc>
          <w:tcPr>
            <w:tcW w:w="179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66653D01" w14:textId="77777777" w:rsidR="005304D7" w:rsidRPr="0022306F" w:rsidRDefault="005304D7" w:rsidP="005304D7">
            <w:pPr>
              <w:tabs>
                <w:tab w:val="right" w:leader="dot" w:pos="4156"/>
              </w:tabs>
              <w:suppressAutoHyphens/>
              <w:contextualSpacing/>
              <w:rPr>
                <w:color w:val="000000" w:themeColor="text1"/>
                <w:sz w:val="16"/>
                <w:szCs w:val="16"/>
              </w:rPr>
            </w:pPr>
            <w:r w:rsidRPr="0022306F">
              <w:rPr>
                <w:rFonts w:cstheme="majorBidi"/>
                <w:color w:val="000000" w:themeColor="text1"/>
                <w:sz w:val="16"/>
                <w:szCs w:val="16"/>
              </w:rPr>
              <w:t>Sektor publiczny</w:t>
            </w:r>
          </w:p>
        </w:tc>
        <w:tc>
          <w:tcPr>
            <w:tcW w:w="1164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54E24F91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09133F5A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79,9</w:t>
            </w:r>
          </w:p>
        </w:tc>
        <w:tc>
          <w:tcPr>
            <w:tcW w:w="132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427212B9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131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</w:tcPr>
          <w:p w14:paraId="2D45116F" w14:textId="77777777" w:rsidR="005304D7" w:rsidRDefault="005304D7" w:rsidP="005304D7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126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4DBA9B14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0,1</w:t>
            </w:r>
          </w:p>
        </w:tc>
      </w:tr>
      <w:tr w:rsidR="005304D7" w:rsidRPr="0022306F" w14:paraId="2D18A9A1" w14:textId="77777777" w:rsidTr="005304D7">
        <w:trPr>
          <w:trHeight w:val="45"/>
        </w:trPr>
        <w:tc>
          <w:tcPr>
            <w:tcW w:w="179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38E79D68" w14:textId="77777777" w:rsidR="005304D7" w:rsidRPr="0022306F" w:rsidRDefault="005304D7" w:rsidP="005304D7">
            <w:pPr>
              <w:pStyle w:val="Nagwek9"/>
              <w:tabs>
                <w:tab w:val="right" w:leader="dot" w:pos="4156"/>
              </w:tabs>
              <w:suppressAutoHyphens/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22306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Sektor prywatny</w:t>
            </w:r>
          </w:p>
        </w:tc>
        <w:tc>
          <w:tcPr>
            <w:tcW w:w="1164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288E734D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7BEA269D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54,1</w:t>
            </w:r>
          </w:p>
        </w:tc>
        <w:tc>
          <w:tcPr>
            <w:tcW w:w="132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0D8467A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35,8</w:t>
            </w:r>
          </w:p>
        </w:tc>
        <w:tc>
          <w:tcPr>
            <w:tcW w:w="131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</w:tcPr>
          <w:p w14:paraId="64149075" w14:textId="77777777" w:rsidR="005304D7" w:rsidRDefault="005304D7" w:rsidP="005304D7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264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03F6C60E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0,8</w:t>
            </w:r>
          </w:p>
        </w:tc>
      </w:tr>
      <w:tr w:rsidR="005304D7" w:rsidRPr="0022306F" w14:paraId="2741DCA6" w14:textId="77777777" w:rsidTr="005304D7">
        <w:trPr>
          <w:gridAfter w:val="2"/>
          <w:wAfter w:w="2579" w:type="dxa"/>
          <w:trHeight w:val="45"/>
        </w:trPr>
        <w:tc>
          <w:tcPr>
            <w:tcW w:w="5488" w:type="dxa"/>
            <w:gridSpan w:val="4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26305537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2306F">
              <w:rPr>
                <w:rFonts w:cstheme="majorBidi"/>
                <w:color w:val="000000" w:themeColor="text1"/>
                <w:sz w:val="16"/>
                <w:szCs w:val="16"/>
              </w:rPr>
              <w:t>Według sektorów własności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t xml:space="preserve"> w %</w:t>
            </w:r>
          </w:p>
        </w:tc>
      </w:tr>
      <w:tr w:rsidR="005304D7" w:rsidRPr="0022306F" w14:paraId="3A1C698C" w14:textId="77777777" w:rsidTr="005304D7">
        <w:trPr>
          <w:trHeight w:val="45"/>
        </w:trPr>
        <w:tc>
          <w:tcPr>
            <w:tcW w:w="179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24BA9297" w14:textId="77777777" w:rsidR="005304D7" w:rsidRPr="0022306F" w:rsidRDefault="005304D7" w:rsidP="005304D7">
            <w:pPr>
              <w:tabs>
                <w:tab w:val="right" w:leader="dot" w:pos="4156"/>
              </w:tabs>
              <w:suppressAutoHyphens/>
              <w:contextualSpacing/>
              <w:rPr>
                <w:rFonts w:cstheme="majorBidi"/>
                <w:color w:val="000000" w:themeColor="text1"/>
                <w:sz w:val="16"/>
                <w:szCs w:val="16"/>
              </w:rPr>
            </w:pPr>
            <w:r w:rsidRPr="0022306F">
              <w:rPr>
                <w:rFonts w:cstheme="majorBidi"/>
                <w:color w:val="000000" w:themeColor="text1"/>
                <w:sz w:val="16"/>
                <w:szCs w:val="16"/>
              </w:rPr>
              <w:t>Gospodarka narodowa</w:t>
            </w:r>
          </w:p>
        </w:tc>
        <w:tc>
          <w:tcPr>
            <w:tcW w:w="11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24966CDF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2306F">
              <w:rPr>
                <w:rFonts w:cs="Arial"/>
                <w:b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39DB5B76" w14:textId="77777777" w:rsidR="005304D7" w:rsidRPr="00D16EB8" w:rsidRDefault="005304D7" w:rsidP="005304D7">
            <w:pPr>
              <w:suppressAutoHyphens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16EB8">
              <w:rPr>
                <w:rFonts w:cs="Arial"/>
                <w:b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326" w:type="dxa"/>
            <w:tcBorders>
              <w:top w:val="single" w:sz="4" w:space="0" w:color="212492"/>
              <w:bottom w:val="single" w:sz="4" w:space="0" w:color="212492"/>
            </w:tcBorders>
          </w:tcPr>
          <w:p w14:paraId="2F509D67" w14:textId="77777777" w:rsidR="005304D7" w:rsidRPr="00D16EB8" w:rsidRDefault="005304D7" w:rsidP="005304D7">
            <w:pPr>
              <w:suppressAutoHyphens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16EB8">
              <w:rPr>
                <w:rFonts w:cs="Arial"/>
                <w:b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315" w:type="dxa"/>
            <w:tcBorders>
              <w:top w:val="single" w:sz="4" w:space="0" w:color="212492"/>
              <w:bottom w:val="single" w:sz="4" w:space="0" w:color="212492"/>
            </w:tcBorders>
          </w:tcPr>
          <w:p w14:paraId="42B34299" w14:textId="77777777" w:rsidR="005304D7" w:rsidRPr="00D16EB8" w:rsidRDefault="005304D7" w:rsidP="005304D7">
            <w:pPr>
              <w:suppressAutoHyphens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16EB8">
              <w:rPr>
                <w:rFonts w:cs="Arial"/>
                <w:b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264" w:type="dxa"/>
            <w:tcBorders>
              <w:top w:val="single" w:sz="4" w:space="0" w:color="212492"/>
              <w:bottom w:val="single" w:sz="4" w:space="0" w:color="212492"/>
            </w:tcBorders>
          </w:tcPr>
          <w:p w14:paraId="720EBAAD" w14:textId="77777777" w:rsidR="005304D7" w:rsidRPr="00D16EB8" w:rsidRDefault="005304D7" w:rsidP="005304D7">
            <w:pPr>
              <w:suppressAutoHyphens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16EB8">
              <w:rPr>
                <w:rFonts w:cs="Arial"/>
                <w:b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5304D7" w:rsidRPr="0022306F" w14:paraId="6AC33075" w14:textId="77777777" w:rsidTr="005304D7">
        <w:trPr>
          <w:gridAfter w:val="5"/>
          <w:wAfter w:w="6273" w:type="dxa"/>
          <w:trHeight w:val="45"/>
        </w:trPr>
        <w:tc>
          <w:tcPr>
            <w:tcW w:w="179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6F09EC82" w14:textId="77777777" w:rsidR="005304D7" w:rsidRPr="0022306F" w:rsidRDefault="005304D7" w:rsidP="005304D7">
            <w:pPr>
              <w:tabs>
                <w:tab w:val="right" w:leader="dot" w:pos="4156"/>
              </w:tabs>
              <w:suppressAutoHyphens/>
              <w:ind w:left="176"/>
              <w:contextualSpacing/>
              <w:rPr>
                <w:rFonts w:cstheme="majorBidi"/>
                <w:color w:val="000000" w:themeColor="text1"/>
                <w:sz w:val="16"/>
                <w:szCs w:val="16"/>
              </w:rPr>
            </w:pPr>
            <w:r w:rsidRPr="0022306F">
              <w:rPr>
                <w:rFonts w:cstheme="majorBidi"/>
                <w:color w:val="000000" w:themeColor="text1"/>
                <w:sz w:val="16"/>
                <w:szCs w:val="16"/>
              </w:rPr>
              <w:t>z tego:</w:t>
            </w:r>
          </w:p>
        </w:tc>
      </w:tr>
      <w:tr w:rsidR="005304D7" w:rsidRPr="0022306F" w14:paraId="60865A0A" w14:textId="77777777" w:rsidTr="005304D7">
        <w:trPr>
          <w:trHeight w:val="45"/>
        </w:trPr>
        <w:tc>
          <w:tcPr>
            <w:tcW w:w="179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5D26F4CF" w14:textId="77777777" w:rsidR="005304D7" w:rsidRPr="0022306F" w:rsidRDefault="005304D7" w:rsidP="005304D7">
            <w:pPr>
              <w:tabs>
                <w:tab w:val="right" w:leader="dot" w:pos="4156"/>
              </w:tabs>
              <w:suppressAutoHyphens/>
              <w:contextualSpacing/>
              <w:rPr>
                <w:rFonts w:cstheme="majorBidi"/>
                <w:color w:val="000000" w:themeColor="text1"/>
                <w:sz w:val="16"/>
                <w:szCs w:val="16"/>
              </w:rPr>
            </w:pPr>
            <w:r w:rsidRPr="0022306F">
              <w:rPr>
                <w:rFonts w:cstheme="majorBidi"/>
                <w:color w:val="000000" w:themeColor="text1"/>
                <w:sz w:val="16"/>
                <w:szCs w:val="16"/>
              </w:rPr>
              <w:t>Sektor publiczny</w:t>
            </w:r>
          </w:p>
        </w:tc>
        <w:tc>
          <w:tcPr>
            <w:tcW w:w="11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3A8A9027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2306F">
              <w:rPr>
                <w:rFonts w:cs="Arial"/>
                <w:b/>
                <w:color w:val="000000" w:themeColor="text1"/>
                <w:sz w:val="16"/>
                <w:szCs w:val="16"/>
              </w:rPr>
              <w:t>40,</w:t>
            </w: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70C8F1AC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2306F">
              <w:rPr>
                <w:rFonts w:cs="Arial"/>
                <w:color w:val="000000" w:themeColor="text1"/>
                <w:sz w:val="16"/>
                <w:szCs w:val="16"/>
              </w:rPr>
              <w:t>49,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326" w:type="dxa"/>
            <w:tcBorders>
              <w:top w:val="single" w:sz="4" w:space="0" w:color="212492"/>
              <w:bottom w:val="single" w:sz="4" w:space="0" w:color="212492"/>
            </w:tcBorders>
          </w:tcPr>
          <w:p w14:paraId="67EC3497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2306F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22306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single" w:sz="4" w:space="0" w:color="212492"/>
              <w:bottom w:val="single" w:sz="4" w:space="0" w:color="212492"/>
            </w:tcBorders>
          </w:tcPr>
          <w:p w14:paraId="6BAA6E47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2306F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22306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64" w:type="dxa"/>
            <w:tcBorders>
              <w:top w:val="single" w:sz="4" w:space="0" w:color="212492"/>
              <w:bottom w:val="single" w:sz="4" w:space="0" w:color="212492"/>
            </w:tcBorders>
          </w:tcPr>
          <w:p w14:paraId="04558971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6,3</w:t>
            </w:r>
          </w:p>
        </w:tc>
      </w:tr>
      <w:tr w:rsidR="005304D7" w:rsidRPr="0022306F" w14:paraId="5A63BE52" w14:textId="77777777" w:rsidTr="005304D7">
        <w:trPr>
          <w:trHeight w:val="45"/>
        </w:trPr>
        <w:tc>
          <w:tcPr>
            <w:tcW w:w="1794" w:type="dxa"/>
            <w:tcBorders>
              <w:top w:val="single" w:sz="4" w:space="0" w:color="212492"/>
              <w:bottom w:val="nil"/>
            </w:tcBorders>
            <w:vAlign w:val="center"/>
          </w:tcPr>
          <w:p w14:paraId="1D390EFF" w14:textId="77777777" w:rsidR="005304D7" w:rsidRPr="0022306F" w:rsidRDefault="005304D7" w:rsidP="005304D7">
            <w:pPr>
              <w:tabs>
                <w:tab w:val="right" w:leader="dot" w:pos="4156"/>
              </w:tabs>
              <w:suppressAutoHyphens/>
              <w:contextualSpacing/>
              <w:rPr>
                <w:rFonts w:cstheme="majorBidi"/>
                <w:color w:val="000000" w:themeColor="text1"/>
                <w:sz w:val="16"/>
                <w:szCs w:val="16"/>
              </w:rPr>
            </w:pPr>
            <w:r w:rsidRPr="0022306F">
              <w:rPr>
                <w:rFonts w:cstheme="majorBidi"/>
                <w:color w:val="000000" w:themeColor="text1"/>
                <w:sz w:val="16"/>
                <w:szCs w:val="16"/>
              </w:rPr>
              <w:t>Sektor prywatny</w:t>
            </w:r>
          </w:p>
        </w:tc>
        <w:tc>
          <w:tcPr>
            <w:tcW w:w="1164" w:type="dxa"/>
            <w:tcBorders>
              <w:top w:val="single" w:sz="4" w:space="0" w:color="212492"/>
              <w:bottom w:val="nil"/>
            </w:tcBorders>
            <w:vAlign w:val="center"/>
          </w:tcPr>
          <w:p w14:paraId="31010C8D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59</w:t>
            </w:r>
            <w:r w:rsidRPr="0022306F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04" w:type="dxa"/>
            <w:tcBorders>
              <w:top w:val="single" w:sz="4" w:space="0" w:color="212492"/>
              <w:bottom w:val="nil"/>
            </w:tcBorders>
            <w:vAlign w:val="center"/>
          </w:tcPr>
          <w:p w14:paraId="104B54BE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2306F">
              <w:rPr>
                <w:rFonts w:cs="Arial"/>
                <w:color w:val="000000" w:themeColor="text1"/>
                <w:sz w:val="16"/>
                <w:szCs w:val="16"/>
              </w:rPr>
              <w:t>50,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26" w:type="dxa"/>
            <w:tcBorders>
              <w:top w:val="single" w:sz="4" w:space="0" w:color="212492"/>
              <w:bottom w:val="nil"/>
            </w:tcBorders>
          </w:tcPr>
          <w:p w14:paraId="34FEB67F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2306F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Pr="0022306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single" w:sz="4" w:space="0" w:color="212492"/>
              <w:bottom w:val="nil"/>
            </w:tcBorders>
          </w:tcPr>
          <w:p w14:paraId="2AABE5D4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2306F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22306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64" w:type="dxa"/>
            <w:tcBorders>
              <w:top w:val="single" w:sz="4" w:space="0" w:color="212492"/>
              <w:bottom w:val="nil"/>
            </w:tcBorders>
          </w:tcPr>
          <w:p w14:paraId="1F9CB8A1" w14:textId="77777777" w:rsidR="005304D7" w:rsidRPr="0022306F" w:rsidRDefault="005304D7" w:rsidP="005304D7">
            <w:pPr>
              <w:suppressAutoHyphens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93,7</w:t>
            </w:r>
          </w:p>
        </w:tc>
      </w:tr>
    </w:tbl>
    <w:p w14:paraId="4C657203" w14:textId="77777777" w:rsidR="005304D7" w:rsidRDefault="005304D7" w:rsidP="00FF1D3B">
      <w:pPr>
        <w:suppressAutoHyphens/>
        <w:spacing w:before="0" w:after="160" w:line="256" w:lineRule="auto"/>
        <w:jc w:val="both"/>
      </w:pPr>
    </w:p>
    <w:p w14:paraId="72B93769" w14:textId="77777777" w:rsidR="00CA7B4F" w:rsidRDefault="00CA7B4F" w:rsidP="00D21F4A">
      <w:pPr>
        <w:suppressAutoHyphens/>
        <w:spacing w:before="0" w:after="160" w:line="256" w:lineRule="auto"/>
      </w:pPr>
      <w:r>
        <w:t xml:space="preserve">Środki trwałe w gospodarce narodowej na koniec 2018 roku były umorzone w 47,3%, tj. o 0,4% więcej niż w poprzednim roku. </w:t>
      </w:r>
    </w:p>
    <w:p w14:paraId="468FBB2B" w14:textId="092A4A06" w:rsidR="00CA7B4F" w:rsidRDefault="00CA7B4F" w:rsidP="00D21F4A">
      <w:pPr>
        <w:suppressAutoHyphens/>
        <w:spacing w:before="0" w:after="160" w:line="256" w:lineRule="auto"/>
      </w:pPr>
      <w:r>
        <w:t xml:space="preserve">Najwyższy stopień zużycia wykazały jednostki zaliczone do sekcji PKD2007: rolnictwo, leśnictwo, łowiectwo i rybactwo – 74,2%, informacja i komunikacja – 68,0%, </w:t>
      </w:r>
      <w:r w:rsidR="008326F2">
        <w:t>przetwórstwo przemysłowe – 52,3%.</w:t>
      </w:r>
    </w:p>
    <w:p w14:paraId="290047F5" w14:textId="130C3C90" w:rsidR="00694AF0" w:rsidRPr="00001C5B" w:rsidRDefault="00CA7B4F" w:rsidP="00D21F4A">
      <w:pPr>
        <w:suppressAutoHyphens/>
        <w:rPr>
          <w:sz w:val="18"/>
        </w:rPr>
        <w:sectPr w:rsidR="00694AF0" w:rsidRPr="00001C5B" w:rsidSect="003B18B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t>Najniższe zużycie środków trwałych wykazały jednostki zaliczone do sekcji PKD2007: działalność związana z kulturą, rozrywką i rekreacją – 30,1%, zakwaterowanie i gastronomia – 36,9%,  obsługa rynku  nieruchomości – 37,1%.</w:t>
      </w:r>
    </w:p>
    <w:p w14:paraId="290047F6" w14:textId="77777777" w:rsidR="000470AA" w:rsidRDefault="000470AA" w:rsidP="00287268">
      <w:pPr>
        <w:suppressAutoHyphens/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9"/>
        <w:gridCol w:w="3818"/>
      </w:tblGrid>
      <w:tr w:rsidR="00657390" w:rsidRPr="00D21F4A" w14:paraId="66747054" w14:textId="77777777" w:rsidTr="00D24193">
        <w:trPr>
          <w:trHeight w:val="1912"/>
        </w:trPr>
        <w:tc>
          <w:tcPr>
            <w:tcW w:w="4379" w:type="dxa"/>
          </w:tcPr>
          <w:p w14:paraId="565FE1E5" w14:textId="77777777" w:rsidR="00657390" w:rsidRPr="0022306F" w:rsidRDefault="00657390" w:rsidP="00287268">
            <w:pPr>
              <w:suppressAutoHyphens/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22306F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3769F6DE" w14:textId="77777777" w:rsidR="00657390" w:rsidRPr="0022306F" w:rsidRDefault="00657390" w:rsidP="00287268">
            <w:pPr>
              <w:suppressAutoHyphens/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22306F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Rachunków Narodowych</w:t>
            </w:r>
          </w:p>
          <w:p w14:paraId="773072F8" w14:textId="77777777" w:rsidR="00657390" w:rsidRPr="0022306F" w:rsidRDefault="00657390" w:rsidP="00287268">
            <w:pPr>
              <w:pStyle w:val="Nagwek3"/>
              <w:suppressAutoHyphens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22306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Monika Burdzicka</w:t>
            </w:r>
          </w:p>
          <w:p w14:paraId="18B78982" w14:textId="77777777" w:rsidR="00657390" w:rsidRPr="00213641" w:rsidRDefault="00657390" w:rsidP="00287268">
            <w:pPr>
              <w:pStyle w:val="Nagwek3"/>
              <w:suppressAutoHyphens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213641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33 15</w:t>
            </w:r>
          </w:p>
          <w:p w14:paraId="54230BFA" w14:textId="77777777" w:rsidR="00657390" w:rsidRPr="00213641" w:rsidRDefault="00657390" w:rsidP="00287268">
            <w:pPr>
              <w:pStyle w:val="Nagwek3"/>
              <w:suppressAutoHyphens/>
              <w:spacing w:before="0" w:line="240" w:lineRule="auto"/>
              <w:rPr>
                <w:rFonts w:ascii="Fira Sans" w:hAnsi="Fira Sans"/>
                <w:color w:val="000000" w:themeColor="text1"/>
                <w:lang w:val="en-GB"/>
              </w:rPr>
            </w:pPr>
            <w:r w:rsidRPr="00213641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>e-mail</w:t>
            </w:r>
            <w:r w:rsidRPr="00D21F4A">
              <w:rPr>
                <w:rFonts w:ascii="Fira Sans" w:hAnsi="Fira Sans" w:cs="Arial"/>
                <w:color w:val="000000" w:themeColor="text1"/>
                <w:sz w:val="20"/>
                <w:szCs w:val="20"/>
                <w:lang w:val="en-GB"/>
              </w:rPr>
              <w:t>:</w:t>
            </w:r>
            <w:r w:rsidRPr="00D21F4A">
              <w:rPr>
                <w:lang w:val="en-GB" w:eastAsia="pl-PL"/>
              </w:rPr>
              <w:t xml:space="preserve"> </w:t>
            </w:r>
            <w:hyperlink r:id="rId17" w:history="1">
              <w:r w:rsidRPr="00D21F4A">
                <w:rPr>
                  <w:rStyle w:val="Hipercze"/>
                  <w:rFonts w:ascii="Fira Sans" w:hAnsi="Fira Sans"/>
                  <w:b/>
                  <w:color w:val="auto"/>
                  <w:sz w:val="20"/>
                  <w:szCs w:val="20"/>
                  <w:lang w:val="en-GB"/>
                </w:rPr>
                <w:t>M.Burdzicka@stat.gov.pl</w:t>
              </w:r>
            </w:hyperlink>
          </w:p>
        </w:tc>
        <w:tc>
          <w:tcPr>
            <w:tcW w:w="3942" w:type="dxa"/>
          </w:tcPr>
          <w:p w14:paraId="5F8F6829" w14:textId="77777777" w:rsidR="00657390" w:rsidRPr="0022306F" w:rsidRDefault="00657390" w:rsidP="00287268">
            <w:pPr>
              <w:suppressAutoHyphens/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22306F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22306F">
              <w:rPr>
                <w:rFonts w:cs="Arial"/>
                <w:color w:val="000000" w:themeColor="text1"/>
                <w:sz w:val="20"/>
              </w:rPr>
              <w:br/>
            </w:r>
            <w:r w:rsidRPr="0022306F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1B9BCDC8" w14:textId="77777777" w:rsidR="00657390" w:rsidRPr="0022306F" w:rsidRDefault="00657390" w:rsidP="00287268">
            <w:pPr>
              <w:pStyle w:val="Nagwek3"/>
              <w:suppressAutoHyphens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22306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43321FD0" w14:textId="77777777" w:rsidR="00657390" w:rsidRPr="00703365" w:rsidRDefault="00657390" w:rsidP="00287268">
            <w:pPr>
              <w:pStyle w:val="Nagwek3"/>
              <w:suppressAutoHyphens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703365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 xml:space="preserve"> </w:t>
            </w:r>
            <w:r w:rsidRPr="00703365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 xml:space="preserve"> </w:t>
            </w:r>
            <w:r w:rsidRPr="00703365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09</w:t>
            </w:r>
          </w:p>
          <w:p w14:paraId="74FB4434" w14:textId="77777777" w:rsidR="00657390" w:rsidRPr="00703365" w:rsidRDefault="00657390" w:rsidP="00287268">
            <w:pPr>
              <w:pStyle w:val="Nagwek3"/>
              <w:suppressAutoHyphens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703365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703365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1C064705" w14:textId="77777777" w:rsidR="00657390" w:rsidRPr="00703365" w:rsidRDefault="00657390" w:rsidP="00287268">
      <w:pPr>
        <w:suppressAutoHyphens/>
        <w:rPr>
          <w:sz w:val="20"/>
          <w:lang w:val="en-US"/>
        </w:rPr>
      </w:pPr>
    </w:p>
    <w:p w14:paraId="37DF5200" w14:textId="77777777" w:rsidR="00657390" w:rsidRPr="00703365" w:rsidRDefault="00657390" w:rsidP="00287268">
      <w:pPr>
        <w:suppressAutoHyphens/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657390" w:rsidRPr="0022306F" w14:paraId="19141556" w14:textId="77777777" w:rsidTr="00D24193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D5992E9" w14:textId="77777777" w:rsidR="00657390" w:rsidRPr="0022306F" w:rsidRDefault="00657390" w:rsidP="00287268">
            <w:pPr>
              <w:suppressAutoHyphens/>
              <w:rPr>
                <w:b/>
                <w:sz w:val="20"/>
              </w:rPr>
            </w:pPr>
            <w:r w:rsidRPr="0022306F">
              <w:rPr>
                <w:b/>
                <w:sz w:val="20"/>
              </w:rPr>
              <w:t xml:space="preserve">Wydział Współpracy z Mediami </w:t>
            </w:r>
          </w:p>
          <w:p w14:paraId="156B7065" w14:textId="6A2454FC" w:rsidR="00657390" w:rsidRPr="00D21F4A" w:rsidRDefault="00D21F4A" w:rsidP="00287268">
            <w:pPr>
              <w:suppressAutoHyphens/>
              <w:rPr>
                <w:sz w:val="20"/>
              </w:rPr>
            </w:pPr>
            <w:r w:rsidRPr="00D21F4A">
              <w:rPr>
                <w:sz w:val="20"/>
              </w:rPr>
              <w:t>Tel</w:t>
            </w:r>
            <w:r w:rsidR="00657390" w:rsidRPr="00D21F4A">
              <w:rPr>
                <w:sz w:val="20"/>
              </w:rPr>
              <w:t>:</w:t>
            </w:r>
            <w:r w:rsidR="00657390" w:rsidRPr="0022306F">
              <w:rPr>
                <w:b/>
                <w:sz w:val="20"/>
              </w:rPr>
              <w:t xml:space="preserve"> </w:t>
            </w:r>
            <w:r w:rsidR="00657390" w:rsidRPr="0022306F">
              <w:rPr>
                <w:sz w:val="20"/>
              </w:rPr>
              <w:t xml:space="preserve">22 608 34 91, 22 608 38 04 </w:t>
            </w:r>
          </w:p>
          <w:p w14:paraId="55C398F9" w14:textId="77777777" w:rsidR="00657390" w:rsidRPr="00703365" w:rsidRDefault="00657390" w:rsidP="00287268">
            <w:pPr>
              <w:suppressAutoHyphens/>
              <w:rPr>
                <w:sz w:val="18"/>
                <w:lang w:val="en-US"/>
              </w:rPr>
            </w:pPr>
            <w:r w:rsidRPr="00703365">
              <w:rPr>
                <w:b/>
                <w:sz w:val="20"/>
                <w:lang w:val="en-US"/>
              </w:rPr>
              <w:t>e-mail:</w:t>
            </w:r>
            <w:r w:rsidRPr="00703365">
              <w:rPr>
                <w:sz w:val="20"/>
                <w:lang w:val="en-US"/>
              </w:rPr>
              <w:t xml:space="preserve"> </w:t>
            </w:r>
            <w:hyperlink r:id="rId19" w:history="1">
              <w:r w:rsidRPr="00D21F4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4BD070D5" w14:textId="77777777" w:rsidR="00657390" w:rsidRPr="00703365" w:rsidRDefault="00657390" w:rsidP="00287268">
            <w:pPr>
              <w:suppressAutoHyphens/>
              <w:rPr>
                <w:sz w:val="18"/>
                <w:lang w:val="en-US"/>
              </w:rPr>
            </w:pPr>
            <w:r w:rsidRPr="0022306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3232" behindDoc="0" locked="0" layoutInCell="1" allowOverlap="1" wp14:anchorId="66800BF5" wp14:editId="5957AD7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16857632" w14:textId="77777777" w:rsidR="00657390" w:rsidRPr="0022306F" w:rsidRDefault="00657390" w:rsidP="00287268">
            <w:pPr>
              <w:suppressAutoHyphens/>
              <w:rPr>
                <w:sz w:val="18"/>
              </w:rPr>
            </w:pPr>
            <w:r w:rsidRPr="0022306F">
              <w:rPr>
                <w:sz w:val="20"/>
              </w:rPr>
              <w:t>www.stat.gov.pl</w:t>
            </w:r>
          </w:p>
        </w:tc>
      </w:tr>
      <w:tr w:rsidR="00657390" w:rsidRPr="0022306F" w14:paraId="4A3FFFA2" w14:textId="77777777" w:rsidTr="00D24193">
        <w:trPr>
          <w:trHeight w:val="436"/>
        </w:trPr>
        <w:tc>
          <w:tcPr>
            <w:tcW w:w="2721" w:type="pct"/>
            <w:vMerge/>
            <w:vAlign w:val="center"/>
          </w:tcPr>
          <w:p w14:paraId="32834E6C" w14:textId="77777777" w:rsidR="00657390" w:rsidRPr="0022306F" w:rsidRDefault="00657390" w:rsidP="00287268">
            <w:pPr>
              <w:suppressAutoHyphens/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2645854" w14:textId="77777777" w:rsidR="00657390" w:rsidRPr="0022306F" w:rsidRDefault="00657390" w:rsidP="00287268">
            <w:pPr>
              <w:suppressAutoHyphens/>
              <w:rPr>
                <w:sz w:val="18"/>
              </w:rPr>
            </w:pPr>
            <w:r w:rsidRPr="0022306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5280" behindDoc="0" locked="0" layoutInCell="1" allowOverlap="1" wp14:anchorId="13A5900F" wp14:editId="5194584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0E9D7938" w14:textId="77777777" w:rsidR="00657390" w:rsidRPr="0022306F" w:rsidRDefault="00657390" w:rsidP="00287268">
            <w:pPr>
              <w:suppressAutoHyphens/>
              <w:rPr>
                <w:sz w:val="18"/>
              </w:rPr>
            </w:pPr>
            <w:r w:rsidRPr="0022306F">
              <w:rPr>
                <w:sz w:val="20"/>
              </w:rPr>
              <w:t>@GUS_STAT</w:t>
            </w:r>
          </w:p>
        </w:tc>
      </w:tr>
      <w:tr w:rsidR="00657390" w:rsidRPr="0022306F" w14:paraId="28733334" w14:textId="77777777" w:rsidTr="00D24193">
        <w:trPr>
          <w:trHeight w:val="436"/>
        </w:trPr>
        <w:tc>
          <w:tcPr>
            <w:tcW w:w="2721" w:type="pct"/>
            <w:vMerge/>
            <w:vAlign w:val="center"/>
          </w:tcPr>
          <w:p w14:paraId="143EBCBA" w14:textId="77777777" w:rsidR="00657390" w:rsidRPr="0022306F" w:rsidRDefault="00657390" w:rsidP="00287268">
            <w:pPr>
              <w:suppressAutoHyphens/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DADB00" w14:textId="77777777" w:rsidR="00657390" w:rsidRPr="0022306F" w:rsidRDefault="00657390" w:rsidP="00287268">
            <w:pPr>
              <w:suppressAutoHyphens/>
              <w:rPr>
                <w:sz w:val="18"/>
              </w:rPr>
            </w:pPr>
            <w:r w:rsidRPr="0022306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4256" behindDoc="0" locked="0" layoutInCell="1" allowOverlap="1" wp14:anchorId="430B8AE9" wp14:editId="2CDCF4C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8106803" w14:textId="77777777" w:rsidR="00657390" w:rsidRPr="0022306F" w:rsidRDefault="00657390" w:rsidP="00287268">
            <w:pPr>
              <w:suppressAutoHyphens/>
              <w:rPr>
                <w:sz w:val="20"/>
              </w:rPr>
            </w:pPr>
            <w:r w:rsidRPr="0022306F">
              <w:rPr>
                <w:sz w:val="20"/>
              </w:rPr>
              <w:t>@GlownyUrzadStatystyczny</w:t>
            </w:r>
          </w:p>
        </w:tc>
      </w:tr>
    </w:tbl>
    <w:p w14:paraId="29004812" w14:textId="77777777" w:rsidR="00D261A2" w:rsidRPr="00001C5B" w:rsidRDefault="001448A7" w:rsidP="00287268">
      <w:pPr>
        <w:suppressAutoHyphens/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9004823" wp14:editId="29004824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A0A3E" w14:textId="77777777" w:rsidR="00657390" w:rsidRDefault="00657390" w:rsidP="00657390">
                            <w:pPr>
                              <w:rPr>
                                <w:b/>
                              </w:rPr>
                            </w:pPr>
                          </w:p>
                          <w:p w14:paraId="4DE15DE4" w14:textId="77777777" w:rsidR="00657390" w:rsidRPr="007972BF" w:rsidRDefault="00657390" w:rsidP="00657390">
                            <w:pPr>
                              <w:rPr>
                                <w:b/>
                              </w:rPr>
                            </w:pPr>
                            <w:r w:rsidRPr="007972BF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59DBCBDE" w14:textId="77777777" w:rsidR="00657390" w:rsidRPr="00D21F4A" w:rsidRDefault="006814AE" w:rsidP="00657390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657390" w:rsidRPr="00D21F4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Środki trwałe w gospodarce narodowej w 2017 roku</w:t>
                              </w:r>
                            </w:hyperlink>
                          </w:p>
                          <w:p w14:paraId="6028EDE5" w14:textId="77777777" w:rsidR="00657390" w:rsidRPr="007972BF" w:rsidRDefault="00657390" w:rsidP="00657390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D3B59C3" w14:textId="77777777" w:rsidR="00657390" w:rsidRPr="007972BF" w:rsidRDefault="00657390" w:rsidP="00657390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972B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1FECBF74" w14:textId="77777777" w:rsidR="00D1315C" w:rsidRPr="00D21F4A" w:rsidRDefault="006814AE" w:rsidP="00D1315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D1315C" w:rsidRPr="00D21F4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14:paraId="58798760" w14:textId="77777777" w:rsidR="00D1315C" w:rsidRPr="00D21F4A" w:rsidRDefault="006814AE" w:rsidP="00D1315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D1315C" w:rsidRPr="00D21F4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Środki trwałe</w:t>
                              </w:r>
                            </w:hyperlink>
                          </w:p>
                          <w:p w14:paraId="6F0E9B07" w14:textId="77777777" w:rsidR="00D1315C" w:rsidRPr="00505A92" w:rsidRDefault="00D1315C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0482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TuOUW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1D4A0A3E" w14:textId="77777777" w:rsidR="00657390" w:rsidRDefault="00657390" w:rsidP="00657390">
                      <w:pPr>
                        <w:rPr>
                          <w:b/>
                        </w:rPr>
                      </w:pPr>
                    </w:p>
                    <w:p w14:paraId="4DE15DE4" w14:textId="77777777" w:rsidR="00657390" w:rsidRPr="007972BF" w:rsidRDefault="00657390" w:rsidP="00657390">
                      <w:pPr>
                        <w:rPr>
                          <w:b/>
                        </w:rPr>
                      </w:pPr>
                      <w:r w:rsidRPr="007972BF">
                        <w:rPr>
                          <w:b/>
                        </w:rPr>
                        <w:t>Powiązane opracowania</w:t>
                      </w:r>
                    </w:p>
                    <w:p w14:paraId="59DBCBDE" w14:textId="77777777" w:rsidR="00657390" w:rsidRPr="00D21F4A" w:rsidRDefault="00BC0CCD" w:rsidP="00657390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6" w:history="1">
                        <w:r w:rsidR="00657390" w:rsidRPr="00D21F4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Środki trwałe w gospodarce narodowej w 2017 roku</w:t>
                        </w:r>
                      </w:hyperlink>
                    </w:p>
                    <w:p w14:paraId="6028EDE5" w14:textId="77777777" w:rsidR="00657390" w:rsidRPr="007972BF" w:rsidRDefault="00657390" w:rsidP="00657390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1D3B59C3" w14:textId="77777777" w:rsidR="00657390" w:rsidRPr="007972BF" w:rsidRDefault="00657390" w:rsidP="00657390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972BF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14:paraId="1FECBF74" w14:textId="77777777" w:rsidR="00D1315C" w:rsidRPr="00D21F4A" w:rsidRDefault="00BC0CCD" w:rsidP="00D1315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7" w:history="1">
                        <w:r w:rsidR="00D1315C" w:rsidRPr="00D21F4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14:paraId="58798760" w14:textId="77777777" w:rsidR="00D1315C" w:rsidRPr="00D21F4A" w:rsidRDefault="00BC0CCD" w:rsidP="00D1315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8" w:history="1">
                        <w:r w:rsidR="00D1315C" w:rsidRPr="00D21F4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Środki trwałe</w:t>
                        </w:r>
                      </w:hyperlink>
                    </w:p>
                    <w:p w14:paraId="6F0E9B07" w14:textId="77777777" w:rsidR="00D1315C" w:rsidRPr="00505A92" w:rsidRDefault="00D1315C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29"/>
      <w:footerReference w:type="default" r:id="rId30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0E118" w14:textId="77777777" w:rsidR="006814AE" w:rsidRDefault="006814AE" w:rsidP="000662E2">
      <w:pPr>
        <w:spacing w:after="0" w:line="240" w:lineRule="auto"/>
      </w:pPr>
      <w:r>
        <w:separator/>
      </w:r>
    </w:p>
  </w:endnote>
  <w:endnote w:type="continuationSeparator" w:id="0">
    <w:p w14:paraId="6BC4559C" w14:textId="77777777" w:rsidR="006814AE" w:rsidRDefault="006814A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2900482B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563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2900482E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56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29004831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56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CC491" w14:textId="77777777" w:rsidR="006814AE" w:rsidRDefault="006814AE" w:rsidP="000662E2">
      <w:pPr>
        <w:spacing w:after="0" w:line="240" w:lineRule="auto"/>
      </w:pPr>
      <w:r>
        <w:separator/>
      </w:r>
    </w:p>
  </w:footnote>
  <w:footnote w:type="continuationSeparator" w:id="0">
    <w:p w14:paraId="1BDDD7D1" w14:textId="77777777" w:rsidR="006814AE" w:rsidRDefault="006814AE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4829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9004832" wp14:editId="2900483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4C2138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2900482A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482C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004834" wp14:editId="2900483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004853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004834"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9004853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9004836" wp14:editId="29004837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C2E986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29004838" wp14:editId="29004839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0482D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900483A" wp14:editId="2900483B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04854" w14:textId="7AB95FC9" w:rsidR="00F37172" w:rsidRPr="00C97596" w:rsidRDefault="004F169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29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11.2019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0483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9004854" w14:textId="7AB95FC9" w:rsidR="00F37172" w:rsidRPr="00C97596" w:rsidRDefault="004F169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29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11.2019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482F" w14:textId="77777777" w:rsidR="00607CC5" w:rsidRDefault="00607CC5">
    <w:pPr>
      <w:pStyle w:val="Nagwek"/>
    </w:pPr>
  </w:p>
  <w:p w14:paraId="29004830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7pt;height:1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85pt;height:1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0F27406"/>
    <w:multiLevelType w:val="hybridMultilevel"/>
    <w:tmpl w:val="C2106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26D7469"/>
    <w:multiLevelType w:val="hybridMultilevel"/>
    <w:tmpl w:val="3C2A9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4582E"/>
    <w:rsid w:val="000470AA"/>
    <w:rsid w:val="00057CA1"/>
    <w:rsid w:val="000662E2"/>
    <w:rsid w:val="00066883"/>
    <w:rsid w:val="0007156E"/>
    <w:rsid w:val="00074DD8"/>
    <w:rsid w:val="000806F7"/>
    <w:rsid w:val="00097840"/>
    <w:rsid w:val="000B0727"/>
    <w:rsid w:val="000C135D"/>
    <w:rsid w:val="000C4BC1"/>
    <w:rsid w:val="000D1D43"/>
    <w:rsid w:val="000D225C"/>
    <w:rsid w:val="000D2A5C"/>
    <w:rsid w:val="000E0918"/>
    <w:rsid w:val="001011C3"/>
    <w:rsid w:val="00110D87"/>
    <w:rsid w:val="00114DB9"/>
    <w:rsid w:val="00116087"/>
    <w:rsid w:val="00130296"/>
    <w:rsid w:val="001423B6"/>
    <w:rsid w:val="001448A7"/>
    <w:rsid w:val="00146621"/>
    <w:rsid w:val="00162325"/>
    <w:rsid w:val="001951DA"/>
    <w:rsid w:val="001C3269"/>
    <w:rsid w:val="001D1DB4"/>
    <w:rsid w:val="002117AA"/>
    <w:rsid w:val="002574F9"/>
    <w:rsid w:val="00262B61"/>
    <w:rsid w:val="00276811"/>
    <w:rsid w:val="00282699"/>
    <w:rsid w:val="00283316"/>
    <w:rsid w:val="00287268"/>
    <w:rsid w:val="002926DF"/>
    <w:rsid w:val="00296697"/>
    <w:rsid w:val="002B0472"/>
    <w:rsid w:val="002B6B12"/>
    <w:rsid w:val="002E6140"/>
    <w:rsid w:val="002E6985"/>
    <w:rsid w:val="002E71B6"/>
    <w:rsid w:val="002F77C8"/>
    <w:rsid w:val="00304F22"/>
    <w:rsid w:val="00306C7C"/>
    <w:rsid w:val="00322EDD"/>
    <w:rsid w:val="00330800"/>
    <w:rsid w:val="00332320"/>
    <w:rsid w:val="00334168"/>
    <w:rsid w:val="00347D72"/>
    <w:rsid w:val="00355AD6"/>
    <w:rsid w:val="00357611"/>
    <w:rsid w:val="00367237"/>
    <w:rsid w:val="0037077F"/>
    <w:rsid w:val="00372411"/>
    <w:rsid w:val="00373882"/>
    <w:rsid w:val="003843DB"/>
    <w:rsid w:val="00393761"/>
    <w:rsid w:val="00397D18"/>
    <w:rsid w:val="003A1B36"/>
    <w:rsid w:val="003B1454"/>
    <w:rsid w:val="003B18B6"/>
    <w:rsid w:val="003C59E0"/>
    <w:rsid w:val="003C6C8D"/>
    <w:rsid w:val="003D4F95"/>
    <w:rsid w:val="003D5F42"/>
    <w:rsid w:val="003D60A9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56425"/>
    <w:rsid w:val="00463E39"/>
    <w:rsid w:val="004657FC"/>
    <w:rsid w:val="004733F6"/>
    <w:rsid w:val="00474E69"/>
    <w:rsid w:val="0049621B"/>
    <w:rsid w:val="004C1895"/>
    <w:rsid w:val="004C6D40"/>
    <w:rsid w:val="004F0C3C"/>
    <w:rsid w:val="004F169E"/>
    <w:rsid w:val="004F63FC"/>
    <w:rsid w:val="00505A92"/>
    <w:rsid w:val="005101B8"/>
    <w:rsid w:val="005203F1"/>
    <w:rsid w:val="00521BC3"/>
    <w:rsid w:val="005304D7"/>
    <w:rsid w:val="00533632"/>
    <w:rsid w:val="00533FDE"/>
    <w:rsid w:val="00541E6E"/>
    <w:rsid w:val="0054251F"/>
    <w:rsid w:val="005520D8"/>
    <w:rsid w:val="00556CF1"/>
    <w:rsid w:val="005762A7"/>
    <w:rsid w:val="005916D7"/>
    <w:rsid w:val="005A698C"/>
    <w:rsid w:val="005E0799"/>
    <w:rsid w:val="005F5A80"/>
    <w:rsid w:val="006044FF"/>
    <w:rsid w:val="00607CC5"/>
    <w:rsid w:val="0061682E"/>
    <w:rsid w:val="00633014"/>
    <w:rsid w:val="0063437B"/>
    <w:rsid w:val="00657390"/>
    <w:rsid w:val="0066673B"/>
    <w:rsid w:val="006673CA"/>
    <w:rsid w:val="00673C26"/>
    <w:rsid w:val="006812AF"/>
    <w:rsid w:val="006814AE"/>
    <w:rsid w:val="0068327D"/>
    <w:rsid w:val="00694AF0"/>
    <w:rsid w:val="006A4686"/>
    <w:rsid w:val="006B0E9E"/>
    <w:rsid w:val="006B5AE4"/>
    <w:rsid w:val="006D1507"/>
    <w:rsid w:val="006D4054"/>
    <w:rsid w:val="006E02EC"/>
    <w:rsid w:val="007211B1"/>
    <w:rsid w:val="00746187"/>
    <w:rsid w:val="0076254F"/>
    <w:rsid w:val="007801F5"/>
    <w:rsid w:val="00783CA4"/>
    <w:rsid w:val="007842FB"/>
    <w:rsid w:val="00786124"/>
    <w:rsid w:val="0079514B"/>
    <w:rsid w:val="007A2DC1"/>
    <w:rsid w:val="007D3319"/>
    <w:rsid w:val="007D335D"/>
    <w:rsid w:val="007E3314"/>
    <w:rsid w:val="007E4B03"/>
    <w:rsid w:val="007F324B"/>
    <w:rsid w:val="0080553C"/>
    <w:rsid w:val="00805B46"/>
    <w:rsid w:val="00825DC2"/>
    <w:rsid w:val="008326F2"/>
    <w:rsid w:val="00834AD3"/>
    <w:rsid w:val="00843795"/>
    <w:rsid w:val="00847F0F"/>
    <w:rsid w:val="00852448"/>
    <w:rsid w:val="0088258A"/>
    <w:rsid w:val="00886332"/>
    <w:rsid w:val="00891B12"/>
    <w:rsid w:val="008A26D9"/>
    <w:rsid w:val="008C0C29"/>
    <w:rsid w:val="008E003A"/>
    <w:rsid w:val="008F3638"/>
    <w:rsid w:val="008F4441"/>
    <w:rsid w:val="008F6F31"/>
    <w:rsid w:val="008F74DF"/>
    <w:rsid w:val="009127BA"/>
    <w:rsid w:val="009227A6"/>
    <w:rsid w:val="00933EC1"/>
    <w:rsid w:val="009530DB"/>
    <w:rsid w:val="00953676"/>
    <w:rsid w:val="009705EE"/>
    <w:rsid w:val="00977927"/>
    <w:rsid w:val="0098135C"/>
    <w:rsid w:val="0098156A"/>
    <w:rsid w:val="00991BAC"/>
    <w:rsid w:val="009A6EA0"/>
    <w:rsid w:val="009C1335"/>
    <w:rsid w:val="009C1AB2"/>
    <w:rsid w:val="009C7251"/>
    <w:rsid w:val="009E2E91"/>
    <w:rsid w:val="00A139F5"/>
    <w:rsid w:val="00A365F4"/>
    <w:rsid w:val="00A47D80"/>
    <w:rsid w:val="00A53132"/>
    <w:rsid w:val="00A563F2"/>
    <w:rsid w:val="00A566E8"/>
    <w:rsid w:val="00A810F9"/>
    <w:rsid w:val="00A86ECC"/>
    <w:rsid w:val="00A86FCC"/>
    <w:rsid w:val="00AA710D"/>
    <w:rsid w:val="00AB6D25"/>
    <w:rsid w:val="00AE2D4B"/>
    <w:rsid w:val="00AE4F99"/>
    <w:rsid w:val="00B11B69"/>
    <w:rsid w:val="00B14952"/>
    <w:rsid w:val="00B31E5A"/>
    <w:rsid w:val="00B653AB"/>
    <w:rsid w:val="00B65F9E"/>
    <w:rsid w:val="00B66B19"/>
    <w:rsid w:val="00B914E9"/>
    <w:rsid w:val="00B956EE"/>
    <w:rsid w:val="00BA2BA1"/>
    <w:rsid w:val="00BA3562"/>
    <w:rsid w:val="00BB4F09"/>
    <w:rsid w:val="00BC0CCD"/>
    <w:rsid w:val="00BD4E33"/>
    <w:rsid w:val="00C030DE"/>
    <w:rsid w:val="00C171A3"/>
    <w:rsid w:val="00C22105"/>
    <w:rsid w:val="00C244B6"/>
    <w:rsid w:val="00C3702F"/>
    <w:rsid w:val="00C4500A"/>
    <w:rsid w:val="00C64A37"/>
    <w:rsid w:val="00C7158E"/>
    <w:rsid w:val="00C7250B"/>
    <w:rsid w:val="00C7346B"/>
    <w:rsid w:val="00C77C0E"/>
    <w:rsid w:val="00C91687"/>
    <w:rsid w:val="00C924A8"/>
    <w:rsid w:val="00C945FE"/>
    <w:rsid w:val="00C96FAA"/>
    <w:rsid w:val="00C97A04"/>
    <w:rsid w:val="00CA107B"/>
    <w:rsid w:val="00CA484D"/>
    <w:rsid w:val="00CA4FB6"/>
    <w:rsid w:val="00CA7B4F"/>
    <w:rsid w:val="00CC739E"/>
    <w:rsid w:val="00CD58B7"/>
    <w:rsid w:val="00CF0563"/>
    <w:rsid w:val="00CF4099"/>
    <w:rsid w:val="00D00796"/>
    <w:rsid w:val="00D1315C"/>
    <w:rsid w:val="00D21F4A"/>
    <w:rsid w:val="00D261A2"/>
    <w:rsid w:val="00D33E43"/>
    <w:rsid w:val="00D4350F"/>
    <w:rsid w:val="00D616D2"/>
    <w:rsid w:val="00D63B5F"/>
    <w:rsid w:val="00D70EF7"/>
    <w:rsid w:val="00D8397C"/>
    <w:rsid w:val="00D94EED"/>
    <w:rsid w:val="00D96026"/>
    <w:rsid w:val="00DA7C1C"/>
    <w:rsid w:val="00DB147A"/>
    <w:rsid w:val="00DB1B7A"/>
    <w:rsid w:val="00DC6708"/>
    <w:rsid w:val="00E01436"/>
    <w:rsid w:val="00E045BD"/>
    <w:rsid w:val="00E17B77"/>
    <w:rsid w:val="00E23337"/>
    <w:rsid w:val="00E259EA"/>
    <w:rsid w:val="00E32061"/>
    <w:rsid w:val="00E42FF9"/>
    <w:rsid w:val="00E4714C"/>
    <w:rsid w:val="00E51AEB"/>
    <w:rsid w:val="00E522A7"/>
    <w:rsid w:val="00E54452"/>
    <w:rsid w:val="00E664C5"/>
    <w:rsid w:val="00E671A2"/>
    <w:rsid w:val="00E76D26"/>
    <w:rsid w:val="00EB1390"/>
    <w:rsid w:val="00EB2C71"/>
    <w:rsid w:val="00EB4340"/>
    <w:rsid w:val="00EB556D"/>
    <w:rsid w:val="00EB5A7D"/>
    <w:rsid w:val="00ED55C0"/>
    <w:rsid w:val="00ED682B"/>
    <w:rsid w:val="00EE41D5"/>
    <w:rsid w:val="00F0372F"/>
    <w:rsid w:val="00F037A4"/>
    <w:rsid w:val="00F27C8F"/>
    <w:rsid w:val="00F32749"/>
    <w:rsid w:val="00F37172"/>
    <w:rsid w:val="00F4477E"/>
    <w:rsid w:val="00F67D8F"/>
    <w:rsid w:val="00F802BE"/>
    <w:rsid w:val="00F80E93"/>
    <w:rsid w:val="00F86024"/>
    <w:rsid w:val="00F8611A"/>
    <w:rsid w:val="00FA5128"/>
    <w:rsid w:val="00FB42D4"/>
    <w:rsid w:val="00FB5906"/>
    <w:rsid w:val="00FB762F"/>
    <w:rsid w:val="00FC2AED"/>
    <w:rsid w:val="00FD2B7A"/>
    <w:rsid w:val="00FD5EA7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04772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32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rzecznik@stat.gov.pl" TargetMode="External"/><Relationship Id="rId26" Type="http://schemas.openxmlformats.org/officeDocument/2006/relationships/hyperlink" Target="https://stat.gov.pl/obszary-tematyczne/przemysl-budownictwo-srodki-trwale/srodki-trwale/srodki-trwale-w-gospodarce-narodowej-w-2017-roku,1,15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yperlink" Target="mailto:M.Burdzicka@stat.gov.pl" TargetMode="External"/><Relationship Id="rId25" Type="http://schemas.openxmlformats.org/officeDocument/2006/relationships/hyperlink" Target="https://stat.gov.pl/metainformacje/slownik-pojec/pojecia-stosowane-w-statystyce-publicznej/93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metainformacje/slownik-pojec/pojecia-stosowane-w-statystyce-publicznej/223,pojecie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stat.gov.pl/obszary-tematyczne/przemysl-budownictwo-srodki-trwale/srodki-trwale/srodki-trwale-w-gospodarce-narodowej-w-2017-roku,1,15.html" TargetMode="External"/><Relationship Id="rId28" Type="http://schemas.openxmlformats.org/officeDocument/2006/relationships/hyperlink" Target="https://stat.gov.pl/metainformacje/slownik-pojec/pojecia-stosowane-w-statystyce-publicznej/938,pojecie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yperlink" Target="https://stat.gov.pl/metainformacje/slownik-pojec/pojecia-stosowane-w-statystyce-publicznej/223,pojecie.html" TargetMode="Externa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91E5E-310A-444B-8CC6-A4377874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2019-11-20T09:49:00Z</cp:lastPrinted>
  <dcterms:created xsi:type="dcterms:W3CDTF">2019-11-29T08:29:00Z</dcterms:created>
  <dcterms:modified xsi:type="dcterms:W3CDTF">2019-11-29T08:29:00Z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