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5C" w:rsidRPr="003A3169" w:rsidRDefault="00530074" w:rsidP="00074DD8">
      <w:pPr>
        <w:pStyle w:val="tytuinformacji"/>
        <w:rPr>
          <w:shd w:val="clear" w:color="auto" w:fill="FFFFFF"/>
        </w:rPr>
      </w:pPr>
      <w:bookmarkStart w:id="0" w:name="_GoBack"/>
      <w:bookmarkEnd w:id="0"/>
      <w:r w:rsidRPr="00530074">
        <w:rPr>
          <w:shd w:val="clear" w:color="auto" w:fill="FFFFFF"/>
        </w:rPr>
        <w:t>Koniunktura konsumencka</w:t>
      </w:r>
      <w:r w:rsidR="00074DD8" w:rsidRPr="00530074">
        <w:rPr>
          <w:shd w:val="clear" w:color="auto" w:fill="FFFFFF"/>
        </w:rPr>
        <w:t xml:space="preserve"> </w:t>
      </w:r>
      <w:r w:rsidRPr="00530074">
        <w:rPr>
          <w:shd w:val="clear" w:color="auto" w:fill="FFFFFF"/>
        </w:rPr>
        <w:t xml:space="preserve">– </w:t>
      </w:r>
      <w:r w:rsidR="00384F1C">
        <w:rPr>
          <w:shd w:val="clear" w:color="auto" w:fill="FFFFFF"/>
        </w:rPr>
        <w:t>październik</w:t>
      </w:r>
      <w:r w:rsidRPr="00530074">
        <w:rPr>
          <w:shd w:val="clear" w:color="auto" w:fill="FFFFFF"/>
        </w:rPr>
        <w:t xml:space="preserve"> 2018 r.</w:t>
      </w:r>
    </w:p>
    <w:p w:rsidR="00393761" w:rsidRPr="003A3169" w:rsidRDefault="00393761" w:rsidP="00074DD8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246380</wp:posOffset>
                </wp:positionV>
                <wp:extent cx="1725295" cy="1466850"/>
                <wp:effectExtent l="0" t="0" r="0" b="0"/>
                <wp:wrapTight wrapText="bothSides">
                  <wp:wrapPolygon edited="0">
                    <wp:start x="715" y="0"/>
                    <wp:lineTo x="715" y="21319"/>
                    <wp:lineTo x="20749" y="21319"/>
                    <wp:lineTo x="20749" y="0"/>
                    <wp:lineTo x="715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074DD8" w:rsidRDefault="00712B2A" w:rsidP="00074DD8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="00C16AEC">
                              <w:t xml:space="preserve"> </w:t>
                            </w:r>
                            <w:r>
                              <w:t>październiku</w:t>
                            </w:r>
                            <w:r w:rsidR="00C16AEC" w:rsidRPr="00AE6789">
                              <w:t xml:space="preserve"> 2018</w:t>
                            </w:r>
                            <w:r w:rsidR="00C16AEC">
                              <w:t xml:space="preserve"> r.</w:t>
                            </w:r>
                            <w:r>
                              <w:t xml:space="preserve"> odnotowano</w:t>
                            </w:r>
                            <w:r w:rsidR="00C16AEC">
                              <w:t xml:space="preserve"> </w:t>
                            </w:r>
                            <w:r>
                              <w:t>pogorszenie</w:t>
                            </w:r>
                            <w:r w:rsidR="00C16AEC">
                              <w:t xml:space="preserve"> </w:t>
                            </w:r>
                            <w:r>
                              <w:t>obecnych</w:t>
                            </w:r>
                            <w:r w:rsidR="00C16AEC">
                              <w:t xml:space="preserve"> i przyszłych nastrojów konsumenckich w stosunku do poprzedniego miesiąca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5pt;margin-top:19.4pt;width:135.85pt;height:11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" filled="f" stroked="f">
                <v:textbox>
                  <w:txbxContent>
                    <w:p w:rsidR="00C16AEC" w:rsidRPr="00074DD8" w:rsidRDefault="00712B2A" w:rsidP="00074DD8">
                      <w:pPr>
                        <w:pStyle w:val="tekstzboku"/>
                      </w:pPr>
                      <w:r>
                        <w:t>W</w:t>
                      </w:r>
                      <w:r w:rsidR="00C16AEC">
                        <w:t xml:space="preserve"> </w:t>
                      </w:r>
                      <w:r>
                        <w:t>październiku</w:t>
                      </w:r>
                      <w:r w:rsidR="00C16AEC" w:rsidRPr="00AE6789">
                        <w:t xml:space="preserve"> 2018</w:t>
                      </w:r>
                      <w:r w:rsidR="00C16AEC">
                        <w:t xml:space="preserve"> r.</w:t>
                      </w:r>
                      <w:r>
                        <w:t xml:space="preserve"> odnotowano</w:t>
                      </w:r>
                      <w:r w:rsidR="00C16AEC">
                        <w:t xml:space="preserve"> </w:t>
                      </w:r>
                      <w:r>
                        <w:t>pogorszenie</w:t>
                      </w:r>
                      <w:r w:rsidR="00C16AEC">
                        <w:t xml:space="preserve"> </w:t>
                      </w:r>
                      <w:r>
                        <w:t>obecnych</w:t>
                      </w:r>
                      <w:r w:rsidR="00C16AEC">
                        <w:t xml:space="preserve"> i przyszłych nastrojów konsumenckich w stosunku do poprzedniego miesiąca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3A86" w:rsidRPr="003A3169" w:rsidRDefault="005B3A86" w:rsidP="005B3A86">
      <w:pPr>
        <w:pStyle w:val="LID"/>
      </w:pPr>
      <w:r w:rsidRPr="003A3169"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4ACDF2" wp14:editId="73CBBA6B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BC44E4" w:rsidRDefault="00C16AEC" w:rsidP="005B3A8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7A04EF4" wp14:editId="4C019FE3">
                                  <wp:extent cx="334800" cy="334800"/>
                                  <wp:effectExtent l="0" t="0" r="8255" b="8255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1F19A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6,1</w:t>
                            </w:r>
                          </w:p>
                          <w:p w:rsidR="00C16AEC" w:rsidRPr="00DD7916" w:rsidRDefault="00C16AEC" w:rsidP="005B3A8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DD7916">
                              <w:t>Bieżący wskaźnik ufności konsumenckiej (BWUK)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CDF2" id="_x0000_s1027" type="#_x0000_t202" style="position:absolute;margin-left:0;margin-top:6.55pt;width:2in;height:82.35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C16AEC" w:rsidRPr="00BC44E4" w:rsidRDefault="00C16AEC" w:rsidP="005B3A86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7A04EF4" wp14:editId="4C019FE3">
                            <wp:extent cx="334800" cy="334800"/>
                            <wp:effectExtent l="0" t="0" r="8255" b="8255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1F19A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6,1</w:t>
                      </w:r>
                    </w:p>
                    <w:p w:rsidR="00C16AEC" w:rsidRPr="00DD7916" w:rsidRDefault="00C16AEC" w:rsidP="005B3A8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DD7916">
                        <w:t>Bieżący wskaźnik ufności konsumenckiej (BWUK)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A3169">
        <w:t>Bieżący wskaźnik ufności konsumenckiej (BWUK), syntetycznie opisujący obecne tendencje konsumpcji indywidualnej</w:t>
      </w:r>
      <w:r w:rsidR="00E0206E">
        <w:t>,</w:t>
      </w:r>
      <w:r w:rsidRPr="003A3169">
        <w:t xml:space="preserve"> ukształtował się na poziomie </w:t>
      </w:r>
      <w:r w:rsidR="00500308">
        <w:t>6</w:t>
      </w:r>
      <w:r w:rsidR="001F19A3">
        <w:t>,1</w:t>
      </w:r>
      <w:r>
        <w:rPr>
          <w:rStyle w:val="Odwoanieprzypisudolnego"/>
          <w:shd w:val="clear" w:color="auto" w:fill="FFFFFF"/>
        </w:rPr>
        <w:footnoteReference w:id="1"/>
      </w:r>
      <w:r>
        <w:t>.</w:t>
      </w:r>
    </w:p>
    <w:p w:rsidR="005B3A86" w:rsidRDefault="005B3A86" w:rsidP="005B3A86">
      <w:pPr>
        <w:pStyle w:val="Nagwek1"/>
        <w:rPr>
          <w:rFonts w:ascii="Fira Sans" w:hAnsi="Fira Sans"/>
          <w:b/>
          <w:color w:val="212492"/>
          <w:spacing w:val="-2"/>
          <w:szCs w:val="19"/>
        </w:rPr>
      </w:pPr>
    </w:p>
    <w:p w:rsidR="009A5A6D" w:rsidRDefault="009A5A6D" w:rsidP="00074DD8">
      <w:pPr>
        <w:pStyle w:val="Nagwek1"/>
      </w:pPr>
    </w:p>
    <w:p w:rsidR="00A217E6" w:rsidRDefault="00A217E6" w:rsidP="00074DD8">
      <w:pPr>
        <w:pStyle w:val="Nagwek1"/>
      </w:pPr>
    </w:p>
    <w:p w:rsidR="00C22105" w:rsidRPr="009A5A6D" w:rsidRDefault="009227A6" w:rsidP="00074DD8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83C7874" wp14:editId="02E5C35A">
                <wp:simplePos x="0" y="0"/>
                <wp:positionH relativeFrom="column">
                  <wp:posOffset>5230495</wp:posOffset>
                </wp:positionH>
                <wp:positionV relativeFrom="paragraph">
                  <wp:posOffset>158750</wp:posOffset>
                </wp:positionV>
                <wp:extent cx="1725295" cy="1021080"/>
                <wp:effectExtent l="0" t="0" r="0" b="0"/>
                <wp:wrapTight wrapText="bothSides">
                  <wp:wrapPolygon edited="0">
                    <wp:start x="715" y="0"/>
                    <wp:lineTo x="715" y="20955"/>
                    <wp:lineTo x="20749" y="20955"/>
                    <wp:lineTo x="20749" y="0"/>
                    <wp:lineTo x="715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380DFD" w:rsidRDefault="00C16AEC" w:rsidP="00380DFD">
                            <w:pPr>
                              <w:pStyle w:val="tekstzboku"/>
                            </w:pPr>
                            <w:r>
                              <w:t xml:space="preserve">Bieżący wskaźnik ufności konsumenckiej (BWUK) był </w:t>
                            </w:r>
                            <w:r w:rsidR="00712B2A">
                              <w:t>niższy o 0,8</w:t>
                            </w:r>
                            <w:r>
                              <w:t xml:space="preserve"> p. proc. w stosunku do poprzedniego miesiąca</w:t>
                            </w:r>
                          </w:p>
                          <w:p w:rsidR="00C16AEC" w:rsidRPr="00D616D2" w:rsidRDefault="00C16AEC" w:rsidP="00D616D2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7874" id="_x0000_s1028" type="#_x0000_t202" style="position:absolute;margin-left:411.85pt;margin-top:12.5pt;width:135.85pt;height:80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" filled="f" stroked="f">
                <v:textbox>
                  <w:txbxContent>
                    <w:p w:rsidR="00C16AEC" w:rsidRPr="00380DFD" w:rsidRDefault="00C16AEC" w:rsidP="00380DFD">
                      <w:pPr>
                        <w:pStyle w:val="tekstzboku"/>
                      </w:pPr>
                      <w:r>
                        <w:t xml:space="preserve">Bieżący wskaźnik ufności konsumenckiej (BWUK) był </w:t>
                      </w:r>
                      <w:r w:rsidR="00712B2A">
                        <w:t>niższy o 0,8</w:t>
                      </w:r>
                      <w:r>
                        <w:t xml:space="preserve"> p. proc. w stosunku do poprzedniego miesiąca</w:t>
                      </w:r>
                    </w:p>
                    <w:p w:rsidR="00C16AEC" w:rsidRPr="00D616D2" w:rsidRDefault="00C16AEC" w:rsidP="00D616D2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A5A6D" w:rsidRPr="009A5A6D">
        <w:t>Bieżący wska</w:t>
      </w:r>
      <w:r w:rsidR="009A5A6D">
        <w:t>ź</w:t>
      </w:r>
      <w:r w:rsidR="006404CD">
        <w:t xml:space="preserve">nik ufności konsumenckiej </w:t>
      </w:r>
      <w:r w:rsidR="00A217E6">
        <w:t xml:space="preserve"> (BWUK) </w:t>
      </w:r>
      <w:r w:rsidR="009A5A6D" w:rsidRPr="009A5A6D">
        <w:t xml:space="preserve">w </w:t>
      </w:r>
      <w:r w:rsidR="001F19A3">
        <w:t>październiku</w:t>
      </w:r>
      <w:r w:rsidR="009A5A6D" w:rsidRPr="009A5A6D">
        <w:t xml:space="preserve"> 2018 r.</w:t>
      </w:r>
    </w:p>
    <w:p w:rsidR="00BB1D75" w:rsidRDefault="009A5A6D" w:rsidP="00BB1D75">
      <w:pPr>
        <w:spacing w:after="0"/>
        <w:rPr>
          <w:shd w:val="clear" w:color="auto" w:fill="FFFFFF"/>
        </w:rPr>
      </w:pPr>
      <w:r w:rsidRPr="009A5A6D">
        <w:rPr>
          <w:shd w:val="clear" w:color="auto" w:fill="FFFFFF"/>
        </w:rPr>
        <w:t xml:space="preserve">Bieżący wskaźnik ufności konsumenckiej (BWUK), syntetycznie opisujący obecne tendencje konsumpcji indywidualnej, </w:t>
      </w:r>
      <w:r w:rsidR="007B7753">
        <w:rPr>
          <w:shd w:val="clear" w:color="auto" w:fill="FFFFFF"/>
        </w:rPr>
        <w:t xml:space="preserve">był </w:t>
      </w:r>
      <w:r w:rsidR="00AA57A3">
        <w:rPr>
          <w:shd w:val="clear" w:color="auto" w:fill="FFFFFF"/>
        </w:rPr>
        <w:t>niższy</w:t>
      </w:r>
      <w:r w:rsidR="007B7753">
        <w:rPr>
          <w:shd w:val="clear" w:color="auto" w:fill="FFFFFF"/>
        </w:rPr>
        <w:t xml:space="preserve"> o </w:t>
      </w:r>
      <w:r w:rsidR="0090561C">
        <w:rPr>
          <w:shd w:val="clear" w:color="auto" w:fill="FFFFFF"/>
        </w:rPr>
        <w:t>0</w:t>
      </w:r>
      <w:r w:rsidR="0053753D">
        <w:rPr>
          <w:shd w:val="clear" w:color="auto" w:fill="FFFFFF"/>
        </w:rPr>
        <w:t>,</w:t>
      </w:r>
      <w:r w:rsidR="00AA57A3">
        <w:rPr>
          <w:shd w:val="clear" w:color="auto" w:fill="FFFFFF"/>
        </w:rPr>
        <w:t>8</w:t>
      </w:r>
      <w:r w:rsidR="007B7753">
        <w:rPr>
          <w:shd w:val="clear" w:color="auto" w:fill="FFFFFF"/>
        </w:rPr>
        <w:t xml:space="preserve"> p. proc.</w:t>
      </w:r>
      <w:r w:rsidRPr="009A5A6D">
        <w:rPr>
          <w:shd w:val="clear" w:color="auto" w:fill="FFFFFF"/>
        </w:rPr>
        <w:t xml:space="preserve"> w stosunku do poprzedniego miesiąca i</w:t>
      </w:r>
      <w:r w:rsidR="00C074FD">
        <w:rPr>
          <w:shd w:val="clear" w:color="auto" w:fill="FFFFFF"/>
        </w:rPr>
        <w:t> </w:t>
      </w:r>
      <w:r w:rsidR="0053753D">
        <w:rPr>
          <w:shd w:val="clear" w:color="auto" w:fill="FFFFFF"/>
        </w:rPr>
        <w:t xml:space="preserve">ukształtował się na poziomie </w:t>
      </w:r>
      <w:r w:rsidR="00500308">
        <w:rPr>
          <w:shd w:val="clear" w:color="auto" w:fill="FFFFFF"/>
        </w:rPr>
        <w:t>6</w:t>
      </w:r>
      <w:r w:rsidR="0053753D">
        <w:rPr>
          <w:shd w:val="clear" w:color="auto" w:fill="FFFFFF"/>
        </w:rPr>
        <w:t>,</w:t>
      </w:r>
      <w:r w:rsidR="00AA57A3">
        <w:rPr>
          <w:shd w:val="clear" w:color="auto" w:fill="FFFFFF"/>
        </w:rPr>
        <w:t>1</w:t>
      </w:r>
      <w:r w:rsidR="00210F89" w:rsidRPr="00210F89">
        <w:rPr>
          <w:shd w:val="clear" w:color="auto" w:fill="FFFFFF"/>
          <w:vertAlign w:val="superscript"/>
        </w:rPr>
        <w:t>*</w:t>
      </w:r>
      <w:r w:rsidR="002253F4">
        <w:rPr>
          <w:shd w:val="clear" w:color="auto" w:fill="FFFFFF"/>
        </w:rPr>
        <w:t>.</w:t>
      </w:r>
      <w:r w:rsidR="00617810">
        <w:rPr>
          <w:shd w:val="clear" w:color="auto" w:fill="FFFFFF"/>
        </w:rPr>
        <w:t xml:space="preserve"> </w:t>
      </w:r>
    </w:p>
    <w:p w:rsidR="0098156A" w:rsidRDefault="005B5D8A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>W</w:t>
      </w:r>
      <w:r w:rsidR="00B95B90">
        <w:rPr>
          <w:shd w:val="clear" w:color="auto" w:fill="FFFFFF"/>
        </w:rPr>
        <w:t>śród składowych wskaźnika,</w:t>
      </w:r>
      <w:r>
        <w:rPr>
          <w:shd w:val="clear" w:color="auto" w:fill="FFFFFF"/>
        </w:rPr>
        <w:t xml:space="preserve"> niższą wartość odnotowano przede wszystkim dla </w:t>
      </w:r>
      <w:r w:rsidR="00891FF7">
        <w:rPr>
          <w:shd w:val="clear" w:color="auto" w:fill="FFFFFF"/>
        </w:rPr>
        <w:t xml:space="preserve">ocen </w:t>
      </w:r>
      <w:r w:rsidR="006C4C37">
        <w:rPr>
          <w:shd w:val="clear" w:color="auto" w:fill="FFFFFF"/>
        </w:rPr>
        <w:t>obecnej</w:t>
      </w:r>
      <w:r w:rsidR="00B95B90">
        <w:rPr>
          <w:shd w:val="clear" w:color="auto" w:fill="FFFFFF"/>
        </w:rPr>
        <w:t xml:space="preserve"> oraz przysz</w:t>
      </w:r>
      <w:r>
        <w:rPr>
          <w:shd w:val="clear" w:color="auto" w:fill="FFFFFF"/>
        </w:rPr>
        <w:t>łej sytuacji ekonomicznej kraju</w:t>
      </w:r>
      <w:r w:rsidR="006C4C37">
        <w:rPr>
          <w:shd w:val="clear" w:color="auto" w:fill="FFFFFF"/>
        </w:rPr>
        <w:t xml:space="preserve"> </w:t>
      </w:r>
      <w:r w:rsidR="00891FF7">
        <w:rPr>
          <w:shd w:val="clear" w:color="auto" w:fill="FFFFFF"/>
        </w:rPr>
        <w:t>(</w:t>
      </w:r>
      <w:r>
        <w:rPr>
          <w:shd w:val="clear" w:color="auto" w:fill="FFFFFF"/>
        </w:rPr>
        <w:t>spadki odpowiednio o 3</w:t>
      </w:r>
      <w:r w:rsidR="00B95B90">
        <w:rPr>
          <w:shd w:val="clear" w:color="auto" w:fill="FFFFFF"/>
        </w:rPr>
        <w:t>,8</w:t>
      </w:r>
      <w:r w:rsidR="003F153D">
        <w:rPr>
          <w:shd w:val="clear" w:color="auto" w:fill="FFFFFF"/>
        </w:rPr>
        <w:t xml:space="preserve"> i</w:t>
      </w:r>
      <w:r w:rsidR="003350E9">
        <w:rPr>
          <w:shd w:val="clear" w:color="auto" w:fill="FFFFFF"/>
        </w:rPr>
        <w:t> </w:t>
      </w:r>
      <w:r w:rsidR="00B95B90">
        <w:rPr>
          <w:shd w:val="clear" w:color="auto" w:fill="FFFFFF"/>
        </w:rPr>
        <w:t>2</w:t>
      </w:r>
      <w:r w:rsidR="00617810">
        <w:rPr>
          <w:shd w:val="clear" w:color="auto" w:fill="FFFFFF"/>
        </w:rPr>
        <w:t>,</w:t>
      </w:r>
      <w:r>
        <w:rPr>
          <w:shd w:val="clear" w:color="auto" w:fill="FFFFFF"/>
        </w:rPr>
        <w:t>9</w:t>
      </w:r>
      <w:r w:rsidR="00891FF7">
        <w:rPr>
          <w:shd w:val="clear" w:color="auto" w:fill="FFFFFF"/>
        </w:rPr>
        <w:t xml:space="preserve"> p. proc.)</w:t>
      </w:r>
      <w:r w:rsidR="00B217DB">
        <w:rPr>
          <w:shd w:val="clear" w:color="auto" w:fill="FFFFFF"/>
        </w:rPr>
        <w:t>.</w:t>
      </w:r>
      <w:r w:rsidR="008024D9">
        <w:rPr>
          <w:shd w:val="clear" w:color="auto" w:fill="FFFFFF"/>
        </w:rPr>
        <w:t xml:space="preserve"> </w:t>
      </w:r>
      <w:r w:rsidR="00B95B90">
        <w:rPr>
          <w:shd w:val="clear" w:color="auto" w:fill="FFFFFF"/>
        </w:rPr>
        <w:t xml:space="preserve">Natomiast </w:t>
      </w:r>
      <w:r>
        <w:rPr>
          <w:shd w:val="clear" w:color="auto" w:fill="FFFFFF"/>
        </w:rPr>
        <w:t>poprawiły</w:t>
      </w:r>
      <w:r w:rsidR="008024D9">
        <w:rPr>
          <w:shd w:val="clear" w:color="auto" w:fill="FFFFFF"/>
        </w:rPr>
        <w:t xml:space="preserve"> się </w:t>
      </w:r>
      <w:r w:rsidR="00B95B90">
        <w:rPr>
          <w:shd w:val="clear" w:color="auto" w:fill="FFFFFF"/>
        </w:rPr>
        <w:t>oceny</w:t>
      </w:r>
      <w:r>
        <w:rPr>
          <w:shd w:val="clear" w:color="auto" w:fill="FFFFFF"/>
        </w:rPr>
        <w:t xml:space="preserve"> możliwości obecnego dokonywania ważnych zakupów  oraz </w:t>
      </w:r>
      <w:r w:rsidR="00B95B90">
        <w:rPr>
          <w:shd w:val="clear" w:color="auto" w:fill="FFFFFF"/>
        </w:rPr>
        <w:t xml:space="preserve">przyszłej sytuacji finansowej gospodarstwa domowego </w:t>
      </w:r>
      <w:r w:rsidR="00A2414C">
        <w:rPr>
          <w:shd w:val="clear" w:color="auto" w:fill="FFFFFF"/>
        </w:rPr>
        <w:t>(</w:t>
      </w:r>
      <w:r>
        <w:rPr>
          <w:shd w:val="clear" w:color="auto" w:fill="FFFFFF"/>
        </w:rPr>
        <w:t>wzrosty</w:t>
      </w:r>
      <w:r w:rsidR="00B95B90">
        <w:rPr>
          <w:shd w:val="clear" w:color="auto" w:fill="FFFFFF"/>
        </w:rPr>
        <w:t xml:space="preserve"> odpowiednio o </w:t>
      </w:r>
      <w:r>
        <w:rPr>
          <w:shd w:val="clear" w:color="auto" w:fill="FFFFFF"/>
        </w:rPr>
        <w:t>2,3</w:t>
      </w:r>
      <w:r w:rsidR="008024D9">
        <w:rPr>
          <w:shd w:val="clear" w:color="auto" w:fill="FFFFFF"/>
        </w:rPr>
        <w:t xml:space="preserve"> </w:t>
      </w:r>
      <w:r>
        <w:rPr>
          <w:shd w:val="clear" w:color="auto" w:fill="FFFFFF"/>
        </w:rPr>
        <w:t>i 1,6</w:t>
      </w:r>
      <w:r w:rsidR="00B95B90">
        <w:rPr>
          <w:shd w:val="clear" w:color="auto" w:fill="FFFFFF"/>
        </w:rPr>
        <w:t xml:space="preserve"> </w:t>
      </w:r>
      <w:r w:rsidR="008024D9">
        <w:rPr>
          <w:shd w:val="clear" w:color="auto" w:fill="FFFFFF"/>
        </w:rPr>
        <w:t>p. proc.).</w:t>
      </w:r>
    </w:p>
    <w:p w:rsidR="00A06A63" w:rsidRPr="00396FC5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porównaniu do </w:t>
      </w:r>
      <w:r w:rsidR="00F071A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października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2017 r. obecna war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tość BWUK jest wyższa o </w:t>
      </w:r>
      <w:r w:rsidR="00F071A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1,5</w:t>
      </w:r>
      <w:r w:rsidRPr="00396FC5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A06A63" w:rsidRPr="009A5A6D" w:rsidRDefault="00A06A63" w:rsidP="002F5124">
      <w:pPr>
        <w:spacing w:before="0"/>
      </w:pPr>
    </w:p>
    <w:p w:rsidR="00C074FD" w:rsidRDefault="00C074FD" w:rsidP="00C074FD">
      <w:pPr>
        <w:pStyle w:val="Nagwek1"/>
      </w:pPr>
    </w:p>
    <w:p w:rsidR="00C074FD" w:rsidRPr="00396FC5" w:rsidRDefault="00C074FD" w:rsidP="00C074FD">
      <w:pPr>
        <w:pStyle w:val="Nagwek1"/>
      </w:pPr>
      <w:r w:rsidRPr="00633014">
        <w:rPr>
          <w:rFonts w:ascii="Fira Sans" w:hAnsi="Fira Sans"/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1904E8F7" wp14:editId="6C6A03ED">
                <wp:simplePos x="0" y="0"/>
                <wp:positionH relativeFrom="column">
                  <wp:posOffset>5219065</wp:posOffset>
                </wp:positionH>
                <wp:positionV relativeFrom="paragraph">
                  <wp:posOffset>162560</wp:posOffset>
                </wp:positionV>
                <wp:extent cx="1725295" cy="985520"/>
                <wp:effectExtent l="0" t="0" r="0" b="5080"/>
                <wp:wrapTight wrapText="bothSides">
                  <wp:wrapPolygon edited="0">
                    <wp:start x="715" y="0"/>
                    <wp:lineTo x="715" y="21294"/>
                    <wp:lineTo x="20749" y="21294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380DFD" w:rsidRDefault="00C16AEC" w:rsidP="00A217E6">
                            <w:pPr>
                              <w:pStyle w:val="tekstzboku"/>
                            </w:pPr>
                            <w:r w:rsidRPr="00380DFD">
                              <w:t xml:space="preserve">Wyprzedzający wskaźnik ufności konsumenckiej </w:t>
                            </w:r>
                            <w:r>
                              <w:t xml:space="preserve">(WWUK) </w:t>
                            </w:r>
                            <w:r w:rsidR="00712B2A">
                              <w:t>spadł o 1,8</w:t>
                            </w:r>
                            <w:r>
                              <w:t xml:space="preserve"> p. proc.  w stosunku do poprzedniego miesiąca</w:t>
                            </w:r>
                          </w:p>
                          <w:p w:rsidR="00C16AEC" w:rsidRPr="00380DFD" w:rsidRDefault="00C16AEC" w:rsidP="00C074FD">
                            <w:pPr>
                              <w:pStyle w:val="tekstzboku"/>
                            </w:pPr>
                          </w:p>
                          <w:p w:rsidR="00C16AEC" w:rsidRPr="00D616D2" w:rsidRDefault="00C16AEC" w:rsidP="00C074FD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E8F7" id="Pole tekstowe 16" o:spid="_x0000_s1029" type="#_x0000_t202" style="position:absolute;margin-left:410.95pt;margin-top:12.8pt;width:135.85pt;height:77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" filled="f" stroked="f">
                <v:textbox>
                  <w:txbxContent>
                    <w:p w:rsidR="00C16AEC" w:rsidRPr="00380DFD" w:rsidRDefault="00C16AEC" w:rsidP="00A217E6">
                      <w:pPr>
                        <w:pStyle w:val="tekstzboku"/>
                      </w:pPr>
                      <w:r w:rsidRPr="00380DFD">
                        <w:t xml:space="preserve">Wyprzedzający wskaźnik ufności konsumenckiej </w:t>
                      </w:r>
                      <w:r>
                        <w:t xml:space="preserve">(WWUK) </w:t>
                      </w:r>
                      <w:r w:rsidR="00712B2A">
                        <w:t>spadł o 1,8</w:t>
                      </w:r>
                      <w:r>
                        <w:t xml:space="preserve"> p. proc.  w stosunku do poprzedniego miesiąca</w:t>
                      </w:r>
                    </w:p>
                    <w:p w:rsidR="00C16AEC" w:rsidRPr="00380DFD" w:rsidRDefault="00C16AEC" w:rsidP="00C074FD">
                      <w:pPr>
                        <w:pStyle w:val="tekstzboku"/>
                      </w:pPr>
                    </w:p>
                    <w:p w:rsidR="00C16AEC" w:rsidRPr="00D616D2" w:rsidRDefault="00C16AEC" w:rsidP="00C074FD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96FC5">
        <w:t xml:space="preserve">Wyprzedzający </w:t>
      </w:r>
      <w:r w:rsidRPr="009A5A6D">
        <w:t>wska</w:t>
      </w:r>
      <w:r>
        <w:t>ź</w:t>
      </w:r>
      <w:r w:rsidR="006404CD">
        <w:t>nik ufności konsumenckiej</w:t>
      </w:r>
      <w:r w:rsidR="00A217E6">
        <w:t xml:space="preserve"> (WWUK)</w:t>
      </w:r>
      <w:r w:rsidRPr="009A5A6D">
        <w:t xml:space="preserve"> w </w:t>
      </w:r>
      <w:r w:rsidR="001F19A3">
        <w:t>październiku</w:t>
      </w:r>
      <w:r w:rsidRPr="009A5A6D">
        <w:t xml:space="preserve"> 2018 r.</w:t>
      </w:r>
    </w:p>
    <w:p w:rsidR="00BB1D75" w:rsidRDefault="00C074FD" w:rsidP="00BB1D75">
      <w:pPr>
        <w:spacing w:after="0"/>
        <w:rPr>
          <w:shd w:val="clear" w:color="auto" w:fill="FFFFFF"/>
        </w:rPr>
      </w:pPr>
      <w:r w:rsidRPr="00396FC5">
        <w:rPr>
          <w:shd w:val="clear" w:color="auto" w:fill="FFFFFF"/>
        </w:rPr>
        <w:t>Wyprzedzający wskaźnik ufności konsumenckiej (WWUK), syntetycznie opisujący oczekiwane w najbliższych miesiącach tend</w:t>
      </w:r>
      <w:r w:rsidR="006C105E">
        <w:rPr>
          <w:shd w:val="clear" w:color="auto" w:fill="FFFFFF"/>
        </w:rPr>
        <w:t xml:space="preserve">encje konsumpcji indywidualnej, </w:t>
      </w:r>
      <w:r w:rsidR="00AA57A3">
        <w:rPr>
          <w:shd w:val="clear" w:color="auto" w:fill="FFFFFF"/>
        </w:rPr>
        <w:t>spadł</w:t>
      </w:r>
      <w:r w:rsidR="0090561C">
        <w:rPr>
          <w:shd w:val="clear" w:color="auto" w:fill="FFFFFF"/>
        </w:rPr>
        <w:t xml:space="preserve"> o </w:t>
      </w:r>
      <w:r w:rsidR="00AA57A3">
        <w:rPr>
          <w:shd w:val="clear" w:color="auto" w:fill="FFFFFF"/>
        </w:rPr>
        <w:t>1,8</w:t>
      </w:r>
      <w:r w:rsidR="0090561C">
        <w:rPr>
          <w:shd w:val="clear" w:color="auto" w:fill="FFFFFF"/>
        </w:rPr>
        <w:t xml:space="preserve"> p. proc.</w:t>
      </w:r>
      <w:r w:rsidRPr="00396FC5">
        <w:rPr>
          <w:shd w:val="clear" w:color="auto" w:fill="FFFFFF"/>
        </w:rPr>
        <w:t xml:space="preserve"> w stosunku do poprzedniego miesiąca </w:t>
      </w:r>
      <w:r w:rsidR="00D62602">
        <w:rPr>
          <w:shd w:val="clear" w:color="auto" w:fill="FFFFFF"/>
        </w:rPr>
        <w:t xml:space="preserve">i ukształtował się na poziomie </w:t>
      </w:r>
      <w:r w:rsidR="00AA57A3">
        <w:rPr>
          <w:shd w:val="clear" w:color="auto" w:fill="FFFFFF"/>
        </w:rPr>
        <w:t>1</w:t>
      </w:r>
      <w:r w:rsidRPr="00396FC5">
        <w:rPr>
          <w:shd w:val="clear" w:color="auto" w:fill="FFFFFF"/>
        </w:rPr>
        <w:t>,</w:t>
      </w:r>
      <w:r w:rsidR="00AA57A3">
        <w:rPr>
          <w:shd w:val="clear" w:color="auto" w:fill="FFFFFF"/>
        </w:rPr>
        <w:t>3</w:t>
      </w:r>
      <w:r w:rsidR="00210F89" w:rsidRPr="00210F89">
        <w:rPr>
          <w:shd w:val="clear" w:color="auto" w:fill="FFFFFF"/>
          <w:vertAlign w:val="superscript"/>
        </w:rPr>
        <w:t>*</w:t>
      </w:r>
      <w:r w:rsidR="00BB1D75">
        <w:rPr>
          <w:shd w:val="clear" w:color="auto" w:fill="FFFFFF"/>
        </w:rPr>
        <w:t>.</w:t>
      </w:r>
      <w:r w:rsidR="00B72F68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 </w:t>
      </w:r>
    </w:p>
    <w:p w:rsidR="004E61ED" w:rsidRDefault="00163353" w:rsidP="002F5124">
      <w:pPr>
        <w:spacing w:before="0"/>
        <w:rPr>
          <w:shd w:val="clear" w:color="auto" w:fill="FFFFFF"/>
        </w:rPr>
      </w:pPr>
      <w:r>
        <w:rPr>
          <w:shd w:val="clear" w:color="auto" w:fill="FFFFFF"/>
        </w:rPr>
        <w:t xml:space="preserve">Na </w:t>
      </w:r>
      <w:r w:rsidR="00096100">
        <w:rPr>
          <w:shd w:val="clear" w:color="auto" w:fill="FFFFFF"/>
        </w:rPr>
        <w:t>spadek</w:t>
      </w:r>
      <w:r>
        <w:rPr>
          <w:shd w:val="clear" w:color="auto" w:fill="FFFFFF"/>
        </w:rPr>
        <w:t xml:space="preserve"> </w:t>
      </w:r>
      <w:r w:rsidR="00C566A9">
        <w:rPr>
          <w:shd w:val="clear" w:color="auto" w:fill="FFFFFF"/>
        </w:rPr>
        <w:t>wartości wskaźnika wpłynęły</w:t>
      </w:r>
      <w:r w:rsidR="00B72F68">
        <w:rPr>
          <w:shd w:val="clear" w:color="auto" w:fill="FFFFFF"/>
        </w:rPr>
        <w:t xml:space="preserve"> głównie</w:t>
      </w:r>
      <w:r w:rsidR="00096100">
        <w:rPr>
          <w:shd w:val="clear" w:color="auto" w:fill="FFFFFF"/>
        </w:rPr>
        <w:t xml:space="preserve"> pogarszające się</w:t>
      </w:r>
      <w:r>
        <w:rPr>
          <w:shd w:val="clear" w:color="auto" w:fill="FFFFFF"/>
        </w:rPr>
        <w:t xml:space="preserve"> </w:t>
      </w:r>
      <w:r w:rsidR="00562F4D">
        <w:rPr>
          <w:shd w:val="clear" w:color="auto" w:fill="FFFFFF"/>
        </w:rPr>
        <w:t>ocen</w:t>
      </w:r>
      <w:r w:rsidR="00C566A9">
        <w:rPr>
          <w:shd w:val="clear" w:color="auto" w:fill="FFFFFF"/>
        </w:rPr>
        <w:t>y</w:t>
      </w:r>
      <w:r w:rsidR="00096100">
        <w:rPr>
          <w:shd w:val="clear" w:color="auto" w:fill="FFFFFF"/>
        </w:rPr>
        <w:t xml:space="preserve"> przyszłego poziomu bezrobocia oraz</w:t>
      </w:r>
      <w:r w:rsidR="00562F4D">
        <w:rPr>
          <w:shd w:val="clear" w:color="auto" w:fill="FFFFFF"/>
        </w:rPr>
        <w:t xml:space="preserve"> </w:t>
      </w:r>
      <w:r w:rsidR="00BB1D75">
        <w:rPr>
          <w:shd w:val="clear" w:color="auto" w:fill="FFFFFF"/>
        </w:rPr>
        <w:t xml:space="preserve">przyszłej sytuacji ekonomicznej kraju </w:t>
      </w:r>
      <w:r w:rsidR="008A1D0D">
        <w:rPr>
          <w:shd w:val="clear" w:color="auto" w:fill="FFFFFF"/>
        </w:rPr>
        <w:t>(</w:t>
      </w:r>
      <w:r w:rsidR="00096100">
        <w:rPr>
          <w:shd w:val="clear" w:color="auto" w:fill="FFFFFF"/>
        </w:rPr>
        <w:t>spadki</w:t>
      </w:r>
      <w:r w:rsidR="00C566A9">
        <w:rPr>
          <w:shd w:val="clear" w:color="auto" w:fill="FFFFFF"/>
        </w:rPr>
        <w:t xml:space="preserve"> </w:t>
      </w:r>
      <w:r w:rsidR="00096100">
        <w:rPr>
          <w:shd w:val="clear" w:color="auto" w:fill="FFFFFF"/>
        </w:rPr>
        <w:t>odpowiednio o 3,6 i 2,9</w:t>
      </w:r>
      <w:r w:rsidR="008A1D0D">
        <w:rPr>
          <w:shd w:val="clear" w:color="auto" w:fill="FFFFFF"/>
        </w:rPr>
        <w:t xml:space="preserve"> p. proc.)</w:t>
      </w:r>
      <w:r w:rsidR="006962BC">
        <w:rPr>
          <w:shd w:val="clear" w:color="auto" w:fill="FFFFFF"/>
        </w:rPr>
        <w:t xml:space="preserve">. </w:t>
      </w:r>
      <w:r w:rsidR="00096100">
        <w:rPr>
          <w:shd w:val="clear" w:color="auto" w:fill="FFFFFF"/>
        </w:rPr>
        <w:t>Wyższą wartość niż przed miesiącem</w:t>
      </w:r>
      <w:r w:rsidR="008A1D0D">
        <w:rPr>
          <w:shd w:val="clear" w:color="auto" w:fill="FFFFFF"/>
        </w:rPr>
        <w:t xml:space="preserve"> </w:t>
      </w:r>
      <w:r w:rsidR="00A33D0D">
        <w:rPr>
          <w:shd w:val="clear" w:color="auto" w:fill="FFFFFF"/>
        </w:rPr>
        <w:t xml:space="preserve">odnotowano dla oceny </w:t>
      </w:r>
      <w:r w:rsidR="0060556B">
        <w:rPr>
          <w:shd w:val="clear" w:color="auto" w:fill="FFFFFF"/>
        </w:rPr>
        <w:t>przyszłej</w:t>
      </w:r>
      <w:r>
        <w:rPr>
          <w:shd w:val="clear" w:color="auto" w:fill="FFFFFF"/>
        </w:rPr>
        <w:t xml:space="preserve"> sytuacji finansowej gospodarstwa domowego</w:t>
      </w:r>
      <w:r w:rsidR="00B72F68">
        <w:rPr>
          <w:shd w:val="clear" w:color="auto" w:fill="FFFFFF"/>
        </w:rPr>
        <w:t xml:space="preserve"> (</w:t>
      </w:r>
      <w:r w:rsidR="00096100">
        <w:rPr>
          <w:shd w:val="clear" w:color="auto" w:fill="FFFFFF"/>
        </w:rPr>
        <w:t>wzrost</w:t>
      </w:r>
      <w:r w:rsidR="00B72F68">
        <w:rPr>
          <w:shd w:val="clear" w:color="auto" w:fill="FFFFFF"/>
        </w:rPr>
        <w:t xml:space="preserve"> o </w:t>
      </w:r>
      <w:r w:rsidR="00096100">
        <w:rPr>
          <w:shd w:val="clear" w:color="auto" w:fill="FFFFFF"/>
        </w:rPr>
        <w:t>1,6</w:t>
      </w:r>
      <w:r w:rsidR="008A1D0D">
        <w:rPr>
          <w:shd w:val="clear" w:color="auto" w:fill="FFFFFF"/>
        </w:rPr>
        <w:t xml:space="preserve"> p. proc).</w:t>
      </w:r>
    </w:p>
    <w:p w:rsidR="00A06A63" w:rsidRPr="00655E7E" w:rsidRDefault="00A06A63" w:rsidP="00A06A63">
      <w:pPr>
        <w:pStyle w:val="Default"/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</w:pP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W </w:t>
      </w:r>
      <w:r w:rsidR="00F071A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październiku</w:t>
      </w:r>
      <w:r w:rsidR="00377B67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br. WWUK osiągnął wartość o </w:t>
      </w:r>
      <w:r w:rsidR="00F071A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0</w:t>
      </w:r>
      <w:r w:rsidR="002253F4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,3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p. proc. </w:t>
      </w:r>
      <w:r w:rsidR="00F071AC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niższą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 niż w analogicznym miesiącu 2017</w:t>
      </w:r>
      <w:r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> </w:t>
      </w:r>
      <w:r w:rsidRPr="00655E7E">
        <w:rPr>
          <w:rFonts w:ascii="Fira Sans" w:hAnsi="Fira Sans" w:cstheme="minorBidi"/>
          <w:color w:val="auto"/>
          <w:sz w:val="19"/>
          <w:szCs w:val="22"/>
          <w:shd w:val="clear" w:color="auto" w:fill="FFFFFF"/>
        </w:rPr>
        <w:t xml:space="preserve">r. </w:t>
      </w:r>
    </w:p>
    <w:p w:rsidR="00A06A63" w:rsidRDefault="00A06A63" w:rsidP="002F5124">
      <w:pPr>
        <w:spacing w:before="0"/>
        <w:rPr>
          <w:shd w:val="clear" w:color="auto" w:fill="FFFFFF"/>
        </w:rPr>
      </w:pPr>
    </w:p>
    <w:p w:rsidR="00FB451B" w:rsidRDefault="00FB451B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FD69E9" w:rsidRDefault="00FD69E9" w:rsidP="00FD69E9">
      <w:pPr>
        <w:jc w:val="both"/>
        <w:rPr>
          <w:rFonts w:cs="Arial"/>
          <w:i/>
          <w:spacing w:val="-2"/>
          <w:sz w:val="18"/>
          <w:szCs w:val="18"/>
        </w:rPr>
      </w:pPr>
    </w:p>
    <w:p w:rsidR="00A217E6" w:rsidRPr="004E61ED" w:rsidRDefault="00A217E6" w:rsidP="00B27B18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tbl>
      <w:tblPr>
        <w:tblStyle w:val="Siatkatabelijasna"/>
        <w:tblpPr w:leftFromText="141" w:rightFromText="141" w:vertAnchor="text" w:horzAnchor="margin" w:tblpY="596"/>
        <w:tblW w:w="8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31"/>
        <w:gridCol w:w="599"/>
        <w:gridCol w:w="1107"/>
        <w:gridCol w:w="1105"/>
        <w:gridCol w:w="973"/>
        <w:gridCol w:w="1089"/>
        <w:gridCol w:w="1130"/>
        <w:gridCol w:w="1245"/>
      </w:tblGrid>
      <w:tr w:rsidR="00351316" w:rsidRPr="00FA5128" w:rsidTr="004E61ED">
        <w:trPr>
          <w:trHeight w:val="654"/>
        </w:trPr>
        <w:tc>
          <w:tcPr>
            <w:tcW w:w="1430" w:type="dxa"/>
            <w:gridSpan w:val="2"/>
            <w:tcBorders>
              <w:top w:val="nil"/>
            </w:tcBorders>
            <w:vAlign w:val="center"/>
          </w:tcPr>
          <w:p w:rsidR="00351316" w:rsidRPr="009C7251" w:rsidRDefault="00351316" w:rsidP="00A201E6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lastRenderedPageBreak/>
              <w:t>Okres badania ankietowego</w:t>
            </w:r>
          </w:p>
        </w:tc>
        <w:tc>
          <w:tcPr>
            <w:tcW w:w="221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sytuacji finansowej gospodarstwa domowego  w:</w:t>
            </w:r>
          </w:p>
        </w:tc>
        <w:tc>
          <w:tcPr>
            <w:tcW w:w="2062" w:type="dxa"/>
            <w:gridSpan w:val="2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 w:</w:t>
            </w:r>
          </w:p>
        </w:tc>
        <w:tc>
          <w:tcPr>
            <w:tcW w:w="1130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Obecne dokonywanie ważnych zakupów</w:t>
            </w:r>
          </w:p>
        </w:tc>
        <w:tc>
          <w:tcPr>
            <w:tcW w:w="1245" w:type="dxa"/>
            <w:vMerge w:val="restart"/>
            <w:tcBorders>
              <w:top w:val="nil"/>
            </w:tcBorders>
            <w:vAlign w:val="center"/>
          </w:tcPr>
          <w:p w:rsidR="00351316" w:rsidRPr="00FA5128" w:rsidRDefault="00351316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Wskaźnik ufności konsumenckiej 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BWUK</w:t>
            </w:r>
          </w:p>
        </w:tc>
      </w:tr>
      <w:tr w:rsidR="00E37334" w:rsidRPr="00FA5128" w:rsidTr="004E61ED">
        <w:trPr>
          <w:trHeight w:val="628"/>
        </w:trPr>
        <w:tc>
          <w:tcPr>
            <w:tcW w:w="1430" w:type="dxa"/>
            <w:gridSpan w:val="2"/>
            <w:vMerge w:val="restart"/>
            <w:vAlign w:val="center"/>
          </w:tcPr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E37334" w:rsidRPr="00E37334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E37334" w:rsidRPr="009C7251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107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105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973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ostatnich 12 miesiącach</w:t>
            </w:r>
          </w:p>
        </w:tc>
        <w:tc>
          <w:tcPr>
            <w:tcW w:w="1089" w:type="dxa"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najbliższych 12 miesiącach</w:t>
            </w:r>
          </w:p>
        </w:tc>
        <w:tc>
          <w:tcPr>
            <w:tcW w:w="1130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vMerge/>
            <w:vAlign w:val="center"/>
          </w:tcPr>
          <w:p w:rsidR="00E37334" w:rsidRPr="00FA5128" w:rsidRDefault="00E37334" w:rsidP="00A201E6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20"/>
        </w:trPr>
        <w:tc>
          <w:tcPr>
            <w:tcW w:w="1430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05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973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089" w:type="dxa"/>
            <w:tcBorders>
              <w:bottom w:val="single" w:sz="12" w:space="0" w:color="212492"/>
            </w:tcBorders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30" w:type="dxa"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45" w:type="dxa"/>
            <w:vMerge/>
            <w:tcBorders>
              <w:bottom w:val="single" w:sz="12" w:space="0" w:color="212492"/>
            </w:tcBorders>
            <w:vAlign w:val="center"/>
          </w:tcPr>
          <w:p w:rsidR="00E37334" w:rsidRPr="00FA5128" w:rsidRDefault="00E37334" w:rsidP="00A201E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4E61ED">
        <w:trPr>
          <w:trHeight w:val="114"/>
        </w:trPr>
        <w:tc>
          <w:tcPr>
            <w:tcW w:w="1430" w:type="dxa"/>
            <w:gridSpan w:val="2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404" w:type="dxa"/>
            <w:gridSpan w:val="5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E37334" w:rsidRPr="00E37334" w:rsidRDefault="00E37334" w:rsidP="00A201E6">
            <w:pPr>
              <w:spacing w:before="0" w:after="0" w:line="140" w:lineRule="exac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E37334">
              <w:rPr>
                <w:rFonts w:cs="Arial"/>
                <w:color w:val="000000" w:themeColor="text1"/>
                <w:sz w:val="16"/>
                <w:szCs w:val="16"/>
              </w:rPr>
              <w:t>aldo ocen w procentach</w:t>
            </w:r>
          </w:p>
        </w:tc>
        <w:tc>
          <w:tcPr>
            <w:tcW w:w="1245" w:type="dxa"/>
            <w:tcBorders>
              <w:top w:val="single" w:sz="12" w:space="0" w:color="212492"/>
              <w:bottom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37334" w:rsidRPr="00FA5128" w:rsidTr="00AF2F1E">
        <w:trPr>
          <w:trHeight w:val="156"/>
        </w:trPr>
        <w:tc>
          <w:tcPr>
            <w:tcW w:w="1430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212492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89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1D77"/>
            </w:tcBorders>
            <w:vAlign w:val="center"/>
          </w:tcPr>
          <w:p w:rsidR="00E37334" w:rsidRPr="00FA5128" w:rsidRDefault="00E37334" w:rsidP="00A201E6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51316" w:rsidRPr="00FA5128" w:rsidTr="005F0D73">
        <w:trPr>
          <w:trHeight w:val="36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-27,0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-12,0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-16,4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-22,1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-13,0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-17,7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-6,6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-7,1</w:t>
            </w:r>
          </w:p>
        </w:tc>
      </w:tr>
      <w:tr w:rsidR="00351316" w:rsidRPr="00FA5128" w:rsidTr="005F0D73">
        <w:trPr>
          <w:trHeight w:val="14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-10,6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-16,6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-9,7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1,2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-8,0</w:t>
            </w:r>
          </w:p>
        </w:tc>
      </w:tr>
      <w:tr w:rsidR="00351316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-11,1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-40,0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-26,5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-16,1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-22,3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-17,2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-8,2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-31,2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-18,9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-16,9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-22,4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-14,6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-30,8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-15,9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-25,0</w:t>
            </w:r>
          </w:p>
        </w:tc>
      </w:tr>
      <w:tr w:rsidR="00351316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bottom"/>
          </w:tcPr>
          <w:p w:rsidR="00351316" w:rsidRPr="007443DC" w:rsidRDefault="00351316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-25,4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-18,5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-46,5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-38,0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-19,3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351316" w:rsidRPr="007443DC" w:rsidRDefault="00351316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7443DC"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  <w:t>-29,5</w:t>
            </w:r>
          </w:p>
        </w:tc>
      </w:tr>
      <w:tr w:rsidR="005357E1" w:rsidRPr="00FA5128" w:rsidTr="005F0D73">
        <w:trPr>
          <w:trHeight w:val="9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-45,2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-21,6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-26,7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-15,7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-29,9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-13,7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-17,0</w:t>
            </w:r>
          </w:p>
        </w:tc>
      </w:tr>
      <w:tr w:rsidR="005357E1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-10,7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-21,5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-10,9</w:t>
            </w:r>
          </w:p>
        </w:tc>
      </w:tr>
      <w:tr w:rsidR="004E61ED" w:rsidRPr="00FA5128" w:rsidTr="005F0D73">
        <w:trPr>
          <w:trHeight w:val="28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-3,9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-11,0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-2,5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-5,2</w:t>
            </w:r>
          </w:p>
        </w:tc>
      </w:tr>
      <w:tr w:rsidR="005357E1" w:rsidRPr="00FA5128" w:rsidTr="005F0D73">
        <w:trPr>
          <w:trHeight w:val="62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14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124"/>
        </w:trPr>
        <w:tc>
          <w:tcPr>
            <w:tcW w:w="1430" w:type="dxa"/>
            <w:gridSpan w:val="2"/>
            <w:tcBorders>
              <w:top w:val="single" w:sz="4" w:space="0" w:color="001D77"/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-5,1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-1,7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2,4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12,2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4,9</w:t>
            </w:r>
          </w:p>
        </w:tc>
      </w:tr>
      <w:tr w:rsidR="005357E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-0,9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6,5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5357E1">
              <w:rPr>
                <w:rFonts w:cs="Arial"/>
                <w:sz w:val="14"/>
                <w:szCs w:val="20"/>
              </w:rPr>
              <w:t>4,0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B81262" w:rsidRDefault="00B81262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9,1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5357E1" w:rsidRDefault="001174F6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4C5E33" w:rsidRDefault="004C5E33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C81487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6,6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E0762C" w:rsidRDefault="00E0762C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4631AB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5357E1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nil"/>
            </w:tcBorders>
            <w:vAlign w:val="bottom"/>
          </w:tcPr>
          <w:p w:rsidR="005357E1" w:rsidRPr="007443DC" w:rsidRDefault="005357E1" w:rsidP="00A201E6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5357E1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89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5357E1" w:rsidRPr="007443DC" w:rsidRDefault="005357E1" w:rsidP="00A201E6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4,8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5,7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-0,3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4,6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5,4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-2,4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2,1</w:t>
            </w:r>
          </w:p>
        </w:tc>
      </w:tr>
      <w:tr w:rsidR="004E61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E61ED" w:rsidRPr="004E61ED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8,9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11,4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E61ED" w:rsidRPr="004E61ED" w:rsidRDefault="004E61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6,2</w:t>
            </w:r>
          </w:p>
        </w:tc>
      </w:tr>
      <w:tr w:rsidR="00781AED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81AED" w:rsidRPr="004E61ED" w:rsidRDefault="00781A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0,1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13,0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81AED" w:rsidRPr="004E61ED" w:rsidRDefault="00781AE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B81262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12,7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1174F6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5,4</w:t>
            </w:r>
          </w:p>
        </w:tc>
      </w:tr>
      <w:tr w:rsidR="006508EE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13,2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35420B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7,8</w:t>
            </w:r>
          </w:p>
        </w:tc>
      </w:tr>
      <w:tr w:rsidR="008D61B1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0,7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6,7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14,9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3C78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5,9</w:t>
            </w:r>
          </w:p>
        </w:tc>
      </w:tr>
      <w:tr w:rsidR="004C5E3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Pr="004E61ED" w:rsidRDefault="004C5E3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4C5E3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-0,6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A77879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54AB8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1,0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9,8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10,3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B587A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5,2</w:t>
            </w:r>
          </w:p>
        </w:tc>
      </w:tr>
      <w:tr w:rsidR="00B412A3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407D88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6,2</w:t>
            </w:r>
          </w:p>
        </w:tc>
      </w:tr>
      <w:tr w:rsidR="00E0762C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15,2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6,9</w:t>
            </w:r>
          </w:p>
        </w:tc>
      </w:tr>
      <w:tr w:rsidR="007316C5" w:rsidRPr="00FA5128" w:rsidTr="005F0D73">
        <w:trPr>
          <w:trHeight w:val="28"/>
        </w:trPr>
        <w:tc>
          <w:tcPr>
            <w:tcW w:w="831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316C5" w:rsidRPr="004E61ED" w:rsidRDefault="007316C5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9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7316C5" w:rsidP="004E61ED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-0,2</w:t>
            </w:r>
          </w:p>
        </w:tc>
        <w:tc>
          <w:tcPr>
            <w:tcW w:w="110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973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7,0</w:t>
            </w:r>
          </w:p>
        </w:tc>
        <w:tc>
          <w:tcPr>
            <w:tcW w:w="108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17,5</w:t>
            </w:r>
          </w:p>
        </w:tc>
        <w:tc>
          <w:tcPr>
            <w:tcW w:w="1245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316C5" w:rsidRDefault="00FF198D" w:rsidP="00FD4F5A">
            <w:pPr>
              <w:spacing w:before="0" w:after="0" w:line="160" w:lineRule="exact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6,1</w:t>
            </w:r>
          </w:p>
        </w:tc>
      </w:tr>
      <w:tr w:rsidR="004E61ED" w:rsidRPr="00FA5128" w:rsidTr="004E61ED">
        <w:trPr>
          <w:trHeight w:val="28"/>
        </w:trPr>
        <w:tc>
          <w:tcPr>
            <w:tcW w:w="1430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4E61ED" w:rsidRPr="007443DC" w:rsidRDefault="004E61ED" w:rsidP="004E61ED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10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4E61ED" w:rsidRPr="007443DC" w:rsidRDefault="004E61ED" w:rsidP="004E61ED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Pr="00BA3562" w:rsidRDefault="0093660E" w:rsidP="00C074FD">
      <w:pPr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5663F93B" wp14:editId="545D424B">
                <wp:simplePos x="0" y="0"/>
                <wp:positionH relativeFrom="column">
                  <wp:posOffset>5242560</wp:posOffset>
                </wp:positionH>
                <wp:positionV relativeFrom="paragraph">
                  <wp:posOffset>178625</wp:posOffset>
                </wp:positionV>
                <wp:extent cx="1725295" cy="1508125"/>
                <wp:effectExtent l="0" t="0" r="0" b="0"/>
                <wp:wrapTight wrapText="bothSides">
                  <wp:wrapPolygon edited="0">
                    <wp:start x="715" y="0"/>
                    <wp:lineTo x="715" y="21282"/>
                    <wp:lineTo x="20749" y="21282"/>
                    <wp:lineTo x="20749" y="0"/>
                    <wp:lineTo x="715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93660E" w:rsidRDefault="00C16AEC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Bieżący wskaźnik ufności konsumenckiej jest średnią sald ocen zmian sytuacji finansowej gospodarstwa domowego, zmian ogólnej sytuacji ekonomicznej kraju oraz obecn</w:t>
                            </w:r>
                            <w:r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  <w:t>ego dokonywania ważnych zakupów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F93B" id="Pole tekstowe 12" o:spid="_x0000_s1030" type="#_x0000_t202" style="position:absolute;margin-left:412.8pt;margin-top:14.05pt;width:135.85pt;height:118.7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" filled="f" stroked="f">
                <v:textbox>
                  <w:txbxContent>
                    <w:p w:rsidR="00C16AEC" w:rsidRPr="0093660E" w:rsidRDefault="00C16AEC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Bieżący wskaźnik ufności konsumenckiej jest średnią sald ocen zmian sytuacji finansowej gospodarstwa domowego, zmian ogólnej sytuacji ekonomicznej kraju oraz obecn</w:t>
                      </w:r>
                      <w:r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  <w:t>ego dokonywania ważnych zakupów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74FD" w:rsidRPr="005A36AA">
        <w:rPr>
          <w:b/>
          <w:spacing w:val="-2"/>
          <w:sz w:val="18"/>
          <w:shd w:val="clear" w:color="auto" w:fill="FFFFFF"/>
        </w:rPr>
        <w:t>Tablica</w:t>
      </w:r>
      <w:r w:rsidR="00C074FD" w:rsidRPr="0057036A">
        <w:rPr>
          <w:b/>
          <w:spacing w:val="-2"/>
          <w:sz w:val="18"/>
          <w:shd w:val="clear" w:color="auto" w:fill="FFFFFF"/>
        </w:rPr>
        <w:t xml:space="preserve"> 1. </w:t>
      </w:r>
      <w:r w:rsidR="00A217E6">
        <w:rPr>
          <w:b/>
          <w:spacing w:val="-2"/>
          <w:sz w:val="18"/>
          <w:shd w:val="clear" w:color="auto" w:fill="FFFFFF"/>
        </w:rPr>
        <w:t>Bieżący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5A36AA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FD7BD2" w:rsidRDefault="005F4EA6" w:rsidP="00072F74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53472" behindDoc="0" locked="0" layoutInCell="1" allowOverlap="1" wp14:anchorId="266F90A3" wp14:editId="210C8B98">
            <wp:simplePos x="0" y="0"/>
            <wp:positionH relativeFrom="margin">
              <wp:align>right</wp:align>
            </wp:positionH>
            <wp:positionV relativeFrom="margin">
              <wp:posOffset>379095</wp:posOffset>
            </wp:positionV>
            <wp:extent cx="5122545" cy="3911600"/>
            <wp:effectExtent l="0" t="0" r="1905" b="0"/>
            <wp:wrapSquare wrapText="bothSides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906" w:rsidRPr="00C15772">
        <w:t xml:space="preserve">Wykres </w:t>
      </w:r>
      <w:r w:rsidR="00074DD8" w:rsidRPr="00C15772">
        <w:t>1</w:t>
      </w:r>
      <w:r w:rsidR="008F4441" w:rsidRPr="00C15772">
        <w:t>.</w:t>
      </w:r>
      <w:r w:rsidR="00074DD8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C15772" w:rsidRPr="00C15772">
        <w:rPr>
          <w:shd w:val="clear" w:color="auto" w:fill="FFFFFF"/>
        </w:rPr>
        <w:t xml:space="preserve"> </w:t>
      </w:r>
      <w:r w:rsidR="00C15772">
        <w:rPr>
          <w:shd w:val="clear" w:color="auto" w:fill="FFFFFF"/>
        </w:rPr>
        <w:t xml:space="preserve">(BWUK) </w:t>
      </w:r>
      <w:r w:rsidR="00A217E6">
        <w:rPr>
          <w:shd w:val="clear" w:color="auto" w:fill="FFFFFF"/>
        </w:rPr>
        <w:t>oraz jego wartości składowe</w:t>
      </w:r>
      <w:r w:rsidR="00072F74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według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C1577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C15772" w:rsidRPr="00C15772">
        <w:rPr>
          <w:shd w:val="clear" w:color="auto" w:fill="FFFFFF"/>
        </w:rPr>
        <w:t xml:space="preserve"> 2015–2018</w:t>
      </w:r>
    </w:p>
    <w:p w:rsidR="00FD7BD2" w:rsidRPr="00FD7BD2" w:rsidRDefault="00FD7BD2" w:rsidP="00FD7BD2"/>
    <w:p w:rsidR="00053B77" w:rsidRDefault="007A7B28" w:rsidP="00053B77">
      <w:pPr>
        <w:pStyle w:val="tytuwykresu"/>
        <w:ind w:left="851" w:hanging="851"/>
        <w:rPr>
          <w:shd w:val="clear" w:color="auto" w:fill="FFFFFF"/>
        </w:rPr>
      </w:pPr>
      <w:r w:rsidRPr="007A7B28">
        <w:rPr>
          <w:noProof/>
          <w:szCs w:val="18"/>
          <w:lang w:eastAsia="pl-PL"/>
        </w:rPr>
        <w:drawing>
          <wp:anchor distT="0" distB="0" distL="114300" distR="114300" simplePos="0" relativeHeight="251755520" behindDoc="0" locked="0" layoutInCell="1" allowOverlap="1" wp14:anchorId="176742D5" wp14:editId="6F7B90FC">
            <wp:simplePos x="0" y="0"/>
            <wp:positionH relativeFrom="margin">
              <wp:align>right</wp:align>
            </wp:positionH>
            <wp:positionV relativeFrom="margin">
              <wp:posOffset>4672965</wp:posOffset>
            </wp:positionV>
            <wp:extent cx="5122545" cy="4269740"/>
            <wp:effectExtent l="0" t="0" r="1905" b="0"/>
            <wp:wrapSquare wrapText="bothSides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B77" w:rsidRPr="00C15772">
        <w:t xml:space="preserve">Wykres </w:t>
      </w:r>
      <w:r w:rsidR="00053B77">
        <w:t>2</w:t>
      </w:r>
      <w:r w:rsidR="00053B77" w:rsidRPr="00C15772">
        <w:t>.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Bieżący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ufności</w:t>
      </w:r>
      <w:r w:rsidR="00053B77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konsumenckiej</w:t>
      </w:r>
      <w:r w:rsidR="00053B77">
        <w:rPr>
          <w:shd w:val="clear" w:color="auto" w:fill="FFFFFF"/>
        </w:rPr>
        <w:t xml:space="preserve"> (BWUK) </w:t>
      </w:r>
      <w:r w:rsidR="00A217E6">
        <w:rPr>
          <w:shd w:val="clear" w:color="auto" w:fill="FFFFFF"/>
        </w:rPr>
        <w:t>oraz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jego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wartości</w:t>
      </w:r>
      <w:r w:rsidR="00053B77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składowe według lat</w:t>
      </w:r>
    </w:p>
    <w:p w:rsidR="00B35A63" w:rsidRDefault="00FD7BD2" w:rsidP="00A866F2">
      <w:pPr>
        <w:tabs>
          <w:tab w:val="left" w:pos="3218"/>
        </w:tabs>
      </w:pPr>
      <w:r>
        <w:tab/>
      </w:r>
    </w:p>
    <w:tbl>
      <w:tblPr>
        <w:tblStyle w:val="Siatkatabelijasna"/>
        <w:tblpPr w:leftFromText="141" w:rightFromText="141" w:vertAnchor="text" w:horzAnchor="margin" w:tblpY="596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09"/>
        <w:gridCol w:w="639"/>
        <w:gridCol w:w="1346"/>
        <w:gridCol w:w="1417"/>
        <w:gridCol w:w="1559"/>
        <w:gridCol w:w="1276"/>
        <w:gridCol w:w="1098"/>
      </w:tblGrid>
      <w:tr w:rsidR="00A866F2" w:rsidRPr="00FA5128" w:rsidTr="002A3665">
        <w:trPr>
          <w:trHeight w:val="631"/>
        </w:trPr>
        <w:tc>
          <w:tcPr>
            <w:tcW w:w="1348" w:type="dxa"/>
            <w:gridSpan w:val="2"/>
            <w:vMerge w:val="restart"/>
            <w:tcBorders>
              <w:top w:val="nil"/>
            </w:tcBorders>
            <w:vAlign w:val="center"/>
          </w:tcPr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Okres badania ankietowego</w:t>
            </w: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A866F2" w:rsidRPr="00E37334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Rok     Kwartał </w:t>
            </w:r>
          </w:p>
          <w:p w:rsidR="00A866F2" w:rsidRPr="009C7251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 xml:space="preserve">  </w:t>
            </w:r>
            <w:r w:rsidRPr="00E37334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Miesiąc</w:t>
            </w:r>
          </w:p>
        </w:tc>
        <w:tc>
          <w:tcPr>
            <w:tcW w:w="134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Zmiany sytuacji finansowej gospodarstwa domowego  </w:t>
            </w:r>
          </w:p>
        </w:tc>
        <w:tc>
          <w:tcPr>
            <w:tcW w:w="1417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ogólnej sytuacji ekonomicznej kraju</w:t>
            </w:r>
          </w:p>
        </w:tc>
        <w:tc>
          <w:tcPr>
            <w:tcW w:w="1559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Zmiany poziomu bezrobocia (ze znakiem przeciwnym)</w:t>
            </w:r>
          </w:p>
        </w:tc>
        <w:tc>
          <w:tcPr>
            <w:tcW w:w="1276" w:type="dxa"/>
            <w:tcBorders>
              <w:top w:val="nil"/>
              <w:bottom w:val="single" w:sz="4" w:space="0" w:color="212492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Oszczędzanie pieniędzy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:rsidR="00A866F2" w:rsidRPr="00FA5128" w:rsidRDefault="00A866F2" w:rsidP="00FC64E0">
            <w:pPr>
              <w:pStyle w:val="Nagwek3"/>
              <w:spacing w:before="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Wskaźnik ufności konsumenckiej W</w:t>
            </w:r>
            <w:r w:rsidRPr="00E37334">
              <w:rPr>
                <w:rFonts w:ascii="Fira Sans" w:hAnsi="Fira Sans"/>
                <w:color w:val="000000" w:themeColor="text1"/>
                <w:sz w:val="16"/>
                <w:szCs w:val="16"/>
              </w:rPr>
              <w:t>WUK</w:t>
            </w:r>
          </w:p>
        </w:tc>
      </w:tr>
      <w:tr w:rsidR="00A866F2" w:rsidRPr="00FA5128" w:rsidTr="002A3665">
        <w:trPr>
          <w:trHeight w:val="20"/>
        </w:trPr>
        <w:tc>
          <w:tcPr>
            <w:tcW w:w="1348" w:type="dxa"/>
            <w:gridSpan w:val="2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pStyle w:val="Nagwek1"/>
              <w:tabs>
                <w:tab w:val="right" w:leader="dot" w:pos="4139"/>
              </w:tabs>
              <w:spacing w:before="0" w:after="0"/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559" w:type="dxa"/>
            <w:tcBorders>
              <w:top w:val="single" w:sz="4" w:space="0" w:color="212492"/>
              <w:bottom w:val="single" w:sz="12" w:space="0" w:color="212492"/>
            </w:tcBorders>
            <w:vAlign w:val="center"/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212492"/>
              <w:bottom w:val="single" w:sz="12" w:space="0" w:color="212492"/>
            </w:tcBorders>
          </w:tcPr>
          <w:p w:rsidR="00A866F2" w:rsidRPr="00FA5128" w:rsidRDefault="00A866F2" w:rsidP="00A866F2">
            <w:pPr>
              <w:spacing w:before="0" w:after="0"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098" w:type="dxa"/>
            <w:vMerge/>
            <w:tcBorders>
              <w:bottom w:val="single" w:sz="12" w:space="0" w:color="212492"/>
            </w:tcBorders>
            <w:vAlign w:val="center"/>
          </w:tcPr>
          <w:p w:rsidR="00A866F2" w:rsidRPr="00FA5128" w:rsidRDefault="00A866F2" w:rsidP="00FC64E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2A3665">
        <w:trPr>
          <w:trHeight w:val="168"/>
        </w:trPr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:rsidR="002A3665" w:rsidRPr="00FA5128" w:rsidRDefault="002A3665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12" w:space="0" w:color="212492"/>
              <w:bottom w:val="single" w:sz="4" w:space="0" w:color="001D77"/>
              <w:right w:val="single" w:sz="4" w:space="0" w:color="212492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2A3665">
              <w:rPr>
                <w:rFonts w:cs="Arial"/>
                <w:color w:val="000000" w:themeColor="text1"/>
                <w:sz w:val="16"/>
                <w:szCs w:val="16"/>
              </w:rPr>
              <w:t>saldo ocen w procentach</w:t>
            </w:r>
          </w:p>
        </w:tc>
        <w:tc>
          <w:tcPr>
            <w:tcW w:w="1098" w:type="dxa"/>
            <w:tcBorders>
              <w:top w:val="nil"/>
              <w:left w:val="single" w:sz="4" w:space="0" w:color="212492"/>
              <w:bottom w:val="nil"/>
            </w:tcBorders>
            <w:vAlign w:val="center"/>
          </w:tcPr>
          <w:p w:rsidR="002A3665" w:rsidRPr="00FA5128" w:rsidRDefault="002A3665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63004" w:rsidRPr="00FA5128" w:rsidTr="00AF2F1E">
        <w:trPr>
          <w:trHeight w:val="126"/>
        </w:trPr>
        <w:tc>
          <w:tcPr>
            <w:tcW w:w="1348" w:type="dxa"/>
            <w:gridSpan w:val="2"/>
            <w:tcBorders>
              <w:top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pStyle w:val="Nagwek5"/>
              <w:tabs>
                <w:tab w:val="right" w:leader="dot" w:pos="4156"/>
              </w:tabs>
              <w:spacing w:before="0" w:line="140" w:lineRule="exact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bottom w:val="single" w:sz="4" w:space="0" w:color="212492"/>
              <w:right w:val="nil"/>
            </w:tcBorders>
            <w:vAlign w:val="center"/>
          </w:tcPr>
          <w:p w:rsidR="00C63004" w:rsidRPr="00FA5128" w:rsidRDefault="00C63004" w:rsidP="00C63004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F2F1E">
              <w:rPr>
                <w:rFonts w:cs="Arial"/>
                <w:b/>
                <w:color w:val="000000" w:themeColor="text1"/>
                <w:sz w:val="14"/>
                <w:szCs w:val="16"/>
              </w:rPr>
              <w:t>Lata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212492"/>
            </w:tcBorders>
            <w:vAlign w:val="center"/>
          </w:tcPr>
          <w:p w:rsidR="00C63004" w:rsidRPr="00FA5128" w:rsidRDefault="00C63004" w:rsidP="00FC64E0">
            <w:pPr>
              <w:spacing w:before="0" w:after="0" w:line="140" w:lineRule="exact"/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2A3665" w:rsidRPr="00FA5128" w:rsidTr="00C63004">
        <w:trPr>
          <w:trHeight w:val="36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-16,7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-24,8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-27,2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-48,3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-6,6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-40,7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-7,9</w:t>
            </w:r>
          </w:p>
        </w:tc>
      </w:tr>
      <w:tr w:rsidR="002A3665" w:rsidRPr="00FA5128" w:rsidTr="00C63004">
        <w:trPr>
          <w:trHeight w:val="14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-11,6</w:t>
            </w:r>
          </w:p>
        </w:tc>
      </w:tr>
      <w:tr w:rsidR="002A3665" w:rsidRPr="00FA5128" w:rsidTr="00C63004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-54,6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-23,5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-14,6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-37,0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-29,8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7443DC">
              <w:rPr>
                <w:rFonts w:cs="Arial"/>
                <w:sz w:val="14"/>
              </w:rPr>
              <w:t>2012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-38,0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-36,7</w:t>
            </w:r>
          </w:p>
        </w:tc>
      </w:tr>
      <w:tr w:rsidR="002A3665" w:rsidRPr="00FA5128" w:rsidTr="00C63004">
        <w:trPr>
          <w:trHeight w:val="9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-36,1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-33,7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-31,1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-21,8</w:t>
            </w:r>
          </w:p>
        </w:tc>
      </w:tr>
      <w:tr w:rsidR="002A3665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-19,7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-26,3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-15,1</w:t>
            </w:r>
          </w:p>
        </w:tc>
      </w:tr>
      <w:tr w:rsidR="00C63004" w:rsidRPr="00FA5128" w:rsidTr="00C63004">
        <w:trPr>
          <w:trHeight w:val="28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-8,6</w:t>
            </w:r>
          </w:p>
        </w:tc>
      </w:tr>
      <w:tr w:rsidR="002A3665" w:rsidRPr="00FA5128" w:rsidTr="00C63004">
        <w:trPr>
          <w:trHeight w:val="62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5357E1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5357E1">
              <w:rPr>
                <w:rFonts w:cs="Arial"/>
                <w:sz w:val="14"/>
              </w:rPr>
              <w:t>2017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C63004" w:rsidRPr="00FA5128" w:rsidTr="00AF2F1E">
        <w:trPr>
          <w:trHeight w:val="124"/>
        </w:trPr>
        <w:tc>
          <w:tcPr>
            <w:tcW w:w="1348" w:type="dxa"/>
            <w:gridSpan w:val="2"/>
            <w:tcBorders>
              <w:top w:val="single" w:sz="4" w:space="0" w:color="212492"/>
              <w:left w:val="nil"/>
              <w:right w:val="nil"/>
            </w:tcBorders>
            <w:vAlign w:val="bottom"/>
          </w:tcPr>
          <w:p w:rsidR="00C63004" w:rsidRPr="007443DC" w:rsidRDefault="00C63004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center"/>
          </w:tcPr>
          <w:p w:rsidR="00C63004" w:rsidRPr="007443DC" w:rsidRDefault="00C63004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Kwartały</w:t>
            </w:r>
          </w:p>
        </w:tc>
        <w:tc>
          <w:tcPr>
            <w:tcW w:w="1098" w:type="dxa"/>
            <w:tcBorders>
              <w:top w:val="single" w:sz="4" w:space="0" w:color="212492"/>
              <w:left w:val="nil"/>
              <w:bottom w:val="single" w:sz="4" w:space="0" w:color="001D77"/>
              <w:right w:val="nil"/>
            </w:tcBorders>
            <w:shd w:val="clear" w:color="auto" w:fill="auto"/>
            <w:vAlign w:val="bottom"/>
          </w:tcPr>
          <w:p w:rsidR="00C63004" w:rsidRPr="007443DC" w:rsidRDefault="00C6300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-2,3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2A3665" w:rsidRPr="007443DC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IV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-9,6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7443DC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B81262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-7,1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Pr="002A3665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</w:tr>
      <w:tr w:rsidR="004C5E3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4C5E33" w:rsidRDefault="004C5E3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C5E33" w:rsidRDefault="002D77BE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vAlign w:val="center"/>
          </w:tcPr>
          <w:p w:rsidR="00E0762C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III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36042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2,6</w:t>
            </w:r>
          </w:p>
        </w:tc>
      </w:tr>
      <w:tr w:rsidR="00AF2F1E" w:rsidRPr="00FA5128" w:rsidTr="00FC64E0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nil"/>
            </w:tcBorders>
            <w:vAlign w:val="center"/>
          </w:tcPr>
          <w:p w:rsidR="00AF2F1E" w:rsidRPr="007443DC" w:rsidRDefault="00AF2F1E" w:rsidP="00AF2F1E">
            <w:pPr>
              <w:pStyle w:val="Tekstprzypisudolnego"/>
              <w:spacing w:before="0"/>
              <w:contextualSpacing/>
              <w:jc w:val="center"/>
              <w:rPr>
                <w:rFonts w:cs="Arial"/>
                <w:sz w:val="14"/>
              </w:rPr>
            </w:pPr>
          </w:p>
        </w:tc>
        <w:tc>
          <w:tcPr>
            <w:tcW w:w="5598" w:type="dxa"/>
            <w:gridSpan w:val="4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  <w:r w:rsidRPr="005357E1">
              <w:rPr>
                <w:rFonts w:cs="Arial"/>
                <w:b/>
                <w:bCs/>
                <w:snapToGrid w:val="0"/>
                <w:color w:val="000000"/>
                <w:sz w:val="14"/>
                <w:szCs w:val="21"/>
              </w:rPr>
              <w:t>Miesiące</w:t>
            </w:r>
          </w:p>
        </w:tc>
        <w:tc>
          <w:tcPr>
            <w:tcW w:w="1098" w:type="dxa"/>
            <w:tcBorders>
              <w:top w:val="single" w:sz="4" w:space="0" w:color="001D77"/>
              <w:left w:val="nil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:rsidR="00AF2F1E" w:rsidRPr="007443DC" w:rsidRDefault="00AF2F1E" w:rsidP="00AF2F1E">
            <w:pPr>
              <w:spacing w:before="0" w:after="0" w:line="240" w:lineRule="auto"/>
              <w:contextualSpacing/>
              <w:jc w:val="center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2017</w:t>
            </w: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-15,0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-4,2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-3,1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2,9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-10,5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-7,3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2,7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-11,7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0,8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9,2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1,6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-8,8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3,4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-12,0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-0,2</w:t>
            </w:r>
          </w:p>
        </w:tc>
      </w:tr>
      <w:tr w:rsidR="002A3665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2A3665" w:rsidRPr="004E61ED" w:rsidRDefault="002A3665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  <w:r w:rsidRPr="004E61ED">
              <w:rPr>
                <w:rFonts w:cs="Arial"/>
                <w:sz w:val="14"/>
              </w:rPr>
              <w:t>2018</w:t>
            </w: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4E61ED" w:rsidRDefault="002A3665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4E61ED">
              <w:rPr>
                <w:rFonts w:cs="Arial"/>
                <w:sz w:val="14"/>
                <w:szCs w:val="20"/>
              </w:rPr>
              <w:t>01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-5,8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2A3665" w:rsidRPr="002A3665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 w:rsidRPr="002A3665">
              <w:rPr>
                <w:rFonts w:cs="Arial"/>
                <w:sz w:val="14"/>
                <w:szCs w:val="20"/>
              </w:rPr>
              <w:t>4,3</w:t>
            </w:r>
          </w:p>
        </w:tc>
      </w:tr>
      <w:tr w:rsidR="00BF050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F0508" w:rsidRPr="004E61ED" w:rsidRDefault="00BF050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4E61ED" w:rsidRDefault="00BF050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02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6,3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F0508" w:rsidRPr="002A3665" w:rsidRDefault="00BF050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F0508" w:rsidRPr="002A3665" w:rsidRDefault="006C154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</w:tr>
      <w:tr w:rsidR="00B81262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81262" w:rsidRPr="004E61ED" w:rsidRDefault="00B81262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1262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03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4,2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81262" w:rsidRDefault="00B86BCA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2,9</w:t>
            </w:r>
          </w:p>
        </w:tc>
      </w:tr>
      <w:tr w:rsidR="006508EE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6508EE" w:rsidRPr="004E61ED" w:rsidRDefault="006508EE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6508EE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04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-6,9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6508EE" w:rsidRDefault="004D4078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5,7</w:t>
            </w:r>
          </w:p>
        </w:tc>
      </w:tr>
      <w:tr w:rsidR="008D61B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8D61B1" w:rsidRPr="004E61ED" w:rsidRDefault="008D61B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8D61B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05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-10,2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8D61B1" w:rsidRDefault="002F22D2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2,8</w:t>
            </w:r>
          </w:p>
        </w:tc>
      </w:tr>
      <w:tr w:rsidR="00E53C71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53C71" w:rsidRPr="004E61ED" w:rsidRDefault="00E53C71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E53C71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06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-5,2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53C71" w:rsidRDefault="009F5AAF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</w:t>
            </w:r>
            <w:r w:rsidR="00454AB8">
              <w:rPr>
                <w:rFonts w:cs="Arial"/>
                <w:sz w:val="14"/>
                <w:szCs w:val="20"/>
              </w:rPr>
              <w:t>,0</w:t>
            </w:r>
          </w:p>
        </w:tc>
      </w:tr>
      <w:tr w:rsidR="00454AB8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454AB8" w:rsidRPr="004E61ED" w:rsidRDefault="00454AB8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54AB8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07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3,6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-9,4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454AB8" w:rsidRDefault="004F7BB4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B412A3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B412A3" w:rsidRPr="004E61ED" w:rsidRDefault="00B412A3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B412A3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08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1,9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-8,7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B412A3" w:rsidRDefault="00DA70BC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2,4</w:t>
            </w:r>
          </w:p>
        </w:tc>
      </w:tr>
      <w:tr w:rsidR="00E0762C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E0762C" w:rsidRPr="004E61ED" w:rsidRDefault="00E0762C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E0762C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09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4,4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-7,2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E0762C" w:rsidRDefault="006623F1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3,1</w:t>
            </w:r>
          </w:p>
        </w:tc>
      </w:tr>
      <w:tr w:rsidR="00724C09" w:rsidRPr="00FA5128" w:rsidTr="00C63004">
        <w:trPr>
          <w:trHeight w:val="28"/>
        </w:trPr>
        <w:tc>
          <w:tcPr>
            <w:tcW w:w="709" w:type="dxa"/>
            <w:tcBorders>
              <w:top w:val="single" w:sz="4" w:space="0" w:color="212492"/>
              <w:left w:val="nil"/>
              <w:bottom w:val="single" w:sz="4" w:space="0" w:color="212492"/>
              <w:right w:val="nil"/>
            </w:tcBorders>
            <w:vAlign w:val="bottom"/>
          </w:tcPr>
          <w:p w:rsidR="00724C09" w:rsidRPr="004E61ED" w:rsidRDefault="00724C09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639" w:type="dxa"/>
            <w:tcBorders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160" w:lineRule="exact"/>
              <w:ind w:right="227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10</w:t>
            </w:r>
          </w:p>
        </w:tc>
        <w:tc>
          <w:tcPr>
            <w:tcW w:w="134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4,7</w:t>
            </w:r>
          </w:p>
        </w:tc>
        <w:tc>
          <w:tcPr>
            <w:tcW w:w="1417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-9,3</w:t>
            </w:r>
          </w:p>
        </w:tc>
        <w:tc>
          <w:tcPr>
            <w:tcW w:w="1098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bottom"/>
          </w:tcPr>
          <w:p w:rsidR="00724C09" w:rsidRDefault="00FF198D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sz w:val="14"/>
                <w:szCs w:val="20"/>
              </w:rPr>
            </w:pPr>
            <w:r>
              <w:rPr>
                <w:rFonts w:cs="Arial"/>
                <w:sz w:val="14"/>
                <w:szCs w:val="20"/>
              </w:rPr>
              <w:t>1,3</w:t>
            </w:r>
          </w:p>
        </w:tc>
      </w:tr>
      <w:tr w:rsidR="002A3665" w:rsidRPr="00FA5128" w:rsidTr="00A866F2">
        <w:trPr>
          <w:trHeight w:val="28"/>
        </w:trPr>
        <w:tc>
          <w:tcPr>
            <w:tcW w:w="1348" w:type="dxa"/>
            <w:gridSpan w:val="2"/>
            <w:tcBorders>
              <w:left w:val="nil"/>
              <w:right w:val="single" w:sz="4" w:space="0" w:color="001D77"/>
            </w:tcBorders>
            <w:vAlign w:val="bottom"/>
          </w:tcPr>
          <w:p w:rsidR="00E41497" w:rsidRPr="007443DC" w:rsidRDefault="00E41497" w:rsidP="002A3665">
            <w:pPr>
              <w:pStyle w:val="Tekstprzypisudolnego"/>
              <w:spacing w:before="0"/>
              <w:contextualSpacing/>
              <w:rPr>
                <w:rFonts w:cs="Arial"/>
                <w:sz w:val="14"/>
              </w:rPr>
            </w:pPr>
          </w:p>
        </w:tc>
        <w:tc>
          <w:tcPr>
            <w:tcW w:w="134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shd w:val="clear" w:color="auto" w:fill="auto"/>
            <w:vAlign w:val="bottom"/>
          </w:tcPr>
          <w:p w:rsidR="002A3665" w:rsidRPr="007443DC" w:rsidRDefault="002A3665" w:rsidP="002A3665">
            <w:pPr>
              <w:spacing w:before="0" w:after="0" w:line="240" w:lineRule="auto"/>
              <w:contextualSpacing/>
              <w:jc w:val="right"/>
              <w:rPr>
                <w:rFonts w:cs="Arial"/>
                <w:bCs/>
                <w:snapToGrid w:val="0"/>
                <w:color w:val="000000"/>
                <w:sz w:val="14"/>
                <w:szCs w:val="21"/>
              </w:rPr>
            </w:pPr>
          </w:p>
        </w:tc>
      </w:tr>
    </w:tbl>
    <w:p w:rsidR="004E61ED" w:rsidRDefault="0093660E" w:rsidP="00A866F2">
      <w:pPr>
        <w:ind w:left="851" w:hanging="851"/>
        <w:rPr>
          <w:b/>
          <w:spacing w:val="-2"/>
          <w:sz w:val="18"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BD52DDD" wp14:editId="6C4D5CD0">
                <wp:simplePos x="0" y="0"/>
                <wp:positionH relativeFrom="column">
                  <wp:posOffset>5242560</wp:posOffset>
                </wp:positionH>
                <wp:positionV relativeFrom="paragraph">
                  <wp:posOffset>310325</wp:posOffset>
                </wp:positionV>
                <wp:extent cx="1725295" cy="1579245"/>
                <wp:effectExtent l="0" t="0" r="0" b="1905"/>
                <wp:wrapTight wrapText="bothSides">
                  <wp:wrapPolygon edited="0">
                    <wp:start x="715" y="0"/>
                    <wp:lineTo x="715" y="21366"/>
                    <wp:lineTo x="20749" y="21366"/>
                    <wp:lineTo x="20749" y="0"/>
                    <wp:lineTo x="71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57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93660E" w:rsidRDefault="00C16AEC" w:rsidP="0093660E">
                            <w:pPr>
                              <w:spacing w:before="0" w:after="160" w:line="259" w:lineRule="auto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93660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zy w najbliższych 12 miesiącach</w:t>
                            </w:r>
                          </w:p>
                          <w:p w:rsidR="00C16AEC" w:rsidRPr="0093660E" w:rsidRDefault="00C16AEC" w:rsidP="0093660E">
                            <w:pPr>
                              <w:pStyle w:val="tytuwykresu"/>
                              <w:jc w:val="both"/>
                              <w:rPr>
                                <w:rFonts w:eastAsia="Times New Roman" w:cs="Times New Roman"/>
                                <w:b w:val="0"/>
                                <w:bCs/>
                                <w:color w:val="001D77"/>
                                <w:spacing w:val="0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2DDD" id="Pole tekstowe 13" o:spid="_x0000_s1031" type="#_x0000_t202" style="position:absolute;left:0;text-align:left;margin-left:412.8pt;margin-top:24.45pt;width:135.85pt;height:124.3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" filled="f" stroked="f">
                <v:textbox>
                  <w:txbxContent>
                    <w:p w:rsidR="00C16AEC" w:rsidRPr="0093660E" w:rsidRDefault="00C16AEC" w:rsidP="0093660E">
                      <w:pPr>
                        <w:spacing w:before="0" w:after="160" w:line="259" w:lineRule="auto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93660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Wyprzedzający wskaźnik ufności konsumenckiej jest średnią sald ocen zmian sytuacji finansowej gospodarstwa domowego, ogólnej sytuacji ekonomicznej kraju, trendów poziomu bezrobocia (ze znakiem przeciwnym) i oszczędzania pienięd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zy w najbliższych 12 miesiącach</w:t>
                      </w:r>
                    </w:p>
                    <w:p w:rsidR="00C16AEC" w:rsidRPr="0093660E" w:rsidRDefault="00C16AEC" w:rsidP="0093660E">
                      <w:pPr>
                        <w:pStyle w:val="tytuwykresu"/>
                        <w:jc w:val="both"/>
                        <w:rPr>
                          <w:rFonts w:eastAsia="Times New Roman" w:cs="Times New Roman"/>
                          <w:b w:val="0"/>
                          <w:bCs/>
                          <w:color w:val="001D77"/>
                          <w:spacing w:val="0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61ED" w:rsidRPr="005A36AA">
        <w:rPr>
          <w:b/>
          <w:spacing w:val="-2"/>
          <w:sz w:val="18"/>
          <w:shd w:val="clear" w:color="auto" w:fill="FFFFFF"/>
        </w:rPr>
        <w:t>Tablica</w:t>
      </w:r>
      <w:r w:rsidR="004E61ED">
        <w:rPr>
          <w:b/>
          <w:spacing w:val="-2"/>
          <w:sz w:val="18"/>
          <w:shd w:val="clear" w:color="auto" w:fill="FFFFFF"/>
        </w:rPr>
        <w:t xml:space="preserve"> 2</w:t>
      </w:r>
      <w:r w:rsidR="004E61ED" w:rsidRPr="0057036A">
        <w:rPr>
          <w:b/>
          <w:spacing w:val="-2"/>
          <w:sz w:val="18"/>
          <w:shd w:val="clear" w:color="auto" w:fill="FFFFFF"/>
        </w:rPr>
        <w:t xml:space="preserve">. </w:t>
      </w:r>
      <w:r w:rsidR="00A217E6">
        <w:rPr>
          <w:b/>
          <w:spacing w:val="-2"/>
          <w:sz w:val="18"/>
          <w:shd w:val="clear" w:color="auto" w:fill="FFFFFF"/>
        </w:rPr>
        <w:t>Wyprzedzający</w:t>
      </w:r>
      <w:r w:rsidR="004E61ED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wskaźnik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ufności</w:t>
      </w:r>
      <w:r w:rsidR="00A217E6" w:rsidRPr="005A36AA">
        <w:rPr>
          <w:b/>
          <w:spacing w:val="-2"/>
          <w:sz w:val="18"/>
          <w:shd w:val="clear" w:color="auto" w:fill="FFFFFF"/>
        </w:rPr>
        <w:t xml:space="preserve"> </w:t>
      </w:r>
      <w:r w:rsidR="00A217E6">
        <w:rPr>
          <w:b/>
          <w:spacing w:val="-2"/>
          <w:sz w:val="18"/>
          <w:shd w:val="clear" w:color="auto" w:fill="FFFFFF"/>
        </w:rPr>
        <w:t>konsumenckiej</w:t>
      </w:r>
    </w:p>
    <w:p w:rsidR="00C562B2" w:rsidRDefault="007F4E3D" w:rsidP="00C562B2">
      <w:pPr>
        <w:pStyle w:val="tytuwykresu"/>
        <w:ind w:left="851" w:hanging="851"/>
        <w:rPr>
          <w:shd w:val="clear" w:color="auto" w:fill="FFFFFF"/>
        </w:rPr>
      </w:pPr>
      <w:r w:rsidRPr="00341AC1"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474980</wp:posOffset>
            </wp:positionV>
            <wp:extent cx="5122545" cy="3832225"/>
            <wp:effectExtent l="0" t="0" r="1905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3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wskaźnik ufności konsumenckiej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(WWUK) oraz jego wartości składowe według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miesięcy w</w:t>
      </w:r>
      <w:r w:rsidR="00A217E6" w:rsidRPr="00C15772">
        <w:rPr>
          <w:shd w:val="clear" w:color="auto" w:fill="FFFFFF"/>
        </w:rPr>
        <w:t xml:space="preserve"> </w:t>
      </w:r>
      <w:r w:rsidR="00A217E6">
        <w:rPr>
          <w:shd w:val="clear" w:color="auto" w:fill="FFFFFF"/>
        </w:rPr>
        <w:t>latach</w:t>
      </w:r>
      <w:r w:rsidR="00A217E6" w:rsidRPr="00C15772">
        <w:rPr>
          <w:shd w:val="clear" w:color="auto" w:fill="FFFFFF"/>
        </w:rPr>
        <w:t xml:space="preserve"> 2015–2018</w:t>
      </w:r>
    </w:p>
    <w:p w:rsidR="00C562B2" w:rsidRPr="00FD7BD2" w:rsidRDefault="00C562B2" w:rsidP="00C562B2"/>
    <w:p w:rsidR="00C562B2" w:rsidRDefault="003B3271" w:rsidP="00C562B2">
      <w:pPr>
        <w:pStyle w:val="tytuwykresu"/>
        <w:ind w:left="851" w:hanging="851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>
                <wp:simplePos x="0" y="0"/>
                <wp:positionH relativeFrom="column">
                  <wp:posOffset>337047</wp:posOffset>
                </wp:positionH>
                <wp:positionV relativeFrom="paragraph">
                  <wp:posOffset>3452495</wp:posOffset>
                </wp:positionV>
                <wp:extent cx="1502410" cy="269875"/>
                <wp:effectExtent l="0" t="0" r="254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Pr="003B3271" w:rsidRDefault="00C16AEC" w:rsidP="003B3271">
                            <w:pPr>
                              <w:spacing w:before="0" w:after="0"/>
                              <w:rPr>
                                <w:sz w:val="14"/>
                              </w:rPr>
                            </w:pPr>
                            <w:r w:rsidRPr="003B3271">
                              <w:rPr>
                                <w:sz w:val="14"/>
                              </w:rPr>
                              <w:t>** kwiecień, lipiec, październik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55pt;margin-top:271.85pt;width:118.3pt;height:21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O4JgIAACg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" stroked="f">
                <v:textbox>
                  <w:txbxContent>
                    <w:p w:rsidR="00C16AEC" w:rsidRPr="003B3271" w:rsidRDefault="00C16AEC" w:rsidP="003B3271">
                      <w:pPr>
                        <w:spacing w:before="0" w:after="0"/>
                        <w:rPr>
                          <w:sz w:val="14"/>
                        </w:rPr>
                      </w:pPr>
                      <w:r w:rsidRPr="003B3271">
                        <w:rPr>
                          <w:sz w:val="14"/>
                        </w:rPr>
                        <w:t>** kwiecień, lipiec, październik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C1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 wp14:anchorId="6A496C9D" wp14:editId="1DD8A87E">
            <wp:simplePos x="0" y="0"/>
            <wp:positionH relativeFrom="margin">
              <wp:align>right</wp:align>
            </wp:positionH>
            <wp:positionV relativeFrom="margin">
              <wp:posOffset>4935220</wp:posOffset>
            </wp:positionV>
            <wp:extent cx="5122545" cy="3927475"/>
            <wp:effectExtent l="0" t="0" r="1905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B2" w:rsidRPr="00C15772">
        <w:t xml:space="preserve">Wykres </w:t>
      </w:r>
      <w:r w:rsidR="00C562B2">
        <w:t>4</w:t>
      </w:r>
      <w:r w:rsidR="00C562B2" w:rsidRPr="00C15772">
        <w:t>.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Wyprzedzający</w:t>
      </w:r>
      <w:r w:rsidR="00C562B2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wskaźnik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ufności</w:t>
      </w:r>
      <w:r w:rsidR="00F87A89" w:rsidRPr="00C15772">
        <w:rPr>
          <w:shd w:val="clear" w:color="auto" w:fill="FFFFFF"/>
        </w:rPr>
        <w:t xml:space="preserve"> </w:t>
      </w:r>
      <w:r w:rsidR="00F87A89">
        <w:rPr>
          <w:shd w:val="clear" w:color="auto" w:fill="FFFFFF"/>
        </w:rPr>
        <w:t>konsumenckiej (WWUK) oraz jego wartości składowe według lat</w:t>
      </w: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Default="00CF6348" w:rsidP="00C562B2">
      <w:pPr>
        <w:pStyle w:val="tytuwykresu"/>
        <w:ind w:left="851" w:hanging="851"/>
        <w:rPr>
          <w:shd w:val="clear" w:color="auto" w:fill="FFFFFF"/>
        </w:rPr>
      </w:pPr>
    </w:p>
    <w:p w:rsidR="00CF6348" w:rsidRPr="00CF6348" w:rsidRDefault="00CF6348" w:rsidP="00CF6348">
      <w:pPr>
        <w:rPr>
          <w:lang w:eastAsia="pl-PL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chicago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0470AA" w:rsidRPr="00384F1C" w:rsidTr="00F87A89">
        <w:trPr>
          <w:trHeight w:val="1912"/>
        </w:trPr>
        <w:tc>
          <w:tcPr>
            <w:tcW w:w="4239" w:type="dxa"/>
          </w:tcPr>
          <w:p w:rsidR="000470AA" w:rsidRPr="008F3638" w:rsidRDefault="000470AA" w:rsidP="004266E2">
            <w:pPr>
              <w:spacing w:before="0" w:after="0" w:line="276" w:lineRule="auto"/>
              <w:ind w:right="587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0470AA" w:rsidRDefault="0052620B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Łodzi</w:t>
            </w:r>
          </w:p>
          <w:p w:rsidR="0052620B" w:rsidRPr="008F3638" w:rsidRDefault="0052620B" w:rsidP="004266E2">
            <w:pPr>
              <w:spacing w:before="0" w:after="0" w:line="240" w:lineRule="auto"/>
              <w:ind w:right="729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Warunków Życia i Badań Ankietowych</w:t>
            </w:r>
          </w:p>
          <w:p w:rsidR="000470AA" w:rsidRPr="00BB4F09" w:rsidRDefault="0052620B" w:rsidP="00051E07">
            <w:pPr>
              <w:pStyle w:val="Nagwek3"/>
              <w:spacing w:before="0" w:line="240" w:lineRule="auto"/>
              <w:ind w:right="303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Iwona Ulanowska</w:t>
            </w:r>
          </w:p>
          <w:p w:rsidR="000470AA" w:rsidRPr="008F3638" w:rsidRDefault="0052620B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4</w:t>
            </w:r>
            <w:r w:rsidR="000470AA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683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="00EB5A7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73</w:t>
            </w:r>
          </w:p>
          <w:p w:rsidR="000470AA" w:rsidRPr="008F3638" w:rsidRDefault="000470AA" w:rsidP="0052620B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655E7E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hyperlink r:id="rId21" w:history="1">
              <w:r w:rsidR="0052620B" w:rsidRPr="00655E7E">
                <w:rPr>
                  <w:rStyle w:val="Hipercze"/>
                  <w:rFonts w:ascii="Fira Sans" w:hAnsi="Fira Sans" w:cs="Arial"/>
                  <w:b/>
                  <w:sz w:val="20"/>
                  <w:szCs w:val="20"/>
                </w:rPr>
                <w:t>i.ulanowska@stat.gov.pl</w:t>
              </w:r>
            </w:hyperlink>
          </w:p>
        </w:tc>
        <w:tc>
          <w:tcPr>
            <w:tcW w:w="3828" w:type="dxa"/>
          </w:tcPr>
          <w:p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3475, 22 608 3009</w:t>
            </w:r>
          </w:p>
          <w:p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530074" w:rsidRDefault="000470AA" w:rsidP="000470AA">
      <w:pPr>
        <w:rPr>
          <w:sz w:val="20"/>
          <w:lang w:val="en-US"/>
        </w:rPr>
      </w:pPr>
    </w:p>
    <w:p w:rsidR="000470AA" w:rsidRPr="00530074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0470AA" w:rsidP="000470AA">
            <w:pPr>
              <w:rPr>
                <w:sz w:val="20"/>
              </w:rPr>
            </w:pPr>
            <w:r w:rsidRPr="00C91687">
              <w:rPr>
                <w:b/>
                <w:sz w:val="20"/>
              </w:rPr>
              <w:t xml:space="preserve">tel.: </w:t>
            </w:r>
            <w:r w:rsidR="00097840">
              <w:rPr>
                <w:sz w:val="20"/>
              </w:rPr>
              <w:t>22 608 34 91, 22</w:t>
            </w:r>
            <w:r w:rsidRPr="00C91687">
              <w:rPr>
                <w:sz w:val="20"/>
              </w:rPr>
              <w:t xml:space="preserve"> 608 38 04 </w:t>
            </w:r>
          </w:p>
          <w:p w:rsidR="000470AA" w:rsidRPr="00530074" w:rsidRDefault="000470AA" w:rsidP="000470AA">
            <w:pPr>
              <w:rPr>
                <w:sz w:val="20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faks:</w:t>
            </w:r>
            <w:r w:rsidR="00097840" w:rsidRPr="00530074">
              <w:rPr>
                <w:sz w:val="20"/>
                <w:lang w:val="en-US"/>
              </w:rPr>
              <w:t xml:space="preserve"> 22</w:t>
            </w:r>
            <w:r w:rsidRPr="00530074">
              <w:rPr>
                <w:sz w:val="20"/>
                <w:lang w:val="en-US"/>
              </w:rPr>
              <w:t xml:space="preserve"> 608 38 86 </w:t>
            </w:r>
          </w:p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 w:rsidRPr="00530074">
              <w:rPr>
                <w:b/>
                <w:sz w:val="20"/>
                <w:lang w:val="en-US"/>
              </w:rPr>
              <w:t>e-mail:</w:t>
            </w:r>
            <w:r w:rsidRPr="00530074">
              <w:rPr>
                <w:sz w:val="20"/>
                <w:lang w:val="en-US"/>
              </w:rPr>
              <w:t xml:space="preserve"> </w:t>
            </w:r>
            <w:hyperlink r:id="rId23" w:history="1">
              <w:r w:rsidRPr="00530074">
                <w:rPr>
                  <w:rStyle w:val="Hipercze"/>
                  <w:rFonts w:cstheme="minorBidi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530074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5029F7C" wp14:editId="30AD5002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AEC" w:rsidRDefault="00C16AEC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C16AEC" w:rsidRPr="00C51D06" w:rsidRDefault="00C16AEC" w:rsidP="00AB6D25">
                            <w:pPr>
                              <w:rPr>
                                <w:b/>
                              </w:rPr>
                            </w:pPr>
                            <w:r w:rsidRPr="00C51D06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16AEC" w:rsidRPr="00F65B91" w:rsidRDefault="00BB652A" w:rsidP="009942D1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16AE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w przemyśle, budownictwie, handlu i usługach we wrześniu 2018 roku</w:t>
                              </w:r>
                            </w:hyperlink>
                          </w:p>
                          <w:p w:rsidR="00C16AEC" w:rsidRPr="00C51D06" w:rsidRDefault="00BB652A" w:rsidP="009942D1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16AEC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 Nr 8/2018</w:t>
                              </w:r>
                            </w:hyperlink>
                          </w:p>
                          <w:p w:rsidR="00C16AEC" w:rsidRPr="00C51D06" w:rsidRDefault="00C16AE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C16AEC" w:rsidRPr="00655E7E" w:rsidRDefault="00C16AE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655E7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C16AEC" w:rsidRPr="00E827EF" w:rsidRDefault="00BB652A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16AEC" w:rsidRPr="00E827EF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Warunki Życia Ludności</w:t>
                              </w:r>
                            </w:hyperlink>
                          </w:p>
                          <w:p w:rsidR="00C16AEC" w:rsidRPr="00C267CA" w:rsidRDefault="00C16AEC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9F7C" id="_x0000_s1033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kZifXPwIAAHM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C16AEC" w:rsidRDefault="00C16AEC" w:rsidP="00AB6D25">
                      <w:pPr>
                        <w:rPr>
                          <w:b/>
                        </w:rPr>
                      </w:pPr>
                    </w:p>
                    <w:p w:rsidR="00C16AEC" w:rsidRPr="00C51D06" w:rsidRDefault="00C16AEC" w:rsidP="00AB6D25">
                      <w:pPr>
                        <w:rPr>
                          <w:b/>
                        </w:rPr>
                      </w:pPr>
                      <w:r w:rsidRPr="00C51D06">
                        <w:rPr>
                          <w:b/>
                        </w:rPr>
                        <w:t>Powiązane opracowania</w:t>
                      </w:r>
                    </w:p>
                    <w:p w:rsidR="00C16AEC" w:rsidRPr="00F65B91" w:rsidRDefault="00C16AEC" w:rsidP="009942D1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Koniunktura w przemyśle, budownictwie, handlu </w:t>
                        </w:r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i</w:t>
                        </w:r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 xml:space="preserve"> usługach we wrześniu 2018 roku</w:t>
                        </w:r>
                      </w:hyperlink>
                    </w:p>
                    <w:p w:rsidR="00C16AEC" w:rsidRPr="00C51D06" w:rsidRDefault="00C16AEC" w:rsidP="009942D1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Biuletyn Statystyczny Nr 8/</w:t>
                        </w:r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2</w:t>
                        </w:r>
                        <w:r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018</w:t>
                        </w:r>
                      </w:hyperlink>
                    </w:p>
                    <w:p w:rsidR="00C16AEC" w:rsidRPr="00C51D06" w:rsidRDefault="00C16AE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C16AEC" w:rsidRPr="00655E7E" w:rsidRDefault="00C16AE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655E7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C16AEC" w:rsidRPr="00E827EF" w:rsidRDefault="00C16AEC" w:rsidP="00673C2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Pr="00E827EF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Dziedzinowa Baza Wiedzy Warunki Życia Ludności</w:t>
                        </w:r>
                      </w:hyperlink>
                    </w:p>
                    <w:p w:rsidR="00C16AEC" w:rsidRPr="00C267CA" w:rsidRDefault="00C16AEC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33"/>
      <w:footerReference w:type="default" r:id="rId34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2A" w:rsidRDefault="00BB652A" w:rsidP="000662E2">
      <w:pPr>
        <w:spacing w:after="0" w:line="240" w:lineRule="auto"/>
      </w:pPr>
      <w:r>
        <w:separator/>
      </w:r>
    </w:p>
  </w:endnote>
  <w:endnote w:type="continuationSeparator" w:id="0">
    <w:p w:rsidR="00BB652A" w:rsidRDefault="00BB652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:rsidR="00C16AEC" w:rsidRDefault="00C16AE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3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:rsidR="00C16AEC" w:rsidRDefault="00C16AE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C16AEC" w:rsidRDefault="00C16AE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3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2A" w:rsidRDefault="00BB652A" w:rsidP="000662E2">
      <w:pPr>
        <w:spacing w:after="0" w:line="240" w:lineRule="auto"/>
      </w:pPr>
      <w:r>
        <w:separator/>
      </w:r>
    </w:p>
  </w:footnote>
  <w:footnote w:type="continuationSeparator" w:id="0">
    <w:p w:rsidR="00BB652A" w:rsidRDefault="00BB652A" w:rsidP="000662E2">
      <w:pPr>
        <w:spacing w:after="0" w:line="240" w:lineRule="auto"/>
      </w:pPr>
      <w:r>
        <w:continuationSeparator/>
      </w:r>
    </w:p>
  </w:footnote>
  <w:footnote w:id="1">
    <w:p w:rsidR="00C16AEC" w:rsidRPr="00EC6435" w:rsidRDefault="00C16AEC" w:rsidP="005B3A86">
      <w:pPr>
        <w:pStyle w:val="Default"/>
        <w:rPr>
          <w:rFonts w:ascii="Fira Sans" w:hAnsi="Fira Sans" w:cs="Fira Sans"/>
        </w:rPr>
      </w:pPr>
      <w:r>
        <w:rPr>
          <w:rStyle w:val="Odwoanieprzypisudolnego"/>
        </w:rPr>
        <w:footnoteRef/>
      </w:r>
      <w:r>
        <w:t xml:space="preserve"> </w:t>
      </w:r>
      <w:r w:rsidRPr="00210F89">
        <w:rPr>
          <w:rFonts w:ascii="Fira Sans" w:hAnsi="Fira Sans" w:cs="Fira Sans"/>
          <w:sz w:val="16"/>
          <w:szCs w:val="19"/>
        </w:rPr>
        <w:t xml:space="preserve">Obydwa wskaźniki ufności konsumenckiej mogą przyjmować wartości od –100 do +100. Wartość dodatnia oznacza przewagę liczebną konsumentów nastawionych optymistycznie nad konsumentami nastawionymi pesymistycznie, natomiast wartość ujemna oznacza przewagę liczebną konsumentów nastawionych pesymistycznie nad konsumentami nastawionymi optymistycznie. </w:t>
      </w:r>
      <w:r w:rsidRPr="00210F89">
        <w:rPr>
          <w:rFonts w:ascii="Fira Sans" w:hAnsi="Fira Sans"/>
          <w:noProof/>
          <w:sz w:val="16"/>
        </w:rPr>
        <w:t xml:space="preserve">W </w:t>
      </w:r>
      <w:r w:rsidR="001F19A3">
        <w:rPr>
          <w:rFonts w:ascii="Fira Sans" w:hAnsi="Fira Sans"/>
          <w:noProof/>
          <w:sz w:val="16"/>
        </w:rPr>
        <w:t>październiku 2018 r. przeprowadzono 1279</w:t>
      </w:r>
      <w:r>
        <w:rPr>
          <w:rFonts w:ascii="Fira Sans" w:hAnsi="Fira Sans"/>
          <w:noProof/>
          <w:sz w:val="16"/>
        </w:rPr>
        <w:t xml:space="preserve"> wywiadów</w:t>
      </w:r>
      <w:r w:rsidRPr="00210F89">
        <w:rPr>
          <w:rFonts w:ascii="Fira Sans" w:hAnsi="Fira Sans"/>
          <w:noProof/>
          <w:sz w:val="16"/>
        </w:rPr>
        <w:t xml:space="preserve"> w</w:t>
      </w:r>
      <w:r>
        <w:rPr>
          <w:rFonts w:ascii="Fira Sans" w:hAnsi="Fira Sans"/>
          <w:noProof/>
          <w:sz w:val="16"/>
        </w:rPr>
        <w:t> </w:t>
      </w:r>
      <w:r w:rsidRPr="00210F89">
        <w:rPr>
          <w:rFonts w:ascii="Fira Sans" w:hAnsi="Fira Sans"/>
          <w:noProof/>
          <w:sz w:val="16"/>
        </w:rPr>
        <w:t>ok</w:t>
      </w:r>
      <w:r>
        <w:rPr>
          <w:rFonts w:ascii="Fira Sans" w:hAnsi="Fira Sans"/>
          <w:noProof/>
          <w:sz w:val="16"/>
        </w:rPr>
        <w:t>resie 0</w:t>
      </w:r>
      <w:r w:rsidR="001F19A3">
        <w:rPr>
          <w:rFonts w:ascii="Fira Sans" w:hAnsi="Fira Sans"/>
          <w:noProof/>
          <w:sz w:val="16"/>
        </w:rPr>
        <w:t>1-10.09.2018 r. (w tym 79</w:t>
      </w:r>
      <w:r w:rsidRPr="00210F89">
        <w:rPr>
          <w:rFonts w:ascii="Fira Sans" w:hAnsi="Fira Sans"/>
          <w:noProof/>
          <w:sz w:val="16"/>
        </w:rPr>
        <w:t xml:space="preserve"> metodą CATI – wywiadu telefonicznego wspomaganego komputerowo).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EC" w:rsidRDefault="00C16AEC">
    <w:pPr>
      <w:pStyle w:val="Nagwek"/>
    </w:pPr>
  </w:p>
  <w:p w:rsidR="00C16AEC" w:rsidRDefault="00C16A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AE8A4" wp14:editId="0B1BA157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10F4F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EC" w:rsidRDefault="00C16AEC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286000" cy="742950"/>
          <wp:effectExtent l="0" t="0" r="0" b="0"/>
          <wp:docPr id="4" name="Obraz 4" descr="as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6F80E9" wp14:editId="72B1336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16AEC" w:rsidRPr="003C6C8D" w:rsidRDefault="00C16AEC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6F80E9" id="Schemat blokowy: opóźnienie 6" o:spid="_x0000_s1034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C16AEC" w:rsidRPr="003C6C8D" w:rsidRDefault="00C16AEC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22D3DA2" wp14:editId="3CA2341D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DAABA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</w:p>
  <w:p w:rsidR="00C16AEC" w:rsidRDefault="00C16AEC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0608F51" wp14:editId="6366C38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AEC" w:rsidRPr="00C97596" w:rsidRDefault="00C16AE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17</w:t>
                          </w:r>
                          <w:r w:rsidR="001F19A3">
                            <w:rPr>
                              <w:rFonts w:ascii="Fira Sans SemiBold" w:hAnsi="Fira Sans SemiBold"/>
                              <w:color w:val="001D77"/>
                            </w:rPr>
                            <w:t>.10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8F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C16AEC" w:rsidRPr="00C97596" w:rsidRDefault="00C16AE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17</w:t>
                    </w:r>
                    <w:r w:rsidR="001F19A3">
                      <w:rPr>
                        <w:rFonts w:ascii="Fira Sans SemiBold" w:hAnsi="Fira Sans SemiBold"/>
                        <w:color w:val="001D77"/>
                      </w:rPr>
                      <w:t>.10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AEC" w:rsidRDefault="00C16AEC">
    <w:pPr>
      <w:pStyle w:val="Nagwek"/>
    </w:pPr>
  </w:p>
  <w:p w:rsidR="00C16AEC" w:rsidRDefault="00C16A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31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CF487E"/>
    <w:multiLevelType w:val="hybridMultilevel"/>
    <w:tmpl w:val="8FB6CCC2"/>
    <w:lvl w:ilvl="0" w:tplc="D08E87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70C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A1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A8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C0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3D4E0D"/>
    <w:multiLevelType w:val="hybridMultilevel"/>
    <w:tmpl w:val="0D5CF88A"/>
    <w:lvl w:ilvl="0" w:tplc="4D10BA6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C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4A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807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E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FAB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savePreviewPicture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4582E"/>
    <w:rsid w:val="000470AA"/>
    <w:rsid w:val="00047B35"/>
    <w:rsid w:val="00051607"/>
    <w:rsid w:val="00051E07"/>
    <w:rsid w:val="00053B77"/>
    <w:rsid w:val="00057CA1"/>
    <w:rsid w:val="000662E2"/>
    <w:rsid w:val="00066883"/>
    <w:rsid w:val="00072F74"/>
    <w:rsid w:val="00074DD8"/>
    <w:rsid w:val="000806E2"/>
    <w:rsid w:val="000806F7"/>
    <w:rsid w:val="00086288"/>
    <w:rsid w:val="00087858"/>
    <w:rsid w:val="00092223"/>
    <w:rsid w:val="00096100"/>
    <w:rsid w:val="00097840"/>
    <w:rsid w:val="000A296E"/>
    <w:rsid w:val="000B0727"/>
    <w:rsid w:val="000B0D27"/>
    <w:rsid w:val="000B5253"/>
    <w:rsid w:val="000C135D"/>
    <w:rsid w:val="000C5F1F"/>
    <w:rsid w:val="000D0352"/>
    <w:rsid w:val="000D1D43"/>
    <w:rsid w:val="000D225C"/>
    <w:rsid w:val="000D29F7"/>
    <w:rsid w:val="000D2A5C"/>
    <w:rsid w:val="000E0918"/>
    <w:rsid w:val="000E2680"/>
    <w:rsid w:val="000E60B4"/>
    <w:rsid w:val="000E615F"/>
    <w:rsid w:val="000F55BC"/>
    <w:rsid w:val="001011C3"/>
    <w:rsid w:val="00107A73"/>
    <w:rsid w:val="00110D87"/>
    <w:rsid w:val="00113C04"/>
    <w:rsid w:val="00114DB9"/>
    <w:rsid w:val="0011502A"/>
    <w:rsid w:val="00116087"/>
    <w:rsid w:val="001174F6"/>
    <w:rsid w:val="0012106E"/>
    <w:rsid w:val="001258BC"/>
    <w:rsid w:val="00130296"/>
    <w:rsid w:val="00131F96"/>
    <w:rsid w:val="00133BFC"/>
    <w:rsid w:val="001423B6"/>
    <w:rsid w:val="001448A7"/>
    <w:rsid w:val="00146621"/>
    <w:rsid w:val="0015506A"/>
    <w:rsid w:val="00162325"/>
    <w:rsid w:val="00162C4B"/>
    <w:rsid w:val="00163353"/>
    <w:rsid w:val="00181035"/>
    <w:rsid w:val="00183CE4"/>
    <w:rsid w:val="00192832"/>
    <w:rsid w:val="001951DA"/>
    <w:rsid w:val="00197987"/>
    <w:rsid w:val="00197B94"/>
    <w:rsid w:val="001A7D81"/>
    <w:rsid w:val="001C30CE"/>
    <w:rsid w:val="001C3269"/>
    <w:rsid w:val="001C42EB"/>
    <w:rsid w:val="001D1DB4"/>
    <w:rsid w:val="001D2AA0"/>
    <w:rsid w:val="001D7E17"/>
    <w:rsid w:val="001F19A3"/>
    <w:rsid w:val="001F2A20"/>
    <w:rsid w:val="00210F89"/>
    <w:rsid w:val="002253F4"/>
    <w:rsid w:val="00227C24"/>
    <w:rsid w:val="00255158"/>
    <w:rsid w:val="002574F9"/>
    <w:rsid w:val="00262B61"/>
    <w:rsid w:val="00262E7F"/>
    <w:rsid w:val="00276811"/>
    <w:rsid w:val="00282699"/>
    <w:rsid w:val="002830B9"/>
    <w:rsid w:val="00285ED8"/>
    <w:rsid w:val="002926DF"/>
    <w:rsid w:val="0029516C"/>
    <w:rsid w:val="00296697"/>
    <w:rsid w:val="002971E7"/>
    <w:rsid w:val="002A3665"/>
    <w:rsid w:val="002B0472"/>
    <w:rsid w:val="002B2112"/>
    <w:rsid w:val="002B6B12"/>
    <w:rsid w:val="002C458A"/>
    <w:rsid w:val="002D3C9B"/>
    <w:rsid w:val="002D5918"/>
    <w:rsid w:val="002D77BE"/>
    <w:rsid w:val="002E0940"/>
    <w:rsid w:val="002E14C1"/>
    <w:rsid w:val="002E6140"/>
    <w:rsid w:val="002E6985"/>
    <w:rsid w:val="002E71B6"/>
    <w:rsid w:val="002F027A"/>
    <w:rsid w:val="002F22D2"/>
    <w:rsid w:val="002F5124"/>
    <w:rsid w:val="002F77C8"/>
    <w:rsid w:val="0030476F"/>
    <w:rsid w:val="00304F22"/>
    <w:rsid w:val="00306C7C"/>
    <w:rsid w:val="00320B84"/>
    <w:rsid w:val="00322EDD"/>
    <w:rsid w:val="00332320"/>
    <w:rsid w:val="003346B1"/>
    <w:rsid w:val="003350E9"/>
    <w:rsid w:val="00341AC1"/>
    <w:rsid w:val="00345AB6"/>
    <w:rsid w:val="00347D72"/>
    <w:rsid w:val="00351316"/>
    <w:rsid w:val="0035420B"/>
    <w:rsid w:val="00357611"/>
    <w:rsid w:val="0036042D"/>
    <w:rsid w:val="00360663"/>
    <w:rsid w:val="00367237"/>
    <w:rsid w:val="003701DE"/>
    <w:rsid w:val="0037077F"/>
    <w:rsid w:val="00372411"/>
    <w:rsid w:val="00373882"/>
    <w:rsid w:val="00377B67"/>
    <w:rsid w:val="00380DFD"/>
    <w:rsid w:val="003843DB"/>
    <w:rsid w:val="00384F1C"/>
    <w:rsid w:val="00386E30"/>
    <w:rsid w:val="00393761"/>
    <w:rsid w:val="00394115"/>
    <w:rsid w:val="00396FC5"/>
    <w:rsid w:val="00397D18"/>
    <w:rsid w:val="003A0714"/>
    <w:rsid w:val="003A1B36"/>
    <w:rsid w:val="003A3169"/>
    <w:rsid w:val="003B1454"/>
    <w:rsid w:val="003B18B6"/>
    <w:rsid w:val="003B3271"/>
    <w:rsid w:val="003C019D"/>
    <w:rsid w:val="003C59E0"/>
    <w:rsid w:val="003C6C8D"/>
    <w:rsid w:val="003C78F1"/>
    <w:rsid w:val="003D01F8"/>
    <w:rsid w:val="003D4F95"/>
    <w:rsid w:val="003D57EF"/>
    <w:rsid w:val="003D5F42"/>
    <w:rsid w:val="003D60A9"/>
    <w:rsid w:val="003E5F73"/>
    <w:rsid w:val="003F153D"/>
    <w:rsid w:val="003F450F"/>
    <w:rsid w:val="003F4C97"/>
    <w:rsid w:val="003F514B"/>
    <w:rsid w:val="003F7FE6"/>
    <w:rsid w:val="00400193"/>
    <w:rsid w:val="004013C9"/>
    <w:rsid w:val="00401F1A"/>
    <w:rsid w:val="00406761"/>
    <w:rsid w:val="00407D88"/>
    <w:rsid w:val="004151AC"/>
    <w:rsid w:val="004212E7"/>
    <w:rsid w:val="0042446D"/>
    <w:rsid w:val="004266E2"/>
    <w:rsid w:val="00427BF8"/>
    <w:rsid w:val="00431318"/>
    <w:rsid w:val="00431C02"/>
    <w:rsid w:val="00437395"/>
    <w:rsid w:val="0044211B"/>
    <w:rsid w:val="00445047"/>
    <w:rsid w:val="00454AB8"/>
    <w:rsid w:val="00460614"/>
    <w:rsid w:val="004631AB"/>
    <w:rsid w:val="00463E39"/>
    <w:rsid w:val="004657FC"/>
    <w:rsid w:val="00465D66"/>
    <w:rsid w:val="00466732"/>
    <w:rsid w:val="004733F6"/>
    <w:rsid w:val="00474E69"/>
    <w:rsid w:val="00475BA8"/>
    <w:rsid w:val="00483BB4"/>
    <w:rsid w:val="00486E1D"/>
    <w:rsid w:val="0049621B"/>
    <w:rsid w:val="00496F49"/>
    <w:rsid w:val="0049754B"/>
    <w:rsid w:val="004B2FF7"/>
    <w:rsid w:val="004B587A"/>
    <w:rsid w:val="004B7496"/>
    <w:rsid w:val="004C1895"/>
    <w:rsid w:val="004C5E33"/>
    <w:rsid w:val="004C6D40"/>
    <w:rsid w:val="004C78A8"/>
    <w:rsid w:val="004D268C"/>
    <w:rsid w:val="004D4078"/>
    <w:rsid w:val="004E312A"/>
    <w:rsid w:val="004E464A"/>
    <w:rsid w:val="004E61ED"/>
    <w:rsid w:val="004E6889"/>
    <w:rsid w:val="004F0C3C"/>
    <w:rsid w:val="004F24C3"/>
    <w:rsid w:val="004F63FC"/>
    <w:rsid w:val="004F7BB4"/>
    <w:rsid w:val="00500308"/>
    <w:rsid w:val="00500D94"/>
    <w:rsid w:val="00505A92"/>
    <w:rsid w:val="00505EA2"/>
    <w:rsid w:val="0051042A"/>
    <w:rsid w:val="00510D9A"/>
    <w:rsid w:val="0051777B"/>
    <w:rsid w:val="005203F1"/>
    <w:rsid w:val="00521BC3"/>
    <w:rsid w:val="005249E0"/>
    <w:rsid w:val="00525DC6"/>
    <w:rsid w:val="0052620B"/>
    <w:rsid w:val="00526FE9"/>
    <w:rsid w:val="00527458"/>
    <w:rsid w:val="00530074"/>
    <w:rsid w:val="00533632"/>
    <w:rsid w:val="005336B5"/>
    <w:rsid w:val="00534B5E"/>
    <w:rsid w:val="005357E1"/>
    <w:rsid w:val="0053753D"/>
    <w:rsid w:val="00541E6E"/>
    <w:rsid w:val="00542145"/>
    <w:rsid w:val="0054251F"/>
    <w:rsid w:val="00542EAD"/>
    <w:rsid w:val="005479B1"/>
    <w:rsid w:val="005520D8"/>
    <w:rsid w:val="00555E43"/>
    <w:rsid w:val="00556CF1"/>
    <w:rsid w:val="00561BB7"/>
    <w:rsid w:val="00562F4D"/>
    <w:rsid w:val="0057036A"/>
    <w:rsid w:val="005762A7"/>
    <w:rsid w:val="00581651"/>
    <w:rsid w:val="00586EB0"/>
    <w:rsid w:val="005916D7"/>
    <w:rsid w:val="005930D9"/>
    <w:rsid w:val="005A36AA"/>
    <w:rsid w:val="005A653B"/>
    <w:rsid w:val="005A698C"/>
    <w:rsid w:val="005A730E"/>
    <w:rsid w:val="005B3A86"/>
    <w:rsid w:val="005B5D8A"/>
    <w:rsid w:val="005C433F"/>
    <w:rsid w:val="005E0799"/>
    <w:rsid w:val="005E0B91"/>
    <w:rsid w:val="005F0D73"/>
    <w:rsid w:val="005F4EA6"/>
    <w:rsid w:val="005F5A80"/>
    <w:rsid w:val="00600F7B"/>
    <w:rsid w:val="006044FF"/>
    <w:rsid w:val="0060556B"/>
    <w:rsid w:val="00607CC5"/>
    <w:rsid w:val="00617810"/>
    <w:rsid w:val="00633014"/>
    <w:rsid w:val="0063437B"/>
    <w:rsid w:val="006404CD"/>
    <w:rsid w:val="0064135C"/>
    <w:rsid w:val="006456D4"/>
    <w:rsid w:val="006508EE"/>
    <w:rsid w:val="00651FDC"/>
    <w:rsid w:val="00655E7E"/>
    <w:rsid w:val="00656AE2"/>
    <w:rsid w:val="00661ECB"/>
    <w:rsid w:val="006623F1"/>
    <w:rsid w:val="00663D48"/>
    <w:rsid w:val="00665EB3"/>
    <w:rsid w:val="006673CA"/>
    <w:rsid w:val="00672418"/>
    <w:rsid w:val="00673C26"/>
    <w:rsid w:val="00676474"/>
    <w:rsid w:val="006765B6"/>
    <w:rsid w:val="006812AF"/>
    <w:rsid w:val="0068327D"/>
    <w:rsid w:val="00694AF0"/>
    <w:rsid w:val="00695B50"/>
    <w:rsid w:val="006962BC"/>
    <w:rsid w:val="006A4686"/>
    <w:rsid w:val="006A745A"/>
    <w:rsid w:val="006B0E9E"/>
    <w:rsid w:val="006B5AE4"/>
    <w:rsid w:val="006C105E"/>
    <w:rsid w:val="006C154F"/>
    <w:rsid w:val="006C4C37"/>
    <w:rsid w:val="006D1507"/>
    <w:rsid w:val="006D4054"/>
    <w:rsid w:val="006D6C0E"/>
    <w:rsid w:val="006E02EC"/>
    <w:rsid w:val="006F05D5"/>
    <w:rsid w:val="007004AD"/>
    <w:rsid w:val="00707207"/>
    <w:rsid w:val="00712B2A"/>
    <w:rsid w:val="0071553E"/>
    <w:rsid w:val="00715683"/>
    <w:rsid w:val="007211B1"/>
    <w:rsid w:val="00724C09"/>
    <w:rsid w:val="007316C5"/>
    <w:rsid w:val="00743028"/>
    <w:rsid w:val="007443DC"/>
    <w:rsid w:val="00744F8A"/>
    <w:rsid w:val="00745D81"/>
    <w:rsid w:val="00746187"/>
    <w:rsid w:val="0076254F"/>
    <w:rsid w:val="00775052"/>
    <w:rsid w:val="00776AD6"/>
    <w:rsid w:val="007801F5"/>
    <w:rsid w:val="00780EB6"/>
    <w:rsid w:val="00781AED"/>
    <w:rsid w:val="007820A2"/>
    <w:rsid w:val="00783CA4"/>
    <w:rsid w:val="007842FB"/>
    <w:rsid w:val="00785650"/>
    <w:rsid w:val="00786124"/>
    <w:rsid w:val="0079514B"/>
    <w:rsid w:val="0079706E"/>
    <w:rsid w:val="007A2DC1"/>
    <w:rsid w:val="007A7B28"/>
    <w:rsid w:val="007B7753"/>
    <w:rsid w:val="007D1F0E"/>
    <w:rsid w:val="007D3319"/>
    <w:rsid w:val="007D335D"/>
    <w:rsid w:val="007D6F6F"/>
    <w:rsid w:val="007E3314"/>
    <w:rsid w:val="007E4B03"/>
    <w:rsid w:val="007F324B"/>
    <w:rsid w:val="007F4E3D"/>
    <w:rsid w:val="008024D9"/>
    <w:rsid w:val="0080553C"/>
    <w:rsid w:val="00805B46"/>
    <w:rsid w:val="008063C9"/>
    <w:rsid w:val="00812A08"/>
    <w:rsid w:val="0082137A"/>
    <w:rsid w:val="0082262A"/>
    <w:rsid w:val="0082543E"/>
    <w:rsid w:val="00825DC2"/>
    <w:rsid w:val="00834AD3"/>
    <w:rsid w:val="00843795"/>
    <w:rsid w:val="00847F0F"/>
    <w:rsid w:val="0085237B"/>
    <w:rsid w:val="00852448"/>
    <w:rsid w:val="00866947"/>
    <w:rsid w:val="0087748D"/>
    <w:rsid w:val="0088258A"/>
    <w:rsid w:val="00886332"/>
    <w:rsid w:val="00886CAB"/>
    <w:rsid w:val="00887A82"/>
    <w:rsid w:val="008908A3"/>
    <w:rsid w:val="00891FF7"/>
    <w:rsid w:val="00897772"/>
    <w:rsid w:val="008979AA"/>
    <w:rsid w:val="008A1D0D"/>
    <w:rsid w:val="008A26D9"/>
    <w:rsid w:val="008A2F86"/>
    <w:rsid w:val="008B2416"/>
    <w:rsid w:val="008B77C0"/>
    <w:rsid w:val="008C0C29"/>
    <w:rsid w:val="008C2B4B"/>
    <w:rsid w:val="008D61B1"/>
    <w:rsid w:val="008E39CE"/>
    <w:rsid w:val="008F3638"/>
    <w:rsid w:val="008F4441"/>
    <w:rsid w:val="008F6F31"/>
    <w:rsid w:val="008F74DF"/>
    <w:rsid w:val="0090176A"/>
    <w:rsid w:val="0090561C"/>
    <w:rsid w:val="00907522"/>
    <w:rsid w:val="009127BA"/>
    <w:rsid w:val="00914E6D"/>
    <w:rsid w:val="009227A6"/>
    <w:rsid w:val="00924F4C"/>
    <w:rsid w:val="00931755"/>
    <w:rsid w:val="00933EC1"/>
    <w:rsid w:val="0093660E"/>
    <w:rsid w:val="00942142"/>
    <w:rsid w:val="009508AE"/>
    <w:rsid w:val="009530DB"/>
    <w:rsid w:val="00953676"/>
    <w:rsid w:val="009601C9"/>
    <w:rsid w:val="0096223B"/>
    <w:rsid w:val="00967DF8"/>
    <w:rsid w:val="009705EE"/>
    <w:rsid w:val="00977927"/>
    <w:rsid w:val="0098135C"/>
    <w:rsid w:val="0098156A"/>
    <w:rsid w:val="00991BAC"/>
    <w:rsid w:val="009942D1"/>
    <w:rsid w:val="00997879"/>
    <w:rsid w:val="009A283D"/>
    <w:rsid w:val="009A5A6D"/>
    <w:rsid w:val="009A6EA0"/>
    <w:rsid w:val="009B171E"/>
    <w:rsid w:val="009C1335"/>
    <w:rsid w:val="009C1AB2"/>
    <w:rsid w:val="009C7251"/>
    <w:rsid w:val="009D10D8"/>
    <w:rsid w:val="009E2E91"/>
    <w:rsid w:val="009F096D"/>
    <w:rsid w:val="009F1339"/>
    <w:rsid w:val="009F5774"/>
    <w:rsid w:val="009F5AAF"/>
    <w:rsid w:val="009F7114"/>
    <w:rsid w:val="009F71F6"/>
    <w:rsid w:val="00A0582E"/>
    <w:rsid w:val="00A06A63"/>
    <w:rsid w:val="00A10177"/>
    <w:rsid w:val="00A139F5"/>
    <w:rsid w:val="00A201E6"/>
    <w:rsid w:val="00A217E6"/>
    <w:rsid w:val="00A2214D"/>
    <w:rsid w:val="00A2414C"/>
    <w:rsid w:val="00A33D0D"/>
    <w:rsid w:val="00A35C72"/>
    <w:rsid w:val="00A365F4"/>
    <w:rsid w:val="00A47D09"/>
    <w:rsid w:val="00A47D80"/>
    <w:rsid w:val="00A53132"/>
    <w:rsid w:val="00A563F2"/>
    <w:rsid w:val="00A566E8"/>
    <w:rsid w:val="00A6713B"/>
    <w:rsid w:val="00A77879"/>
    <w:rsid w:val="00A810F9"/>
    <w:rsid w:val="00A866F2"/>
    <w:rsid w:val="00A86ECC"/>
    <w:rsid w:val="00A86FCC"/>
    <w:rsid w:val="00AA5262"/>
    <w:rsid w:val="00AA57A3"/>
    <w:rsid w:val="00AA710D"/>
    <w:rsid w:val="00AB2C3E"/>
    <w:rsid w:val="00AB6D25"/>
    <w:rsid w:val="00AC2AC4"/>
    <w:rsid w:val="00AC5371"/>
    <w:rsid w:val="00AC77DC"/>
    <w:rsid w:val="00AD7676"/>
    <w:rsid w:val="00AE06C8"/>
    <w:rsid w:val="00AE2D4B"/>
    <w:rsid w:val="00AE4F99"/>
    <w:rsid w:val="00AE6789"/>
    <w:rsid w:val="00AF2F1E"/>
    <w:rsid w:val="00B00C09"/>
    <w:rsid w:val="00B11B69"/>
    <w:rsid w:val="00B12FBA"/>
    <w:rsid w:val="00B14952"/>
    <w:rsid w:val="00B217DB"/>
    <w:rsid w:val="00B27B18"/>
    <w:rsid w:val="00B27B58"/>
    <w:rsid w:val="00B31E5A"/>
    <w:rsid w:val="00B35A63"/>
    <w:rsid w:val="00B403A1"/>
    <w:rsid w:val="00B412A3"/>
    <w:rsid w:val="00B4483E"/>
    <w:rsid w:val="00B46A9F"/>
    <w:rsid w:val="00B61924"/>
    <w:rsid w:val="00B653AB"/>
    <w:rsid w:val="00B65F9E"/>
    <w:rsid w:val="00B66B19"/>
    <w:rsid w:val="00B7120E"/>
    <w:rsid w:val="00B72F68"/>
    <w:rsid w:val="00B733EE"/>
    <w:rsid w:val="00B77A19"/>
    <w:rsid w:val="00B81262"/>
    <w:rsid w:val="00B81EBE"/>
    <w:rsid w:val="00B85DBF"/>
    <w:rsid w:val="00B86BCA"/>
    <w:rsid w:val="00B914E9"/>
    <w:rsid w:val="00B9163F"/>
    <w:rsid w:val="00B956EE"/>
    <w:rsid w:val="00B95B90"/>
    <w:rsid w:val="00BA2BA1"/>
    <w:rsid w:val="00BA3562"/>
    <w:rsid w:val="00BA6359"/>
    <w:rsid w:val="00BA76A2"/>
    <w:rsid w:val="00BB1D75"/>
    <w:rsid w:val="00BB4F09"/>
    <w:rsid w:val="00BB652A"/>
    <w:rsid w:val="00BC2DDB"/>
    <w:rsid w:val="00BC44E4"/>
    <w:rsid w:val="00BD1E7E"/>
    <w:rsid w:val="00BD4E33"/>
    <w:rsid w:val="00BF0508"/>
    <w:rsid w:val="00BF61D5"/>
    <w:rsid w:val="00C030DE"/>
    <w:rsid w:val="00C074FD"/>
    <w:rsid w:val="00C15772"/>
    <w:rsid w:val="00C16AEC"/>
    <w:rsid w:val="00C22105"/>
    <w:rsid w:val="00C244B6"/>
    <w:rsid w:val="00C25087"/>
    <w:rsid w:val="00C267CA"/>
    <w:rsid w:val="00C3702F"/>
    <w:rsid w:val="00C4500A"/>
    <w:rsid w:val="00C51D06"/>
    <w:rsid w:val="00C558C4"/>
    <w:rsid w:val="00C562B2"/>
    <w:rsid w:val="00C566A9"/>
    <w:rsid w:val="00C60D38"/>
    <w:rsid w:val="00C62895"/>
    <w:rsid w:val="00C63004"/>
    <w:rsid w:val="00C63B7B"/>
    <w:rsid w:val="00C64240"/>
    <w:rsid w:val="00C64A37"/>
    <w:rsid w:val="00C7158E"/>
    <w:rsid w:val="00C717C9"/>
    <w:rsid w:val="00C7250B"/>
    <w:rsid w:val="00C7346B"/>
    <w:rsid w:val="00C77050"/>
    <w:rsid w:val="00C77C0E"/>
    <w:rsid w:val="00C81487"/>
    <w:rsid w:val="00C91687"/>
    <w:rsid w:val="00C924A8"/>
    <w:rsid w:val="00C945FE"/>
    <w:rsid w:val="00C96FAA"/>
    <w:rsid w:val="00C97A04"/>
    <w:rsid w:val="00CA107B"/>
    <w:rsid w:val="00CA484D"/>
    <w:rsid w:val="00CA495C"/>
    <w:rsid w:val="00CA4FB6"/>
    <w:rsid w:val="00CB1737"/>
    <w:rsid w:val="00CB1BA1"/>
    <w:rsid w:val="00CC28D0"/>
    <w:rsid w:val="00CC72A6"/>
    <w:rsid w:val="00CC739E"/>
    <w:rsid w:val="00CD178A"/>
    <w:rsid w:val="00CD217B"/>
    <w:rsid w:val="00CD49BB"/>
    <w:rsid w:val="00CD58B7"/>
    <w:rsid w:val="00CE5EF2"/>
    <w:rsid w:val="00CF4099"/>
    <w:rsid w:val="00CF6348"/>
    <w:rsid w:val="00D00796"/>
    <w:rsid w:val="00D029DF"/>
    <w:rsid w:val="00D05126"/>
    <w:rsid w:val="00D24390"/>
    <w:rsid w:val="00D24C05"/>
    <w:rsid w:val="00D261A2"/>
    <w:rsid w:val="00D443A5"/>
    <w:rsid w:val="00D54347"/>
    <w:rsid w:val="00D60211"/>
    <w:rsid w:val="00D616D2"/>
    <w:rsid w:val="00D62602"/>
    <w:rsid w:val="00D63B5F"/>
    <w:rsid w:val="00D70EF7"/>
    <w:rsid w:val="00D8397C"/>
    <w:rsid w:val="00D90CB4"/>
    <w:rsid w:val="00D94BFD"/>
    <w:rsid w:val="00D94EED"/>
    <w:rsid w:val="00D96026"/>
    <w:rsid w:val="00D97CB4"/>
    <w:rsid w:val="00DA0438"/>
    <w:rsid w:val="00DA5295"/>
    <w:rsid w:val="00DA70BC"/>
    <w:rsid w:val="00DA7C1C"/>
    <w:rsid w:val="00DB147A"/>
    <w:rsid w:val="00DB1B7A"/>
    <w:rsid w:val="00DC0BD7"/>
    <w:rsid w:val="00DC6708"/>
    <w:rsid w:val="00DD01DA"/>
    <w:rsid w:val="00DD7916"/>
    <w:rsid w:val="00DF5320"/>
    <w:rsid w:val="00E01436"/>
    <w:rsid w:val="00E0206E"/>
    <w:rsid w:val="00E045BD"/>
    <w:rsid w:val="00E0762C"/>
    <w:rsid w:val="00E135B1"/>
    <w:rsid w:val="00E165BE"/>
    <w:rsid w:val="00E17B77"/>
    <w:rsid w:val="00E23337"/>
    <w:rsid w:val="00E2483C"/>
    <w:rsid w:val="00E259EA"/>
    <w:rsid w:val="00E32061"/>
    <w:rsid w:val="00E37334"/>
    <w:rsid w:val="00E41497"/>
    <w:rsid w:val="00E42FF9"/>
    <w:rsid w:val="00E4714C"/>
    <w:rsid w:val="00E51AEB"/>
    <w:rsid w:val="00E522A7"/>
    <w:rsid w:val="00E53C71"/>
    <w:rsid w:val="00E54452"/>
    <w:rsid w:val="00E57ABD"/>
    <w:rsid w:val="00E64BE7"/>
    <w:rsid w:val="00E664C5"/>
    <w:rsid w:val="00E671A2"/>
    <w:rsid w:val="00E76D26"/>
    <w:rsid w:val="00E77E1D"/>
    <w:rsid w:val="00E827EF"/>
    <w:rsid w:val="00E832ED"/>
    <w:rsid w:val="00EB1390"/>
    <w:rsid w:val="00EB2C71"/>
    <w:rsid w:val="00EB4340"/>
    <w:rsid w:val="00EB556D"/>
    <w:rsid w:val="00EB5A7D"/>
    <w:rsid w:val="00EC6435"/>
    <w:rsid w:val="00EC76B9"/>
    <w:rsid w:val="00ED55C0"/>
    <w:rsid w:val="00ED682B"/>
    <w:rsid w:val="00EE41D5"/>
    <w:rsid w:val="00EE5223"/>
    <w:rsid w:val="00EF6C6B"/>
    <w:rsid w:val="00F0121F"/>
    <w:rsid w:val="00F037A4"/>
    <w:rsid w:val="00F071AC"/>
    <w:rsid w:val="00F154DB"/>
    <w:rsid w:val="00F15F6E"/>
    <w:rsid w:val="00F27C8F"/>
    <w:rsid w:val="00F32323"/>
    <w:rsid w:val="00F32749"/>
    <w:rsid w:val="00F327B3"/>
    <w:rsid w:val="00F359FA"/>
    <w:rsid w:val="00F37172"/>
    <w:rsid w:val="00F4477E"/>
    <w:rsid w:val="00F45AD8"/>
    <w:rsid w:val="00F46013"/>
    <w:rsid w:val="00F478EF"/>
    <w:rsid w:val="00F65B91"/>
    <w:rsid w:val="00F6684A"/>
    <w:rsid w:val="00F6773E"/>
    <w:rsid w:val="00F67D8F"/>
    <w:rsid w:val="00F726A7"/>
    <w:rsid w:val="00F729F3"/>
    <w:rsid w:val="00F802BE"/>
    <w:rsid w:val="00F80E93"/>
    <w:rsid w:val="00F86024"/>
    <w:rsid w:val="00F8611A"/>
    <w:rsid w:val="00F87A89"/>
    <w:rsid w:val="00FA0634"/>
    <w:rsid w:val="00FA5128"/>
    <w:rsid w:val="00FA5F62"/>
    <w:rsid w:val="00FB42D4"/>
    <w:rsid w:val="00FB451B"/>
    <w:rsid w:val="00FB5906"/>
    <w:rsid w:val="00FB5C58"/>
    <w:rsid w:val="00FB762F"/>
    <w:rsid w:val="00FC0725"/>
    <w:rsid w:val="00FC0EC4"/>
    <w:rsid w:val="00FC2AED"/>
    <w:rsid w:val="00FC64E0"/>
    <w:rsid w:val="00FD4F5A"/>
    <w:rsid w:val="00FD5EA7"/>
    <w:rsid w:val="00FD69E9"/>
    <w:rsid w:val="00FD7BD2"/>
    <w:rsid w:val="00FE6DF6"/>
    <w:rsid w:val="00FF198D"/>
    <w:rsid w:val="00FF1B51"/>
    <w:rsid w:val="00FF28AA"/>
    <w:rsid w:val="00FF48BB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Default">
    <w:name w:val="Default"/>
    <w:rsid w:val="003A3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827E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i.ulanowska@stat.gov.pl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29" Type="http://schemas.openxmlformats.org/officeDocument/2006/relationships/hyperlink" Target="http://swaid.stat.gov.pl/SitePagesDBW/WarunkiZyciaLudnosci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image" Target="media/image5.png"/><Relationship Id="rId32" Type="http://schemas.openxmlformats.org/officeDocument/2006/relationships/hyperlink" Target="http://swaid.stat.gov.pl/SitePagesDBW/WarunkiZyciaLudnosci.aspx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inne-opracowania/informacje-o-sytuacji-spoleczno-gospodarczej/biuletyn-statystyczny-nr-82018,4,79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31" Type="http://schemas.openxmlformats.org/officeDocument/2006/relationships/hyperlink" Target="http://stat.gov.pl/obszary-tematyczne/inne-opracowania/informacje-o-sytuacji-spoleczno-gospodarczej/biuletyn-statystyczny-nr-82018,4,79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rzecznik@stat.gov.pl" TargetMode="External"/><Relationship Id="rId27" Type="http://schemas.openxmlformats.org/officeDocument/2006/relationships/hyperlink" Target="http://stat.gov.pl/obszary-tematyczne/koniunktura/koniunktura/koniunktura-w-przemysle-budownictwie-handlu-i-uslugach-we-wrzesniu-2018-roku,3,70.html" TargetMode="External"/><Relationship Id="rId30" Type="http://schemas.openxmlformats.org/officeDocument/2006/relationships/hyperlink" Target="http://stat.gov.pl/obszary-tematyczne/koniunktura/koniunktura/koniunktura-w-przemysle-budownictwie-handlu-i-uslugach-we-wrzesniu-2018-roku,3,70.html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3.5143675222415377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6"/>
                <c:pt idx="0">
                  <c:v>-11.7</c:v>
                </c:pt>
                <c:pt idx="1">
                  <c:v>-16.600000000000001</c:v>
                </c:pt>
                <c:pt idx="2">
                  <c:v>-16.399999999999999</c:v>
                </c:pt>
                <c:pt idx="3">
                  <c:v>-10.9</c:v>
                </c:pt>
                <c:pt idx="4">
                  <c:v>-13.6</c:v>
                </c:pt>
                <c:pt idx="5">
                  <c:v>-10.4</c:v>
                </c:pt>
                <c:pt idx="6">
                  <c:v>-10.9</c:v>
                </c:pt>
                <c:pt idx="7">
                  <c:v>-7.9</c:v>
                </c:pt>
                <c:pt idx="8">
                  <c:v>-9.9</c:v>
                </c:pt>
                <c:pt idx="9">
                  <c:v>-9.4</c:v>
                </c:pt>
                <c:pt idx="10">
                  <c:v>-3.9</c:v>
                </c:pt>
                <c:pt idx="11">
                  <c:v>-9.3000000000000007</c:v>
                </c:pt>
                <c:pt idx="12">
                  <c:v>-7</c:v>
                </c:pt>
                <c:pt idx="13">
                  <c:v>-6.2</c:v>
                </c:pt>
                <c:pt idx="14">
                  <c:v>-9.3000000000000007</c:v>
                </c:pt>
                <c:pt idx="15">
                  <c:v>-4.7</c:v>
                </c:pt>
                <c:pt idx="16">
                  <c:v>-6.7</c:v>
                </c:pt>
                <c:pt idx="17">
                  <c:v>-6.5</c:v>
                </c:pt>
                <c:pt idx="18">
                  <c:v>-5.6</c:v>
                </c:pt>
                <c:pt idx="19">
                  <c:v>-3.8</c:v>
                </c:pt>
                <c:pt idx="20">
                  <c:v>-2.4</c:v>
                </c:pt>
                <c:pt idx="21">
                  <c:v>-3.7</c:v>
                </c:pt>
                <c:pt idx="22">
                  <c:v>-2.4</c:v>
                </c:pt>
                <c:pt idx="23">
                  <c:v>-3.7</c:v>
                </c:pt>
                <c:pt idx="24">
                  <c:v>-1.2</c:v>
                </c:pt>
                <c:pt idx="25">
                  <c:v>-1.9</c:v>
                </c:pt>
                <c:pt idx="26">
                  <c:v>-2</c:v>
                </c:pt>
                <c:pt idx="27">
                  <c:v>-0.8</c:v>
                </c:pt>
                <c:pt idx="28">
                  <c:v>3.1</c:v>
                </c:pt>
                <c:pt idx="29">
                  <c:v>4.8</c:v>
                </c:pt>
                <c:pt idx="30">
                  <c:v>4</c:v>
                </c:pt>
                <c:pt idx="31">
                  <c:v>5.7</c:v>
                </c:pt>
                <c:pt idx="32">
                  <c:v>5</c:v>
                </c:pt>
                <c:pt idx="33">
                  <c:v>4.5999999999999996</c:v>
                </c:pt>
                <c:pt idx="34">
                  <c:v>5.4</c:v>
                </c:pt>
                <c:pt idx="35">
                  <c:v>2.1</c:v>
                </c:pt>
                <c:pt idx="36">
                  <c:v>6.2</c:v>
                </c:pt>
                <c:pt idx="37">
                  <c:v>6.2</c:v>
                </c:pt>
                <c:pt idx="38" formatCode="0.0_)">
                  <c:v>5.4</c:v>
                </c:pt>
                <c:pt idx="39" formatCode="0.0_)">
                  <c:v>7.8</c:v>
                </c:pt>
                <c:pt idx="40">
                  <c:v>5.9</c:v>
                </c:pt>
                <c:pt idx="41">
                  <c:v>6.1</c:v>
                </c:pt>
                <c:pt idx="42">
                  <c:v>5.2</c:v>
                </c:pt>
                <c:pt idx="43">
                  <c:v>6.2</c:v>
                </c:pt>
                <c:pt idx="44">
                  <c:v>6.9</c:v>
                </c:pt>
                <c:pt idx="45">
                  <c:v>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042352"/>
        <c:axId val="475039632"/>
      </c:barChart>
      <c:lineChart>
        <c:grouping val="standard"/>
        <c:varyColors val="0"/>
        <c:ser>
          <c:idx val="5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6"/>
                <c:pt idx="0">
                  <c:v>-11.4</c:v>
                </c:pt>
                <c:pt idx="1">
                  <c:v>-14.3</c:v>
                </c:pt>
                <c:pt idx="2">
                  <c:v>-14.2</c:v>
                </c:pt>
                <c:pt idx="3">
                  <c:v>-9</c:v>
                </c:pt>
                <c:pt idx="4">
                  <c:v>-13</c:v>
                </c:pt>
                <c:pt idx="5">
                  <c:v>-11.6</c:v>
                </c:pt>
                <c:pt idx="6">
                  <c:v>-11.8</c:v>
                </c:pt>
                <c:pt idx="7">
                  <c:v>-8.1999999999999993</c:v>
                </c:pt>
                <c:pt idx="8">
                  <c:v>-10.6</c:v>
                </c:pt>
                <c:pt idx="9">
                  <c:v>-9.1999999999999993</c:v>
                </c:pt>
                <c:pt idx="10">
                  <c:v>-6.9</c:v>
                </c:pt>
                <c:pt idx="11">
                  <c:v>-8.1</c:v>
                </c:pt>
                <c:pt idx="12">
                  <c:v>-6.2</c:v>
                </c:pt>
                <c:pt idx="13">
                  <c:v>-5</c:v>
                </c:pt>
                <c:pt idx="14">
                  <c:v>-7.5</c:v>
                </c:pt>
                <c:pt idx="15">
                  <c:v>-5.6</c:v>
                </c:pt>
                <c:pt idx="16">
                  <c:v>-5</c:v>
                </c:pt>
                <c:pt idx="17">
                  <c:v>-2.4</c:v>
                </c:pt>
                <c:pt idx="18">
                  <c:v>-3.8</c:v>
                </c:pt>
                <c:pt idx="19">
                  <c:v>-4</c:v>
                </c:pt>
                <c:pt idx="20">
                  <c:v>-1.8</c:v>
                </c:pt>
                <c:pt idx="21">
                  <c:v>-2.7</c:v>
                </c:pt>
                <c:pt idx="22">
                  <c:v>0.4</c:v>
                </c:pt>
                <c:pt idx="23">
                  <c:v>-3.1</c:v>
                </c:pt>
                <c:pt idx="24">
                  <c:v>-1.2</c:v>
                </c:pt>
                <c:pt idx="25">
                  <c:v>-0.9</c:v>
                </c:pt>
                <c:pt idx="26">
                  <c:v>-0.2</c:v>
                </c:pt>
                <c:pt idx="27">
                  <c:v>0.5</c:v>
                </c:pt>
                <c:pt idx="28">
                  <c:v>0.8</c:v>
                </c:pt>
                <c:pt idx="29">
                  <c:v>2.2999999999999998</c:v>
                </c:pt>
                <c:pt idx="30">
                  <c:v>-0.3</c:v>
                </c:pt>
                <c:pt idx="31">
                  <c:v>2</c:v>
                </c:pt>
                <c:pt idx="32">
                  <c:v>0.6</c:v>
                </c:pt>
                <c:pt idx="33">
                  <c:v>-0.3</c:v>
                </c:pt>
                <c:pt idx="34">
                  <c:v>0.2</c:v>
                </c:pt>
                <c:pt idx="35">
                  <c:v>-2.4</c:v>
                </c:pt>
                <c:pt idx="36">
                  <c:v>1.5</c:v>
                </c:pt>
                <c:pt idx="37">
                  <c:v>0.1</c:v>
                </c:pt>
                <c:pt idx="38" formatCode="0.0_)">
                  <c:v>-2.9</c:v>
                </c:pt>
                <c:pt idx="39" formatCode="0.0_)">
                  <c:v>2.4</c:v>
                </c:pt>
                <c:pt idx="40">
                  <c:v>0.7</c:v>
                </c:pt>
                <c:pt idx="41">
                  <c:v>-0.6</c:v>
                </c:pt>
                <c:pt idx="42">
                  <c:v>1</c:v>
                </c:pt>
                <c:pt idx="43">
                  <c:v>2.9</c:v>
                </c:pt>
                <c:pt idx="44">
                  <c:v>1.2</c:v>
                </c:pt>
                <c:pt idx="45">
                  <c:v>-0.2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6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 formatCode="0.0_)">
                  <c:v>4.2</c:v>
                </c:pt>
                <c:pt idx="39" formatCode="0.0_)">
                  <c:v>5.7</c:v>
                </c:pt>
                <c:pt idx="40">
                  <c:v>3.5</c:v>
                </c:pt>
                <c:pt idx="41">
                  <c:v>3.8</c:v>
                </c:pt>
                <c:pt idx="42">
                  <c:v>3.6</c:v>
                </c:pt>
                <c:pt idx="43">
                  <c:v>4</c:v>
                </c:pt>
                <c:pt idx="44">
                  <c:v>3.1</c:v>
                </c:pt>
                <c:pt idx="45">
                  <c:v>4.7</c:v>
                </c:pt>
              </c:numCache>
            </c:numRef>
          </c:val>
          <c:smooth val="0"/>
        </c:ser>
        <c:ser>
          <c:idx val="6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6"/>
                <c:pt idx="0">
                  <c:v>-23.2</c:v>
                </c:pt>
                <c:pt idx="1">
                  <c:v>-31.6</c:v>
                </c:pt>
                <c:pt idx="2">
                  <c:v>-28.8</c:v>
                </c:pt>
                <c:pt idx="3">
                  <c:v>-23.8</c:v>
                </c:pt>
                <c:pt idx="4">
                  <c:v>-24.9</c:v>
                </c:pt>
                <c:pt idx="5">
                  <c:v>-21.4</c:v>
                </c:pt>
                <c:pt idx="6">
                  <c:v>-22.2</c:v>
                </c:pt>
                <c:pt idx="7">
                  <c:v>-17.8</c:v>
                </c:pt>
                <c:pt idx="8">
                  <c:v>-18.8</c:v>
                </c:pt>
                <c:pt idx="9">
                  <c:v>-19.100000000000001</c:v>
                </c:pt>
                <c:pt idx="10">
                  <c:v>-10.4</c:v>
                </c:pt>
                <c:pt idx="11">
                  <c:v>-15.6</c:v>
                </c:pt>
                <c:pt idx="12">
                  <c:v>-14.4</c:v>
                </c:pt>
                <c:pt idx="13">
                  <c:v>-14.9</c:v>
                </c:pt>
                <c:pt idx="14">
                  <c:v>-16.7</c:v>
                </c:pt>
                <c:pt idx="15">
                  <c:v>-11.2</c:v>
                </c:pt>
                <c:pt idx="16">
                  <c:v>-15.4</c:v>
                </c:pt>
                <c:pt idx="17">
                  <c:v>-11.7</c:v>
                </c:pt>
                <c:pt idx="18">
                  <c:v>-9.6</c:v>
                </c:pt>
                <c:pt idx="19">
                  <c:v>-8.4</c:v>
                </c:pt>
                <c:pt idx="20">
                  <c:v>-5.9</c:v>
                </c:pt>
                <c:pt idx="21">
                  <c:v>-7.9</c:v>
                </c:pt>
                <c:pt idx="22">
                  <c:v>-6.9</c:v>
                </c:pt>
                <c:pt idx="23">
                  <c:v>-8.8000000000000007</c:v>
                </c:pt>
                <c:pt idx="24">
                  <c:v>-4.2</c:v>
                </c:pt>
                <c:pt idx="25">
                  <c:v>-4.8</c:v>
                </c:pt>
                <c:pt idx="26">
                  <c:v>-6.4</c:v>
                </c:pt>
                <c:pt idx="27">
                  <c:v>-3.8</c:v>
                </c:pt>
                <c:pt idx="28">
                  <c:v>0.2</c:v>
                </c:pt>
                <c:pt idx="29">
                  <c:v>3.8</c:v>
                </c:pt>
                <c:pt idx="30">
                  <c:v>4.5999999999999996</c:v>
                </c:pt>
                <c:pt idx="31">
                  <c:v>6.3</c:v>
                </c:pt>
                <c:pt idx="32">
                  <c:v>6.2</c:v>
                </c:pt>
                <c:pt idx="33">
                  <c:v>8.5</c:v>
                </c:pt>
                <c:pt idx="34">
                  <c:v>6.9</c:v>
                </c:pt>
                <c:pt idx="35">
                  <c:v>4</c:v>
                </c:pt>
                <c:pt idx="36">
                  <c:v>8.9</c:v>
                </c:pt>
                <c:pt idx="37">
                  <c:v>9</c:v>
                </c:pt>
                <c:pt idx="38" formatCode="0.0_)">
                  <c:v>9.5</c:v>
                </c:pt>
                <c:pt idx="39" formatCode="0.0_)">
                  <c:v>13.2</c:v>
                </c:pt>
                <c:pt idx="40">
                  <c:v>6.7</c:v>
                </c:pt>
                <c:pt idx="41">
                  <c:v>9.5</c:v>
                </c:pt>
                <c:pt idx="42">
                  <c:v>9.8000000000000007</c:v>
                </c:pt>
                <c:pt idx="43">
                  <c:v>8</c:v>
                </c:pt>
                <c:pt idx="44">
                  <c:v>10.8</c:v>
                </c:pt>
                <c:pt idx="45">
                  <c:v>7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6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 formatCode="0.0_)">
                  <c:v>3.2</c:v>
                </c:pt>
                <c:pt idx="39" formatCode="0.0_)">
                  <c:v>6</c:v>
                </c:pt>
                <c:pt idx="40">
                  <c:v>3.8</c:v>
                </c:pt>
                <c:pt idx="41">
                  <c:v>3.8</c:v>
                </c:pt>
                <c:pt idx="42">
                  <c:v>1.2</c:v>
                </c:pt>
                <c:pt idx="43">
                  <c:v>1.9</c:v>
                </c:pt>
                <c:pt idx="44">
                  <c:v>4.4000000000000004</c:v>
                </c:pt>
                <c:pt idx="45">
                  <c:v>1.5</c:v>
                </c:pt>
              </c:numCache>
            </c:numRef>
          </c:val>
          <c:smooth val="0"/>
        </c:ser>
        <c:ser>
          <c:idx val="4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Arkusz1!$H$2:$H$85</c:f>
              <c:numCache>
                <c:formatCode>0.0</c:formatCode>
                <c:ptCount val="46"/>
                <c:pt idx="0">
                  <c:v>-8.3000000000000007</c:v>
                </c:pt>
                <c:pt idx="1">
                  <c:v>-11.6</c:v>
                </c:pt>
                <c:pt idx="2">
                  <c:v>-14.8</c:v>
                </c:pt>
                <c:pt idx="3">
                  <c:v>-7.4</c:v>
                </c:pt>
                <c:pt idx="4">
                  <c:v>-10.9</c:v>
                </c:pt>
                <c:pt idx="5">
                  <c:v>-11.5</c:v>
                </c:pt>
                <c:pt idx="6">
                  <c:v>-9.1</c:v>
                </c:pt>
                <c:pt idx="7">
                  <c:v>-8.1999999999999993</c:v>
                </c:pt>
                <c:pt idx="8">
                  <c:v>-3.9</c:v>
                </c:pt>
                <c:pt idx="9">
                  <c:v>-3.3</c:v>
                </c:pt>
                <c:pt idx="10">
                  <c:v>-4</c:v>
                </c:pt>
                <c:pt idx="11">
                  <c:v>-5.4</c:v>
                </c:pt>
                <c:pt idx="12">
                  <c:v>-5.7</c:v>
                </c:pt>
                <c:pt idx="13">
                  <c:v>-5.9</c:v>
                </c:pt>
                <c:pt idx="14">
                  <c:v>-8.6</c:v>
                </c:pt>
                <c:pt idx="15">
                  <c:v>-4.5</c:v>
                </c:pt>
                <c:pt idx="16">
                  <c:v>-2.6</c:v>
                </c:pt>
                <c:pt idx="17">
                  <c:v>-5.6</c:v>
                </c:pt>
                <c:pt idx="18">
                  <c:v>-5.0999999999999996</c:v>
                </c:pt>
                <c:pt idx="19">
                  <c:v>-0.3</c:v>
                </c:pt>
                <c:pt idx="20">
                  <c:v>2.2999999999999998</c:v>
                </c:pt>
                <c:pt idx="21">
                  <c:v>2.7</c:v>
                </c:pt>
                <c:pt idx="22">
                  <c:v>1.3</c:v>
                </c:pt>
                <c:pt idx="23">
                  <c:v>1.5</c:v>
                </c:pt>
                <c:pt idx="24">
                  <c:v>6.6</c:v>
                </c:pt>
                <c:pt idx="25">
                  <c:v>3.4</c:v>
                </c:pt>
                <c:pt idx="26">
                  <c:v>3.3</c:v>
                </c:pt>
                <c:pt idx="27">
                  <c:v>4.7</c:v>
                </c:pt>
                <c:pt idx="28">
                  <c:v>12.9</c:v>
                </c:pt>
                <c:pt idx="29">
                  <c:v>13.2</c:v>
                </c:pt>
                <c:pt idx="30">
                  <c:v>10.3</c:v>
                </c:pt>
                <c:pt idx="31">
                  <c:v>13</c:v>
                </c:pt>
                <c:pt idx="32">
                  <c:v>13.2</c:v>
                </c:pt>
                <c:pt idx="33">
                  <c:v>10</c:v>
                </c:pt>
                <c:pt idx="34">
                  <c:v>11</c:v>
                </c:pt>
                <c:pt idx="35">
                  <c:v>8.4</c:v>
                </c:pt>
                <c:pt idx="36">
                  <c:v>11.4</c:v>
                </c:pt>
                <c:pt idx="37">
                  <c:v>13</c:v>
                </c:pt>
                <c:pt idx="38">
                  <c:v>12.7</c:v>
                </c:pt>
                <c:pt idx="39">
                  <c:v>11.9</c:v>
                </c:pt>
                <c:pt idx="40">
                  <c:v>14.9</c:v>
                </c:pt>
                <c:pt idx="41">
                  <c:v>14.2</c:v>
                </c:pt>
                <c:pt idx="42">
                  <c:v>10.3</c:v>
                </c:pt>
                <c:pt idx="43">
                  <c:v>14.2</c:v>
                </c:pt>
                <c:pt idx="44">
                  <c:v>15.2</c:v>
                </c:pt>
                <c:pt idx="45">
                  <c:v>17.5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42352"/>
        <c:axId val="475039632"/>
      </c:lineChart>
      <c:catAx>
        <c:axId val="475042352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39632"/>
        <c:crossesAt val="0"/>
        <c:auto val="1"/>
        <c:lblAlgn val="ctr"/>
        <c:lblOffset val="100"/>
        <c:tickLblSkip val="1"/>
        <c:noMultiLvlLbl val="0"/>
      </c:catAx>
      <c:valAx>
        <c:axId val="47503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3178335136222992"/>
          <c:w val="0.99511785645611706"/>
          <c:h val="0.16821658656304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0.12403682659834088"/>
          <c:w val="0.91936996161087892"/>
          <c:h val="0.5933127075653318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Arkusz1!$C$1</c:f>
              <c:strCache>
                <c:ptCount val="1"/>
                <c:pt idx="0">
                  <c:v>BWUK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-13.8</c:v>
                </c:pt>
                <c:pt idx="1">
                  <c:v>-20.8</c:v>
                </c:pt>
                <c:pt idx="2">
                  <c:v>-30</c:v>
                </c:pt>
                <c:pt idx="3">
                  <c:v>-33.700000000000003</c:v>
                </c:pt>
                <c:pt idx="4">
                  <c:v>-35.5</c:v>
                </c:pt>
                <c:pt idx="5">
                  <c:v>-37.5</c:v>
                </c:pt>
                <c:pt idx="6">
                  <c:v>-35.799999999999997</c:v>
                </c:pt>
                <c:pt idx="7">
                  <c:v>-31.8</c:v>
                </c:pt>
                <c:pt idx="8" formatCode="0.0">
                  <c:v>-22.1</c:v>
                </c:pt>
                <c:pt idx="9" formatCode="0.0">
                  <c:v>-14.9</c:v>
                </c:pt>
                <c:pt idx="10" formatCode="0.0">
                  <c:v>-7.1</c:v>
                </c:pt>
                <c:pt idx="11" formatCode="0.0">
                  <c:v>-8</c:v>
                </c:pt>
                <c:pt idx="12" formatCode="0.0">
                  <c:v>-22.3</c:v>
                </c:pt>
                <c:pt idx="13" formatCode="0.0">
                  <c:v>-16.899999999999999</c:v>
                </c:pt>
                <c:pt idx="14" formatCode="0.0">
                  <c:v>-25</c:v>
                </c:pt>
                <c:pt idx="15" formatCode="0.0">
                  <c:v>-29.5</c:v>
                </c:pt>
                <c:pt idx="16" formatCode="0.0">
                  <c:v>-26.7</c:v>
                </c:pt>
                <c:pt idx="17" formatCode="0.0">
                  <c:v>-17</c:v>
                </c:pt>
                <c:pt idx="18" formatCode="0.0">
                  <c:v>-10.9</c:v>
                </c:pt>
                <c:pt idx="19" formatCode="0.0">
                  <c:v>-5.2</c:v>
                </c:pt>
                <c:pt idx="20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042896"/>
        <c:axId val="475040176"/>
      </c:barChart>
      <c:lineChart>
        <c:grouping val="standard"/>
        <c:varyColors val="0"/>
        <c:ser>
          <c:idx val="4"/>
          <c:order val="1"/>
          <c:tx>
            <c:strRef>
              <c:f>Arkusz1!$D$1</c:f>
              <c:strCache>
                <c:ptCount val="1"/>
                <c:pt idx="0">
                  <c:v>Zmiana syt. gosp. dom. w ostatnich 12 miesiącach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-21.6</c:v>
                </c:pt>
                <c:pt idx="1">
                  <c:v>-28.6</c:v>
                </c:pt>
                <c:pt idx="2">
                  <c:v>-36.299999999999997</c:v>
                </c:pt>
                <c:pt idx="3">
                  <c:v>-40.6</c:v>
                </c:pt>
                <c:pt idx="4">
                  <c:v>-39.700000000000003</c:v>
                </c:pt>
                <c:pt idx="5">
                  <c:v>-39.6</c:v>
                </c:pt>
                <c:pt idx="6">
                  <c:v>-38.1</c:v>
                </c:pt>
                <c:pt idx="7">
                  <c:v>-33.1</c:v>
                </c:pt>
                <c:pt idx="8" formatCode="0.0">
                  <c:v>-27</c:v>
                </c:pt>
                <c:pt idx="9" formatCode="0.0">
                  <c:v>-18.2</c:v>
                </c:pt>
                <c:pt idx="10" formatCode="0.0">
                  <c:v>-10.9</c:v>
                </c:pt>
                <c:pt idx="11" formatCode="0.0">
                  <c:v>-10.6</c:v>
                </c:pt>
                <c:pt idx="12" formatCode="0.0">
                  <c:v>-18.100000000000001</c:v>
                </c:pt>
                <c:pt idx="13" formatCode="0.0">
                  <c:v>-17.2</c:v>
                </c:pt>
                <c:pt idx="14" formatCode="0.0">
                  <c:v>-22.4</c:v>
                </c:pt>
                <c:pt idx="15" formatCode="0.0">
                  <c:v>-25.4</c:v>
                </c:pt>
                <c:pt idx="16" formatCode="0.0">
                  <c:v>-21.9</c:v>
                </c:pt>
                <c:pt idx="17" formatCode="0.0">
                  <c:v>-15.7</c:v>
                </c:pt>
                <c:pt idx="18" formatCode="0.0">
                  <c:v>-10.7</c:v>
                </c:pt>
                <c:pt idx="19" formatCode="0.0">
                  <c:v>-3.9</c:v>
                </c:pt>
                <c:pt idx="20" formatCode="0.0">
                  <c:v>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Arkusz1!$E$1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3"/>
          <c:tx>
            <c:strRef>
              <c:f>Arkusz1!$F$1</c:f>
              <c:strCache>
                <c:ptCount val="1"/>
                <c:pt idx="0">
                  <c:v>Zmiana syt. kraju w ostatnich 12 miesiącach</c:v>
                </c:pt>
              </c:strCache>
            </c:strRef>
          </c:tx>
          <c:spPr>
            <a:ln w="28575" cap="rnd">
              <a:solidFill>
                <a:srgbClr val="001D77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1D77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-12.8</c:v>
                </c:pt>
                <c:pt idx="1">
                  <c:v>-22.3</c:v>
                </c:pt>
                <c:pt idx="2">
                  <c:v>-37.9</c:v>
                </c:pt>
                <c:pt idx="3">
                  <c:v>-45.8</c:v>
                </c:pt>
                <c:pt idx="4">
                  <c:v>-51.8</c:v>
                </c:pt>
                <c:pt idx="5">
                  <c:v>-52.9</c:v>
                </c:pt>
                <c:pt idx="6">
                  <c:v>-51.7</c:v>
                </c:pt>
                <c:pt idx="7">
                  <c:v>-49.5</c:v>
                </c:pt>
                <c:pt idx="8" formatCode="0.0">
                  <c:v>-38.5</c:v>
                </c:pt>
                <c:pt idx="9" formatCode="0.0">
                  <c:v>-26.2</c:v>
                </c:pt>
                <c:pt idx="10" formatCode="0.0">
                  <c:v>-17.7</c:v>
                </c:pt>
                <c:pt idx="11" formatCode="0.0">
                  <c:v>-16.600000000000001</c:v>
                </c:pt>
                <c:pt idx="12" formatCode="0.0">
                  <c:v>-40</c:v>
                </c:pt>
                <c:pt idx="13" formatCode="0.0">
                  <c:v>-31.2</c:v>
                </c:pt>
                <c:pt idx="14" formatCode="0.0">
                  <c:v>-41.5</c:v>
                </c:pt>
                <c:pt idx="15" formatCode="0.0">
                  <c:v>-46.5</c:v>
                </c:pt>
                <c:pt idx="16" formatCode="0.0">
                  <c:v>-45.2</c:v>
                </c:pt>
                <c:pt idx="17" formatCode="0.0">
                  <c:v>-29.9</c:v>
                </c:pt>
                <c:pt idx="18" formatCode="0.0">
                  <c:v>-21.5</c:v>
                </c:pt>
                <c:pt idx="19" formatCode="0.0">
                  <c:v>-11</c:v>
                </c:pt>
                <c:pt idx="20" formatCode="0.0">
                  <c:v>1.8</c:v>
                </c:pt>
              </c:numCache>
            </c:numRef>
          </c:val>
          <c:smooth val="0"/>
        </c:ser>
        <c:ser>
          <c:idx val="1"/>
          <c:order val="4"/>
          <c:tx>
            <c:strRef>
              <c:f>Arkusz1!$G$1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2"/>
          <c:order val="5"/>
          <c:tx>
            <c:strRef>
              <c:f>Arkusz1!$H$1</c:f>
              <c:strCache>
                <c:ptCount val="1"/>
                <c:pt idx="0">
                  <c:v>Obecne dokonyw. ważnych zakupów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Arkusz1!$H$2:$H$30</c:f>
              <c:numCache>
                <c:formatCode>0.0_)</c:formatCode>
                <c:ptCount val="21"/>
                <c:pt idx="0">
                  <c:v>-13.4</c:v>
                </c:pt>
                <c:pt idx="1">
                  <c:v>-16.600000000000001</c:v>
                </c:pt>
                <c:pt idx="2">
                  <c:v>-21</c:v>
                </c:pt>
                <c:pt idx="3">
                  <c:v>-25.8</c:v>
                </c:pt>
                <c:pt idx="4">
                  <c:v>-27.8</c:v>
                </c:pt>
                <c:pt idx="5">
                  <c:v>-32.1</c:v>
                </c:pt>
                <c:pt idx="6">
                  <c:v>-29.4</c:v>
                </c:pt>
                <c:pt idx="7">
                  <c:v>-23.3</c:v>
                </c:pt>
                <c:pt idx="8" formatCode="0.0">
                  <c:v>-16.399999999999999</c:v>
                </c:pt>
                <c:pt idx="9" formatCode="0.0">
                  <c:v>-11.1</c:v>
                </c:pt>
                <c:pt idx="10" formatCode="0.0">
                  <c:v>1.3</c:v>
                </c:pt>
                <c:pt idx="11" formatCode="0.0">
                  <c:v>1.2</c:v>
                </c:pt>
                <c:pt idx="12" formatCode="0.0">
                  <c:v>-16.100000000000001</c:v>
                </c:pt>
                <c:pt idx="13" formatCode="0.0">
                  <c:v>-9.1999999999999993</c:v>
                </c:pt>
                <c:pt idx="14" formatCode="0.0">
                  <c:v>-15.9</c:v>
                </c:pt>
                <c:pt idx="15" formatCode="0.0">
                  <c:v>-19.3</c:v>
                </c:pt>
                <c:pt idx="16" formatCode="0.0">
                  <c:v>-21.6</c:v>
                </c:pt>
                <c:pt idx="17" formatCode="0.0">
                  <c:v>-13.7</c:v>
                </c:pt>
                <c:pt idx="18" formatCode="0.0">
                  <c:v>-8.1999999999999993</c:v>
                </c:pt>
                <c:pt idx="19" formatCode="0.0">
                  <c:v>-2.5</c:v>
                </c:pt>
                <c:pt idx="20" formatCode="0.0">
                  <c:v>9.1999999999999993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42896"/>
        <c:axId val="475040176"/>
      </c:lineChart>
      <c:catAx>
        <c:axId val="475042896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0176"/>
        <c:crossesAt val="0"/>
        <c:auto val="0"/>
        <c:lblAlgn val="ctr"/>
        <c:lblOffset val="100"/>
        <c:tickLblSkip val="1"/>
        <c:noMultiLvlLbl val="0"/>
      </c:catAx>
      <c:valAx>
        <c:axId val="47504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93317774660837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109060047300714E-2"/>
          <c:y val="2.85158100059365E-2"/>
          <c:w val="0.92572481061659784"/>
          <c:h val="0.6952207491635430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Arkusz1!$C$2:$C$85</c:f>
              <c:numCache>
                <c:formatCode>0.0</c:formatCode>
                <c:ptCount val="46"/>
                <c:pt idx="0">
                  <c:v>-16.5</c:v>
                </c:pt>
                <c:pt idx="1">
                  <c:v>-21.7</c:v>
                </c:pt>
                <c:pt idx="2">
                  <c:v>-19.5</c:v>
                </c:pt>
                <c:pt idx="3">
                  <c:v>-14.2</c:v>
                </c:pt>
                <c:pt idx="4">
                  <c:v>-17.2</c:v>
                </c:pt>
                <c:pt idx="5">
                  <c:v>-11.7</c:v>
                </c:pt>
                <c:pt idx="6">
                  <c:v>-14.3</c:v>
                </c:pt>
                <c:pt idx="7">
                  <c:v>-13.2</c:v>
                </c:pt>
                <c:pt idx="8">
                  <c:v>-15.3</c:v>
                </c:pt>
                <c:pt idx="9">
                  <c:v>-15</c:v>
                </c:pt>
                <c:pt idx="10">
                  <c:v>-8.3000000000000007</c:v>
                </c:pt>
                <c:pt idx="11">
                  <c:v>-13.7</c:v>
                </c:pt>
                <c:pt idx="12">
                  <c:v>-10.9</c:v>
                </c:pt>
                <c:pt idx="13">
                  <c:v>-8.1999999999999993</c:v>
                </c:pt>
                <c:pt idx="14">
                  <c:v>-11.5</c:v>
                </c:pt>
                <c:pt idx="15">
                  <c:v>-7.2</c:v>
                </c:pt>
                <c:pt idx="16">
                  <c:v>-7.7</c:v>
                </c:pt>
                <c:pt idx="17">
                  <c:v>-9.6999999999999993</c:v>
                </c:pt>
                <c:pt idx="18">
                  <c:v>-10.6</c:v>
                </c:pt>
                <c:pt idx="19">
                  <c:v>-7.3</c:v>
                </c:pt>
                <c:pt idx="20">
                  <c:v>-7.5</c:v>
                </c:pt>
                <c:pt idx="21">
                  <c:v>-10.3</c:v>
                </c:pt>
                <c:pt idx="22">
                  <c:v>-5.4</c:v>
                </c:pt>
                <c:pt idx="23">
                  <c:v>-6.7</c:v>
                </c:pt>
                <c:pt idx="24">
                  <c:v>-4.4000000000000004</c:v>
                </c:pt>
                <c:pt idx="25">
                  <c:v>-3.6</c:v>
                </c:pt>
                <c:pt idx="26">
                  <c:v>-4.2</c:v>
                </c:pt>
                <c:pt idx="27">
                  <c:v>-3.1</c:v>
                </c:pt>
                <c:pt idx="28">
                  <c:v>0.6</c:v>
                </c:pt>
                <c:pt idx="29">
                  <c:v>1.8</c:v>
                </c:pt>
                <c:pt idx="30">
                  <c:v>1.3</c:v>
                </c:pt>
                <c:pt idx="31">
                  <c:v>2.7</c:v>
                </c:pt>
                <c:pt idx="32">
                  <c:v>0.8</c:v>
                </c:pt>
                <c:pt idx="33">
                  <c:v>1.6</c:v>
                </c:pt>
                <c:pt idx="34">
                  <c:v>3.4</c:v>
                </c:pt>
                <c:pt idx="35">
                  <c:v>-0.2</c:v>
                </c:pt>
                <c:pt idx="36">
                  <c:v>4.3</c:v>
                </c:pt>
                <c:pt idx="37">
                  <c:v>4.2</c:v>
                </c:pt>
                <c:pt idx="38">
                  <c:v>2.9</c:v>
                </c:pt>
                <c:pt idx="39">
                  <c:v>5.7</c:v>
                </c:pt>
                <c:pt idx="40">
                  <c:v>2.8</c:v>
                </c:pt>
                <c:pt idx="41">
                  <c:v>4</c:v>
                </c:pt>
                <c:pt idx="42">
                  <c:v>2.4</c:v>
                </c:pt>
                <c:pt idx="43">
                  <c:v>2.4</c:v>
                </c:pt>
                <c:pt idx="44">
                  <c:v>3.1</c:v>
                </c:pt>
                <c:pt idx="45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040720"/>
        <c:axId val="475041264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Arkusz1!$D$2:$D$85</c:f>
              <c:numCache>
                <c:formatCode>0.0</c:formatCode>
                <c:ptCount val="46"/>
                <c:pt idx="0">
                  <c:v>-2.6</c:v>
                </c:pt>
                <c:pt idx="1">
                  <c:v>-5.9</c:v>
                </c:pt>
                <c:pt idx="2">
                  <c:v>-5.8</c:v>
                </c:pt>
                <c:pt idx="3">
                  <c:v>-1.8</c:v>
                </c:pt>
                <c:pt idx="4">
                  <c:v>-4.8</c:v>
                </c:pt>
                <c:pt idx="5">
                  <c:v>-2.4</c:v>
                </c:pt>
                <c:pt idx="6">
                  <c:v>-1.9</c:v>
                </c:pt>
                <c:pt idx="7">
                  <c:v>-0.6</c:v>
                </c:pt>
                <c:pt idx="8">
                  <c:v>-3.9</c:v>
                </c:pt>
                <c:pt idx="9">
                  <c:v>-3.9</c:v>
                </c:pt>
                <c:pt idx="10">
                  <c:v>2.6</c:v>
                </c:pt>
                <c:pt idx="11">
                  <c:v>-2.6</c:v>
                </c:pt>
                <c:pt idx="12">
                  <c:v>0.6</c:v>
                </c:pt>
                <c:pt idx="13">
                  <c:v>2.2999999999999998</c:v>
                </c:pt>
                <c:pt idx="14">
                  <c:v>-0.5</c:v>
                </c:pt>
                <c:pt idx="15">
                  <c:v>3.4</c:v>
                </c:pt>
                <c:pt idx="16">
                  <c:v>0.4</c:v>
                </c:pt>
                <c:pt idx="17">
                  <c:v>0.1</c:v>
                </c:pt>
                <c:pt idx="18">
                  <c:v>-0.2</c:v>
                </c:pt>
                <c:pt idx="19">
                  <c:v>0.8</c:v>
                </c:pt>
                <c:pt idx="20">
                  <c:v>1.6</c:v>
                </c:pt>
                <c:pt idx="21">
                  <c:v>-0.6</c:v>
                </c:pt>
                <c:pt idx="22">
                  <c:v>1.8</c:v>
                </c:pt>
                <c:pt idx="23">
                  <c:v>1.6</c:v>
                </c:pt>
                <c:pt idx="24">
                  <c:v>2.9</c:v>
                </c:pt>
                <c:pt idx="25">
                  <c:v>2.2000000000000002</c:v>
                </c:pt>
                <c:pt idx="26">
                  <c:v>1.6</c:v>
                </c:pt>
                <c:pt idx="27">
                  <c:v>2</c:v>
                </c:pt>
                <c:pt idx="28">
                  <c:v>2.8</c:v>
                </c:pt>
                <c:pt idx="29">
                  <c:v>2.9</c:v>
                </c:pt>
                <c:pt idx="30">
                  <c:v>3.6</c:v>
                </c:pt>
                <c:pt idx="31">
                  <c:v>4.3</c:v>
                </c:pt>
                <c:pt idx="32">
                  <c:v>4</c:v>
                </c:pt>
                <c:pt idx="33">
                  <c:v>1.6</c:v>
                </c:pt>
                <c:pt idx="34">
                  <c:v>5</c:v>
                </c:pt>
                <c:pt idx="35">
                  <c:v>0.2</c:v>
                </c:pt>
                <c:pt idx="36">
                  <c:v>5.2</c:v>
                </c:pt>
                <c:pt idx="37">
                  <c:v>2.8</c:v>
                </c:pt>
                <c:pt idx="38">
                  <c:v>4.2</c:v>
                </c:pt>
                <c:pt idx="39">
                  <c:v>5.7</c:v>
                </c:pt>
                <c:pt idx="40">
                  <c:v>3.5</c:v>
                </c:pt>
                <c:pt idx="41">
                  <c:v>3.8</c:v>
                </c:pt>
                <c:pt idx="42">
                  <c:v>3.6</c:v>
                </c:pt>
                <c:pt idx="43">
                  <c:v>4</c:v>
                </c:pt>
                <c:pt idx="44">
                  <c:v>3.1</c:v>
                </c:pt>
                <c:pt idx="45">
                  <c:v>4.7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Arkusz1!$E$2:$E$85</c:f>
              <c:numCache>
                <c:formatCode>0.0</c:formatCode>
                <c:ptCount val="46"/>
                <c:pt idx="0">
                  <c:v>-13.2</c:v>
                </c:pt>
                <c:pt idx="1">
                  <c:v>-19.5</c:v>
                </c:pt>
                <c:pt idx="2">
                  <c:v>-18.399999999999999</c:v>
                </c:pt>
                <c:pt idx="3">
                  <c:v>-12.3</c:v>
                </c:pt>
                <c:pt idx="4">
                  <c:v>-14.5</c:v>
                </c:pt>
                <c:pt idx="5">
                  <c:v>-5.0999999999999996</c:v>
                </c:pt>
                <c:pt idx="6">
                  <c:v>-9.6</c:v>
                </c:pt>
                <c:pt idx="7">
                  <c:v>-4.8</c:v>
                </c:pt>
                <c:pt idx="8">
                  <c:v>-12.5</c:v>
                </c:pt>
                <c:pt idx="9">
                  <c:v>-11.4</c:v>
                </c:pt>
                <c:pt idx="10">
                  <c:v>-0.7</c:v>
                </c:pt>
                <c:pt idx="11">
                  <c:v>-14.6</c:v>
                </c:pt>
                <c:pt idx="12">
                  <c:v>-9.4</c:v>
                </c:pt>
                <c:pt idx="13">
                  <c:v>-7.7</c:v>
                </c:pt>
                <c:pt idx="14">
                  <c:v>-13.4</c:v>
                </c:pt>
                <c:pt idx="15">
                  <c:v>-5.8</c:v>
                </c:pt>
                <c:pt idx="16">
                  <c:v>-11</c:v>
                </c:pt>
                <c:pt idx="17">
                  <c:v>-13.2</c:v>
                </c:pt>
                <c:pt idx="18">
                  <c:v>-9.3000000000000007</c:v>
                </c:pt>
                <c:pt idx="19">
                  <c:v>-7.2</c:v>
                </c:pt>
                <c:pt idx="20">
                  <c:v>-8.1</c:v>
                </c:pt>
                <c:pt idx="21">
                  <c:v>-9.9</c:v>
                </c:pt>
                <c:pt idx="22">
                  <c:v>-8.5</c:v>
                </c:pt>
                <c:pt idx="23">
                  <c:v>-9.6</c:v>
                </c:pt>
                <c:pt idx="24">
                  <c:v>-10.1</c:v>
                </c:pt>
                <c:pt idx="25">
                  <c:v>-9.1999999999999993</c:v>
                </c:pt>
                <c:pt idx="26">
                  <c:v>-8.3000000000000007</c:v>
                </c:pt>
                <c:pt idx="27">
                  <c:v>-7.2</c:v>
                </c:pt>
                <c:pt idx="28">
                  <c:v>-1.4</c:v>
                </c:pt>
                <c:pt idx="29">
                  <c:v>1.8</c:v>
                </c:pt>
                <c:pt idx="30">
                  <c:v>1.9</c:v>
                </c:pt>
                <c:pt idx="31">
                  <c:v>2.7</c:v>
                </c:pt>
                <c:pt idx="32">
                  <c:v>0.8</c:v>
                </c:pt>
                <c:pt idx="33">
                  <c:v>3.4</c:v>
                </c:pt>
                <c:pt idx="34">
                  <c:v>3.8</c:v>
                </c:pt>
                <c:pt idx="35">
                  <c:v>0.3</c:v>
                </c:pt>
                <c:pt idx="36">
                  <c:v>4</c:v>
                </c:pt>
                <c:pt idx="37">
                  <c:v>6.3</c:v>
                </c:pt>
                <c:pt idx="38">
                  <c:v>3.2</c:v>
                </c:pt>
                <c:pt idx="39">
                  <c:v>6</c:v>
                </c:pt>
                <c:pt idx="40">
                  <c:v>3.8</c:v>
                </c:pt>
                <c:pt idx="41">
                  <c:v>3.8</c:v>
                </c:pt>
                <c:pt idx="42">
                  <c:v>1.2</c:v>
                </c:pt>
                <c:pt idx="43">
                  <c:v>1.9</c:v>
                </c:pt>
                <c:pt idx="44">
                  <c:v>4.4000000000000004</c:v>
                </c:pt>
                <c:pt idx="45">
                  <c:v>1.5</c:v>
                </c:pt>
              </c:numCache>
            </c:numRef>
          </c:val>
          <c:smooth val="0"/>
        </c:ser>
        <c:ser>
          <c:idx val="2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Arkusz1!$F$2:$F$85</c:f>
              <c:numCache>
                <c:formatCode>0.0</c:formatCode>
                <c:ptCount val="46"/>
                <c:pt idx="0">
                  <c:v>-27.2</c:v>
                </c:pt>
                <c:pt idx="1">
                  <c:v>-31</c:v>
                </c:pt>
                <c:pt idx="2">
                  <c:v>-26.5</c:v>
                </c:pt>
                <c:pt idx="3">
                  <c:v>-16.8</c:v>
                </c:pt>
                <c:pt idx="4">
                  <c:v>-20.8</c:v>
                </c:pt>
                <c:pt idx="5">
                  <c:v>-11.4</c:v>
                </c:pt>
                <c:pt idx="6">
                  <c:v>-16.2</c:v>
                </c:pt>
                <c:pt idx="7">
                  <c:v>-20.100000000000001</c:v>
                </c:pt>
                <c:pt idx="8">
                  <c:v>-20.3</c:v>
                </c:pt>
                <c:pt idx="9">
                  <c:v>-20.100000000000001</c:v>
                </c:pt>
                <c:pt idx="10">
                  <c:v>-10</c:v>
                </c:pt>
                <c:pt idx="11">
                  <c:v>-16</c:v>
                </c:pt>
                <c:pt idx="12">
                  <c:v>-13.9</c:v>
                </c:pt>
                <c:pt idx="13">
                  <c:v>-9.6</c:v>
                </c:pt>
                <c:pt idx="14">
                  <c:v>-9.1</c:v>
                </c:pt>
                <c:pt idx="15">
                  <c:v>-7.7</c:v>
                </c:pt>
                <c:pt idx="16">
                  <c:v>-3.9</c:v>
                </c:pt>
                <c:pt idx="17">
                  <c:v>-5.3</c:v>
                </c:pt>
                <c:pt idx="18">
                  <c:v>-13.5</c:v>
                </c:pt>
                <c:pt idx="19">
                  <c:v>-7.1</c:v>
                </c:pt>
                <c:pt idx="20">
                  <c:v>-6.6</c:v>
                </c:pt>
                <c:pt idx="21">
                  <c:v>-11.7</c:v>
                </c:pt>
                <c:pt idx="22">
                  <c:v>-1.1000000000000001</c:v>
                </c:pt>
                <c:pt idx="23">
                  <c:v>-4.0999999999999996</c:v>
                </c:pt>
                <c:pt idx="24">
                  <c:v>-0.1</c:v>
                </c:pt>
                <c:pt idx="25">
                  <c:v>4.4000000000000004</c:v>
                </c:pt>
                <c:pt idx="26">
                  <c:v>4.9000000000000004</c:v>
                </c:pt>
                <c:pt idx="27">
                  <c:v>5.9</c:v>
                </c:pt>
                <c:pt idx="28">
                  <c:v>11</c:v>
                </c:pt>
                <c:pt idx="29">
                  <c:v>11.7</c:v>
                </c:pt>
                <c:pt idx="30">
                  <c:v>10.1</c:v>
                </c:pt>
                <c:pt idx="31">
                  <c:v>11</c:v>
                </c:pt>
                <c:pt idx="32">
                  <c:v>10.199999999999999</c:v>
                </c:pt>
                <c:pt idx="33">
                  <c:v>9.1999999999999993</c:v>
                </c:pt>
                <c:pt idx="34">
                  <c:v>13.5</c:v>
                </c:pt>
                <c:pt idx="35">
                  <c:v>10.8</c:v>
                </c:pt>
                <c:pt idx="36">
                  <c:v>13.6</c:v>
                </c:pt>
                <c:pt idx="37">
                  <c:v>14.1</c:v>
                </c:pt>
                <c:pt idx="38">
                  <c:v>13.4</c:v>
                </c:pt>
                <c:pt idx="39">
                  <c:v>18</c:v>
                </c:pt>
                <c:pt idx="40">
                  <c:v>14.2</c:v>
                </c:pt>
                <c:pt idx="41">
                  <c:v>13.7</c:v>
                </c:pt>
                <c:pt idx="42">
                  <c:v>14.1</c:v>
                </c:pt>
                <c:pt idx="43">
                  <c:v>12.3</c:v>
                </c:pt>
                <c:pt idx="44">
                  <c:v>11.9</c:v>
                </c:pt>
                <c:pt idx="45">
                  <c:v>8.3000000000000007</c:v>
                </c:pt>
              </c:numCache>
            </c:numRef>
          </c:val>
          <c:smooth val="0"/>
        </c:ser>
        <c:ser>
          <c:idx val="5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multiLvlStrRef>
              <c:f>Arkusz1!$A$2:$B$85</c:f>
              <c:multiLvlStrCache>
                <c:ptCount val="46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 </c:v>
                  </c:pt>
                </c:lvl>
              </c:multiLvlStrCache>
            </c:multiLvlStrRef>
          </c:cat>
          <c:val>
            <c:numRef>
              <c:f>Arkusz1!$G$2:$G$85</c:f>
              <c:numCache>
                <c:formatCode>0.0</c:formatCode>
                <c:ptCount val="46"/>
                <c:pt idx="0">
                  <c:v>-22.8</c:v>
                </c:pt>
                <c:pt idx="1">
                  <c:v>-30.2</c:v>
                </c:pt>
                <c:pt idx="2">
                  <c:v>-27.3</c:v>
                </c:pt>
                <c:pt idx="3">
                  <c:v>-25.9</c:v>
                </c:pt>
                <c:pt idx="4">
                  <c:v>-28.7</c:v>
                </c:pt>
                <c:pt idx="5">
                  <c:v>-27.9</c:v>
                </c:pt>
                <c:pt idx="6">
                  <c:v>-29.6</c:v>
                </c:pt>
                <c:pt idx="7">
                  <c:v>-27.4</c:v>
                </c:pt>
                <c:pt idx="8">
                  <c:v>-24.3</c:v>
                </c:pt>
                <c:pt idx="9">
                  <c:v>-24.7</c:v>
                </c:pt>
                <c:pt idx="10">
                  <c:v>-25</c:v>
                </c:pt>
                <c:pt idx="11">
                  <c:v>-21.6</c:v>
                </c:pt>
                <c:pt idx="12">
                  <c:v>-20.8</c:v>
                </c:pt>
                <c:pt idx="13">
                  <c:v>-17.7</c:v>
                </c:pt>
                <c:pt idx="14">
                  <c:v>-22.9</c:v>
                </c:pt>
                <c:pt idx="15">
                  <c:v>-18.5</c:v>
                </c:pt>
                <c:pt idx="16">
                  <c:v>-16.399999999999999</c:v>
                </c:pt>
                <c:pt idx="17">
                  <c:v>-20.2</c:v>
                </c:pt>
                <c:pt idx="18">
                  <c:v>-19.2</c:v>
                </c:pt>
                <c:pt idx="19">
                  <c:v>-15.6</c:v>
                </c:pt>
                <c:pt idx="20">
                  <c:v>-16.8</c:v>
                </c:pt>
                <c:pt idx="21">
                  <c:v>-18.8</c:v>
                </c:pt>
                <c:pt idx="22">
                  <c:v>-13.8</c:v>
                </c:pt>
                <c:pt idx="23">
                  <c:v>-14.6</c:v>
                </c:pt>
                <c:pt idx="24">
                  <c:v>-10.1</c:v>
                </c:pt>
                <c:pt idx="25">
                  <c:v>-11.8</c:v>
                </c:pt>
                <c:pt idx="26">
                  <c:v>-15</c:v>
                </c:pt>
                <c:pt idx="27">
                  <c:v>-12.9</c:v>
                </c:pt>
                <c:pt idx="28">
                  <c:v>-10</c:v>
                </c:pt>
                <c:pt idx="29">
                  <c:v>-9.4</c:v>
                </c:pt>
                <c:pt idx="30">
                  <c:v>-10.5</c:v>
                </c:pt>
                <c:pt idx="31">
                  <c:v>-7.3</c:v>
                </c:pt>
                <c:pt idx="32">
                  <c:v>-11.7</c:v>
                </c:pt>
                <c:pt idx="33">
                  <c:v>-8</c:v>
                </c:pt>
                <c:pt idx="34">
                  <c:v>-8.8000000000000007</c:v>
                </c:pt>
                <c:pt idx="35">
                  <c:v>-12</c:v>
                </c:pt>
                <c:pt idx="36">
                  <c:v>-5.8</c:v>
                </c:pt>
                <c:pt idx="37">
                  <c:v>-6.4</c:v>
                </c:pt>
                <c:pt idx="38">
                  <c:v>-9.1999999999999993</c:v>
                </c:pt>
                <c:pt idx="39">
                  <c:v>-6.9</c:v>
                </c:pt>
                <c:pt idx="40">
                  <c:v>-10.199999999999999</c:v>
                </c:pt>
                <c:pt idx="41">
                  <c:v>-5.2</c:v>
                </c:pt>
                <c:pt idx="42">
                  <c:v>-9.4</c:v>
                </c:pt>
                <c:pt idx="43">
                  <c:v>-8.6999999999999993</c:v>
                </c:pt>
                <c:pt idx="44">
                  <c:v>-7.2</c:v>
                </c:pt>
                <c:pt idx="45">
                  <c:v>-9.3000000000000007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40720"/>
        <c:axId val="475041264"/>
      </c:lineChart>
      <c:catAx>
        <c:axId val="475040720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1264"/>
        <c:crossesAt val="0"/>
        <c:auto val="1"/>
        <c:lblAlgn val="ctr"/>
        <c:lblOffset val="100"/>
        <c:tickLblSkip val="1"/>
        <c:noMultiLvlLbl val="0"/>
      </c:catAx>
      <c:valAx>
        <c:axId val="4750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4503937007874019"/>
          <c:w val="0.9993317774660837"/>
          <c:h val="0.154960629921259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46769232871537E-2"/>
          <c:y val="3.182981166293733E-2"/>
          <c:w val="0.91936996161087892"/>
          <c:h val="0.68551983144386652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Arkusz1!$C$1</c:f>
              <c:strCache>
                <c:ptCount val="1"/>
                <c:pt idx="0">
                  <c:v>WWUK</c:v>
                </c:pt>
              </c:strCache>
            </c:strRef>
          </c:tx>
          <c:spPr>
            <a:solidFill>
              <a:srgbClr val="008542"/>
            </a:solidFill>
            <a:ln>
              <a:noFill/>
            </a:ln>
            <a:effectLst/>
          </c:spPr>
          <c:invertIfNegative val="0"/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Arkusz1!$C$2:$C$30</c:f>
              <c:numCache>
                <c:formatCode>0.0_)</c:formatCode>
                <c:ptCount val="21"/>
                <c:pt idx="0">
                  <c:v>-21.85</c:v>
                </c:pt>
                <c:pt idx="1">
                  <c:v>-29.625</c:v>
                </c:pt>
                <c:pt idx="2">
                  <c:v>-41.424999999999997</c:v>
                </c:pt>
                <c:pt idx="3">
                  <c:v>-44.6</c:v>
                </c:pt>
                <c:pt idx="4">
                  <c:v>-46.524999999999999</c:v>
                </c:pt>
                <c:pt idx="5">
                  <c:v>-47.825000000000003</c:v>
                </c:pt>
                <c:pt idx="6">
                  <c:v>-44.8</c:v>
                </c:pt>
                <c:pt idx="7">
                  <c:v>-35.700000000000003</c:v>
                </c:pt>
                <c:pt idx="8" formatCode="0.0">
                  <c:v>-27.2</c:v>
                </c:pt>
                <c:pt idx="9" formatCode="0.0">
                  <c:v>-18.5</c:v>
                </c:pt>
                <c:pt idx="10" formatCode="0.0">
                  <c:v>-7.9</c:v>
                </c:pt>
                <c:pt idx="11" formatCode="0.0">
                  <c:v>-11.6</c:v>
                </c:pt>
                <c:pt idx="12" formatCode="0.0">
                  <c:v>-32.5</c:v>
                </c:pt>
                <c:pt idx="13" formatCode="0.0">
                  <c:v>-23.5</c:v>
                </c:pt>
                <c:pt idx="14" formatCode="0.0">
                  <c:v>-29.8</c:v>
                </c:pt>
                <c:pt idx="15" formatCode="0.0">
                  <c:v>-36.700000000000003</c:v>
                </c:pt>
                <c:pt idx="16" formatCode="0.0">
                  <c:v>-33.700000000000003</c:v>
                </c:pt>
                <c:pt idx="17" formatCode="0.0">
                  <c:v>-21.8</c:v>
                </c:pt>
                <c:pt idx="18" formatCode="0.0">
                  <c:v>-15.1</c:v>
                </c:pt>
                <c:pt idx="19" formatCode="0.0">
                  <c:v>-8.6</c:v>
                </c:pt>
                <c:pt idx="20" formatCode="0.0">
                  <c:v>-0.3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041808"/>
        <c:axId val="475038000"/>
      </c:barChart>
      <c:lineChart>
        <c:grouping val="standard"/>
        <c:varyColors val="0"/>
        <c:ser>
          <c:idx val="0"/>
          <c:order val="1"/>
          <c:tx>
            <c:strRef>
              <c:f>Arkusz1!$D$1</c:f>
              <c:strCache>
                <c:ptCount val="1"/>
                <c:pt idx="0">
                  <c:v>Zmiana syt. gosp. dom. w najbliższych 12 miesiącach</c:v>
                </c:pt>
              </c:strCache>
            </c:strRef>
          </c:tx>
          <c:spPr>
            <a:ln w="28575" cap="rnd">
              <a:solidFill>
                <a:srgbClr val="007AC9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AC9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Arkusz1!$D$2:$D$30</c:f>
              <c:numCache>
                <c:formatCode>0.0_)</c:formatCode>
                <c:ptCount val="21"/>
                <c:pt idx="0">
                  <c:v>-11</c:v>
                </c:pt>
                <c:pt idx="1">
                  <c:v>-19.2</c:v>
                </c:pt>
                <c:pt idx="2">
                  <c:v>-25.3</c:v>
                </c:pt>
                <c:pt idx="3">
                  <c:v>-26.8</c:v>
                </c:pt>
                <c:pt idx="4">
                  <c:v>-25.8</c:v>
                </c:pt>
                <c:pt idx="5">
                  <c:v>-27.8</c:v>
                </c:pt>
                <c:pt idx="6">
                  <c:v>-24.5</c:v>
                </c:pt>
                <c:pt idx="7">
                  <c:v>-22.3</c:v>
                </c:pt>
                <c:pt idx="8" formatCode="0.0">
                  <c:v>-12</c:v>
                </c:pt>
                <c:pt idx="9" formatCode="0.0">
                  <c:v>-6.1</c:v>
                </c:pt>
                <c:pt idx="10" formatCode="0.0">
                  <c:v>-1.9</c:v>
                </c:pt>
                <c:pt idx="11" formatCode="0.0">
                  <c:v>-4.5</c:v>
                </c:pt>
                <c:pt idx="12" formatCode="0.0">
                  <c:v>-11.1</c:v>
                </c:pt>
                <c:pt idx="13" formatCode="0.0">
                  <c:v>-8.1999999999999993</c:v>
                </c:pt>
                <c:pt idx="14" formatCode="0.0">
                  <c:v>-14.6</c:v>
                </c:pt>
                <c:pt idx="15" formatCode="0.0">
                  <c:v>-18.5</c:v>
                </c:pt>
                <c:pt idx="16" formatCode="0.0">
                  <c:v>-13.6</c:v>
                </c:pt>
                <c:pt idx="17" formatCode="0.0">
                  <c:v>-7.3</c:v>
                </c:pt>
                <c:pt idx="18" formatCode="0.0">
                  <c:v>-2.8</c:v>
                </c:pt>
                <c:pt idx="19" formatCode="0.0">
                  <c:v>0.9</c:v>
                </c:pt>
                <c:pt idx="20" formatCode="0.0">
                  <c:v>2.8</c:v>
                </c:pt>
              </c:numCache>
            </c:numRef>
          </c:val>
          <c:smooth val="0"/>
        </c:ser>
        <c:ser>
          <c:idx val="5"/>
          <c:order val="2"/>
          <c:tx>
            <c:strRef>
              <c:f>Arkusz1!$E$1</c:f>
              <c:strCache>
                <c:ptCount val="1"/>
                <c:pt idx="0">
                  <c:v>Zmiana syt. kraju w najbliższych 12 miesiącach</c:v>
                </c:pt>
              </c:strCache>
            </c:strRef>
          </c:tx>
          <c:spPr>
            <a:ln w="28575" cap="rnd">
              <a:solidFill>
                <a:srgbClr val="522398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522398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Arkusz1!$E$2:$E$30</c:f>
              <c:numCache>
                <c:formatCode>0.0_)</c:formatCode>
                <c:ptCount val="21"/>
                <c:pt idx="0">
                  <c:v>-10</c:v>
                </c:pt>
                <c:pt idx="1">
                  <c:v>-17</c:v>
                </c:pt>
                <c:pt idx="2">
                  <c:v>-29.7</c:v>
                </c:pt>
                <c:pt idx="3">
                  <c:v>-29.5</c:v>
                </c:pt>
                <c:pt idx="4">
                  <c:v>-32.200000000000003</c:v>
                </c:pt>
                <c:pt idx="5">
                  <c:v>-35.1</c:v>
                </c:pt>
                <c:pt idx="6">
                  <c:v>-35.200000000000003</c:v>
                </c:pt>
                <c:pt idx="7">
                  <c:v>-30.8</c:v>
                </c:pt>
                <c:pt idx="8" formatCode="0.0">
                  <c:v>-16.7</c:v>
                </c:pt>
                <c:pt idx="9" formatCode="0.0">
                  <c:v>-13</c:v>
                </c:pt>
                <c:pt idx="10" formatCode="0.0">
                  <c:v>-6.6</c:v>
                </c:pt>
                <c:pt idx="11" formatCode="0.0">
                  <c:v>-9.6999999999999993</c:v>
                </c:pt>
                <c:pt idx="12" formatCode="0.0">
                  <c:v>-26.5</c:v>
                </c:pt>
                <c:pt idx="13" formatCode="0.0">
                  <c:v>-18.899999999999999</c:v>
                </c:pt>
                <c:pt idx="14" formatCode="0.0">
                  <c:v>-30.8</c:v>
                </c:pt>
                <c:pt idx="15" formatCode="0.0">
                  <c:v>-38</c:v>
                </c:pt>
                <c:pt idx="16" formatCode="0.0">
                  <c:v>-31.2</c:v>
                </c:pt>
                <c:pt idx="17" formatCode="0.0">
                  <c:v>-18.399999999999999</c:v>
                </c:pt>
                <c:pt idx="18" formatCode="0.0">
                  <c:v>-11.4</c:v>
                </c:pt>
                <c:pt idx="19" formatCode="0.0">
                  <c:v>-9.4</c:v>
                </c:pt>
                <c:pt idx="20" formatCode="0.0">
                  <c:v>-1.8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Arkusz1!$F$1</c:f>
              <c:strCache>
                <c:ptCount val="1"/>
                <c:pt idx="0">
                  <c:v>Zmiana poziomu bezrobocia</c:v>
                </c:pt>
              </c:strCache>
            </c:strRef>
          </c:tx>
          <c:spPr>
            <a:ln w="28575" cap="rnd">
              <a:solidFill>
                <a:srgbClr val="BED600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ED600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Arkusz1!$F$2:$F$30</c:f>
              <c:numCache>
                <c:formatCode>0.0_)</c:formatCode>
                <c:ptCount val="21"/>
                <c:pt idx="0">
                  <c:v>-15</c:v>
                </c:pt>
                <c:pt idx="1">
                  <c:v>-27.3</c:v>
                </c:pt>
                <c:pt idx="2">
                  <c:v>-53.1</c:v>
                </c:pt>
                <c:pt idx="3">
                  <c:v>-62</c:v>
                </c:pt>
                <c:pt idx="4">
                  <c:v>-68</c:v>
                </c:pt>
                <c:pt idx="5">
                  <c:v>-63.8</c:v>
                </c:pt>
                <c:pt idx="6">
                  <c:v>-54.1</c:v>
                </c:pt>
                <c:pt idx="7">
                  <c:v>-30.3</c:v>
                </c:pt>
                <c:pt idx="8" formatCode="0.0">
                  <c:v>-24.8</c:v>
                </c:pt>
                <c:pt idx="9" formatCode="0.0">
                  <c:v>-6.3</c:v>
                </c:pt>
                <c:pt idx="10" formatCode="0.0">
                  <c:v>17.600000000000001</c:v>
                </c:pt>
                <c:pt idx="11" formatCode="0.0">
                  <c:v>5.0999999999999996</c:v>
                </c:pt>
                <c:pt idx="12" formatCode="0.0">
                  <c:v>-54.6</c:v>
                </c:pt>
                <c:pt idx="13" formatCode="0.0">
                  <c:v>-34.4</c:v>
                </c:pt>
                <c:pt idx="14" formatCode="0.0">
                  <c:v>-37</c:v>
                </c:pt>
                <c:pt idx="15" formatCode="0.0">
                  <c:v>-53.3</c:v>
                </c:pt>
                <c:pt idx="16" formatCode="0.0">
                  <c:v>-53.7</c:v>
                </c:pt>
                <c:pt idx="17" formatCode="0.0">
                  <c:v>-31.1</c:v>
                </c:pt>
                <c:pt idx="18" formatCode="0.0">
                  <c:v>-19.7</c:v>
                </c:pt>
                <c:pt idx="19" formatCode="0.0">
                  <c:v>-7.8</c:v>
                </c:pt>
                <c:pt idx="20" formatCode="0.0">
                  <c:v>8.5</c:v>
                </c:pt>
              </c:numCache>
            </c:numRef>
          </c:val>
          <c:smooth val="0"/>
        </c:ser>
        <c:ser>
          <c:idx val="2"/>
          <c:order val="4"/>
          <c:tx>
            <c:strRef>
              <c:f>Arkusz1!$G$1</c:f>
              <c:strCache>
                <c:ptCount val="1"/>
                <c:pt idx="0">
                  <c:v>Oszczędzanie pieniędzy</c:v>
                </c:pt>
              </c:strCache>
            </c:strRef>
          </c:tx>
          <c:spPr>
            <a:ln w="28575" cap="rnd">
              <a:solidFill>
                <a:srgbClr val="009AA6">
                  <a:alpha val="60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9AA6">
                  <a:alpha val="60000"/>
                </a:srgbClr>
              </a:solidFill>
              <a:ln w="9525">
                <a:noFill/>
              </a:ln>
              <a:effectLst/>
            </c:spPr>
          </c:marker>
          <c:cat>
            <c:strRef>
              <c:f>Arkusz1!$B$2:$B$30</c:f>
              <c:strCache>
                <c:ptCount val="21"/>
                <c:pt idx="0">
                  <c:v>1997**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strCache>
            </c:strRef>
          </c:cat>
          <c:val>
            <c:numRef>
              <c:f>Arkusz1!$G$2:$G$30</c:f>
              <c:numCache>
                <c:formatCode>0.0_)</c:formatCode>
                <c:ptCount val="21"/>
                <c:pt idx="0">
                  <c:v>-51.4</c:v>
                </c:pt>
                <c:pt idx="1">
                  <c:v>-55</c:v>
                </c:pt>
                <c:pt idx="2">
                  <c:v>-57.6</c:v>
                </c:pt>
                <c:pt idx="3">
                  <c:v>-60.1</c:v>
                </c:pt>
                <c:pt idx="4">
                  <c:v>-60.1</c:v>
                </c:pt>
                <c:pt idx="5">
                  <c:v>-64.599999999999994</c:v>
                </c:pt>
                <c:pt idx="6">
                  <c:v>-65.400000000000006</c:v>
                </c:pt>
                <c:pt idx="7">
                  <c:v>-58.8</c:v>
                </c:pt>
                <c:pt idx="8" formatCode="0.0">
                  <c:v>-54.6</c:v>
                </c:pt>
                <c:pt idx="9" formatCode="0.0">
                  <c:v>-48.3</c:v>
                </c:pt>
                <c:pt idx="10" formatCode="0.0">
                  <c:v>-40.700000000000003</c:v>
                </c:pt>
                <c:pt idx="11" formatCode="0.0">
                  <c:v>-37.200000000000003</c:v>
                </c:pt>
                <c:pt idx="12" formatCode="0.0">
                  <c:v>-37.1</c:v>
                </c:pt>
                <c:pt idx="13" formatCode="0.0">
                  <c:v>-32</c:v>
                </c:pt>
                <c:pt idx="14" formatCode="0.0">
                  <c:v>-36.1</c:v>
                </c:pt>
                <c:pt idx="15" formatCode="0.0">
                  <c:v>-36.9</c:v>
                </c:pt>
                <c:pt idx="16" formatCode="0.0">
                  <c:v>-36.1</c:v>
                </c:pt>
                <c:pt idx="17" formatCode="0.0">
                  <c:v>-30.5</c:v>
                </c:pt>
                <c:pt idx="18" formatCode="0.0">
                  <c:v>-26.3</c:v>
                </c:pt>
                <c:pt idx="19" formatCode="0.0">
                  <c:v>-18</c:v>
                </c:pt>
                <c:pt idx="20" formatCode="0.0">
                  <c:v>-10.6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5041808"/>
        <c:axId val="475038000"/>
      </c:lineChart>
      <c:catAx>
        <c:axId val="475041808"/>
        <c:scaling>
          <c:orientation val="minMax"/>
        </c:scaling>
        <c:delete val="0"/>
        <c:axPos val="b"/>
        <c:numFmt formatCode="d/mm" sourceLinked="0"/>
        <c:majorTickMark val="in"/>
        <c:minorTickMark val="none"/>
        <c:tickLblPos val="low"/>
        <c:spPr>
          <a:noFill/>
          <a:ln w="6350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38000"/>
        <c:crossesAt val="0"/>
        <c:auto val="0"/>
        <c:lblAlgn val="ctr"/>
        <c:lblOffset val="100"/>
        <c:noMultiLvlLbl val="0"/>
      </c:catAx>
      <c:valAx>
        <c:axId val="47503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475041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6822253391625268E-4"/>
          <c:y val="0.86735319766516639"/>
          <c:w val="0.99511785645611706"/>
          <c:h val="0.132646802334833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0.07018</cdr:x>
      <cdr:y>0.75718</cdr:y>
    </cdr:from>
    <cdr:to>
      <cdr:x>0.36348</cdr:x>
      <cdr:y>0.82589</cdr:y>
    </cdr:to>
    <cdr:sp macro="" textlink="">
      <cdr:nvSpPr>
        <cdr:cNvPr id="2" name="Pole tekstowe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521" y="2973788"/>
          <a:ext cx="1502410" cy="2698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700">
              <a:solidFill>
                <a:schemeClr val="tx1"/>
              </a:solidFill>
              <a:effectLst/>
              <a:latin typeface="Fira Sans" panose="020B0503050000020004" pitchFamily="34" charset="0"/>
              <a:ea typeface="Fira Sans" panose="020B0503050000020004" pitchFamily="34" charset="0"/>
              <a:cs typeface="+mn-cs"/>
            </a:rPr>
            <a:t>** kwiecień, lipiec, październik</a:t>
          </a:r>
        </a:p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5F05E-327A-46A8-9F91-E7F28ECC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Zawistowska Beata</dc:creator>
  <cp:keywords/>
  <dc:description/>
  <cp:lastModifiedBy>Żołynia Marcin</cp:lastModifiedBy>
  <cp:revision>3</cp:revision>
  <cp:lastPrinted>2018-08-21T07:59:00Z</cp:lastPrinted>
  <dcterms:created xsi:type="dcterms:W3CDTF">2018-10-17T07:24:00Z</dcterms:created>
  <dcterms:modified xsi:type="dcterms:W3CDTF">2018-10-17T07:24:00Z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