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28336" w14:textId="374CAF8F" w:rsidR="0098135C" w:rsidRDefault="00530074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694C80">
        <w:rPr>
          <w:shd w:val="clear" w:color="auto" w:fill="FFFFFF"/>
        </w:rPr>
        <w:t>sierpień</w:t>
      </w:r>
      <w:r w:rsidR="00112723">
        <w:rPr>
          <w:shd w:val="clear" w:color="auto" w:fill="FFFFFF"/>
        </w:rPr>
        <w:t xml:space="preserve"> 2020</w:t>
      </w:r>
      <w:r w:rsidRPr="00530074">
        <w:rPr>
          <w:shd w:val="clear" w:color="auto" w:fill="FFFFFF"/>
        </w:rPr>
        <w:t xml:space="preserve"> r.</w:t>
      </w:r>
    </w:p>
    <w:p w14:paraId="1C6F9CD2" w14:textId="236815D4" w:rsidR="00CF538E" w:rsidRPr="00CF538E" w:rsidRDefault="000A76BB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F517D33" wp14:editId="3F483208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199640" cy="115570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15594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08ED" w14:textId="43E74EEB" w:rsidR="001430EF" w:rsidRPr="00BC44E4" w:rsidRDefault="001430EF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C7AF652" wp14:editId="4FF73C95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BD5592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38"/>
                              </w:rPr>
                              <w:t>1,8 p. proc.</w:t>
                            </w:r>
                          </w:p>
                          <w:p w14:paraId="21063E39" w14:textId="77777777" w:rsidR="001430EF" w:rsidRPr="00DD7916" w:rsidRDefault="001430EF" w:rsidP="00BD5592">
                            <w:pPr>
                              <w:pStyle w:val="tekstnaniebieskimtle"/>
                              <w:spacing w:before="60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Zmiana bieżącego</w:t>
                            </w:r>
                            <w:r w:rsidRPr="00DD7916">
                              <w:t xml:space="preserve"> wskaźnik</w:t>
                            </w:r>
                            <w:r>
                              <w:t>a</w:t>
                            </w:r>
                            <w:r w:rsidRPr="00DD7916">
                              <w:t xml:space="preserve">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7D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73.2pt;height:91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" fillcolor="#001d77" stroked="f">
                <v:textbox>
                  <w:txbxContent>
                    <w:p w14:paraId="26FF08ED" w14:textId="43E74EEB" w:rsidR="001430EF" w:rsidRPr="00BC44E4" w:rsidRDefault="001430EF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C7AF652" wp14:editId="4FF73C95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BD5592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38"/>
                        </w:rPr>
                        <w:t>1,8 p. proc.</w:t>
                      </w:r>
                    </w:p>
                    <w:p w14:paraId="21063E39" w14:textId="77777777" w:rsidR="001430EF" w:rsidRPr="00DD7916" w:rsidRDefault="001430EF" w:rsidP="00BD5592">
                      <w:pPr>
                        <w:pStyle w:val="tekstnaniebieskimtle"/>
                        <w:spacing w:before="60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Zmiana bieżącego</w:t>
                      </w:r>
                      <w:r w:rsidRPr="00DD7916">
                        <w:t xml:space="preserve"> wskaźnik</w:t>
                      </w:r>
                      <w:r>
                        <w:t>a</w:t>
                      </w:r>
                      <w:r w:rsidRPr="00DD7916">
                        <w:t xml:space="preserve">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01C" w:rsidRPr="00CF538E">
        <w:rPr>
          <w:b/>
          <w:color w:val="auto"/>
          <w:sz w:val="19"/>
          <w:szCs w:val="19"/>
        </w:rPr>
        <w:t>W</w:t>
      </w:r>
      <w:r w:rsidR="00B3501C">
        <w:rPr>
          <w:b/>
          <w:color w:val="auto"/>
          <w:sz w:val="19"/>
          <w:szCs w:val="19"/>
        </w:rPr>
        <w:t xml:space="preserve"> </w:t>
      </w:r>
      <w:r w:rsidR="00694C80">
        <w:rPr>
          <w:b/>
          <w:color w:val="auto"/>
          <w:sz w:val="19"/>
          <w:szCs w:val="19"/>
        </w:rPr>
        <w:t>sierpniu</w:t>
      </w:r>
      <w:r w:rsidR="00B3501C">
        <w:rPr>
          <w:b/>
          <w:color w:val="auto"/>
          <w:sz w:val="19"/>
          <w:szCs w:val="19"/>
        </w:rPr>
        <w:t xml:space="preserve"> </w:t>
      </w:r>
      <w:r w:rsidR="00112723">
        <w:rPr>
          <w:b/>
          <w:color w:val="auto"/>
          <w:sz w:val="19"/>
          <w:szCs w:val="19"/>
        </w:rPr>
        <w:t>2020</w:t>
      </w:r>
      <w:r w:rsidR="00B3501C" w:rsidRPr="00CF538E">
        <w:rPr>
          <w:b/>
          <w:color w:val="auto"/>
          <w:sz w:val="19"/>
          <w:szCs w:val="19"/>
        </w:rPr>
        <w:t xml:space="preserve"> r. </w:t>
      </w:r>
      <w:r>
        <w:rPr>
          <w:b/>
          <w:color w:val="auto"/>
          <w:sz w:val="19"/>
          <w:szCs w:val="19"/>
        </w:rPr>
        <w:t xml:space="preserve">odnotowano </w:t>
      </w:r>
      <w:r w:rsidR="00D80200">
        <w:rPr>
          <w:b/>
          <w:color w:val="auto"/>
          <w:sz w:val="19"/>
          <w:szCs w:val="19"/>
        </w:rPr>
        <w:t>pogorszenie</w:t>
      </w:r>
      <w:r>
        <w:rPr>
          <w:b/>
          <w:color w:val="auto"/>
          <w:sz w:val="19"/>
          <w:szCs w:val="19"/>
        </w:rPr>
        <w:t xml:space="preserve"> </w:t>
      </w:r>
      <w:r w:rsidR="00754815">
        <w:rPr>
          <w:b/>
          <w:color w:val="auto"/>
          <w:sz w:val="19"/>
          <w:szCs w:val="19"/>
        </w:rPr>
        <w:t>zarówno</w:t>
      </w:r>
      <w:r w:rsidR="00B3501C" w:rsidRPr="00CF538E">
        <w:rPr>
          <w:b/>
          <w:color w:val="auto"/>
          <w:sz w:val="19"/>
          <w:szCs w:val="19"/>
        </w:rPr>
        <w:t xml:space="preserve"> </w:t>
      </w:r>
      <w:r w:rsidR="00921B01">
        <w:rPr>
          <w:b/>
          <w:color w:val="auto"/>
          <w:sz w:val="19"/>
          <w:szCs w:val="19"/>
        </w:rPr>
        <w:t>obecn</w:t>
      </w:r>
      <w:r>
        <w:rPr>
          <w:b/>
          <w:color w:val="auto"/>
          <w:sz w:val="19"/>
          <w:szCs w:val="19"/>
        </w:rPr>
        <w:t>ych</w:t>
      </w:r>
      <w:r w:rsidR="00754815">
        <w:rPr>
          <w:b/>
          <w:color w:val="auto"/>
          <w:sz w:val="19"/>
          <w:szCs w:val="19"/>
        </w:rPr>
        <w:t>, jak i</w:t>
      </w:r>
      <w:r w:rsidR="00356C31">
        <w:rPr>
          <w:b/>
          <w:color w:val="auto"/>
          <w:sz w:val="19"/>
          <w:szCs w:val="19"/>
        </w:rPr>
        <w:t xml:space="preserve"> </w:t>
      </w:r>
      <w:r w:rsidR="00921B01">
        <w:rPr>
          <w:b/>
          <w:color w:val="auto"/>
          <w:sz w:val="19"/>
          <w:szCs w:val="19"/>
        </w:rPr>
        <w:t>przyszł</w:t>
      </w:r>
      <w:r>
        <w:rPr>
          <w:b/>
          <w:color w:val="auto"/>
          <w:sz w:val="19"/>
          <w:szCs w:val="19"/>
        </w:rPr>
        <w:t>ych</w:t>
      </w:r>
      <w:r w:rsidR="00921B01">
        <w:rPr>
          <w:b/>
          <w:color w:val="auto"/>
          <w:sz w:val="19"/>
          <w:szCs w:val="19"/>
        </w:rPr>
        <w:t xml:space="preserve"> nastroj</w:t>
      </w:r>
      <w:r>
        <w:rPr>
          <w:b/>
          <w:color w:val="auto"/>
          <w:sz w:val="19"/>
          <w:szCs w:val="19"/>
        </w:rPr>
        <w:t>ów</w:t>
      </w:r>
      <w:r w:rsidR="00921B01">
        <w:rPr>
          <w:b/>
          <w:color w:val="auto"/>
          <w:sz w:val="19"/>
          <w:szCs w:val="19"/>
        </w:rPr>
        <w:t xml:space="preserve"> konsumencki</w:t>
      </w:r>
      <w:r>
        <w:rPr>
          <w:b/>
          <w:color w:val="auto"/>
          <w:sz w:val="19"/>
          <w:szCs w:val="19"/>
        </w:rPr>
        <w:t>ch</w:t>
      </w:r>
      <w:r w:rsidR="00921B01">
        <w:rPr>
          <w:b/>
          <w:color w:val="auto"/>
          <w:sz w:val="19"/>
          <w:szCs w:val="19"/>
        </w:rPr>
        <w:t xml:space="preserve"> </w:t>
      </w:r>
      <w:r w:rsidR="00B3501C" w:rsidRPr="00CF538E">
        <w:rPr>
          <w:b/>
          <w:color w:val="auto"/>
          <w:sz w:val="19"/>
          <w:szCs w:val="19"/>
        </w:rPr>
        <w:t>w stosunku do poprzedniego miesiąca.</w:t>
      </w:r>
      <w:r w:rsidR="00B3501C">
        <w:rPr>
          <w:b/>
          <w:color w:val="auto"/>
          <w:sz w:val="19"/>
          <w:szCs w:val="19"/>
        </w:rPr>
        <w:t xml:space="preserve"> B</w:t>
      </w:r>
      <w:r w:rsidR="00D06B81">
        <w:rPr>
          <w:b/>
          <w:color w:val="auto"/>
          <w:sz w:val="19"/>
          <w:szCs w:val="19"/>
        </w:rPr>
        <w:t>ieżący wskaźnik ufności konsumenckiej</w:t>
      </w:r>
      <w:r w:rsidR="008663B7">
        <w:rPr>
          <w:b/>
          <w:color w:val="auto"/>
          <w:sz w:val="19"/>
          <w:szCs w:val="19"/>
        </w:rPr>
        <w:t xml:space="preserve"> (BWUK), syntetycznie </w:t>
      </w:r>
      <w:r w:rsidR="008663B7" w:rsidRPr="008663B7">
        <w:rPr>
          <w:b/>
          <w:color w:val="auto"/>
          <w:sz w:val="19"/>
          <w:szCs w:val="19"/>
        </w:rPr>
        <w:t>opisujący obecne tendencje konsumpcji indywidualnej</w:t>
      </w:r>
      <w:r w:rsidR="008663B7">
        <w:rPr>
          <w:b/>
          <w:color w:val="auto"/>
          <w:sz w:val="19"/>
          <w:szCs w:val="19"/>
        </w:rPr>
        <w:t>,</w:t>
      </w:r>
      <w:r w:rsidR="00921B01">
        <w:rPr>
          <w:b/>
          <w:color w:val="auto"/>
          <w:sz w:val="19"/>
          <w:szCs w:val="19"/>
        </w:rPr>
        <w:t xml:space="preserve"> </w:t>
      </w:r>
      <w:r w:rsidR="00C3503E">
        <w:rPr>
          <w:b/>
          <w:color w:val="auto"/>
          <w:sz w:val="19"/>
          <w:szCs w:val="19"/>
        </w:rPr>
        <w:t>wyniósł</w:t>
      </w:r>
      <w:r w:rsidR="00582389">
        <w:rPr>
          <w:b/>
          <w:color w:val="auto"/>
          <w:sz w:val="19"/>
          <w:szCs w:val="19"/>
        </w:rPr>
        <w:t xml:space="preserve"> </w:t>
      </w:r>
      <w:r w:rsidR="00D80200">
        <w:rPr>
          <w:b/>
          <w:color w:val="auto"/>
          <w:sz w:val="19"/>
          <w:szCs w:val="19"/>
        </w:rPr>
        <w:t>-15</w:t>
      </w:r>
      <w:r w:rsidR="00FB21F6">
        <w:rPr>
          <w:b/>
          <w:color w:val="auto"/>
          <w:sz w:val="19"/>
          <w:szCs w:val="19"/>
        </w:rPr>
        <w:t>,</w:t>
      </w:r>
      <w:r w:rsidR="00D80200">
        <w:rPr>
          <w:b/>
          <w:color w:val="auto"/>
          <w:sz w:val="19"/>
          <w:szCs w:val="19"/>
        </w:rPr>
        <w:t>2</w:t>
      </w:r>
      <w:r w:rsidRPr="007B26F8">
        <w:rPr>
          <w:b/>
          <w:color w:val="auto"/>
          <w:sz w:val="20"/>
          <w:szCs w:val="20"/>
          <w:vertAlign w:val="superscript"/>
        </w:rPr>
        <w:footnoteReference w:id="1"/>
      </w:r>
      <w:r w:rsidRPr="007B26F8">
        <w:rPr>
          <w:b/>
          <w:color w:val="auto"/>
          <w:sz w:val="20"/>
          <w:szCs w:val="20"/>
          <w:vertAlign w:val="superscript"/>
        </w:rPr>
        <w:t xml:space="preserve"> </w:t>
      </w:r>
      <w:r w:rsidR="00F83720">
        <w:rPr>
          <w:b/>
          <w:color w:val="auto"/>
          <w:sz w:val="20"/>
          <w:szCs w:val="20"/>
          <w:vertAlign w:val="superscript"/>
        </w:rPr>
        <w:t xml:space="preserve"> </w:t>
      </w:r>
      <w:r w:rsidR="00D80200">
        <w:rPr>
          <w:b/>
          <w:color w:val="auto"/>
          <w:sz w:val="19"/>
          <w:szCs w:val="19"/>
        </w:rPr>
        <w:t>i był o 1,8 p. proc. ni</w:t>
      </w:r>
      <w:r>
        <w:rPr>
          <w:b/>
          <w:color w:val="auto"/>
          <w:sz w:val="19"/>
          <w:szCs w:val="19"/>
        </w:rPr>
        <w:t>ższy</w:t>
      </w:r>
      <w:r w:rsidR="00921B01">
        <w:rPr>
          <w:b/>
          <w:color w:val="auto"/>
          <w:sz w:val="19"/>
          <w:szCs w:val="19"/>
        </w:rPr>
        <w:t xml:space="preserve"> w stosunku do poprzedniego miesiąca</w:t>
      </w:r>
      <w:r w:rsidR="00D06B81">
        <w:rPr>
          <w:b/>
          <w:color w:val="auto"/>
          <w:sz w:val="19"/>
          <w:szCs w:val="19"/>
        </w:rPr>
        <w:t>.</w:t>
      </w:r>
      <w:r w:rsidR="00CF538E" w:rsidRPr="00CF538E">
        <w:rPr>
          <w:b/>
          <w:color w:val="auto"/>
          <w:sz w:val="19"/>
          <w:szCs w:val="19"/>
        </w:rPr>
        <w:t xml:space="preserve"> </w:t>
      </w:r>
    </w:p>
    <w:p w14:paraId="58EAE863" w14:textId="77777777" w:rsidR="00F44379" w:rsidRDefault="00F44379" w:rsidP="00074DD8">
      <w:pPr>
        <w:pStyle w:val="Nagwek1"/>
      </w:pPr>
    </w:p>
    <w:p w14:paraId="6F9D7B34" w14:textId="7C36C497"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CAD938B" wp14:editId="4A01F557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0B92" w14:textId="3640B395" w:rsidR="001430EF" w:rsidRPr="00380DFD" w:rsidRDefault="001430EF" w:rsidP="00273134">
                            <w:pPr>
                              <w:pStyle w:val="tekstzboku"/>
                            </w:pPr>
                            <w:r>
                              <w:t>Bieżący wskaźnik ufności konsumenckiej (BWUK) jest niższy o 1,8 p. proc. w stosunku do poprzedniego miesiąca</w:t>
                            </w:r>
                          </w:p>
                          <w:p w14:paraId="730BD466" w14:textId="77777777" w:rsidR="001430EF" w:rsidRPr="00D616D2" w:rsidRDefault="001430EF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938B" id="_x0000_s1027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Dny&#10;2dY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14:paraId="651F0B92" w14:textId="3640B395" w:rsidR="001430EF" w:rsidRPr="00380DFD" w:rsidRDefault="001430EF" w:rsidP="00273134">
                      <w:pPr>
                        <w:pStyle w:val="tekstzboku"/>
                      </w:pPr>
                      <w:r>
                        <w:t>Bieżący wskaźnik ufności konsumenckiej (BWUK) jest niższy o 1,8 p. proc. w stosunku do poprzedniego miesiąca</w:t>
                      </w:r>
                    </w:p>
                    <w:p w14:paraId="730BD466" w14:textId="77777777" w:rsidR="001430EF" w:rsidRPr="00D616D2" w:rsidRDefault="001430EF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>w</w:t>
      </w:r>
      <w:r w:rsidR="00EE2896">
        <w:t xml:space="preserve"> </w:t>
      </w:r>
      <w:r w:rsidR="00694C80">
        <w:t>sierpniu</w:t>
      </w:r>
      <w:r w:rsidR="0046695F">
        <w:t xml:space="preserve"> </w:t>
      </w:r>
      <w:r w:rsidR="00112723">
        <w:t>2020</w:t>
      </w:r>
      <w:r w:rsidR="009A5A6D" w:rsidRPr="009A5A6D">
        <w:t xml:space="preserve"> r.</w:t>
      </w:r>
    </w:p>
    <w:p w14:paraId="018AC47B" w14:textId="7214BCB8" w:rsidR="001E29DE" w:rsidRDefault="001E29DE" w:rsidP="001E29DE">
      <w:pPr>
        <w:pStyle w:val="Default"/>
        <w:spacing w:after="120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Spośród składowych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wskaźnika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najbardziej pogorszyły się oceny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przyszłej oraz obecnej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ekonomicznej kraju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(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spadki odpowiednio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 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6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p. proc.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i 5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proc.).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Spadek wystąpił także dla oceny przyszłej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finansowej gospodarstwa domowego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(o 1,8 p. proc.).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Natomiast poprawiły się oceny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obecne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możliwości dokonywania ważnych zakupów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oraz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obecnej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finansowej gospodarstwa domowego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(wzrosty odpowiednio o 3,1 p. proc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.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i 1,1 p. proc.).</w:t>
      </w:r>
    </w:p>
    <w:p w14:paraId="11744200" w14:textId="7BD225E6" w:rsidR="00A06A63" w:rsidRPr="00FC711D" w:rsidRDefault="00A06A63" w:rsidP="00FC711D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694C8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sierpnia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F370FD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9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C1621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246C3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2</w:t>
      </w:r>
      <w:r w:rsidR="008D4132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3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D60442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4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14:paraId="3414AFBA" w14:textId="77777777" w:rsidR="00C074FD" w:rsidRDefault="00C074FD" w:rsidP="00D06B81">
      <w:pPr>
        <w:pStyle w:val="Nagwek1"/>
        <w:spacing w:before="0"/>
      </w:pPr>
    </w:p>
    <w:p w14:paraId="18A62F1D" w14:textId="738067D9"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82DED23" wp14:editId="24EF2C16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08D4" w14:textId="05902B68" w:rsidR="001430EF" w:rsidRPr="00380DFD" w:rsidRDefault="001430EF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spadł o 2,9 p. proc. w stosunku do poprzedniego miesiąca</w:t>
                            </w:r>
                          </w:p>
                          <w:p w14:paraId="0E998CC7" w14:textId="77777777" w:rsidR="001430EF" w:rsidRPr="00380DFD" w:rsidRDefault="001430EF" w:rsidP="00C074FD">
                            <w:pPr>
                              <w:pStyle w:val="tekstzboku"/>
                            </w:pPr>
                          </w:p>
                          <w:p w14:paraId="33BA6704" w14:textId="77777777" w:rsidR="001430EF" w:rsidRPr="00D616D2" w:rsidRDefault="001430EF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ED23" id="Pole tekstowe 16" o:spid="_x0000_s1028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Ftf&#10;E0U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14:paraId="638208D4" w14:textId="05902B68" w:rsidR="001430EF" w:rsidRPr="00380DFD" w:rsidRDefault="001430EF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spadł o 2,9 p. proc. w stosunku do poprzedniego miesiąca</w:t>
                      </w:r>
                    </w:p>
                    <w:p w14:paraId="0E998CC7" w14:textId="77777777" w:rsidR="001430EF" w:rsidRPr="00380DFD" w:rsidRDefault="001430EF" w:rsidP="00C074FD">
                      <w:pPr>
                        <w:pStyle w:val="tekstzboku"/>
                      </w:pPr>
                    </w:p>
                    <w:p w14:paraId="33BA6704" w14:textId="77777777" w:rsidR="001430EF" w:rsidRPr="00D616D2" w:rsidRDefault="001430EF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E2896">
        <w:t xml:space="preserve"> </w:t>
      </w:r>
      <w:r w:rsidR="00694C80">
        <w:t>sierpniu</w:t>
      </w:r>
      <w:r w:rsidR="00112723">
        <w:t xml:space="preserve"> 2020</w:t>
      </w:r>
      <w:r w:rsidRPr="009A5A6D">
        <w:t xml:space="preserve"> r.</w:t>
      </w:r>
    </w:p>
    <w:p w14:paraId="3A6A3C62" w14:textId="7A7E642B"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D80200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D80200">
        <w:rPr>
          <w:shd w:val="clear" w:color="auto" w:fill="FFFFFF"/>
        </w:rPr>
        <w:t>2</w:t>
      </w:r>
      <w:r w:rsidR="00BD0145">
        <w:rPr>
          <w:shd w:val="clear" w:color="auto" w:fill="FFFFFF"/>
        </w:rPr>
        <w:t>,</w:t>
      </w:r>
      <w:r w:rsidR="00D80200">
        <w:rPr>
          <w:shd w:val="clear" w:color="auto" w:fill="FFFFFF"/>
        </w:rPr>
        <w:t>9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0A2CBF">
        <w:rPr>
          <w:shd w:val="clear" w:color="auto" w:fill="FFFFFF"/>
        </w:rPr>
        <w:t>-</w:t>
      </w:r>
      <w:r w:rsidR="00FB21F6">
        <w:rPr>
          <w:shd w:val="clear" w:color="auto" w:fill="FFFFFF"/>
        </w:rPr>
        <w:t>1</w:t>
      </w:r>
      <w:r w:rsidR="00D80200">
        <w:rPr>
          <w:shd w:val="clear" w:color="auto" w:fill="FFFFFF"/>
        </w:rPr>
        <w:t>6</w:t>
      </w:r>
      <w:r w:rsidRPr="00396FC5">
        <w:rPr>
          <w:shd w:val="clear" w:color="auto" w:fill="FFFFFF"/>
        </w:rPr>
        <w:t>,</w:t>
      </w:r>
      <w:r w:rsidR="00D80200">
        <w:rPr>
          <w:shd w:val="clear" w:color="auto" w:fill="FFFFFF"/>
        </w:rPr>
        <w:t>5</w:t>
      </w:r>
      <w:r w:rsidR="00F83720">
        <w:rPr>
          <w:sz w:val="20"/>
          <w:szCs w:val="20"/>
          <w:shd w:val="clear" w:color="auto" w:fill="FFFFFF"/>
          <w:vertAlign w:val="superscript"/>
        </w:rPr>
        <w:t>a</w:t>
      </w:r>
      <w:r w:rsidR="007B26F8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</w:p>
    <w:p w14:paraId="189B5512" w14:textId="0FC9F262" w:rsidR="00D26089" w:rsidRDefault="00D26089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61601D">
        <w:rPr>
          <w:shd w:val="clear" w:color="auto" w:fill="FFFFFF"/>
        </w:rPr>
        <w:t>spadek</w:t>
      </w:r>
      <w:r>
        <w:rPr>
          <w:shd w:val="clear" w:color="auto" w:fill="FFFFFF"/>
        </w:rPr>
        <w:t xml:space="preserve"> wartości </w:t>
      </w:r>
      <w:r w:rsidR="007B0D6A">
        <w:rPr>
          <w:shd w:val="clear" w:color="auto" w:fill="FFFFFF"/>
        </w:rPr>
        <w:t>wskaźnik</w:t>
      </w:r>
      <w:r w:rsidR="007F2056">
        <w:rPr>
          <w:shd w:val="clear" w:color="auto" w:fill="FFFFFF"/>
        </w:rPr>
        <w:t>a</w:t>
      </w:r>
      <w:r w:rsidR="00CE5807">
        <w:rPr>
          <w:shd w:val="clear" w:color="auto" w:fill="FFFFFF"/>
        </w:rPr>
        <w:t xml:space="preserve"> wpłynęły wszystkie jego składniki.</w:t>
      </w:r>
      <w:r w:rsidR="007F2056">
        <w:rPr>
          <w:shd w:val="clear" w:color="auto" w:fill="FFFFFF"/>
        </w:rPr>
        <w:t xml:space="preserve"> </w:t>
      </w:r>
      <w:r w:rsidR="00CE5807">
        <w:rPr>
          <w:shd w:val="clear" w:color="auto" w:fill="FFFFFF"/>
        </w:rPr>
        <w:t xml:space="preserve">Największy </w:t>
      </w:r>
      <w:r w:rsidR="0061601D">
        <w:rPr>
          <w:shd w:val="clear" w:color="auto" w:fill="FFFFFF"/>
        </w:rPr>
        <w:t>spadek</w:t>
      </w:r>
      <w:r w:rsidR="00CE5807">
        <w:rPr>
          <w:shd w:val="clear" w:color="auto" w:fill="FFFFFF"/>
        </w:rPr>
        <w:t xml:space="preserve"> odnotowano dla oceny</w:t>
      </w:r>
      <w:r w:rsidR="0061601D">
        <w:rPr>
          <w:shd w:val="clear" w:color="auto" w:fill="FFFFFF"/>
        </w:rPr>
        <w:t xml:space="preserve"> przyszłej sytuacji ekonomicznej kraju</w:t>
      </w:r>
      <w:r w:rsidR="007B0D6A">
        <w:rPr>
          <w:shd w:val="clear" w:color="auto" w:fill="FFFFFF"/>
        </w:rPr>
        <w:t xml:space="preserve"> </w:t>
      </w:r>
      <w:r w:rsidR="0061601D">
        <w:rPr>
          <w:shd w:val="clear" w:color="auto" w:fill="FFFFFF"/>
        </w:rPr>
        <w:t>(o 6,0</w:t>
      </w:r>
      <w:r w:rsidR="00CE5807">
        <w:rPr>
          <w:shd w:val="clear" w:color="auto" w:fill="FFFFFF"/>
        </w:rPr>
        <w:t xml:space="preserve"> p. proc.). </w:t>
      </w:r>
      <w:r w:rsidR="00CE5807" w:rsidRPr="009A0465">
        <w:rPr>
          <w:shd w:val="clear" w:color="auto" w:fill="FFFFFF"/>
        </w:rPr>
        <w:t xml:space="preserve">Dla pozostałych składowych wskaźnika </w:t>
      </w:r>
      <w:r w:rsidR="0061601D">
        <w:rPr>
          <w:shd w:val="clear" w:color="auto" w:fill="FFFFFF"/>
        </w:rPr>
        <w:t>spadki</w:t>
      </w:r>
      <w:r w:rsidR="00CE5807" w:rsidRPr="009A0465">
        <w:rPr>
          <w:shd w:val="clear" w:color="auto" w:fill="FFFFFF"/>
        </w:rPr>
        <w:t xml:space="preserve"> kształtowały się następująco:</w:t>
      </w:r>
      <w:r w:rsidR="0061601D">
        <w:rPr>
          <w:shd w:val="clear" w:color="auto" w:fill="FFFFFF"/>
        </w:rPr>
        <w:t xml:space="preserve"> 3,3</w:t>
      </w:r>
      <w:r w:rsidR="00CE5807">
        <w:rPr>
          <w:shd w:val="clear" w:color="auto" w:fill="FFFFFF"/>
        </w:rPr>
        <w:t xml:space="preserve"> p. proc</w:t>
      </w:r>
      <w:r w:rsidR="00524FA9">
        <w:rPr>
          <w:shd w:val="clear" w:color="auto" w:fill="FFFFFF"/>
        </w:rPr>
        <w:t>.</w:t>
      </w:r>
      <w:r w:rsidR="00CE5807">
        <w:rPr>
          <w:shd w:val="clear" w:color="auto" w:fill="FFFFFF"/>
        </w:rPr>
        <w:t xml:space="preserve"> dla </w:t>
      </w:r>
      <w:r w:rsidR="00383267">
        <w:rPr>
          <w:shd w:val="clear" w:color="auto" w:fill="FFFFFF"/>
        </w:rPr>
        <w:t>ocen</w:t>
      </w:r>
      <w:r w:rsidR="00251C2F">
        <w:rPr>
          <w:shd w:val="clear" w:color="auto" w:fill="FFFFFF"/>
        </w:rPr>
        <w:t>y</w:t>
      </w:r>
      <w:r w:rsidR="0061601D">
        <w:rPr>
          <w:shd w:val="clear" w:color="auto" w:fill="FFFFFF"/>
        </w:rPr>
        <w:t xml:space="preserve"> przyszłego poziomu bezrobocia, 1,8</w:t>
      </w:r>
      <w:r w:rsidR="00251C2F">
        <w:rPr>
          <w:shd w:val="clear" w:color="auto" w:fill="FFFFFF"/>
        </w:rPr>
        <w:t xml:space="preserve"> p. proc. dla oceny </w:t>
      </w:r>
      <w:r w:rsidR="00383267">
        <w:rPr>
          <w:shd w:val="clear" w:color="auto" w:fill="FFFFFF"/>
        </w:rPr>
        <w:t xml:space="preserve">przyszłej sytuacji finansowej gospodarstwa domowego </w:t>
      </w:r>
      <w:r w:rsidR="00251C2F">
        <w:rPr>
          <w:shd w:val="clear" w:color="auto" w:fill="FFFFFF"/>
        </w:rPr>
        <w:t xml:space="preserve">oraz </w:t>
      </w:r>
      <w:r w:rsidR="0061601D">
        <w:rPr>
          <w:shd w:val="clear" w:color="auto" w:fill="FFFFFF"/>
        </w:rPr>
        <w:t>0,4</w:t>
      </w:r>
      <w:r w:rsidR="00251C2F">
        <w:rPr>
          <w:shd w:val="clear" w:color="auto" w:fill="FFFFFF"/>
        </w:rPr>
        <w:t xml:space="preserve"> p. proc. dla oceny</w:t>
      </w:r>
      <w:r w:rsidR="00383267">
        <w:rPr>
          <w:shd w:val="clear" w:color="auto" w:fill="FFFFFF"/>
        </w:rPr>
        <w:t xml:space="preserve"> możliwości pr</w:t>
      </w:r>
      <w:r w:rsidR="00251C2F">
        <w:rPr>
          <w:shd w:val="clear" w:color="auto" w:fill="FFFFFF"/>
        </w:rPr>
        <w:t>zyszłego oszczędzania pieniędzy.</w:t>
      </w:r>
    </w:p>
    <w:p w14:paraId="1A1B425F" w14:textId="3CC00647" w:rsidR="00A06A63" w:rsidRPr="00655E7E" w:rsidRDefault="00A06A63" w:rsidP="00D26089">
      <w:pPr>
        <w:spacing w:before="0" w:after="0"/>
        <w:rPr>
          <w:shd w:val="clear" w:color="auto" w:fill="FFFFFF"/>
        </w:rPr>
      </w:pPr>
      <w:r w:rsidRPr="00655E7E">
        <w:rPr>
          <w:shd w:val="clear" w:color="auto" w:fill="FFFFFF"/>
        </w:rPr>
        <w:t>W</w:t>
      </w:r>
      <w:r w:rsidR="00462C73">
        <w:rPr>
          <w:shd w:val="clear" w:color="auto" w:fill="FFFFFF"/>
        </w:rPr>
        <w:t xml:space="preserve"> </w:t>
      </w:r>
      <w:r w:rsidR="00694C80">
        <w:rPr>
          <w:shd w:val="clear" w:color="auto" w:fill="FFFFFF"/>
        </w:rPr>
        <w:t>sierpniu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0776C7">
        <w:rPr>
          <w:shd w:val="clear" w:color="auto" w:fill="FFFFFF"/>
        </w:rPr>
        <w:t>20</w:t>
      </w:r>
      <w:r w:rsidR="006E5948">
        <w:rPr>
          <w:shd w:val="clear" w:color="auto" w:fill="FFFFFF"/>
        </w:rPr>
        <w:t>,</w:t>
      </w:r>
      <w:r w:rsidR="000776C7">
        <w:rPr>
          <w:shd w:val="clear" w:color="auto" w:fill="FFFFFF"/>
        </w:rPr>
        <w:t>4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356C31">
        <w:rPr>
          <w:shd w:val="clear" w:color="auto" w:fill="FFFFFF"/>
        </w:rPr>
        <w:t>niższą</w:t>
      </w:r>
      <w:r w:rsidR="007E58C7">
        <w:rPr>
          <w:shd w:val="clear" w:color="auto" w:fill="FFFFFF"/>
        </w:rPr>
        <w:t xml:space="preserve"> niż</w:t>
      </w:r>
      <w:r w:rsidR="00F370FD">
        <w:rPr>
          <w:shd w:val="clear" w:color="auto" w:fill="FFFFFF"/>
        </w:rPr>
        <w:t xml:space="preserve"> w analogicznym miesiącu 2019</w:t>
      </w:r>
      <w:r>
        <w:rPr>
          <w:shd w:val="clear" w:color="auto" w:fill="FFFFFF"/>
        </w:rPr>
        <w:t> </w:t>
      </w:r>
      <w:r w:rsidRPr="00655E7E">
        <w:rPr>
          <w:shd w:val="clear" w:color="auto" w:fill="FFFFFF"/>
        </w:rPr>
        <w:t xml:space="preserve">r. </w:t>
      </w:r>
    </w:p>
    <w:p w14:paraId="22CDFE25" w14:textId="382D99B0" w:rsidR="00A06A63" w:rsidRDefault="00F44379" w:rsidP="003F6DBB">
      <w:pPr>
        <w:spacing w:before="0" w:after="0"/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0EBF3F8" wp14:editId="171B06C3">
                <wp:simplePos x="0" y="0"/>
                <wp:positionH relativeFrom="rightMargin">
                  <wp:posOffset>142875</wp:posOffset>
                </wp:positionH>
                <wp:positionV relativeFrom="paragraph">
                  <wp:posOffset>160655</wp:posOffset>
                </wp:positionV>
                <wp:extent cx="1725295" cy="1104265"/>
                <wp:effectExtent l="0" t="0" r="0" b="635"/>
                <wp:wrapTight wrapText="bothSides">
                  <wp:wrapPolygon edited="0">
                    <wp:start x="715" y="0"/>
                    <wp:lineTo x="715" y="21240"/>
                    <wp:lineTo x="20749" y="2124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5A29" w14:textId="4EF84977" w:rsidR="001430EF" w:rsidRPr="00074DD8" w:rsidRDefault="001430EF" w:rsidP="00074DD8">
                            <w:pPr>
                              <w:pStyle w:val="tekstzboku"/>
                            </w:pPr>
                            <w:r>
                              <w:t>Dla 83,8</w:t>
                            </w:r>
                            <w:r w:rsidRPr="00FC711D">
                              <w:t>% respondentów obecna sytuacja epidemiologiczna miała wpływ na odpowiedzi na pytania doty</w:t>
                            </w:r>
                            <w:r>
                              <w:t>czące koniunktury konsumenckiej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3F8" id="_x0000_s1029" type="#_x0000_t202" style="position:absolute;margin-left:11.25pt;margin-top:12.65pt;width:135.85pt;height:86.9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" filled="f" stroked="f">
                <v:textbox>
                  <w:txbxContent>
                    <w:p w14:paraId="2FFB5A29" w14:textId="4EF84977" w:rsidR="001430EF" w:rsidRPr="00074DD8" w:rsidRDefault="001430EF" w:rsidP="00074DD8">
                      <w:pPr>
                        <w:pStyle w:val="tekstzboku"/>
                      </w:pPr>
                      <w:r>
                        <w:t>Dla 83,8</w:t>
                      </w:r>
                      <w:r w:rsidRPr="00FC711D">
                        <w:t>% respondentów obecna sytuacja epidemiologiczna miała wpływ na odpowiedzi na pytania doty</w:t>
                      </w:r>
                      <w:r>
                        <w:t>czące koniunktury konsumenckiej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9E338AF" w14:textId="36572D31" w:rsidR="00F44379" w:rsidRDefault="0073644F" w:rsidP="00F44379">
      <w:pPr>
        <w:pStyle w:val="Nagwek1"/>
        <w:tabs>
          <w:tab w:val="left" w:pos="6330"/>
        </w:tabs>
      </w:pPr>
      <w:r>
        <w:t>Dla 83,8</w:t>
      </w:r>
      <w:r w:rsidR="00F44379">
        <w:t>% respondentów obecna sytuacja epidemiologiczna miała wpływ na odpowiedzi doty</w:t>
      </w:r>
      <w:r w:rsidR="00221E7B">
        <w:t>czące koniunktury konsumenckiej (</w:t>
      </w:r>
      <w:r w:rsidR="008F179A">
        <w:t xml:space="preserve">odpowiedzi na pytania </w:t>
      </w:r>
      <w:r w:rsidR="00F44379">
        <w:t>dodatkow</w:t>
      </w:r>
      <w:r w:rsidR="008F179A">
        <w:t>e</w:t>
      </w:r>
      <w:r w:rsidR="00F44379">
        <w:t xml:space="preserve"> </w:t>
      </w:r>
      <w:r w:rsidR="008F179A">
        <w:t xml:space="preserve">w związku z </w:t>
      </w:r>
      <w:r w:rsidR="00F44379">
        <w:t>zagr</w:t>
      </w:r>
      <w:r w:rsidR="00F96354">
        <w:t>ożeniem</w:t>
      </w:r>
      <w:r w:rsidR="00221E7B">
        <w:t xml:space="preserve"> koronawirusem COVID-19 </w:t>
      </w:r>
      <w:r w:rsidR="008F179A">
        <w:t xml:space="preserve">zamieszczone zostały </w:t>
      </w:r>
      <w:r w:rsidR="00221E7B">
        <w:t xml:space="preserve">w </w:t>
      </w:r>
      <w:r w:rsidR="006631D3">
        <w:t>załączniku</w:t>
      </w:r>
      <w:r w:rsidR="00221E7B">
        <w:t>).</w:t>
      </w:r>
    </w:p>
    <w:p w14:paraId="5A7EA524" w14:textId="77777777" w:rsidR="00221E7B" w:rsidRPr="00221E7B" w:rsidRDefault="00221E7B" w:rsidP="00221E7B">
      <w:pPr>
        <w:rPr>
          <w:lang w:eastAsia="pl-PL"/>
        </w:rPr>
      </w:pPr>
    </w:p>
    <w:p w14:paraId="2302267A" w14:textId="60506D7C" w:rsidR="004F4B02" w:rsidRDefault="004F4B02" w:rsidP="00D06B81">
      <w:pPr>
        <w:jc w:val="both"/>
        <w:rPr>
          <w:rFonts w:cs="Arial"/>
          <w:spacing w:val="-2"/>
          <w:sz w:val="18"/>
          <w:szCs w:val="18"/>
        </w:rPr>
      </w:pPr>
    </w:p>
    <w:p w14:paraId="7F886B9E" w14:textId="77777777" w:rsidR="00B34B75" w:rsidRDefault="00B34B75" w:rsidP="00D06B81">
      <w:pPr>
        <w:jc w:val="both"/>
        <w:rPr>
          <w:rFonts w:cs="Arial"/>
          <w:spacing w:val="-2"/>
          <w:sz w:val="18"/>
          <w:szCs w:val="18"/>
        </w:rPr>
      </w:pPr>
    </w:p>
    <w:p w14:paraId="4F4F2430" w14:textId="77777777" w:rsidR="00DE1E47" w:rsidRDefault="00DE1E47" w:rsidP="00D06B81">
      <w:pPr>
        <w:jc w:val="both"/>
        <w:rPr>
          <w:rFonts w:cs="Arial"/>
          <w:spacing w:val="-2"/>
          <w:sz w:val="18"/>
          <w:szCs w:val="18"/>
        </w:rPr>
      </w:pPr>
    </w:p>
    <w:p w14:paraId="2A2C25F2" w14:textId="77777777" w:rsidR="00DE1E47" w:rsidRPr="00D06B81" w:rsidRDefault="00DE1E47" w:rsidP="00D06B81">
      <w:pPr>
        <w:jc w:val="both"/>
        <w:rPr>
          <w:rFonts w:cs="Arial"/>
          <w:spacing w:val="-2"/>
          <w:sz w:val="18"/>
          <w:szCs w:val="18"/>
        </w:rPr>
      </w:pP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14:paraId="391D72B9" w14:textId="77777777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14:paraId="248ADC28" w14:textId="77777777"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14:paraId="7E2CA918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14:paraId="125FF143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14:paraId="05B74E6B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14:paraId="6447FF63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14:paraId="3E1DCA0E" w14:textId="77777777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14:paraId="39C7036A" w14:textId="77777777"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2DADC0A" w14:textId="77777777"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1384001" w14:textId="77777777"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5FC2E12" w14:textId="77777777"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14:paraId="56803BDC" w14:textId="77777777"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14:paraId="1085402A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14:paraId="62FB4B8B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14:paraId="5D8E0DDA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14:paraId="2DB655CA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14:paraId="4705E7F2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14:paraId="48A00648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14:paraId="742AD739" w14:textId="77777777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14:paraId="17DD4305" w14:textId="77777777"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14:paraId="1E60D8AE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14:paraId="04655817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14:paraId="3EF12BC5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14:paraId="4528EDFF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14:paraId="4E3F29C6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14:paraId="68327E79" w14:textId="77777777"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14:paraId="526635C7" w14:textId="77777777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14:paraId="2A8F9BCC" w14:textId="77777777"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62589EC6" w14:textId="77777777"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14:paraId="7CCFFE93" w14:textId="77777777"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14:paraId="55579316" w14:textId="77777777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14:paraId="3629EE2F" w14:textId="77777777"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14:paraId="01A34138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6F09A109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5F73D01A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79036828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12BFCA42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14:paraId="62BF060A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14:paraId="74B53242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1BB28A96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B7B5CEF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6A8F86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B4DFDA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A09BE86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2DEEB00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CEA5469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14:paraId="3BC2B994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66560064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C59E442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F9668FA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463714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8BBE8A3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BD87E1F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B6B3AF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14:paraId="2F3E8E10" w14:textId="77777777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3856290D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C7199B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D239C1D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A28BDB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0292E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5CBADE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1DBFB2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14:paraId="506C447C" w14:textId="77777777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0DDCCA91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A53CC7A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BD8602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6EE81D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6F86A6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317B67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FBF7EB1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14:paraId="7259848D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648C305F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12898D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D7CFC6D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EECA69A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7C06D50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C2E6A36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BAD4C6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14:paraId="6D5BB919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6F3F13C6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1E68B30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4769EC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5B73408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053DFA9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CB83E8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034446C6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14:paraId="433021F2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72D8E380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59C9A2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3D3100D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31BB7E9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96B42C8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2EDC408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686246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14:paraId="4E4CD81F" w14:textId="77777777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8930B2B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C204AB0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DDE0226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9055F31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E21D08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249193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95934D6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14:paraId="59A94165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50C0A0E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9EAB165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BA468B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D518248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AFFC35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0F4FF5A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71F4DC0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14:paraId="7DE0A8A0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D3EA585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760B36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3CEAF29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B229BC6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9BED9A4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9B032D4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279AEF7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14:paraId="01984AF8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EB1F584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C24984D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2F3A98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BB54B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5ADE4EB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B33EFB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27F882F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14:paraId="4EC1399B" w14:textId="77777777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A80C20B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8A0F17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15B725C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C3F2C5C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E957F5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43161A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0B3DA0F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14:paraId="3A3A958C" w14:textId="77777777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5CBC613" w14:textId="77777777"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57AADC7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E699431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3670108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19F5297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8305E06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293C6B3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1D4E28" w:rsidRPr="00FA5128" w14:paraId="0B3ABC82" w14:textId="77777777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487F180" w14:textId="77777777"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E48ACF2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4,8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51F73B0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2A6147D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86CA1F4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A8DDD5E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F7233D1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</w:tr>
      <w:tr w:rsidR="005357E1" w:rsidRPr="00FA5128" w14:paraId="112AF055" w14:textId="77777777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14:paraId="675E8A23" w14:textId="77777777"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30E6426C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0C8EFDAF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4A6CAE2" w14:textId="77777777"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DC235A9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E91945F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1F5E3A4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E0EE3" w:rsidRPr="00FA5128" w14:paraId="7DF6ECB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752B9FB" w14:textId="77777777"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7BB5A87F" w14:textId="77777777"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30E19EF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F059ACC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106E10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5B2027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CED1E74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FB64161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14:paraId="3EBE034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4E5324F" w14:textId="77777777"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67C7A8C9" w14:textId="77777777"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A307AD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6A5DD4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9E49BD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7F8239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B37EC6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713695D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B51B63" w:rsidRPr="00FA5128" w14:paraId="30C031D0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A919E2E" w14:textId="77777777"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5F6E1231" w14:textId="77777777"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BCC695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11B015F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1058AD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26C369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4234F75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9AC442D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</w:tr>
      <w:tr w:rsidR="001D4E28" w:rsidRPr="00FA5128" w14:paraId="7516E0C4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843CCA2" w14:textId="77777777"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3C0E350C" w14:textId="77777777"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815F12B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CD1B000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359BE61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4E94290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3AB7869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43735C7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6,8</w:t>
            </w:r>
          </w:p>
        </w:tc>
      </w:tr>
      <w:tr w:rsidR="005462E0" w:rsidRPr="00FA5128" w14:paraId="4B645854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9B9B85E" w14:textId="77777777" w:rsidR="005462E0" w:rsidRDefault="005462E0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34E296B0" w14:textId="77777777" w:rsidR="005462E0" w:rsidRDefault="005462E0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3BB9BAD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F502F75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239A632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8A9AE65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094378D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123F46A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</w:tr>
      <w:tr w:rsidR="007A4973" w:rsidRPr="00FA5128" w14:paraId="426EAAE1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EF99063" w14:textId="77777777" w:rsidR="007A4973" w:rsidRDefault="007A497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3724E043" w14:textId="2A9E6377" w:rsidR="007A4973" w:rsidRDefault="007A497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BC29F5" w14:textId="1589EE5A" w:rsidR="007A4973" w:rsidRDefault="00985AF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9A257A5" w14:textId="6789A32C" w:rsidR="007A4973" w:rsidRDefault="00985AF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4094542" w14:textId="2645BCD5" w:rsidR="007A4973" w:rsidRDefault="00985AF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-32,3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2B2D99B" w14:textId="5C69F5CB" w:rsidR="007A4973" w:rsidRDefault="00985AF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-47,8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52E6FA" w14:textId="68075259" w:rsidR="007A4973" w:rsidRDefault="00985AF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-34,0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173CC3A" w14:textId="7BEF05DB" w:rsidR="007A4973" w:rsidRDefault="00985AF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-28,7</w:t>
            </w:r>
          </w:p>
        </w:tc>
      </w:tr>
      <w:tr w:rsidR="005357E1" w:rsidRPr="00FA5128" w14:paraId="20936808" w14:textId="77777777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14:paraId="639D75D7" w14:textId="77777777"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2ABEA574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EDE1FA4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A70C1E0" w14:textId="77777777"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32CA8C69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1F79706A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10DA44F0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1D4E28" w:rsidRPr="00FA5128" w14:paraId="395D816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EA1D9E6" w14:textId="719B7E63" w:rsidR="001D4E28" w:rsidRDefault="00316EF5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312426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44863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DEDA76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56F947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4A0856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29D1B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86081B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14:paraId="2FFA8FD6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33B3007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AE58EF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967AE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6F4CA1A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7FA2268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06DD4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62C88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4B49D1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1D4E28" w:rsidRPr="00FA5128" w14:paraId="245947AC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A6CC57B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9E0D71F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1A9BF7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82408B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6FE47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9CB71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280176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8CCD02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D4E28" w:rsidRPr="00FA5128" w14:paraId="536C2F4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01F687B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FF7E5BE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435603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EB84485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E295A7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37F566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7226D7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ECEED2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1D4E28" w:rsidRPr="00FA5128" w14:paraId="584BA0E7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85FAA22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0EE2A6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19BD5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582886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BB8B02A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74B0AA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E5A3B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8C713B4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1D4E28" w:rsidRPr="00FA5128" w14:paraId="394052DF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868A6D1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1D48528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1051238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98BB25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0505B4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5C973C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C6C593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3A843D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14:paraId="7AE18A89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3B809D4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65DFB87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E87717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17B83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0310B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A5045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7A4388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19,4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218578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10,2</w:t>
            </w:r>
          </w:p>
        </w:tc>
      </w:tr>
      <w:tr w:rsidR="001D4E28" w:rsidRPr="00FA5128" w14:paraId="3982736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98C9D16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2733460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AD297A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61D2F06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8A1BCD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FD65EC4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DFE7D2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71486C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</w:tr>
      <w:tr w:rsidR="001D4E28" w:rsidRPr="00FA5128" w14:paraId="03233B7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C930A37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FBD638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55EDF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A96415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154A98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7F959F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3FE41F5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C35484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</w:tr>
      <w:tr w:rsidR="001D4E28" w:rsidRPr="00FA5128" w14:paraId="70E74B2A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9AE06DE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4A7866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7F9B44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186C03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89F54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C94383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3DFE2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E4D273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</w:tr>
      <w:tr w:rsidR="006348AB" w:rsidRPr="00FA5128" w14:paraId="505AE57D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43B7BC5" w14:textId="77777777" w:rsidR="006348AB" w:rsidRDefault="006348AB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9083BF7" w14:textId="77777777" w:rsidR="006348AB" w:rsidRDefault="006348AB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BF12EE6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EA101ED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D3A8CD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FFFBA28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9569C5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F079138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3,7</w:t>
            </w:r>
          </w:p>
        </w:tc>
      </w:tr>
      <w:tr w:rsidR="005F53B6" w:rsidRPr="00FA5128" w14:paraId="2ECA2D64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4A22C593" w14:textId="77777777" w:rsidR="005F53B6" w:rsidRDefault="005F53B6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027816" w14:textId="77777777" w:rsidR="005F53B6" w:rsidRDefault="005F53B6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0C5BC1D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CE4907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0D456A1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0C2F8F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7896F51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E8065B2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5462E0" w:rsidRPr="00FA5128" w14:paraId="5CC4ECBA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D3C12FF" w14:textId="77777777" w:rsidR="005462E0" w:rsidRDefault="005462E0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B186EC" w14:textId="77777777" w:rsidR="005462E0" w:rsidRDefault="005462E0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91CDBF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98EF332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C14CB0F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4BEEF11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BE63950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A319F9B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920F54" w:rsidRPr="00FA5128" w14:paraId="3C99965B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BB8CDE5" w14:textId="77777777" w:rsidR="00920F54" w:rsidRDefault="00920F54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BF7AD2" w14:textId="443A9ED9" w:rsidR="00920F54" w:rsidRDefault="00920F54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BD79FB6" w14:textId="66668662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16BF4A" w14:textId="063E4348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5B5603D" w14:textId="1DA7E74B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39BC49" w14:textId="4D60DC52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F8F1DF" w14:textId="17F118D9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-47,3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063B813" w14:textId="1752F541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-36,4</w:t>
            </w:r>
          </w:p>
        </w:tc>
      </w:tr>
      <w:tr w:rsidR="006C1D1D" w:rsidRPr="00FA5128" w14:paraId="786ABE8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C540732" w14:textId="77777777" w:rsidR="006C1D1D" w:rsidRDefault="006C1D1D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A4F67B" w14:textId="321D3EF4" w:rsidR="006C1D1D" w:rsidRDefault="006C1D1D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90CD7C" w14:textId="759B06DB" w:rsidR="006C1D1D" w:rsidRDefault="00DF4CD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327F12D" w14:textId="5762F2CC" w:rsidR="006C1D1D" w:rsidRDefault="00DF4CD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-19,6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E5C311A" w14:textId="0A09640A" w:rsidR="006C1D1D" w:rsidRDefault="00DF4CD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-35,6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D47F8B" w14:textId="254F84A3" w:rsidR="006C1D1D" w:rsidRDefault="00DF4CD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-48,9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02DF42E" w14:textId="76A0331C" w:rsidR="006C1D1D" w:rsidRDefault="00DF4CD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-35,7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DFD45C6" w14:textId="7AD5A777" w:rsidR="006C1D1D" w:rsidRDefault="00DF4CD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-30,1</w:t>
            </w:r>
          </w:p>
        </w:tc>
      </w:tr>
      <w:tr w:rsidR="007A4973" w:rsidRPr="00FA5128" w14:paraId="00F75309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9B4C29E" w14:textId="77777777" w:rsidR="007A4973" w:rsidRDefault="007A4973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69B1420" w14:textId="2B3938D8" w:rsidR="007A4973" w:rsidRDefault="007A4973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65FB23F" w14:textId="4D29CEB2" w:rsidR="007A4973" w:rsidRDefault="00852FFE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45CB38" w14:textId="57EB639F" w:rsidR="007A4973" w:rsidRDefault="00852FFE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091DCE4" w14:textId="7C59A63F" w:rsidR="007A4973" w:rsidRDefault="00852FFE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6D3DD7C" w14:textId="164BB6C6" w:rsidR="007A4973" w:rsidRDefault="00852FFE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-30,1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8E4C2E6" w14:textId="71AF9561" w:rsidR="007A4973" w:rsidRDefault="00852FFE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-19,0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B15DE21" w14:textId="7802A711" w:rsidR="007A4973" w:rsidRDefault="00852FFE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-19,4</w:t>
            </w:r>
          </w:p>
        </w:tc>
      </w:tr>
      <w:tr w:rsidR="00B9543F" w:rsidRPr="00FA5128" w14:paraId="6032E147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56FD93A" w14:textId="77777777" w:rsidR="00B9543F" w:rsidRDefault="00B9543F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EED45D6" w14:textId="68F18C00" w:rsidR="00B9543F" w:rsidRDefault="00B9543F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9CEC53" w14:textId="789FFC8E" w:rsidR="00B9543F" w:rsidRDefault="009211C7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22EDDE" w14:textId="2CA8C94D" w:rsidR="00B9543F" w:rsidRDefault="009211C7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10C1C96" w14:textId="623F503C" w:rsidR="00B9543F" w:rsidRDefault="009211C7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-24,4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8B19683" w14:textId="31F5EFA8" w:rsidR="00B9543F" w:rsidRDefault="009211C7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FE7E845" w14:textId="42F7BC0D" w:rsidR="00B9543F" w:rsidRDefault="009211C7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EC68040" w14:textId="34F60528" w:rsidR="00B9543F" w:rsidRDefault="009211C7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-13,4</w:t>
            </w:r>
          </w:p>
        </w:tc>
      </w:tr>
      <w:tr w:rsidR="00316EF5" w:rsidRPr="00FA5128" w14:paraId="3279301F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F4A9439" w14:textId="77777777" w:rsidR="00316EF5" w:rsidRDefault="00316EF5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B255653" w14:textId="6E37F4F1" w:rsidR="00316EF5" w:rsidRDefault="00316EF5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6DA5AB" w14:textId="4A6B9E33" w:rsidR="00316EF5" w:rsidRDefault="007F1A5B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37939CF" w14:textId="1DA0F7C6" w:rsidR="00316EF5" w:rsidRDefault="007F1A5B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CAB85E1" w14:textId="434E3A53" w:rsidR="00316EF5" w:rsidRDefault="007F1A5B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-29,4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3BCDBF" w14:textId="2B20625D" w:rsidR="00316EF5" w:rsidRDefault="007F1A5B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050FD64" w14:textId="146A45F5" w:rsidR="00316EF5" w:rsidRDefault="007F1A5B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-12,6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E15B979" w14:textId="4C0A7602" w:rsidR="00316EF5" w:rsidRDefault="007F1A5B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-15,2</w:t>
            </w:r>
          </w:p>
        </w:tc>
      </w:tr>
      <w:tr w:rsidR="001D4E28" w:rsidRPr="00FA5128" w14:paraId="75265618" w14:textId="77777777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14:paraId="09BA794F" w14:textId="77777777" w:rsidR="001D4E28" w:rsidRPr="007443DC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51CC8817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E8DC3A2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0F96D933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917279C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78575A58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14:paraId="4A31D788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14:paraId="5AC1C0D1" w14:textId="77777777"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067B0FB4" wp14:editId="3A161959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B5E4" w14:textId="77777777" w:rsidR="001430EF" w:rsidRPr="0093660E" w:rsidRDefault="001430EF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0FB4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14:paraId="7F95B5E4" w14:textId="77777777" w:rsidR="001430EF" w:rsidRPr="0093660E" w:rsidRDefault="001430EF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14:paraId="560EF38E" w14:textId="77777777"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14:paraId="16A2826E" w14:textId="77777777"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7CD74491" wp14:editId="413729F1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F370FD">
        <w:rPr>
          <w:shd w:val="clear" w:color="auto" w:fill="FFFFFF"/>
        </w:rPr>
        <w:t xml:space="preserve"> 2017–2020</w:t>
      </w:r>
    </w:p>
    <w:p w14:paraId="73726264" w14:textId="77777777" w:rsidR="00FD7BD2" w:rsidRPr="00FD7BD2" w:rsidRDefault="00FD7BD2" w:rsidP="00FD7BD2"/>
    <w:p w14:paraId="06358B85" w14:textId="77777777"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4E8C0972" wp14:editId="6D533394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14:paraId="4F362417" w14:textId="77777777"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14:paraId="5247D173" w14:textId="77777777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14:paraId="6B1357BA" w14:textId="77777777"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14:paraId="60195E73" w14:textId="77777777"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8494090" w14:textId="77777777"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D3EA589" w14:textId="77777777"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14:paraId="27614EB7" w14:textId="77777777"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14:paraId="5B158311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14:paraId="6352130B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14:paraId="5EB16E1A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14:paraId="57D9C4DE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14:paraId="5862684A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14:paraId="0226B45B" w14:textId="77777777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14:paraId="283AF834" w14:textId="77777777"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7950AB0B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14:paraId="26BEC221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7F2A2CA6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14:paraId="0FFFD325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14:paraId="6453E936" w14:textId="77777777"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14:paraId="41A05BE5" w14:textId="77777777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14:paraId="21E1C494" w14:textId="77777777"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14:paraId="6D3F1A1D" w14:textId="77777777"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14:paraId="28D9ABCB" w14:textId="77777777"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14:paraId="299D305B" w14:textId="77777777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14:paraId="3FF22F2B" w14:textId="77777777"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49084955" w14:textId="77777777"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14:paraId="5DF20B02" w14:textId="77777777"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14:paraId="7CBD4639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0E54EABA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BDA8F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085CA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D6763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E81DAC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6B299A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14:paraId="6480F77F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043BFF82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CC5C90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BD4711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5C1BE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A69C9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4D257D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14:paraId="46CD059E" w14:textId="77777777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42A3B0E8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C6921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8DF661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5BF26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6FD4F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C4965A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14:paraId="4064FB82" w14:textId="77777777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425D4B5A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020841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A77B893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F0B9E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719300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C547DA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14:paraId="18BCFA0E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7D117886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249A5C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E69180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CCD8B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A268E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A9F34E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14:paraId="6BF0BE97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24D19BCB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5270C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DBD0DFC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8CE3CE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03919C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2F5D4C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14:paraId="63D95FBD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0DCCA111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E4BC68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0C934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7A90B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E0E7D5D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CEC648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14:paraId="7FAB1D53" w14:textId="77777777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3AC78E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0649A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449F4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9F3A30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18823A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ECC537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14:paraId="12671061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290E75F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C0908D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1A51E70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68D6BC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6BA661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EDA93DB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14:paraId="4CB73D0D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EC0839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0421E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195D21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AAA71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D8B6D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0EAD9E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14:paraId="5E580249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CAE0167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A789E0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52D1DF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44A50B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20794A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7DEEDDD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14:paraId="6CF38D9F" w14:textId="77777777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5CA3E7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A08B8A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BA0892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8BA76A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465FA0C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73665F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14:paraId="7AAF2995" w14:textId="77777777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68D107C" w14:textId="77777777"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CBE4B78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624669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43401E2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A392FD8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EED24F2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730701" w:rsidRPr="00FA5128" w14:paraId="16E37387" w14:textId="77777777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CDB38E2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220466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10FB624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CB4AF0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069415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36BBAA0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</w:tr>
      <w:tr w:rsidR="00C63004" w:rsidRPr="00FA5128" w14:paraId="60193423" w14:textId="77777777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14:paraId="2ED3CEFF" w14:textId="77777777"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0EB8D505" w14:textId="77777777"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3D0E620" w14:textId="77777777"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E0EE3" w:rsidRPr="00FA5128" w14:paraId="509475D0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41F20CBD" w14:textId="77777777"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7DDF8952" w14:textId="77777777"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3A406C1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6A3C63F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3F93834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EDEA25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43C83AD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14:paraId="1FF1603C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A78910A" w14:textId="77777777"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2E611CBA" w14:textId="77777777"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E97DB38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C1D069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064F02F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5F2314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BD1853E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3C6EFB" w:rsidRPr="00FA5128" w14:paraId="79EBE912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A05A6EE" w14:textId="77777777"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5E1B6BB" w14:textId="77777777"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2BD53D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FA04C92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3A6347C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A3862C4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603204B8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</w:tr>
      <w:tr w:rsidR="00730701" w:rsidRPr="00FA5128" w14:paraId="0637B32D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A595CC2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1487D2F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F72D78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99833AE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</w:t>
            </w:r>
            <w:r w:rsidR="003D0689">
              <w:rPr>
                <w:rFonts w:cs="Arial"/>
                <w:sz w:val="14"/>
                <w:szCs w:val="20"/>
              </w:rPr>
              <w:t>,</w:t>
            </w:r>
            <w:r>
              <w:rPr>
                <w:rFonts w:cs="Arial"/>
                <w:sz w:val="1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F036C68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162B596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2DD133B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</w:tr>
      <w:tr w:rsidR="00812468" w:rsidRPr="00FA5128" w14:paraId="5418D9F1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1E178AD" w14:textId="77777777"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61DF4895" w14:textId="77777777"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DF05DC3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949CF52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FA32939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713E87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078C48B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-1,7</w:t>
            </w:r>
          </w:p>
        </w:tc>
      </w:tr>
      <w:tr w:rsidR="00B1006C" w:rsidRPr="00FA5128" w14:paraId="61EFC9E0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0E10FE1" w14:textId="77777777" w:rsidR="00B1006C" w:rsidRDefault="00B1006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52B282C" w14:textId="47209454" w:rsidR="00B1006C" w:rsidRDefault="00B1006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3B0D628" w14:textId="2208DDE6" w:rsidR="00B1006C" w:rsidRDefault="005C66B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14A2E3" w14:textId="49358471" w:rsidR="00B1006C" w:rsidRDefault="005C66B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-47,8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B99696" w14:textId="2526AC42" w:rsidR="00B1006C" w:rsidRDefault="005C66B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-68,9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6D2D435" w14:textId="57AB2536" w:rsidR="00B1006C" w:rsidRDefault="005C66B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123B551" w14:textId="5BBF5C29" w:rsidR="00B1006C" w:rsidRDefault="005C66B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-36,3</w:t>
            </w:r>
          </w:p>
        </w:tc>
      </w:tr>
      <w:tr w:rsidR="00AF2F1E" w:rsidRPr="00FA5128" w14:paraId="6B177794" w14:textId="77777777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14:paraId="586DDD66" w14:textId="77777777"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9D36CA6" w14:textId="77777777"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EFBC093" w14:textId="77777777"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413B9" w:rsidRPr="00FA5128" w14:paraId="7B405D2D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A62E19F" w14:textId="7469D177" w:rsidR="00B413B9" w:rsidRDefault="00AB6B5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E76705F" w14:textId="77777777"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0C1BDA9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395CB5E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4A7C03A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8613D7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CB3DD5F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14:paraId="4F39A6F3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F43751D" w14:textId="77777777"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F0DDCA" w14:textId="77777777"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79326C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90413C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237922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EADB20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8E5494B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14:paraId="2EA1CD2A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1C696E9" w14:textId="77777777"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98524B" w14:textId="77777777"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99E594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0952E7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BE56BD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4125CF1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F843995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14:paraId="17FA8B3A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0489B67" w14:textId="77777777"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C7E7B69" w14:textId="77777777"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513F71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6FB92C9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3B26D3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44D4584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370C321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14:paraId="3C558FB8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1BBF96E" w14:textId="77777777"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35C9DC5" w14:textId="77777777"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1D59DF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80D9F8D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DAE880B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A5BABA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FF95C45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14:paraId="011035EB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97758B7" w14:textId="77777777"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933A46" w14:textId="77777777"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52F6872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C6AF2A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F3A9840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5EFBFB7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99AC1F9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14:paraId="0A6A4E55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5F11E48" w14:textId="77777777"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23ACE9" w14:textId="77777777"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9AD5C81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AC2B66D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DD4D36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6E7F3BF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B7ECC24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3C6EFB" w:rsidRPr="00FA5128" w14:paraId="3CF32647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B4BD0C5" w14:textId="77777777"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94F0C2" w14:textId="77777777" w:rsidR="003C6EFB" w:rsidRDefault="003C6EF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E4F81F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0FBF8F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034CC5C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909F31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B37F65D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</w:tr>
      <w:tr w:rsidR="00F54C16" w:rsidRPr="00FA5128" w14:paraId="5FC9D7E4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7103920" w14:textId="77777777" w:rsidR="00F54C16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6C5778" w14:textId="77777777" w:rsidR="00F54C16" w:rsidRDefault="00F54C1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B645E13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479E3AF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3206FE3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E7143F7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A490ECD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</w:tr>
      <w:tr w:rsidR="00D77FEA" w:rsidRPr="00FA5128" w14:paraId="0A443A06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D6C24C3" w14:textId="77777777" w:rsidR="00D77FEA" w:rsidRDefault="00D77FE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CB2C00" w14:textId="77777777" w:rsidR="00D77FEA" w:rsidRDefault="00D77FE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563C9B3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3DBFBB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F12B64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1A9FF3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E771A9A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730701" w:rsidRPr="00FA5128" w14:paraId="093F72A4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672B4DE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991ADCC" w14:textId="77777777" w:rsidR="00730701" w:rsidRDefault="0073070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C53C68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DAB3EB2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D90EF22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32B53B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05F7605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</w:tr>
      <w:tr w:rsidR="006348AB" w:rsidRPr="00FA5128" w14:paraId="607518EC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21DA25E" w14:textId="77777777" w:rsidR="006348AB" w:rsidRDefault="006348A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EAD11C" w14:textId="77777777" w:rsidR="006348AB" w:rsidRDefault="006348A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64D44C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3313923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6998CF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17ED4D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8F7AB58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</w:tr>
      <w:tr w:rsidR="005F53B6" w:rsidRPr="00FA5128" w14:paraId="62BD9D40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749FA4B" w14:textId="77777777" w:rsidR="005F53B6" w:rsidRDefault="005F53B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13B995" w14:textId="77777777" w:rsidR="005F53B6" w:rsidRDefault="005F53B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C354A8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F938E77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ACD587B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C813DF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0AEF36E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-2,2</w:t>
            </w:r>
          </w:p>
        </w:tc>
      </w:tr>
      <w:tr w:rsidR="00812468" w:rsidRPr="00FA5128" w14:paraId="7676F2E5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F468C60" w14:textId="77777777"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83F678" w14:textId="77777777" w:rsidR="00812468" w:rsidRDefault="0081246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1935142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A10799" w14:textId="514B6C42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</w:t>
            </w:r>
            <w:r w:rsidR="008810F3">
              <w:rPr>
                <w:rFonts w:cs="Arial"/>
                <w:sz w:val="14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AD6261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5A40F5C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1EE1A63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-2,3</w:t>
            </w:r>
          </w:p>
        </w:tc>
      </w:tr>
      <w:tr w:rsidR="006F35B8" w:rsidRPr="00FA5128" w14:paraId="629D6C39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3652B0A" w14:textId="77777777" w:rsidR="006F35B8" w:rsidRDefault="006F35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30D5ED" w14:textId="5E590FE0" w:rsidR="006F35B8" w:rsidRDefault="006F35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8BE740" w14:textId="1C51BC8C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133495B" w14:textId="06BB183C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792105D" w14:textId="529D7350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-77,7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8A6D45" w14:textId="7D5DA2C5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E8EAD5C" w14:textId="0C3A5030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-47,7</w:t>
            </w:r>
          </w:p>
        </w:tc>
      </w:tr>
      <w:tr w:rsidR="006C1D1D" w:rsidRPr="00FA5128" w14:paraId="48F75C68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5121F8A" w14:textId="77777777" w:rsidR="006C1D1D" w:rsidRDefault="006C1D1D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350B04B" w14:textId="54A0DF97" w:rsidR="006C1D1D" w:rsidRDefault="006C1D1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988322A" w14:textId="77B449F5" w:rsidR="006C1D1D" w:rsidRDefault="00082013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-19,6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F97E73" w14:textId="6952462B" w:rsidR="006C1D1D" w:rsidRDefault="00CD6FF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74F219" w14:textId="145ACD8B" w:rsidR="006C1D1D" w:rsidRDefault="00CD6FF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-73,2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F78675A" w14:textId="7A8C12E0" w:rsidR="006C1D1D" w:rsidRDefault="00CD6FF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692198FF" w14:textId="1F10849F" w:rsidR="006C1D1D" w:rsidRDefault="003E63A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-37,3</w:t>
            </w:r>
          </w:p>
        </w:tc>
      </w:tr>
      <w:tr w:rsidR="00B1006C" w:rsidRPr="00FA5128" w14:paraId="1D3DFD4F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3276992" w14:textId="77777777" w:rsidR="00B1006C" w:rsidRDefault="00B1006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09C4C0" w14:textId="6E2B73B2" w:rsidR="00B1006C" w:rsidRDefault="00B1006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3CDFB3B" w14:textId="138BF4A7" w:rsidR="00B1006C" w:rsidRDefault="0003182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02BB51D" w14:textId="7B35645C" w:rsidR="00B1006C" w:rsidRDefault="0003182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-30,1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7CFF999" w14:textId="4A581861" w:rsidR="00B1006C" w:rsidRDefault="0003182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-55,8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0A710D0" w14:textId="30AC1DED" w:rsidR="00B1006C" w:rsidRDefault="0003182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43CD82D" w14:textId="5604DB06" w:rsidR="00B1006C" w:rsidRDefault="0003182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-23,9</w:t>
            </w:r>
          </w:p>
        </w:tc>
      </w:tr>
      <w:tr w:rsidR="00F04CF9" w:rsidRPr="00FA5128" w14:paraId="197AFD90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FD19832" w14:textId="77777777" w:rsidR="00F04CF9" w:rsidRDefault="00F04CF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6C87B3F" w14:textId="1E5E30CA" w:rsidR="00F04CF9" w:rsidRDefault="00F04CF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42D0BDC" w14:textId="318C524E" w:rsidR="00F04CF9" w:rsidRDefault="00541B1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F2CC6F2" w14:textId="6F3E59CB" w:rsidR="00F04CF9" w:rsidRDefault="00541B1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D90B74" w14:textId="4607AA52" w:rsidR="00F04CF9" w:rsidRDefault="00541B1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8993D4E" w14:textId="2F1DE315" w:rsidR="00F04CF9" w:rsidRDefault="00541B1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9D19CD9" w14:textId="289D678F" w:rsidR="00F04CF9" w:rsidRDefault="00541B1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-13,6</w:t>
            </w:r>
          </w:p>
        </w:tc>
      </w:tr>
      <w:tr w:rsidR="00AB6B5C" w:rsidRPr="00FA5128" w14:paraId="34597DD4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DD0C453" w14:textId="77777777" w:rsidR="00AB6B5C" w:rsidRDefault="00AB6B5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D08724E" w14:textId="683CEF20" w:rsidR="00AB6B5C" w:rsidRDefault="00AB6B5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15DF1F" w14:textId="74129344" w:rsidR="00AB6B5C" w:rsidRDefault="00B0285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1D785D" w14:textId="07A88D7F" w:rsidR="00AB6B5C" w:rsidRDefault="00B0285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79F41ED" w14:textId="6848E2ED" w:rsidR="00AB6B5C" w:rsidRDefault="00B0285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B11F81" w14:textId="4F369B3A" w:rsidR="00AB6B5C" w:rsidRDefault="00B0285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D125BD3" w14:textId="7CEDE6F2" w:rsidR="00AB6B5C" w:rsidRDefault="00B0285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-16,5</w:t>
            </w:r>
          </w:p>
        </w:tc>
      </w:tr>
      <w:tr w:rsidR="002A3665" w:rsidRPr="00FA5128" w14:paraId="2DCFB6E8" w14:textId="77777777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14:paraId="4C513E77" w14:textId="77777777"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63D63E0F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D17B5B1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01A224E4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446DED49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14:paraId="4834D4AC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14:paraId="14A8B5C1" w14:textId="77777777"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BEE9473" wp14:editId="7AC1D7F7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4783" w14:textId="77777777" w:rsidR="001430EF" w:rsidRPr="0093660E" w:rsidRDefault="001430EF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14:paraId="65972F93" w14:textId="77777777" w:rsidR="001430EF" w:rsidRPr="0093660E" w:rsidRDefault="001430EF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9473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14:paraId="3BEF4783" w14:textId="77777777" w:rsidR="001430EF" w:rsidRPr="0093660E" w:rsidRDefault="001430EF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14:paraId="65972F93" w14:textId="77777777" w:rsidR="001430EF" w:rsidRPr="0093660E" w:rsidRDefault="001430EF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14:paraId="27516DEE" w14:textId="77777777"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14:paraId="79F2FB81" w14:textId="77777777"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 wp14:anchorId="798716EA" wp14:editId="5A22B002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F370FD">
        <w:rPr>
          <w:shd w:val="clear" w:color="auto" w:fill="FFFFFF"/>
        </w:rPr>
        <w:t xml:space="preserve"> 2017–2020</w:t>
      </w:r>
    </w:p>
    <w:p w14:paraId="79A77EF8" w14:textId="77777777" w:rsidR="00C562B2" w:rsidRPr="00FD7BD2" w:rsidRDefault="00C562B2" w:rsidP="00C562B2"/>
    <w:p w14:paraId="29BEDAB8" w14:textId="77777777"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A5074D" wp14:editId="1815E872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E697" w14:textId="77777777" w:rsidR="001430EF" w:rsidRPr="003B3271" w:rsidRDefault="001430EF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074D"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14:paraId="18C7E697" w14:textId="77777777" w:rsidR="001430EF" w:rsidRPr="003B3271" w:rsidRDefault="001430EF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1B831E3B" wp14:editId="102B757C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14:paraId="19D98A9B" w14:textId="77777777"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14:paraId="49A713E8" w14:textId="77777777"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14:paraId="29B37C95" w14:textId="77777777" w:rsidR="00CF6348" w:rsidRPr="00CF6348" w:rsidRDefault="00CF6348" w:rsidP="00CF6348">
      <w:pPr>
        <w:rPr>
          <w:lang w:eastAsia="pl-PL"/>
        </w:rPr>
      </w:pPr>
    </w:p>
    <w:p w14:paraId="65BF16AD" w14:textId="77777777"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14:paraId="5AC1C0C7" w14:textId="0E2D3524" w:rsidR="004E324A" w:rsidRDefault="006631D3" w:rsidP="004E324A">
      <w:pPr>
        <w:pStyle w:val="tytuinformacji"/>
        <w:rPr>
          <w:szCs w:val="40"/>
          <w:shd w:val="clear" w:color="auto" w:fill="FFFFFF"/>
        </w:rPr>
      </w:pPr>
      <w:r>
        <w:rPr>
          <w:szCs w:val="40"/>
          <w:shd w:val="clear" w:color="auto" w:fill="FFFFFF"/>
        </w:rPr>
        <w:lastRenderedPageBreak/>
        <w:t>Załącznik</w:t>
      </w:r>
    </w:p>
    <w:p w14:paraId="6ED5CDAD" w14:textId="2A9AB9D4" w:rsidR="004E324A" w:rsidRPr="00FE5C2F" w:rsidRDefault="00BB5174" w:rsidP="004E324A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4E324A" w:rsidRPr="004E324A">
        <w:rPr>
          <w:shd w:val="clear" w:color="auto" w:fill="FFFFFF"/>
        </w:rPr>
        <w:t>ytania dodatkowe w związku z sytuacją epidemiologiczną (zag</w:t>
      </w:r>
      <w:r w:rsidR="00FE5C2F">
        <w:rPr>
          <w:shd w:val="clear" w:color="auto" w:fill="FFFFFF"/>
        </w:rPr>
        <w:t>rożenie koronawirusem COVID-19)</w:t>
      </w:r>
    </w:p>
    <w:p w14:paraId="2EE59960" w14:textId="77777777" w:rsidR="00FE5C2F" w:rsidRPr="003A3169" w:rsidRDefault="00FE5C2F" w:rsidP="00FE5C2F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AF51DA0" wp14:editId="687E4655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BAA6" w14:textId="77777777" w:rsidR="001430EF" w:rsidRPr="00074DD8" w:rsidRDefault="001430EF" w:rsidP="00FE5C2F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1DA0" id="_x0000_s1033" type="#_x0000_t202" style="position:absolute;margin-left:412.5pt;margin-top:19.4pt;width:135.85pt;height:115.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" filled="f" stroked="f">
                <v:textbox>
                  <w:txbxContent>
                    <w:p w14:paraId="3E5BBAA6" w14:textId="77777777" w:rsidR="001430EF" w:rsidRPr="00074DD8" w:rsidRDefault="001430EF" w:rsidP="00FE5C2F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39D217" w14:textId="070D3567" w:rsidR="00FE5C2F" w:rsidRPr="00CF538E" w:rsidRDefault="00FE5C2F" w:rsidP="002A7CC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F5D2875" wp14:editId="2BF9DFAA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311400" cy="1233170"/>
                <wp:effectExtent l="0" t="0" r="0" b="5080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233577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58E1" w14:textId="1438342B" w:rsidR="001430EF" w:rsidRPr="008E1EB9" w:rsidRDefault="001430EF" w:rsidP="008E1EB9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6CFD0B9B" wp14:editId="09BE8644">
                                  <wp:extent cx="315595" cy="315595"/>
                                  <wp:effectExtent l="0" t="0" r="8255" b="8255"/>
                                  <wp:docPr id="30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15742" cy="315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BD5592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38"/>
                              </w:rPr>
                              <w:t xml:space="preserve">83,8 % </w:t>
                            </w:r>
                          </w:p>
                          <w:p w14:paraId="07A2A322" w14:textId="683F1A1F" w:rsidR="001430EF" w:rsidRPr="008E1EB9" w:rsidRDefault="001430EF" w:rsidP="00BD5592">
                            <w:pPr>
                              <w:pStyle w:val="tekstnaniebieskimtle"/>
                              <w:spacing w:before="60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8E1EB9">
                              <w:t xml:space="preserve">respondentów deklarowało wpływ sytuacji epidemiologicznej na odpowiedzi dot. koniunktury konsumenckiej ( w </w:t>
                            </w:r>
                            <w:r>
                              <w:t>lipcu było to 84,6</w:t>
                            </w:r>
                            <w:r w:rsidRPr="008E1EB9"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2875" id="_x0000_s1034" type="#_x0000_t202" style="position:absolute;margin-left:0;margin-top:6.55pt;width:182pt;height:97.1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" fillcolor="#001d77" stroked="f">
                <v:textbox>
                  <w:txbxContent>
                    <w:p w14:paraId="601458E1" w14:textId="1438342B" w:rsidR="001430EF" w:rsidRPr="008E1EB9" w:rsidRDefault="001430EF" w:rsidP="008E1EB9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CFD0B9B" wp14:editId="09BE8644">
                            <wp:extent cx="315595" cy="315595"/>
                            <wp:effectExtent l="0" t="0" r="8255" b="8255"/>
                            <wp:docPr id="30" name="Obraz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15742" cy="315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 w:rsidRPr="00BD5592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38"/>
                        </w:rPr>
                        <w:t xml:space="preserve">83,8 % </w:t>
                      </w:r>
                    </w:p>
                    <w:p w14:paraId="07A2A322" w14:textId="683F1A1F" w:rsidR="001430EF" w:rsidRPr="008E1EB9" w:rsidRDefault="001430EF" w:rsidP="00BD5592">
                      <w:pPr>
                        <w:pStyle w:val="tekstnaniebieskimtle"/>
                        <w:spacing w:before="60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8E1EB9">
                        <w:t xml:space="preserve">respondentów deklarowało wpływ sytuacji epidemiologicznej na odpowiedzi dot. koniunktury konsumenckiej ( w </w:t>
                      </w:r>
                      <w:r>
                        <w:t>lipcu było to 84,6</w:t>
                      </w:r>
                      <w:r w:rsidRPr="008E1EB9">
                        <w:t>%)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CCE" w:rsidRPr="002A7CCE">
        <w:rPr>
          <w:b/>
          <w:color w:val="auto"/>
          <w:sz w:val="19"/>
          <w:szCs w:val="19"/>
        </w:rPr>
        <w:t xml:space="preserve">W </w:t>
      </w:r>
      <w:r w:rsidR="00F77E64">
        <w:rPr>
          <w:b/>
          <w:color w:val="auto"/>
          <w:sz w:val="19"/>
          <w:szCs w:val="19"/>
        </w:rPr>
        <w:t>sierpniu</w:t>
      </w:r>
      <w:r w:rsidR="002A7CCE" w:rsidRPr="002A7CCE">
        <w:rPr>
          <w:b/>
          <w:color w:val="auto"/>
          <w:sz w:val="19"/>
          <w:szCs w:val="19"/>
        </w:rPr>
        <w:t xml:space="preserve"> 2020 r. </w:t>
      </w:r>
      <w:r w:rsidR="0001263F">
        <w:rPr>
          <w:b/>
          <w:color w:val="auto"/>
          <w:sz w:val="19"/>
          <w:szCs w:val="19"/>
        </w:rPr>
        <w:t>dla</w:t>
      </w:r>
      <w:r w:rsidR="008E2804">
        <w:rPr>
          <w:b/>
          <w:color w:val="auto"/>
          <w:sz w:val="19"/>
          <w:szCs w:val="19"/>
        </w:rPr>
        <w:t xml:space="preserve"> 36,1</w:t>
      </w:r>
      <w:r w:rsidR="002A7CCE" w:rsidRPr="002A7CCE">
        <w:rPr>
          <w:b/>
          <w:color w:val="auto"/>
          <w:sz w:val="19"/>
          <w:szCs w:val="19"/>
        </w:rPr>
        <w:t>% respondentów obecna sytuacj</w:t>
      </w:r>
      <w:r w:rsidR="004A2ED0">
        <w:rPr>
          <w:b/>
          <w:color w:val="auto"/>
          <w:sz w:val="19"/>
          <w:szCs w:val="19"/>
        </w:rPr>
        <w:t>a</w:t>
      </w:r>
      <w:r w:rsidR="002A7CCE" w:rsidRPr="002A7CCE">
        <w:rPr>
          <w:b/>
          <w:color w:val="auto"/>
          <w:sz w:val="19"/>
          <w:szCs w:val="19"/>
        </w:rPr>
        <w:t xml:space="preserve"> epidemiologiczna stanowi duże zagrożenie dla </w:t>
      </w:r>
      <w:r w:rsidR="008E2804">
        <w:rPr>
          <w:b/>
          <w:color w:val="auto"/>
          <w:sz w:val="19"/>
          <w:szCs w:val="19"/>
        </w:rPr>
        <w:t>zdrowia populacji Polski jako całości</w:t>
      </w:r>
      <w:r w:rsidR="00223DBE">
        <w:rPr>
          <w:b/>
          <w:color w:val="auto"/>
          <w:sz w:val="19"/>
          <w:szCs w:val="19"/>
        </w:rPr>
        <w:t xml:space="preserve"> (</w:t>
      </w:r>
      <w:r w:rsidR="008E2804">
        <w:rPr>
          <w:b/>
          <w:color w:val="auto"/>
          <w:sz w:val="19"/>
          <w:szCs w:val="19"/>
        </w:rPr>
        <w:t>wzrost o 8,2</w:t>
      </w:r>
      <w:r w:rsidR="002A7CCE" w:rsidRPr="002A7CCE">
        <w:rPr>
          <w:b/>
          <w:color w:val="auto"/>
          <w:sz w:val="19"/>
          <w:szCs w:val="19"/>
        </w:rPr>
        <w:t xml:space="preserve"> p. proc. w porównaniu do poprzedniego miesiąca).</w:t>
      </w:r>
    </w:p>
    <w:p w14:paraId="7A3D8A81" w14:textId="77777777" w:rsidR="00FE5C2F" w:rsidRDefault="00FE5C2F" w:rsidP="00FE5C2F">
      <w:pPr>
        <w:pStyle w:val="Nagwek1"/>
        <w:tabs>
          <w:tab w:val="left" w:pos="6330"/>
        </w:tabs>
      </w:pPr>
    </w:p>
    <w:p w14:paraId="25F76203" w14:textId="77777777" w:rsidR="00FE5C2F" w:rsidRDefault="00FE5C2F" w:rsidP="00FE5C2F">
      <w:pPr>
        <w:pStyle w:val="Nagwek1"/>
        <w:tabs>
          <w:tab w:val="left" w:pos="6330"/>
        </w:tabs>
      </w:pPr>
      <w:r>
        <w:tab/>
      </w:r>
    </w:p>
    <w:p w14:paraId="1E77DD57" w14:textId="77777777" w:rsidR="00FE5C2F" w:rsidRDefault="00FE5C2F" w:rsidP="00FE5C2F">
      <w:pPr>
        <w:pStyle w:val="Nagwek1"/>
      </w:pPr>
    </w:p>
    <w:p w14:paraId="15D3A1BD" w14:textId="77777777" w:rsidR="00FE5C2F" w:rsidRPr="009A5A6D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8D46730" wp14:editId="378783EA">
                <wp:simplePos x="0" y="0"/>
                <wp:positionH relativeFrom="column">
                  <wp:posOffset>5243195</wp:posOffset>
                </wp:positionH>
                <wp:positionV relativeFrom="paragraph">
                  <wp:posOffset>92075</wp:posOffset>
                </wp:positionV>
                <wp:extent cx="1725295" cy="1097280"/>
                <wp:effectExtent l="0" t="0" r="0" b="0"/>
                <wp:wrapTight wrapText="bothSides">
                  <wp:wrapPolygon edited="0">
                    <wp:start x="715" y="0"/>
                    <wp:lineTo x="715" y="21000"/>
                    <wp:lineTo x="20749" y="21000"/>
                    <wp:lineTo x="20749" y="0"/>
                    <wp:lineTo x="715" y="0"/>
                  </wp:wrapPolygon>
                </wp:wrapTight>
                <wp:docPr id="200" name="Pole tekstow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F857" w14:textId="6F006C50" w:rsidR="001430EF" w:rsidRPr="00380DFD" w:rsidRDefault="001430EF" w:rsidP="00FE5C2F">
                            <w:pPr>
                              <w:pStyle w:val="tekstzboku"/>
                            </w:pPr>
                            <w:r w:rsidRPr="007C5810">
                              <w:t>Znaczny wpływ sytuacji epidemiologicznej na odpowiedzi na pytania dotyczące koniunktur</w:t>
                            </w:r>
                            <w:r>
                              <w:t>y konsumenckiej zadeklarowało 27,2</w:t>
                            </w:r>
                            <w:r w:rsidRPr="007C5810">
                              <w:t>% respondentów</w:t>
                            </w:r>
                          </w:p>
                          <w:p w14:paraId="413BE2CB" w14:textId="77777777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6730" id="Pole tekstowe 200" o:spid="_x0000_s1035" type="#_x0000_t202" style="position:absolute;margin-left:412.85pt;margin-top:7.25pt;width:135.85pt;height:86.4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" filled="f" stroked="f">
                <v:textbox>
                  <w:txbxContent>
                    <w:p w14:paraId="0558F857" w14:textId="6F006C50" w:rsidR="001430EF" w:rsidRPr="00380DFD" w:rsidRDefault="001430EF" w:rsidP="00FE5C2F">
                      <w:pPr>
                        <w:pStyle w:val="tekstzboku"/>
                      </w:pPr>
                      <w:r w:rsidRPr="007C5810">
                        <w:t>Znaczny wpływ sytuacji epidemiologicznej na odpowiedzi na pytania dotyczące koniunktur</w:t>
                      </w:r>
                      <w:r>
                        <w:t>y konsumenckiej zadeklarowało 27,2</w:t>
                      </w:r>
                      <w:r w:rsidRPr="007C5810">
                        <w:t>% respondentów</w:t>
                      </w:r>
                    </w:p>
                    <w:p w14:paraId="413BE2CB" w14:textId="77777777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Wpływ obecnej sytuacji epidemiologicznej na odpowiedzi dotyczące koniunktury konsumenckiej</w:t>
      </w:r>
    </w:p>
    <w:p w14:paraId="2A50D3A3" w14:textId="61131AF9" w:rsidR="00D24AD1" w:rsidRDefault="008D7FBE" w:rsidP="00D24AD1">
      <w:r>
        <w:t>Spośród respondentów deklarujących wpływ sytuacji epidemiologicznej na odpowiedzi dotyczące kon</w:t>
      </w:r>
      <w:r w:rsidR="00465BE2">
        <w:t>iunktury konsumenckiej, 56,6</w:t>
      </w:r>
      <w:r>
        <w:t>% okr</w:t>
      </w:r>
      <w:r w:rsidR="00A632FA">
        <w:t>eśliło go jako umiarkowany, a 27,2</w:t>
      </w:r>
      <w:r>
        <w:t>% jako znaczny.</w:t>
      </w:r>
      <w:r w:rsidR="00936410">
        <w:t xml:space="preserve"> Dla 1</w:t>
      </w:r>
      <w:r w:rsidR="00A632FA">
        <w:t>6,2</w:t>
      </w:r>
      <w:r w:rsidR="00D24AD1">
        <w:t>%</w:t>
      </w:r>
      <w:r>
        <w:t xml:space="preserve"> respondentów </w:t>
      </w:r>
      <w:r w:rsidR="00D24AD1">
        <w:t>obecna sytuacja nie mała żadnego wpływu na odpowiedzi.</w:t>
      </w:r>
    </w:p>
    <w:p w14:paraId="37710D2A" w14:textId="77777777" w:rsidR="00D24AD1" w:rsidRDefault="00D24AD1" w:rsidP="00D24AD1"/>
    <w:p w14:paraId="1278C9A5" w14:textId="7CB606D2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1904" behindDoc="0" locked="0" layoutInCell="1" allowOverlap="1" wp14:anchorId="64DC7BED" wp14:editId="3A80069D">
            <wp:simplePos x="0" y="0"/>
            <wp:positionH relativeFrom="margin">
              <wp:align>left</wp:align>
            </wp:positionH>
            <wp:positionV relativeFrom="margin">
              <wp:posOffset>4723841</wp:posOffset>
            </wp:positionV>
            <wp:extent cx="5122545" cy="1980000"/>
            <wp:effectExtent l="0" t="0" r="1905" b="127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>Wykres 1.</w:t>
      </w:r>
      <w:r w:rsidRPr="00C15772">
        <w:rPr>
          <w:shd w:val="clear" w:color="auto" w:fill="FFFFFF"/>
        </w:rPr>
        <w:t xml:space="preserve"> </w:t>
      </w:r>
      <w:r>
        <w:rPr>
          <w:shd w:val="clear" w:color="auto" w:fill="FFFFFF"/>
        </w:rPr>
        <w:t>Wpływ obecnej sytuacji epidemiologicznej (koronawirus COVID-19) na odpowiedzi</w:t>
      </w:r>
      <w:r w:rsidRPr="00C1577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struktura odpowiedzi (%)</w:t>
      </w:r>
    </w:p>
    <w:p w14:paraId="0CD03036" w14:textId="77777777" w:rsidR="00FE5C2F" w:rsidRDefault="00FE5C2F" w:rsidP="00FE5C2F">
      <w:pPr>
        <w:pStyle w:val="Nagwek1"/>
      </w:pPr>
    </w:p>
    <w:p w14:paraId="667C47D3" w14:textId="77777777" w:rsidR="00C70BD0" w:rsidRDefault="00C70BD0" w:rsidP="00FE5C2F">
      <w:pPr>
        <w:pStyle w:val="Nagwek1"/>
      </w:pPr>
    </w:p>
    <w:p w14:paraId="3EDC7D35" w14:textId="677488EE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690007E3" wp14:editId="413B8CF8">
                <wp:simplePos x="0" y="0"/>
                <wp:positionH relativeFrom="column">
                  <wp:posOffset>5238115</wp:posOffset>
                </wp:positionH>
                <wp:positionV relativeFrom="paragraph">
                  <wp:posOffset>86360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1" name="Pole tekstow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60A3" w14:textId="1CACC980" w:rsidR="001430EF" w:rsidRPr="00380DFD" w:rsidRDefault="001430EF" w:rsidP="00FE5C2F">
                            <w:pPr>
                              <w:pStyle w:val="tekstzboku"/>
                            </w:pPr>
                            <w:r w:rsidRPr="00DE5407">
                              <w:t>Zdecydowaną obawę utraty pracy lub zaprzestania prowadzenia</w:t>
                            </w:r>
                            <w:r>
                              <w:t xml:space="preserve"> własnej działalności wyraziło 4</w:t>
                            </w:r>
                            <w:r w:rsidRPr="00DE5407">
                              <w:t>,</w:t>
                            </w:r>
                            <w:r>
                              <w:t>6</w:t>
                            </w:r>
                            <w:r w:rsidRPr="00DE5407">
                              <w:t>% respondentów</w:t>
                            </w:r>
                            <w:r>
                              <w:t xml:space="preserve"> </w:t>
                            </w:r>
                          </w:p>
                          <w:p w14:paraId="72200D5A" w14:textId="77777777" w:rsidR="001430EF" w:rsidRPr="00380DFD" w:rsidRDefault="001430EF" w:rsidP="00FE5C2F">
                            <w:pPr>
                              <w:pStyle w:val="tekstzboku"/>
                            </w:pPr>
                          </w:p>
                          <w:p w14:paraId="52AD221E" w14:textId="77777777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07E3" id="Pole tekstowe 201" o:spid="_x0000_s1036" type="#_x0000_t202" style="position:absolute;margin-left:412.45pt;margin-top:6.8pt;width:135.85pt;height:77.6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" filled="f" stroked="f">
                <v:textbox>
                  <w:txbxContent>
                    <w:p w14:paraId="317860A3" w14:textId="1CACC980" w:rsidR="001430EF" w:rsidRPr="00380DFD" w:rsidRDefault="001430EF" w:rsidP="00FE5C2F">
                      <w:pPr>
                        <w:pStyle w:val="tekstzboku"/>
                      </w:pPr>
                      <w:r w:rsidRPr="00DE5407">
                        <w:t>Zdecydowaną obawę utraty pracy lub zaprzestania prowadzenia</w:t>
                      </w:r>
                      <w:r>
                        <w:t xml:space="preserve"> własnej działalności wyraziło 4</w:t>
                      </w:r>
                      <w:r w:rsidRPr="00DE5407">
                        <w:t>,</w:t>
                      </w:r>
                      <w:r>
                        <w:t>6</w:t>
                      </w:r>
                      <w:r w:rsidRPr="00DE5407">
                        <w:t>% respondentów</w:t>
                      </w:r>
                      <w:r>
                        <w:t xml:space="preserve"> </w:t>
                      </w:r>
                    </w:p>
                    <w:p w14:paraId="72200D5A" w14:textId="77777777" w:rsidR="001430EF" w:rsidRPr="00380DFD" w:rsidRDefault="001430EF" w:rsidP="00FE5C2F">
                      <w:pPr>
                        <w:pStyle w:val="tekstzboku"/>
                      </w:pPr>
                    </w:p>
                    <w:p w14:paraId="52AD221E" w14:textId="77777777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Obawa utraty pracy lub zaprzestania prowadzenia własnej działalności w związku z obecną sytuacją epidemiologiczną</w:t>
      </w:r>
    </w:p>
    <w:p w14:paraId="2BBC31EC" w14:textId="10437654" w:rsidR="00FE5C2F" w:rsidRDefault="00FE5C2F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Spośród osób pracujących</w:t>
      </w:r>
      <w:r w:rsidR="00117A01">
        <w:rPr>
          <w:shd w:val="clear" w:color="auto" w:fill="FFFFFF"/>
        </w:rPr>
        <w:t xml:space="preserve"> (60,6</w:t>
      </w:r>
      <w:r>
        <w:rPr>
          <w:shd w:val="clear" w:color="auto" w:fill="FFFFFF"/>
        </w:rPr>
        <w:t xml:space="preserve">% respondentów), zdecydowaną obawę utraty pracy lub zaprzestania prowadzenia własnej działalności odczuwa </w:t>
      </w:r>
      <w:r w:rsidR="00117A01">
        <w:rPr>
          <w:shd w:val="clear" w:color="auto" w:fill="FFFFFF"/>
        </w:rPr>
        <w:t>4</w:t>
      </w:r>
      <w:r>
        <w:rPr>
          <w:shd w:val="clear" w:color="auto" w:fill="FFFFFF"/>
        </w:rPr>
        <w:t>,</w:t>
      </w:r>
      <w:r w:rsidR="00117A01">
        <w:rPr>
          <w:shd w:val="clear" w:color="auto" w:fill="FFFFFF"/>
        </w:rPr>
        <w:t>6</w:t>
      </w:r>
      <w:r w:rsidR="00295ECA">
        <w:rPr>
          <w:shd w:val="clear" w:color="auto" w:fill="FFFFFF"/>
        </w:rPr>
        <w:t>% respondentów.</w:t>
      </w:r>
      <w:r>
        <w:rPr>
          <w:shd w:val="clear" w:color="auto" w:fill="FFFFFF"/>
        </w:rPr>
        <w:t xml:space="preserve"> W przypadku wariantów odpowiedzi „możliwe” i „raczej nie” odsetek o</w:t>
      </w:r>
      <w:r w:rsidR="00117A01">
        <w:rPr>
          <w:shd w:val="clear" w:color="auto" w:fill="FFFFFF"/>
        </w:rPr>
        <w:t>dpowiedzi wynosił odpowiednio 17,9</w:t>
      </w:r>
      <w:r w:rsidR="00295ECA">
        <w:rPr>
          <w:shd w:val="clear" w:color="auto" w:fill="FFFFFF"/>
        </w:rPr>
        <w:t>% oraz 3</w:t>
      </w:r>
      <w:r w:rsidR="00117A01">
        <w:rPr>
          <w:shd w:val="clear" w:color="auto" w:fill="FFFFFF"/>
        </w:rPr>
        <w:t>9</w:t>
      </w:r>
      <w:r>
        <w:rPr>
          <w:shd w:val="clear" w:color="auto" w:fill="FFFFFF"/>
        </w:rPr>
        <w:t>,</w:t>
      </w:r>
      <w:r w:rsidR="00117A01">
        <w:rPr>
          <w:shd w:val="clear" w:color="auto" w:fill="FFFFFF"/>
        </w:rPr>
        <w:t>0</w:t>
      </w:r>
      <w:r>
        <w:rPr>
          <w:shd w:val="clear" w:color="auto" w:fill="FFFFFF"/>
        </w:rPr>
        <w:t xml:space="preserve">%. </w:t>
      </w:r>
      <w:r w:rsidR="00295ECA">
        <w:rPr>
          <w:shd w:val="clear" w:color="auto" w:fill="FFFFFF"/>
        </w:rPr>
        <w:t>Odsetek osób pracujących, któ</w:t>
      </w:r>
      <w:r w:rsidR="006E0989">
        <w:rPr>
          <w:shd w:val="clear" w:color="auto" w:fill="FFFFFF"/>
        </w:rPr>
        <w:t xml:space="preserve">re nie </w:t>
      </w:r>
      <w:r w:rsidR="004D6DE5">
        <w:rPr>
          <w:shd w:val="clear" w:color="auto" w:fill="FFFFFF"/>
        </w:rPr>
        <w:t>mają</w:t>
      </w:r>
      <w:r w:rsidR="006E0989">
        <w:rPr>
          <w:shd w:val="clear" w:color="auto" w:fill="FFFFFF"/>
        </w:rPr>
        <w:t xml:space="preserve"> obaw</w:t>
      </w:r>
      <w:r w:rsidR="004D6DE5">
        <w:rPr>
          <w:shd w:val="clear" w:color="auto" w:fill="FFFFFF"/>
        </w:rPr>
        <w:t>,</w:t>
      </w:r>
      <w:r w:rsidR="006E0989">
        <w:rPr>
          <w:shd w:val="clear" w:color="auto" w:fill="FFFFFF"/>
        </w:rPr>
        <w:t xml:space="preserve"> wy</w:t>
      </w:r>
      <w:r w:rsidR="00295ECA">
        <w:rPr>
          <w:shd w:val="clear" w:color="auto" w:fill="FFFFFF"/>
        </w:rPr>
        <w:t xml:space="preserve">nosi </w:t>
      </w:r>
      <w:r w:rsidR="00117A01">
        <w:rPr>
          <w:shd w:val="clear" w:color="auto" w:fill="FFFFFF"/>
        </w:rPr>
        <w:t>35,8</w:t>
      </w:r>
      <w:r w:rsidR="00295ECA">
        <w:rPr>
          <w:shd w:val="clear" w:color="auto" w:fill="FFFFFF"/>
        </w:rPr>
        <w:t xml:space="preserve">%. </w:t>
      </w:r>
      <w:r>
        <w:rPr>
          <w:shd w:val="clear" w:color="auto" w:fill="FFFFFF"/>
        </w:rPr>
        <w:t xml:space="preserve">Niewielka liczba </w:t>
      </w:r>
      <w:r w:rsidR="00117A01">
        <w:rPr>
          <w:shd w:val="clear" w:color="auto" w:fill="FFFFFF"/>
        </w:rPr>
        <w:t>respondentów pracujących (2</w:t>
      </w:r>
      <w:r>
        <w:rPr>
          <w:shd w:val="clear" w:color="auto" w:fill="FFFFFF"/>
        </w:rPr>
        <w:t>,</w:t>
      </w:r>
      <w:r w:rsidR="00117A01">
        <w:rPr>
          <w:shd w:val="clear" w:color="auto" w:fill="FFFFFF"/>
        </w:rPr>
        <w:t>7</w:t>
      </w:r>
      <w:r>
        <w:rPr>
          <w:shd w:val="clear" w:color="auto" w:fill="FFFFFF"/>
        </w:rPr>
        <w:t xml:space="preserve">%) nie miała zdania. </w:t>
      </w:r>
    </w:p>
    <w:p w14:paraId="6DD3F223" w14:textId="29D6316E" w:rsidR="00FE5C2F" w:rsidRDefault="00FE5C2F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14:paraId="76FD2CE3" w14:textId="4C5C2275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84192" behindDoc="0" locked="0" layoutInCell="1" allowOverlap="1" wp14:anchorId="249BE973" wp14:editId="621B5ECC">
            <wp:simplePos x="0" y="0"/>
            <wp:positionH relativeFrom="margin">
              <wp:align>left</wp:align>
            </wp:positionH>
            <wp:positionV relativeFrom="margin">
              <wp:posOffset>850417</wp:posOffset>
            </wp:positionV>
            <wp:extent cx="5122545" cy="1980000"/>
            <wp:effectExtent l="0" t="0" r="1905" b="127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2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A170FA">
        <w:rPr>
          <w:shd w:val="clear" w:color="auto" w:fill="FFFFFF"/>
        </w:rPr>
        <w:t>Obawa przed  utratą pracy lub zaprzestaniem prowadzenia własnej działalności w</w:t>
      </w:r>
      <w:r>
        <w:rPr>
          <w:shd w:val="clear" w:color="auto" w:fill="FFFFFF"/>
        </w:rPr>
        <w:t> </w:t>
      </w:r>
      <w:r w:rsidRPr="00A170FA">
        <w:rPr>
          <w:shd w:val="clear" w:color="auto" w:fill="FFFFFF"/>
        </w:rPr>
        <w:t>związku z obecną sytuacją epidemiologiczną</w:t>
      </w:r>
      <w:r>
        <w:rPr>
          <w:shd w:val="clear" w:color="auto" w:fill="FFFFFF"/>
        </w:rPr>
        <w:t xml:space="preserve"> (koronawirus COVID-19) – struktura odpowiedzi dla pracujących (%)</w:t>
      </w:r>
    </w:p>
    <w:p w14:paraId="69AFEA30" w14:textId="5FBCEB2D" w:rsidR="00FE5C2F" w:rsidRDefault="00FE5C2F" w:rsidP="00FE5C2F">
      <w:pPr>
        <w:pStyle w:val="tytuwykresu"/>
        <w:ind w:left="426" w:hanging="426"/>
        <w:rPr>
          <w:shd w:val="clear" w:color="auto" w:fill="FFFFFF"/>
        </w:rPr>
      </w:pPr>
    </w:p>
    <w:p w14:paraId="5D971ACE" w14:textId="4497F89A" w:rsidR="00FE5C2F" w:rsidRDefault="00FE5C2F" w:rsidP="00FE5C2F">
      <w:pPr>
        <w:pStyle w:val="Nagwek1"/>
      </w:pPr>
    </w:p>
    <w:p w14:paraId="38C84742" w14:textId="3F0A0B51" w:rsidR="00FE5C2F" w:rsidRPr="00FE5C2F" w:rsidRDefault="00FE5C2F" w:rsidP="00FE5C2F">
      <w:pPr>
        <w:rPr>
          <w:lang w:eastAsia="pl-PL"/>
        </w:rPr>
      </w:pPr>
    </w:p>
    <w:p w14:paraId="08EC4401" w14:textId="722B5480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1BCA5AA5" wp14:editId="08AA213E">
                <wp:simplePos x="0" y="0"/>
                <wp:positionH relativeFrom="column">
                  <wp:posOffset>5228590</wp:posOffset>
                </wp:positionH>
                <wp:positionV relativeFrom="paragraph">
                  <wp:posOffset>86360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AC71" w14:textId="7EDF4C23" w:rsidR="001430EF" w:rsidRPr="00380DFD" w:rsidRDefault="001430EF" w:rsidP="00FE5C2F">
                            <w:pPr>
                              <w:pStyle w:val="tekstzboku"/>
                            </w:pPr>
                            <w:r>
                              <w:t>Dla 36,1</w:t>
                            </w:r>
                            <w:r w:rsidRPr="007A2FDB">
                              <w:t xml:space="preserve">% respondentów obecna </w:t>
                            </w:r>
                            <w:r>
                              <w:t>sytuacja</w:t>
                            </w:r>
                            <w:r w:rsidRPr="007A2FDB">
                              <w:t xml:space="preserve"> epidemiologiczna stanowi duże zagrożenie dla zdrowia populacji jako całości</w:t>
                            </w:r>
                          </w:p>
                          <w:p w14:paraId="1C9E5933" w14:textId="77777777" w:rsidR="001430EF" w:rsidRPr="00380DFD" w:rsidRDefault="001430EF" w:rsidP="00FE5C2F">
                            <w:pPr>
                              <w:pStyle w:val="tekstzboku"/>
                            </w:pPr>
                          </w:p>
                          <w:p w14:paraId="01D0AD75" w14:textId="77777777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5AA5" id="Pole tekstowe 7" o:spid="_x0000_s1037" type="#_x0000_t202" style="position:absolute;margin-left:411.7pt;margin-top:6.8pt;width:135.85pt;height:77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" filled="f" stroked="f">
                <v:textbox>
                  <w:txbxContent>
                    <w:p w14:paraId="5702AC71" w14:textId="7EDF4C23" w:rsidR="001430EF" w:rsidRPr="00380DFD" w:rsidRDefault="001430EF" w:rsidP="00FE5C2F">
                      <w:pPr>
                        <w:pStyle w:val="tekstzboku"/>
                      </w:pPr>
                      <w:r>
                        <w:t>Dla 36,1</w:t>
                      </w:r>
                      <w:r w:rsidRPr="007A2FDB">
                        <w:t xml:space="preserve">% respondentów obecna </w:t>
                      </w:r>
                      <w:r>
                        <w:t>sytuacja</w:t>
                      </w:r>
                      <w:r w:rsidRPr="007A2FDB">
                        <w:t xml:space="preserve"> epidemiologiczna stanowi duże zagrożenie dla zdrowia populacji jako całości</w:t>
                      </w:r>
                    </w:p>
                    <w:p w14:paraId="1C9E5933" w14:textId="77777777" w:rsidR="001430EF" w:rsidRPr="00380DFD" w:rsidRDefault="001430EF" w:rsidP="00FE5C2F">
                      <w:pPr>
                        <w:pStyle w:val="tekstzboku"/>
                      </w:pPr>
                    </w:p>
                    <w:p w14:paraId="01D0AD75" w14:textId="77777777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Jakim zagrożeniem jest obecna sytuacja epidemiologiczna dla zdrowia populacji Polski jako całości</w:t>
      </w:r>
    </w:p>
    <w:p w14:paraId="6AF994CE" w14:textId="68B4C8BD" w:rsidR="00FE5C2F" w:rsidRDefault="0001263F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Dla </w:t>
      </w:r>
      <w:r w:rsidR="00684619">
        <w:rPr>
          <w:shd w:val="clear" w:color="auto" w:fill="FFFFFF"/>
        </w:rPr>
        <w:t>36,1</w:t>
      </w:r>
      <w:r w:rsidR="004A2ED0">
        <w:rPr>
          <w:shd w:val="clear" w:color="auto" w:fill="FFFFFF"/>
        </w:rPr>
        <w:t>% respondentów obecna sytuacja</w:t>
      </w:r>
      <w:r w:rsidR="00FE5C2F">
        <w:rPr>
          <w:shd w:val="clear" w:color="auto" w:fill="FFFFFF"/>
        </w:rPr>
        <w:t xml:space="preserve"> epidemiologiczna stanowi duże zagrożenie dla zdrowia populacji jako całości. </w:t>
      </w:r>
      <w:r w:rsidR="00684619">
        <w:rPr>
          <w:shd w:val="clear" w:color="auto" w:fill="FFFFFF"/>
        </w:rPr>
        <w:t>Przeciętne zagrożenie odczuwa 49,9</w:t>
      </w:r>
      <w:r w:rsidR="00FE5C2F">
        <w:rPr>
          <w:shd w:val="clear" w:color="auto" w:fill="FFFFFF"/>
        </w:rPr>
        <w:t>% odpowiadających na pytania.</w:t>
      </w:r>
      <w:r w:rsidR="00680EEC">
        <w:rPr>
          <w:shd w:val="clear" w:color="auto" w:fill="FFFFFF"/>
        </w:rPr>
        <w:t xml:space="preserve"> Małe zagrożeni</w:t>
      </w:r>
      <w:r w:rsidR="001768B7">
        <w:rPr>
          <w:shd w:val="clear" w:color="auto" w:fill="FFFFFF"/>
        </w:rPr>
        <w:t>e d</w:t>
      </w:r>
      <w:r w:rsidR="00684619">
        <w:rPr>
          <w:shd w:val="clear" w:color="auto" w:fill="FFFFFF"/>
        </w:rPr>
        <w:t>eklaruje 12,9</w:t>
      </w:r>
      <w:r w:rsidR="00FE5C2F">
        <w:rPr>
          <w:shd w:val="clear" w:color="auto" w:fill="FFFFFF"/>
        </w:rPr>
        <w:t>%, zaś brak z</w:t>
      </w:r>
      <w:r w:rsidR="00680EEC">
        <w:rPr>
          <w:shd w:val="clear" w:color="auto" w:fill="FFFFFF"/>
        </w:rPr>
        <w:t>agrożenia stwierdziło zaledwie 1</w:t>
      </w:r>
      <w:r w:rsidR="00684619">
        <w:rPr>
          <w:shd w:val="clear" w:color="auto" w:fill="FFFFFF"/>
        </w:rPr>
        <w:t>,1</w:t>
      </w:r>
      <w:r w:rsidR="00FE5C2F">
        <w:rPr>
          <w:shd w:val="clear" w:color="auto" w:fill="FFFFFF"/>
        </w:rPr>
        <w:t>% respondentów.</w:t>
      </w:r>
    </w:p>
    <w:p w14:paraId="03CE96C1" w14:textId="31444774" w:rsidR="00FE5C2F" w:rsidRDefault="00FE5C2F" w:rsidP="00FE5C2F">
      <w:pPr>
        <w:pStyle w:val="tytuwykresu"/>
        <w:ind w:left="851" w:hanging="851"/>
      </w:pPr>
    </w:p>
    <w:p w14:paraId="12CDFB88" w14:textId="653E3060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2928" behindDoc="0" locked="0" layoutInCell="1" allowOverlap="1" wp14:anchorId="61DA21AE" wp14:editId="06211B15">
            <wp:simplePos x="0" y="0"/>
            <wp:positionH relativeFrom="margin">
              <wp:align>left</wp:align>
            </wp:positionH>
            <wp:positionV relativeFrom="margin">
              <wp:posOffset>5177155</wp:posOffset>
            </wp:positionV>
            <wp:extent cx="5122545" cy="1980000"/>
            <wp:effectExtent l="0" t="0" r="1905" b="1270"/>
            <wp:wrapSquare wrapText="bothSides"/>
            <wp:docPr id="212" name="Wykres 2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3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>dla zdrowia populacji Polski jako całości</w:t>
      </w:r>
      <w:r>
        <w:rPr>
          <w:shd w:val="clear" w:color="auto" w:fill="FFFFFF"/>
        </w:rPr>
        <w:t xml:space="preserve"> – struktura odpowiedzi (%)</w:t>
      </w:r>
    </w:p>
    <w:p w14:paraId="7D3BBA30" w14:textId="77777777" w:rsidR="00FE5C2F" w:rsidRDefault="00FE5C2F" w:rsidP="00FE5C2F">
      <w:pPr>
        <w:pStyle w:val="Nagwek1"/>
      </w:pPr>
    </w:p>
    <w:p w14:paraId="7762B075" w14:textId="49138197" w:rsidR="00FE5C2F" w:rsidRDefault="00FE5C2F" w:rsidP="00FE5C2F">
      <w:pPr>
        <w:pStyle w:val="Nagwek1"/>
      </w:pPr>
    </w:p>
    <w:p w14:paraId="03374370" w14:textId="0C5F621D" w:rsidR="00FE5C2F" w:rsidRPr="00396FC5" w:rsidRDefault="00233319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F746A34" wp14:editId="1DD74ED3">
                <wp:simplePos x="0" y="0"/>
                <wp:positionH relativeFrom="column">
                  <wp:posOffset>5229225</wp:posOffset>
                </wp:positionH>
                <wp:positionV relativeFrom="paragraph">
                  <wp:posOffset>82136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2" name="Pole tekstow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1042" w14:textId="6F3BE099" w:rsidR="001430EF" w:rsidRPr="00380DFD" w:rsidRDefault="001430EF" w:rsidP="00FE5C2F">
                            <w:pPr>
                              <w:pStyle w:val="tekstzboku"/>
                            </w:pPr>
                            <w:r>
                              <w:t>Dla 26,9</w:t>
                            </w:r>
                            <w:r w:rsidRPr="001D30FF">
                              <w:t>% respondentów obecna sytuacj</w:t>
                            </w:r>
                            <w:r>
                              <w:t>a</w:t>
                            </w:r>
                            <w:r w:rsidRPr="001D30FF">
                              <w:t xml:space="preserve"> epidemiologiczna stanowi duże zagrożenie dla ich osobistego zdrowia</w:t>
                            </w:r>
                          </w:p>
                          <w:p w14:paraId="00CB9B02" w14:textId="77777777" w:rsidR="001430EF" w:rsidRPr="00380DFD" w:rsidRDefault="001430EF" w:rsidP="00FE5C2F">
                            <w:pPr>
                              <w:pStyle w:val="tekstzboku"/>
                            </w:pPr>
                          </w:p>
                          <w:p w14:paraId="1E065CD7" w14:textId="77777777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6A34" id="Pole tekstowe 202" o:spid="_x0000_s1038" type="#_x0000_t202" style="position:absolute;margin-left:411.75pt;margin-top:6.45pt;width:135.85pt;height:77.6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" filled="f" stroked="f">
                <v:textbox>
                  <w:txbxContent>
                    <w:p w14:paraId="3D9B1042" w14:textId="6F3BE099" w:rsidR="001430EF" w:rsidRPr="00380DFD" w:rsidRDefault="001430EF" w:rsidP="00FE5C2F">
                      <w:pPr>
                        <w:pStyle w:val="tekstzboku"/>
                      </w:pPr>
                      <w:r>
                        <w:t>Dla 26,9</w:t>
                      </w:r>
                      <w:r w:rsidRPr="001D30FF">
                        <w:t>% respondentów obecna sytuacj</w:t>
                      </w:r>
                      <w:r>
                        <w:t>a</w:t>
                      </w:r>
                      <w:r w:rsidRPr="001D30FF">
                        <w:t xml:space="preserve"> epidemiologiczna stanowi duże zagrożenie dla ich osobistego zdrowia</w:t>
                      </w:r>
                    </w:p>
                    <w:p w14:paraId="00CB9B02" w14:textId="77777777" w:rsidR="001430EF" w:rsidRPr="00380DFD" w:rsidRDefault="001430EF" w:rsidP="00FE5C2F">
                      <w:pPr>
                        <w:pStyle w:val="tekstzboku"/>
                      </w:pPr>
                    </w:p>
                    <w:p w14:paraId="1E065CD7" w14:textId="77777777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E5C2F">
        <w:t>Jakim zagrożeniem jest obecna sytuacja epidemiologiczna dla osobistego zdrowia</w:t>
      </w:r>
    </w:p>
    <w:p w14:paraId="7A22C78C" w14:textId="33F6641F" w:rsidR="00FE5C2F" w:rsidRDefault="003F1CD1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Dla 26,9</w:t>
      </w:r>
      <w:r w:rsidR="00FE5C2F">
        <w:rPr>
          <w:shd w:val="clear" w:color="auto" w:fill="FFFFFF"/>
        </w:rPr>
        <w:t>% respondentów obecna sytuacj</w:t>
      </w:r>
      <w:r w:rsidR="004A2ED0">
        <w:rPr>
          <w:shd w:val="clear" w:color="auto" w:fill="FFFFFF"/>
        </w:rPr>
        <w:t>a</w:t>
      </w:r>
      <w:r w:rsidR="00FE5C2F">
        <w:rPr>
          <w:shd w:val="clear" w:color="auto" w:fill="FFFFFF"/>
        </w:rPr>
        <w:t xml:space="preserve"> epidemiologiczna stanowi duże zagrożeni</w:t>
      </w:r>
      <w:r w:rsidR="00C042F8">
        <w:rPr>
          <w:shd w:val="clear" w:color="auto" w:fill="FFFFFF"/>
        </w:rPr>
        <w:t>e</w:t>
      </w:r>
      <w:r w:rsidR="00314260">
        <w:rPr>
          <w:shd w:val="clear" w:color="auto" w:fill="FFFFFF"/>
        </w:rPr>
        <w:t xml:space="preserve"> dla ich osobistego zdrowia. 4</w:t>
      </w:r>
      <w:r>
        <w:rPr>
          <w:shd w:val="clear" w:color="auto" w:fill="FFFFFF"/>
        </w:rPr>
        <w:t>6</w:t>
      </w:r>
      <w:r w:rsidR="00FE5C2F">
        <w:rPr>
          <w:shd w:val="clear" w:color="auto" w:fill="FFFFFF"/>
        </w:rPr>
        <w:t>,</w:t>
      </w:r>
      <w:r>
        <w:rPr>
          <w:shd w:val="clear" w:color="auto" w:fill="FFFFFF"/>
        </w:rPr>
        <w:t>1</w:t>
      </w:r>
      <w:r w:rsidR="00FE5C2F">
        <w:rPr>
          <w:shd w:val="clear" w:color="auto" w:fill="FFFFFF"/>
        </w:rPr>
        <w:t xml:space="preserve">% odpowiadających na pytania odczuwa przeciętne zagrożenie. Małe zagrożenie deklaruje </w:t>
      </w:r>
      <w:r w:rsidR="00C042F8">
        <w:rPr>
          <w:shd w:val="clear" w:color="auto" w:fill="FFFFFF"/>
        </w:rPr>
        <w:t>2</w:t>
      </w:r>
      <w:r>
        <w:rPr>
          <w:shd w:val="clear" w:color="auto" w:fill="FFFFFF"/>
        </w:rPr>
        <w:t>4,0</w:t>
      </w:r>
      <w:r w:rsidR="00FE5C2F">
        <w:rPr>
          <w:shd w:val="clear" w:color="auto" w:fill="FFFFFF"/>
        </w:rPr>
        <w:t xml:space="preserve">%, natomiast brak zagrożenia stwierdziło </w:t>
      </w:r>
      <w:r w:rsidR="000C2830">
        <w:rPr>
          <w:shd w:val="clear" w:color="auto" w:fill="FFFFFF"/>
        </w:rPr>
        <w:t>3</w:t>
      </w:r>
      <w:r>
        <w:rPr>
          <w:shd w:val="clear" w:color="auto" w:fill="FFFFFF"/>
        </w:rPr>
        <w:t>,0</w:t>
      </w:r>
      <w:r w:rsidR="00FE5C2F">
        <w:rPr>
          <w:shd w:val="clear" w:color="auto" w:fill="FFFFFF"/>
        </w:rPr>
        <w:t>% respondentów.</w:t>
      </w:r>
    </w:p>
    <w:p w14:paraId="234E37FB" w14:textId="20185D6F" w:rsidR="00FE5C2F" w:rsidRDefault="00FE5C2F">
      <w:pPr>
        <w:spacing w:before="0" w:after="160" w:line="259" w:lineRule="auto"/>
      </w:pPr>
      <w:r>
        <w:br w:type="page"/>
      </w:r>
    </w:p>
    <w:p w14:paraId="61C53893" w14:textId="5F119C06" w:rsidR="00FE5C2F" w:rsidRDefault="00FE5C2F" w:rsidP="00FE5C2F">
      <w:pPr>
        <w:tabs>
          <w:tab w:val="left" w:pos="3218"/>
        </w:tabs>
      </w:pPr>
    </w:p>
    <w:p w14:paraId="0AC654CE" w14:textId="419B8CC3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1788E863" wp14:editId="51562768">
            <wp:simplePos x="0" y="0"/>
            <wp:positionH relativeFrom="margin">
              <wp:align>left</wp:align>
            </wp:positionH>
            <wp:positionV relativeFrom="page">
              <wp:posOffset>1320266</wp:posOffset>
            </wp:positionV>
            <wp:extent cx="5122545" cy="1980000"/>
            <wp:effectExtent l="0" t="0" r="1905" b="127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4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>dla osobistego zdrowia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5B532DFB" w14:textId="77777777" w:rsidR="00FE5C2F" w:rsidRDefault="00FE5C2F" w:rsidP="00FE5C2F">
      <w:pPr>
        <w:pStyle w:val="Nagwek1"/>
      </w:pPr>
    </w:p>
    <w:p w14:paraId="2117E3E1" w14:textId="4DCD9E23" w:rsidR="00FE5C2F" w:rsidRDefault="00FE5C2F" w:rsidP="00FE5C2F">
      <w:pPr>
        <w:pStyle w:val="Nagwek1"/>
      </w:pPr>
    </w:p>
    <w:p w14:paraId="75B01449" w14:textId="4C2D54C5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33C1451E" wp14:editId="18854D44">
                <wp:simplePos x="0" y="0"/>
                <wp:positionH relativeFrom="column">
                  <wp:posOffset>5244465</wp:posOffset>
                </wp:positionH>
                <wp:positionV relativeFrom="paragraph">
                  <wp:posOffset>3175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3" name="Pole tekstow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7806" w14:textId="169F3ECF" w:rsidR="001430EF" w:rsidRPr="00380DFD" w:rsidRDefault="001430EF" w:rsidP="00FE5C2F">
                            <w:pPr>
                              <w:pStyle w:val="tekstzboku"/>
                            </w:pPr>
                            <w:r>
                              <w:t>Dla 54,2% respondentów obecna sytuacja</w:t>
                            </w:r>
                            <w:r w:rsidRPr="00097F40">
                              <w:t xml:space="preserve"> epidemiologiczna stanowi duże zagrożenie dla gospodarki w Polsce</w:t>
                            </w:r>
                          </w:p>
                          <w:p w14:paraId="131D744F" w14:textId="77777777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451E" id="Pole tekstowe 203" o:spid="_x0000_s1039" type="#_x0000_t202" style="position:absolute;margin-left:412.95pt;margin-top:.25pt;width:135.85pt;height:77.6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" filled="f" stroked="f">
                <v:textbox>
                  <w:txbxContent>
                    <w:p w14:paraId="75247806" w14:textId="169F3ECF" w:rsidR="001430EF" w:rsidRPr="00380DFD" w:rsidRDefault="001430EF" w:rsidP="00FE5C2F">
                      <w:pPr>
                        <w:pStyle w:val="tekstzboku"/>
                      </w:pPr>
                      <w:r>
                        <w:t>Dla 54,2% respondentów obecna sytuacja</w:t>
                      </w:r>
                      <w:r w:rsidRPr="00097F40">
                        <w:t xml:space="preserve"> epidemiologiczna stanowi duże zagrożenie dla gospodarki w Polsce</w:t>
                      </w:r>
                    </w:p>
                    <w:p w14:paraId="131D744F" w14:textId="77777777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Jakim zagrożeniem jest obecna sytuacja epidemiologiczna dla gospodarki w Polsce</w:t>
      </w:r>
    </w:p>
    <w:p w14:paraId="7F073039" w14:textId="5B5F3B69" w:rsidR="00FE5C2F" w:rsidRDefault="00C622E5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Według 54,2</w:t>
      </w:r>
      <w:r w:rsidR="004A2ED0">
        <w:rPr>
          <w:shd w:val="clear" w:color="auto" w:fill="FFFFFF"/>
        </w:rPr>
        <w:t>% respondentów obecna sytuacja</w:t>
      </w:r>
      <w:r w:rsidR="00FE5C2F">
        <w:rPr>
          <w:shd w:val="clear" w:color="auto" w:fill="FFFFFF"/>
        </w:rPr>
        <w:t xml:space="preserve"> epidemiologiczna stanowi duże zagrożenie dla gospodarki w Polsce. Przeciętne zagrożenie dla gospodarki odczuwa </w:t>
      </w:r>
      <w:r>
        <w:rPr>
          <w:shd w:val="clear" w:color="auto" w:fill="FFFFFF"/>
        </w:rPr>
        <w:t>40,1</w:t>
      </w:r>
      <w:r w:rsidR="00FE5C2F">
        <w:rPr>
          <w:shd w:val="clear" w:color="auto" w:fill="FFFFFF"/>
        </w:rPr>
        <w:t>% odpowiadających na pytania. M</w:t>
      </w:r>
      <w:r>
        <w:rPr>
          <w:shd w:val="clear" w:color="auto" w:fill="FFFFFF"/>
        </w:rPr>
        <w:t>ałe zagrożenie deklaruje tylko 5</w:t>
      </w:r>
      <w:r w:rsidR="005B668B">
        <w:rPr>
          <w:shd w:val="clear" w:color="auto" w:fill="FFFFFF"/>
        </w:rPr>
        <w:t>,0</w:t>
      </w:r>
      <w:r w:rsidR="00FE5C2F">
        <w:rPr>
          <w:shd w:val="clear" w:color="auto" w:fill="FFFFFF"/>
        </w:rPr>
        <w:t xml:space="preserve">%, natomiast brak zagrożenia stwierdziło </w:t>
      </w:r>
      <w:r w:rsidR="00424B5D">
        <w:rPr>
          <w:shd w:val="clear" w:color="auto" w:fill="FFFFFF"/>
        </w:rPr>
        <w:t>zaledwie</w:t>
      </w:r>
      <w:r w:rsidR="005B668B">
        <w:rPr>
          <w:shd w:val="clear" w:color="auto" w:fill="FFFFFF"/>
        </w:rPr>
        <w:t xml:space="preserve"> 0,7</w:t>
      </w:r>
      <w:r w:rsidR="00FE5C2F">
        <w:rPr>
          <w:shd w:val="clear" w:color="auto" w:fill="FFFFFF"/>
        </w:rPr>
        <w:t>% respondentów.</w:t>
      </w:r>
    </w:p>
    <w:p w14:paraId="51D1F6B6" w14:textId="5A2D59D6" w:rsidR="00FE5C2F" w:rsidRDefault="00FE5C2F" w:rsidP="00FE5C2F">
      <w:pPr>
        <w:tabs>
          <w:tab w:val="left" w:pos="3218"/>
        </w:tabs>
      </w:pPr>
      <w:r>
        <w:tab/>
      </w:r>
    </w:p>
    <w:p w14:paraId="7EF295A1" w14:textId="36ED5216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6000" behindDoc="0" locked="0" layoutInCell="1" allowOverlap="1" wp14:anchorId="5A31420E" wp14:editId="19D36447">
            <wp:simplePos x="0" y="0"/>
            <wp:positionH relativeFrom="margin">
              <wp:align>left</wp:align>
            </wp:positionH>
            <wp:positionV relativeFrom="margin">
              <wp:posOffset>4918380</wp:posOffset>
            </wp:positionV>
            <wp:extent cx="5122545" cy="1980000"/>
            <wp:effectExtent l="0" t="0" r="1905" b="1270"/>
            <wp:wrapSquare wrapText="bothSides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5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 xml:space="preserve">dla </w:t>
      </w:r>
      <w:r>
        <w:rPr>
          <w:shd w:val="clear" w:color="auto" w:fill="FFFFFF"/>
        </w:rPr>
        <w:t>gospodarki w Polsce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3B6348CF" w14:textId="5586FEE4" w:rsidR="00FE5C2F" w:rsidRDefault="00FE5C2F" w:rsidP="00FE5C2F">
      <w:pPr>
        <w:pStyle w:val="Nagwek1"/>
      </w:pPr>
    </w:p>
    <w:p w14:paraId="02744F9E" w14:textId="77777777" w:rsidR="00FE5C2F" w:rsidRPr="00FE5C2F" w:rsidRDefault="00FE5C2F" w:rsidP="00FE5C2F">
      <w:pPr>
        <w:rPr>
          <w:lang w:eastAsia="pl-PL"/>
        </w:rPr>
      </w:pPr>
    </w:p>
    <w:p w14:paraId="6AED08D6" w14:textId="17DB78A2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4CF1FA7A" wp14:editId="7A22ECD0">
                <wp:simplePos x="0" y="0"/>
                <wp:positionH relativeFrom="rightMargin">
                  <wp:posOffset>102235</wp:posOffset>
                </wp:positionH>
                <wp:positionV relativeFrom="paragraph">
                  <wp:posOffset>80645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4" name="Pole tekstow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A8C7" w14:textId="70778537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przypadku 16,0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respondentów obecna sytuacj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epidemiologiczna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stanowi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duże zagrożenie dla ich osobistej sytuacji finansowej </w:t>
                            </w:r>
                          </w:p>
                          <w:p w14:paraId="636ECF54" w14:textId="77777777" w:rsidR="001430EF" w:rsidRDefault="001430EF" w:rsidP="00FE5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FA7A" id="Pole tekstowe 204" o:spid="_x0000_s1040" type="#_x0000_t202" style="position:absolute;margin-left:8.05pt;margin-top:6.35pt;width:135.85pt;height:77.6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" filled="f" stroked="f">
                <v:textbox>
                  <w:txbxContent>
                    <w:p w14:paraId="6C03A8C7" w14:textId="70778537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przypadku 16,0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respondentów obecna sytuacj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epidemiologiczna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stanowi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duże zagrożenie dla ich osobistej sytuacji finansowej </w:t>
                      </w:r>
                    </w:p>
                    <w:p w14:paraId="636ECF54" w14:textId="77777777" w:rsidR="001430EF" w:rsidRDefault="001430EF" w:rsidP="00FE5C2F"/>
                  </w:txbxContent>
                </v:textbox>
                <w10:wrap type="tight" anchorx="margin"/>
              </v:shape>
            </w:pict>
          </mc:Fallback>
        </mc:AlternateContent>
      </w:r>
      <w:r>
        <w:t>Jakim zagrożeniem jest obecna sytuacja epidemiologiczna dla osobistej sytuacji finansowej</w:t>
      </w:r>
    </w:p>
    <w:p w14:paraId="2278D934" w14:textId="018E12FE" w:rsidR="00FE5C2F" w:rsidRDefault="007B2BB6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W przypadku 1</w:t>
      </w:r>
      <w:r w:rsidR="00A051B0">
        <w:rPr>
          <w:shd w:val="clear" w:color="auto" w:fill="FFFFFF"/>
        </w:rPr>
        <w:t>6,0</w:t>
      </w:r>
      <w:r w:rsidR="00FE5C2F">
        <w:rPr>
          <w:shd w:val="clear" w:color="auto" w:fill="FFFFFF"/>
        </w:rPr>
        <w:t>% respondentów obecna sytuacja epidemiologiczna stanowi duże zagrożenie dla ich osobistej sytuacji finansowej. Pr</w:t>
      </w:r>
      <w:r w:rsidR="00A051B0">
        <w:rPr>
          <w:shd w:val="clear" w:color="auto" w:fill="FFFFFF"/>
        </w:rPr>
        <w:t>zeciętne zagrożenie odczuwa 41,2</w:t>
      </w:r>
      <w:r w:rsidR="00FE5C2F">
        <w:rPr>
          <w:shd w:val="clear" w:color="auto" w:fill="FFFFFF"/>
        </w:rPr>
        <w:t>% odpowiadających na pytania dotyczące koniunktury konsumenckiej.</w:t>
      </w:r>
      <w:r>
        <w:rPr>
          <w:shd w:val="clear" w:color="auto" w:fill="FFFFFF"/>
        </w:rPr>
        <w:t xml:space="preserve"> Małe zagrożenie deklaruje 2</w:t>
      </w:r>
      <w:r w:rsidR="00A051B0">
        <w:rPr>
          <w:shd w:val="clear" w:color="auto" w:fill="FFFFFF"/>
        </w:rPr>
        <w:t>6,0</w:t>
      </w:r>
      <w:r w:rsidR="00FE5C2F">
        <w:rPr>
          <w:shd w:val="clear" w:color="auto" w:fill="FFFFFF"/>
        </w:rPr>
        <w:t>%, natomiast brak zagrożenia stwierdziło</w:t>
      </w:r>
      <w:r w:rsidR="00D44A0E">
        <w:rPr>
          <w:shd w:val="clear" w:color="auto" w:fill="FFFFFF"/>
        </w:rPr>
        <w:t xml:space="preserve"> </w:t>
      </w:r>
      <w:r w:rsidR="00A051B0">
        <w:rPr>
          <w:shd w:val="clear" w:color="auto" w:fill="FFFFFF"/>
        </w:rPr>
        <w:t>16,8</w:t>
      </w:r>
      <w:r w:rsidR="00FE5C2F">
        <w:rPr>
          <w:shd w:val="clear" w:color="auto" w:fill="FFFFFF"/>
        </w:rPr>
        <w:t>% respondentów.</w:t>
      </w:r>
    </w:p>
    <w:p w14:paraId="11316341" w14:textId="19C988A0" w:rsidR="00FE5C2F" w:rsidRDefault="00FE5C2F" w:rsidP="00FE5C2F">
      <w:pPr>
        <w:spacing w:before="0" w:after="160" w:line="259" w:lineRule="auto"/>
      </w:pPr>
      <w:r>
        <w:br w:type="page"/>
      </w:r>
    </w:p>
    <w:p w14:paraId="2EB97368" w14:textId="77777777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74976" behindDoc="0" locked="0" layoutInCell="1" allowOverlap="1" wp14:anchorId="28E3E73E" wp14:editId="220CE4F1">
            <wp:simplePos x="0" y="0"/>
            <wp:positionH relativeFrom="margin">
              <wp:align>right</wp:align>
            </wp:positionH>
            <wp:positionV relativeFrom="margin">
              <wp:posOffset>375861</wp:posOffset>
            </wp:positionV>
            <wp:extent cx="5122545" cy="1980000"/>
            <wp:effectExtent l="0" t="0" r="1905" b="1270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6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 xml:space="preserve">dla </w:t>
      </w:r>
      <w:r>
        <w:rPr>
          <w:shd w:val="clear" w:color="auto" w:fill="FFFFFF"/>
        </w:rPr>
        <w:t>Pana/Pani osobistej sytuacji finansowej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431F1F1D" w14:textId="77777777" w:rsidR="00FE5C2F" w:rsidRDefault="00FE5C2F" w:rsidP="00FE5C2F">
      <w:pPr>
        <w:pStyle w:val="Nagwek1"/>
      </w:pPr>
    </w:p>
    <w:p w14:paraId="1BF976A7" w14:textId="77777777" w:rsidR="00FE5C2F" w:rsidRDefault="00FE5C2F" w:rsidP="00FE5C2F">
      <w:pPr>
        <w:pStyle w:val="Nagwek1"/>
      </w:pPr>
    </w:p>
    <w:p w14:paraId="1B8D1880" w14:textId="0DA3FF4E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6E305487" wp14:editId="67C4B36C">
                <wp:simplePos x="0" y="0"/>
                <wp:positionH relativeFrom="rightMargin">
                  <wp:posOffset>114884</wp:posOffset>
                </wp:positionH>
                <wp:positionV relativeFrom="paragraph">
                  <wp:posOffset>77393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5" name="Pole tekstow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BF3B" w14:textId="682A8D71" w:rsidR="001430EF" w:rsidRPr="00D616D2" w:rsidRDefault="001430EF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Dla 17,5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respondentów obecna sytuacj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epidemiologiczna stanowi duże zagrożenie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dla 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codziennego życia w lokalnej społeczności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5487" id="Pole tekstowe 205" o:spid="_x0000_s1041" type="#_x0000_t202" style="position:absolute;margin-left:9.05pt;margin-top:6.1pt;width:135.85pt;height:77.6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" filled="f" stroked="f">
                <v:textbox>
                  <w:txbxContent>
                    <w:p w14:paraId="2D14BF3B" w14:textId="682A8D71" w:rsidR="001430EF" w:rsidRPr="00D616D2" w:rsidRDefault="001430EF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Dla 17,5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respondentów obecna sytuacj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epidemiologiczna stanowi duże zagrożenie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dla 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codziennego życia w lokalnej społeczności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Jakim zagrożeniem jest obecna sytuacja epidemiologiczna dla codziennego życia w lokalnej społeczności</w:t>
      </w:r>
    </w:p>
    <w:p w14:paraId="0EF1B76D" w14:textId="7FE0A518" w:rsidR="00FE5C2F" w:rsidRDefault="00B93F2B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Dla 1</w:t>
      </w:r>
      <w:r w:rsidR="00D01B23">
        <w:rPr>
          <w:shd w:val="clear" w:color="auto" w:fill="FFFFFF"/>
        </w:rPr>
        <w:t>7,5</w:t>
      </w:r>
      <w:r w:rsidR="00FE5C2F">
        <w:rPr>
          <w:shd w:val="clear" w:color="auto" w:fill="FFFFFF"/>
        </w:rPr>
        <w:t>% respondentów obecna sytuacj</w:t>
      </w:r>
      <w:r w:rsidR="004A2ED0">
        <w:rPr>
          <w:shd w:val="clear" w:color="auto" w:fill="FFFFFF"/>
        </w:rPr>
        <w:t>a</w:t>
      </w:r>
      <w:r w:rsidR="00FE5C2F">
        <w:rPr>
          <w:shd w:val="clear" w:color="auto" w:fill="FFFFFF"/>
        </w:rPr>
        <w:t xml:space="preserve"> epidemiologiczna stanowi duże zagrożenie</w:t>
      </w:r>
      <w:r w:rsidR="001430EF">
        <w:rPr>
          <w:shd w:val="clear" w:color="auto" w:fill="FFFFFF"/>
        </w:rPr>
        <w:t xml:space="preserve"> dla</w:t>
      </w:r>
      <w:r w:rsidR="00FE5C2F">
        <w:rPr>
          <w:shd w:val="clear" w:color="auto" w:fill="FFFFFF"/>
        </w:rPr>
        <w:t xml:space="preserve"> codziennego życia w lokalnej społeczności. Przeciętne zagrożenie odczuwa </w:t>
      </w:r>
      <w:r w:rsidR="00E50EC8">
        <w:rPr>
          <w:shd w:val="clear" w:color="auto" w:fill="FFFFFF"/>
        </w:rPr>
        <w:t>5</w:t>
      </w:r>
      <w:r w:rsidR="00D01B23">
        <w:rPr>
          <w:shd w:val="clear" w:color="auto" w:fill="FFFFFF"/>
        </w:rPr>
        <w:t>6,0</w:t>
      </w:r>
      <w:r w:rsidR="00FE5C2F">
        <w:rPr>
          <w:shd w:val="clear" w:color="auto" w:fill="FFFFFF"/>
        </w:rPr>
        <w:t>% odpowiadających na pytania dotyczące koniunktury konsumenckiej. Małe zagrożenie de</w:t>
      </w:r>
      <w:r w:rsidR="00CA12C5">
        <w:rPr>
          <w:shd w:val="clear" w:color="auto" w:fill="FFFFFF"/>
        </w:rPr>
        <w:t xml:space="preserve">klaruje </w:t>
      </w:r>
      <w:r w:rsidR="00D01B23">
        <w:rPr>
          <w:shd w:val="clear" w:color="auto" w:fill="FFFFFF"/>
        </w:rPr>
        <w:t>23,6</w:t>
      </w:r>
      <w:r w:rsidR="00FE5C2F">
        <w:rPr>
          <w:shd w:val="clear" w:color="auto" w:fill="FFFFFF"/>
        </w:rPr>
        <w:t xml:space="preserve">%, natomiast brak zagrożenia stwierdziło </w:t>
      </w:r>
      <w:r w:rsidR="00D01B23">
        <w:rPr>
          <w:shd w:val="clear" w:color="auto" w:fill="FFFFFF"/>
        </w:rPr>
        <w:t>2,9</w:t>
      </w:r>
      <w:r w:rsidR="00FE5C2F">
        <w:rPr>
          <w:shd w:val="clear" w:color="auto" w:fill="FFFFFF"/>
        </w:rPr>
        <w:t>% respondentów.</w:t>
      </w:r>
    </w:p>
    <w:p w14:paraId="6A168AAA" w14:textId="1DA6F0FC" w:rsidR="00FE5C2F" w:rsidRPr="00E940D5" w:rsidRDefault="00FE5C2F" w:rsidP="00FE5C2F">
      <w:pPr>
        <w:spacing w:before="0" w:after="0"/>
        <w:rPr>
          <w:sz w:val="16"/>
          <w:shd w:val="clear" w:color="auto" w:fill="FFFFFF"/>
        </w:rPr>
      </w:pPr>
    </w:p>
    <w:p w14:paraId="7DD29331" w14:textId="009F0F48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83168" behindDoc="0" locked="0" layoutInCell="1" allowOverlap="1" wp14:anchorId="40BE7E35" wp14:editId="4F52A4A4">
            <wp:simplePos x="0" y="0"/>
            <wp:positionH relativeFrom="margin">
              <wp:align>left</wp:align>
            </wp:positionH>
            <wp:positionV relativeFrom="margin">
              <wp:posOffset>4696460</wp:posOffset>
            </wp:positionV>
            <wp:extent cx="5122545" cy="1980000"/>
            <wp:effectExtent l="0" t="0" r="1905" b="1270"/>
            <wp:wrapSquare wrapText="bothSides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7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</w:t>
      </w:r>
      <w:r w:rsidRPr="006736C7">
        <w:rPr>
          <w:shd w:val="clear" w:color="auto" w:fill="FFFFFF"/>
        </w:rPr>
        <w:t xml:space="preserve"> dla </w:t>
      </w:r>
      <w:r>
        <w:rPr>
          <w:shd w:val="clear" w:color="auto" w:fill="FFFFFF"/>
        </w:rPr>
        <w:t>codziennego życia w Pana/Pani lokalnej społeczności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1265AD2C" w14:textId="30C5FE3B" w:rsidR="00FE5C2F" w:rsidRDefault="00FE5C2F">
      <w:pPr>
        <w:spacing w:before="0" w:after="160" w:line="259" w:lineRule="auto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br w:type="page"/>
      </w:r>
    </w:p>
    <w:p w14:paraId="241B3090" w14:textId="77777777" w:rsidR="00FE5C2F" w:rsidRDefault="00FE5C2F" w:rsidP="00FE5C2F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1B139E3" w14:textId="26AD6D68" w:rsidR="00FE5C2F" w:rsidRPr="009F2906" w:rsidRDefault="00FE5C2F" w:rsidP="00FE5C2F">
      <w:pPr>
        <w:ind w:left="851" w:hanging="851"/>
        <w:rPr>
          <w:b/>
          <w:spacing w:val="-2"/>
          <w:sz w:val="18"/>
          <w:shd w:val="clear" w:color="auto" w:fill="FFFFFF"/>
        </w:rPr>
      </w:pPr>
      <w:r w:rsidRPr="005A36AA">
        <w:rPr>
          <w:b/>
          <w:spacing w:val="-2"/>
          <w:sz w:val="18"/>
          <w:shd w:val="clear" w:color="auto" w:fill="FFFFFF"/>
        </w:rPr>
        <w:t>Tablica</w:t>
      </w:r>
      <w:r>
        <w:rPr>
          <w:b/>
          <w:spacing w:val="-2"/>
          <w:sz w:val="18"/>
          <w:shd w:val="clear" w:color="auto" w:fill="FFFFFF"/>
        </w:rPr>
        <w:t xml:space="preserve"> 1</w:t>
      </w:r>
      <w:r w:rsidRPr="0057036A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Pytania dodatkowe (odsetki odpowiedzi)</w:t>
      </w:r>
      <w:r w:rsidRPr="005A36AA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 xml:space="preserve"> - sytuacja epidemiologiczna (zagrożenie koronawirusem COVID-19)</w:t>
      </w:r>
    </w:p>
    <w:tbl>
      <w:tblPr>
        <w:tblStyle w:val="Tabela-Siatka"/>
        <w:tblW w:w="8080" w:type="dxa"/>
        <w:tblLayout w:type="fixed"/>
        <w:tblLook w:val="04A0" w:firstRow="1" w:lastRow="0" w:firstColumn="1" w:lastColumn="0" w:noHBand="0" w:noVBand="1"/>
      </w:tblPr>
      <w:tblGrid>
        <w:gridCol w:w="3283"/>
        <w:gridCol w:w="1713"/>
        <w:gridCol w:w="1028"/>
        <w:gridCol w:w="1028"/>
        <w:gridCol w:w="1028"/>
      </w:tblGrid>
      <w:tr w:rsidR="00AB58D5" w:rsidRPr="00D24571" w14:paraId="67A2BBE5" w14:textId="2B468837" w:rsidTr="005E55CD">
        <w:tc>
          <w:tcPr>
            <w:tcW w:w="4996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706AF8D" w14:textId="77777777" w:rsidR="00AB58D5" w:rsidRPr="00D24571" w:rsidRDefault="00AB58D5" w:rsidP="00AB58D5">
            <w:pPr>
              <w:jc w:val="center"/>
              <w:rPr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WYSZCZEGÓLNIENIE</w:t>
            </w:r>
          </w:p>
        </w:tc>
        <w:tc>
          <w:tcPr>
            <w:tcW w:w="1028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06899841" w14:textId="5D20C5DA" w:rsidR="00AB58D5" w:rsidRPr="002229AE" w:rsidRDefault="00AB58D5" w:rsidP="00AB58D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Czerwiec</w:t>
            </w:r>
          </w:p>
        </w:tc>
        <w:tc>
          <w:tcPr>
            <w:tcW w:w="1028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14:paraId="4227E839" w14:textId="08DA196D" w:rsidR="00AB58D5" w:rsidRPr="00AB58D5" w:rsidRDefault="00AB58D5" w:rsidP="00AB58D5">
            <w:pPr>
              <w:jc w:val="center"/>
              <w:rPr>
                <w:bCs/>
                <w:sz w:val="14"/>
                <w:szCs w:val="14"/>
              </w:rPr>
            </w:pPr>
            <w:r w:rsidRPr="00AB58D5">
              <w:rPr>
                <w:bCs/>
                <w:sz w:val="14"/>
                <w:szCs w:val="14"/>
              </w:rPr>
              <w:t>Lipiec</w:t>
            </w:r>
          </w:p>
        </w:tc>
        <w:tc>
          <w:tcPr>
            <w:tcW w:w="1028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14:paraId="4BE45F4D" w14:textId="63344A1B" w:rsidR="00AB58D5" w:rsidRDefault="00AB58D5" w:rsidP="00AB58D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Sierpień</w:t>
            </w:r>
          </w:p>
        </w:tc>
      </w:tr>
      <w:tr w:rsidR="00AB58D5" w:rsidRPr="00D24571" w14:paraId="043BC519" w14:textId="1328E517" w:rsidTr="005E55CD">
        <w:trPr>
          <w:trHeight w:val="369"/>
        </w:trPr>
        <w:tc>
          <w:tcPr>
            <w:tcW w:w="3283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690F2890" w14:textId="17CA11F6" w:rsidR="00AB58D5" w:rsidRPr="00D24571" w:rsidRDefault="00AB58D5" w:rsidP="00AB58D5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noProof/>
                <w:sz w:val="14"/>
                <w:szCs w:val="14"/>
                <w:lang w:eastAsia="pl-PL"/>
              </w:rPr>
              <w:t>Jaki wpływ na Pana/Pani odpowiedzi miała obecna sytuacja epidemiologiczna (koronawirus COVID</w:t>
            </w:r>
            <w:r>
              <w:rPr>
                <w:b/>
                <w:noProof/>
                <w:sz w:val="14"/>
                <w:szCs w:val="14"/>
                <w:lang w:eastAsia="pl-PL"/>
              </w:rPr>
              <w:t>-</w:t>
            </w:r>
            <w:r w:rsidRPr="00E631C8">
              <w:rPr>
                <w:b/>
                <w:noProof/>
                <w:sz w:val="14"/>
                <w:szCs w:val="14"/>
                <w:lang w:eastAsia="pl-PL"/>
              </w:rPr>
              <w:t>19)?</w:t>
            </w:r>
            <w:r>
              <w:rPr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71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5941D7E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>
              <w:rPr>
                <w:rFonts w:cs="Fira Sans"/>
                <w:color w:val="000000"/>
                <w:sz w:val="14"/>
                <w:szCs w:val="14"/>
              </w:rPr>
              <w:t>znaczny</w:t>
            </w:r>
          </w:p>
        </w:tc>
        <w:tc>
          <w:tcPr>
            <w:tcW w:w="102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E3C23F2" w14:textId="68ACA804" w:rsidR="00AB58D5" w:rsidRPr="00D24571" w:rsidRDefault="00AB58D5" w:rsidP="00AB58D5">
            <w:pPr>
              <w:spacing w:before="0" w:after="0" w:line="240" w:lineRule="auto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102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E0BCC28" w14:textId="72B80376" w:rsidR="00AB58D5" w:rsidRDefault="00AB58D5" w:rsidP="00AB58D5">
            <w:pPr>
              <w:spacing w:before="0" w:after="0" w:line="240" w:lineRule="auto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28,5</w:t>
            </w:r>
          </w:p>
        </w:tc>
        <w:tc>
          <w:tcPr>
            <w:tcW w:w="102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E96E36" w14:textId="6734CFBD" w:rsidR="00AB58D5" w:rsidRDefault="00857915" w:rsidP="00AB58D5">
            <w:pPr>
              <w:spacing w:before="0" w:after="0" w:line="240" w:lineRule="auto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27,2</w:t>
            </w:r>
          </w:p>
        </w:tc>
      </w:tr>
      <w:tr w:rsidR="00AB58D5" w:rsidRPr="00D24571" w14:paraId="4F16D325" w14:textId="7035D2B3" w:rsidTr="005E55CD">
        <w:trPr>
          <w:trHeight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404FCD1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E63A243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>
              <w:rPr>
                <w:rFonts w:cs="Fira Sans"/>
                <w:color w:val="000000"/>
                <w:sz w:val="14"/>
                <w:szCs w:val="14"/>
              </w:rPr>
              <w:t>umiarkowany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54B0FD" w14:textId="1869B058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1D34A8" w14:textId="4DC94696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56,1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E108FF" w14:textId="70126B2F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56,6</w:t>
            </w:r>
          </w:p>
        </w:tc>
      </w:tr>
      <w:tr w:rsidR="00AB58D5" w:rsidRPr="00D24571" w14:paraId="056FCE10" w14:textId="63231519" w:rsidTr="005E55CD">
        <w:trPr>
          <w:trHeight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9AF083C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DBBED1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>
              <w:rPr>
                <w:rFonts w:cs="Fira Sans"/>
                <w:color w:val="000000"/>
                <w:sz w:val="14"/>
                <w:szCs w:val="14"/>
              </w:rPr>
              <w:t>żaden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340350" w14:textId="3DA5B90A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5F313D" w14:textId="59C2982B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ED4097" w14:textId="0DA6EF00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16,2</w:t>
            </w:r>
          </w:p>
        </w:tc>
      </w:tr>
      <w:tr w:rsidR="00AB58D5" w:rsidRPr="00D24571" w14:paraId="70C7ED76" w14:textId="4FD3B8E5" w:rsidTr="005E55CD">
        <w:trPr>
          <w:trHeight w:hRule="exact" w:val="369"/>
        </w:trPr>
        <w:tc>
          <w:tcPr>
            <w:tcW w:w="3283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D40DF8E" w14:textId="6235FF7A" w:rsidR="00AB58D5" w:rsidRPr="00D24571" w:rsidRDefault="00AB58D5" w:rsidP="00AB58D5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 xml:space="preserve">Czy w związku z obecną sytuacją epidemiologiczną (koronawirus </w:t>
            </w:r>
            <w:r>
              <w:rPr>
                <w:b/>
                <w:sz w:val="14"/>
                <w:szCs w:val="14"/>
              </w:rPr>
              <w:t>COVID-</w:t>
            </w:r>
            <w:r w:rsidRPr="00E631C8">
              <w:rPr>
                <w:b/>
                <w:sz w:val="14"/>
                <w:szCs w:val="14"/>
              </w:rPr>
              <w:t>19), obawia się Pan/Pani utraty pracy lub zaprzestania prowadzenia własnej działalności?</w:t>
            </w: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CCD16B7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 xml:space="preserve">zdecydowanie tak                                                                                                                                      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2ED32EF" w14:textId="1954961F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DA9F0C" w14:textId="43C4E14C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691372" w14:textId="582B8F77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2,7</w:t>
            </w:r>
          </w:p>
        </w:tc>
      </w:tr>
      <w:tr w:rsidR="00AB58D5" w:rsidRPr="00D24571" w14:paraId="74863483" w14:textId="421B9F42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0EDC4A0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C9CF23B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 xml:space="preserve">możliwe                                                                                                                                               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05C5E9" w14:textId="7303FF64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9D357B9" w14:textId="1CCF64F4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B96C36" w14:textId="1A2BB87A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10,9</w:t>
            </w:r>
          </w:p>
        </w:tc>
      </w:tr>
      <w:tr w:rsidR="00AB58D5" w:rsidRPr="00D24571" w14:paraId="53FFA65B" w14:textId="3C79272A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B99809F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AE8377E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 xml:space="preserve">raczej nie                                                                                                                                            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A5AD8C" w14:textId="5B60A54D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74982B3" w14:textId="49C4EF2F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E03E0B" w14:textId="1A50D78C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23,7</w:t>
            </w:r>
          </w:p>
        </w:tc>
      </w:tr>
      <w:tr w:rsidR="00AB58D5" w:rsidRPr="00D24571" w14:paraId="6141B0D2" w14:textId="4BB8DFEC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19DCA60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D698C21" w14:textId="77777777" w:rsidR="00AB58D5" w:rsidRPr="003D18AF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>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531C43B" w14:textId="2318C7E0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3A7D14" w14:textId="2E30D050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7335DB" w14:textId="2A69C451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21,7</w:t>
            </w:r>
          </w:p>
        </w:tc>
      </w:tr>
      <w:tr w:rsidR="00AB58D5" w:rsidRPr="00D24571" w14:paraId="4652C08D" w14:textId="74E5D338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0295AA2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D86B35F" w14:textId="77777777" w:rsidR="00AB58D5" w:rsidRPr="003D18AF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>nie mam zdania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39C1807" w14:textId="21B45E5D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F31D578" w14:textId="2A6FBBB6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E5022E" w14:textId="369D2294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1,6</w:t>
            </w:r>
          </w:p>
        </w:tc>
      </w:tr>
      <w:tr w:rsidR="00AB58D5" w:rsidRPr="00D24571" w14:paraId="4692BAE9" w14:textId="7F917BD8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FB1AC60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E2EBFD6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>nie dotyczy (dla osób niepracujących)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822A04" w14:textId="1B80FF00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40,9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CC0374" w14:textId="67691186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38,2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B490535" w14:textId="454468B9" w:rsidR="00AB58D5" w:rsidRDefault="0085791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39,4</w:t>
            </w:r>
          </w:p>
        </w:tc>
      </w:tr>
      <w:tr w:rsidR="00AB58D5" w:rsidRPr="00D24571" w14:paraId="0D0A969B" w14:textId="0B597FEC" w:rsidTr="005E55CD">
        <w:trPr>
          <w:trHeight w:hRule="exact" w:val="369"/>
        </w:trPr>
        <w:tc>
          <w:tcPr>
            <w:tcW w:w="3283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6196639" w14:textId="508956E2" w:rsidR="00AB58D5" w:rsidRPr="00D24571" w:rsidRDefault="00AB58D5" w:rsidP="00AB58D5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zdrowia populacji Polski jako całości?</w:t>
            </w: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7734990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D9DD46" w14:textId="44D23332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31,2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26B88C" w14:textId="3D430EC0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27,9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38D4705" w14:textId="28FACDEB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36,1</w:t>
            </w:r>
          </w:p>
        </w:tc>
      </w:tr>
      <w:tr w:rsidR="00AB58D5" w:rsidRPr="00D24571" w14:paraId="5890636E" w14:textId="5DEA4CD4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A40796B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67EF827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02DACB" w14:textId="5099AD45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49,9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EA4692D" w14:textId="37B5B192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52,5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923BD5" w14:textId="38BA7921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49,9</w:t>
            </w:r>
          </w:p>
        </w:tc>
      </w:tr>
      <w:tr w:rsidR="00AB58D5" w:rsidRPr="00D24571" w14:paraId="6520FBE6" w14:textId="050E138E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64349F4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E78EB0F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DE7AFD" w14:textId="5069F90B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4E163A1" w14:textId="3C4EF32F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10D268" w14:textId="64C5A8C6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12,9</w:t>
            </w:r>
          </w:p>
        </w:tc>
      </w:tr>
      <w:tr w:rsidR="00AB58D5" w:rsidRPr="00D24571" w14:paraId="29551225" w14:textId="08649804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D6C850A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738AC59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4389266" w14:textId="3BD422D9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CB7D26" w14:textId="2A24BCD5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287674" w14:textId="0DE8A034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1,1</w:t>
            </w:r>
          </w:p>
        </w:tc>
      </w:tr>
      <w:tr w:rsidR="00AB58D5" w:rsidRPr="00D24571" w14:paraId="6CC1C1EC" w14:textId="2954F120" w:rsidTr="005E55CD">
        <w:trPr>
          <w:trHeight w:val="369"/>
        </w:trPr>
        <w:tc>
          <w:tcPr>
            <w:tcW w:w="3283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FA5ED08" w14:textId="3566878F" w:rsidR="00AB58D5" w:rsidRPr="00D24571" w:rsidRDefault="00AB58D5" w:rsidP="00AB58D5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Pana/Pani osobistego zdrowia?</w:t>
            </w: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B8332B5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3D2BAF" w14:textId="5E6CFEA2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24,4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4D5FC17" w14:textId="1BBED4F6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B3325F" w14:textId="3056B06D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26,9</w:t>
            </w:r>
          </w:p>
        </w:tc>
      </w:tr>
      <w:tr w:rsidR="00AB58D5" w:rsidRPr="00D24571" w14:paraId="15D42C83" w14:textId="07A03916" w:rsidTr="005E55CD">
        <w:trPr>
          <w:trHeight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0396368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4A7838C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6E4183" w14:textId="02FC9F69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45,1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7971CB" w14:textId="29F9350E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BABAEA" w14:textId="08BB0EA8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46,1</w:t>
            </w:r>
          </w:p>
        </w:tc>
      </w:tr>
      <w:tr w:rsidR="00AB58D5" w:rsidRPr="00D24571" w14:paraId="50BE4998" w14:textId="1EA16625" w:rsidTr="005E55CD">
        <w:trPr>
          <w:trHeight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7BC630D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130ABCF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3C05FC" w14:textId="58752769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25,9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B5E64F8" w14:textId="40143737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0D869B1" w14:textId="0B2DFA55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24,0</w:t>
            </w:r>
          </w:p>
        </w:tc>
      </w:tr>
      <w:tr w:rsidR="00AB58D5" w:rsidRPr="00D24571" w14:paraId="39993059" w14:textId="795B7361" w:rsidTr="005E55CD">
        <w:trPr>
          <w:trHeight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F1A3D23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CA8374B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5DE7F9" w14:textId="6297155E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49935F" w14:textId="115F6E0B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4664666" w14:textId="7DE9444D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3,0</w:t>
            </w:r>
          </w:p>
        </w:tc>
      </w:tr>
      <w:tr w:rsidR="00AB58D5" w:rsidRPr="00D24571" w14:paraId="062FFA08" w14:textId="22A7A221" w:rsidTr="005E55CD">
        <w:trPr>
          <w:trHeight w:hRule="exact" w:val="369"/>
        </w:trPr>
        <w:tc>
          <w:tcPr>
            <w:tcW w:w="3283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4E08798" w14:textId="64204EE4" w:rsidR="00AB58D5" w:rsidRPr="00D24571" w:rsidRDefault="00AB58D5" w:rsidP="00AB58D5">
            <w:pPr>
              <w:spacing w:before="0"/>
              <w:rPr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gospodarki w Polsce?</w:t>
            </w: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4BEB412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0F1F48" w14:textId="150D5099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92A4A2" w14:textId="4F5B7C3D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52,5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403951F" w14:textId="78EE2B5D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54,2</w:t>
            </w:r>
          </w:p>
        </w:tc>
      </w:tr>
      <w:tr w:rsidR="00AB58D5" w:rsidRPr="00D24571" w14:paraId="4E590D7A" w14:textId="687C8486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997B575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C193E51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788A28" w14:textId="03BA0402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32,3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395764" w14:textId="1C474FA0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BF506B6" w14:textId="6402967A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40,1</w:t>
            </w:r>
          </w:p>
        </w:tc>
      </w:tr>
      <w:tr w:rsidR="00AB58D5" w:rsidRPr="00D24571" w14:paraId="67E416C1" w14:textId="520F3B86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966DF5B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937E54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620EF1" w14:textId="76C65D60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0DB5FD0" w14:textId="1BFA4E91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D6B617E" w14:textId="5253C4B9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5,0</w:t>
            </w:r>
          </w:p>
        </w:tc>
      </w:tr>
      <w:tr w:rsidR="00AB58D5" w:rsidRPr="00D24571" w14:paraId="2DEFA277" w14:textId="0B87E223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449D6D6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FC398BA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C6C7E6" w14:textId="6CA4D5C2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486711C" w14:textId="1EBF8EE1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6FB1780" w14:textId="72AED774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0,7</w:t>
            </w:r>
          </w:p>
        </w:tc>
      </w:tr>
      <w:tr w:rsidR="00AB58D5" w:rsidRPr="00D24571" w14:paraId="58E3C50B" w14:textId="19C191F2" w:rsidTr="005E55CD">
        <w:trPr>
          <w:trHeight w:hRule="exact" w:val="369"/>
        </w:trPr>
        <w:tc>
          <w:tcPr>
            <w:tcW w:w="3283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D3875E3" w14:textId="218C23DA" w:rsidR="00AB58D5" w:rsidRPr="00D24571" w:rsidRDefault="00AB58D5" w:rsidP="00AB58D5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Pana/Pani osobistej sytuacji finansowej?</w:t>
            </w: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A0F6A51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6E9200" w14:textId="35D907E2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3FCF10B" w14:textId="249FEC54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08C1EA" w14:textId="388C6CB6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16,0</w:t>
            </w:r>
          </w:p>
        </w:tc>
      </w:tr>
      <w:tr w:rsidR="00AB58D5" w:rsidRPr="00D24571" w14:paraId="4D330D91" w14:textId="1503EF0C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50B15EE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5552AA0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50E377" w14:textId="263A1BB9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0EEAC28" w14:textId="0A15BB99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45,3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2F66C4F" w14:textId="7E33476C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41,2</w:t>
            </w:r>
          </w:p>
        </w:tc>
      </w:tr>
      <w:tr w:rsidR="00AB58D5" w:rsidRPr="00D24571" w14:paraId="3F3487BB" w14:textId="52A60171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A9C5C80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B9578C3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4697A5" w14:textId="7ECAA45C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0A45B2" w14:textId="71F5D418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59237B9" w14:textId="1047FB1D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26,0</w:t>
            </w:r>
          </w:p>
        </w:tc>
      </w:tr>
      <w:tr w:rsidR="00AB58D5" w:rsidRPr="00D24571" w14:paraId="6EED5DDA" w14:textId="15708EB9" w:rsidTr="005E55CD">
        <w:trPr>
          <w:trHeight w:hRule="exact" w:val="369"/>
        </w:trPr>
        <w:tc>
          <w:tcPr>
            <w:tcW w:w="3283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D47F543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C98ED7F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01DBF908" w14:textId="7ED68AB6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29B0FB89" w14:textId="616D7AD0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1A2012DF" w14:textId="34794B32" w:rsidR="00AB58D5" w:rsidRDefault="00C56984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16,8</w:t>
            </w:r>
          </w:p>
        </w:tc>
      </w:tr>
      <w:tr w:rsidR="00AB58D5" w:rsidRPr="00D24571" w14:paraId="164D1752" w14:textId="5B80A94F" w:rsidTr="005E55CD">
        <w:trPr>
          <w:trHeight w:hRule="exact" w:val="369"/>
        </w:trPr>
        <w:tc>
          <w:tcPr>
            <w:tcW w:w="3283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23366C03" w14:textId="2311FB06" w:rsidR="00AB58D5" w:rsidRPr="00D24571" w:rsidRDefault="00AB58D5" w:rsidP="00AB58D5">
            <w:pPr>
              <w:rPr>
                <w:b/>
                <w:sz w:val="14"/>
                <w:szCs w:val="14"/>
              </w:rPr>
            </w:pPr>
            <w:r w:rsidRPr="005022FF">
              <w:rPr>
                <w:b/>
                <w:sz w:val="14"/>
                <w:szCs w:val="14"/>
              </w:rPr>
              <w:t>Jakim zagrożeniem, Pana/Pani zdaniem, jest obecna sytuacja epid</w:t>
            </w:r>
            <w:r>
              <w:rPr>
                <w:b/>
                <w:sz w:val="14"/>
                <w:szCs w:val="14"/>
              </w:rPr>
              <w:t>emiologiczna (koronawirus COVID-</w:t>
            </w:r>
            <w:r w:rsidRPr="005022FF">
              <w:rPr>
                <w:b/>
                <w:sz w:val="14"/>
                <w:szCs w:val="14"/>
              </w:rPr>
              <w:t>19) dla codziennego życia w Pana/Pani lokalnej społeczności?</w:t>
            </w:r>
          </w:p>
        </w:tc>
        <w:tc>
          <w:tcPr>
            <w:tcW w:w="1713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79DA6436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028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4A436381" w14:textId="400D6ACF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1028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12FD38B8" w14:textId="43EB596D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028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71EC33A8" w14:textId="3C19A62C" w:rsidR="00AB58D5" w:rsidRDefault="00B12D33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17,5</w:t>
            </w:r>
          </w:p>
        </w:tc>
      </w:tr>
      <w:tr w:rsidR="00AB58D5" w:rsidRPr="00D24571" w14:paraId="5759FBCD" w14:textId="0D86ACD2" w:rsidTr="005E55CD">
        <w:trPr>
          <w:trHeight w:hRule="exact" w:val="369"/>
        </w:trPr>
        <w:tc>
          <w:tcPr>
            <w:tcW w:w="3283" w:type="dxa"/>
            <w:vMerge/>
            <w:tcBorders>
              <w:left w:val="nil"/>
              <w:right w:val="nil"/>
            </w:tcBorders>
          </w:tcPr>
          <w:p w14:paraId="268454E5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left w:val="nil"/>
              <w:right w:val="single" w:sz="4" w:space="0" w:color="001D77"/>
            </w:tcBorders>
            <w:vAlign w:val="center"/>
          </w:tcPr>
          <w:p w14:paraId="3DB9A032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028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437130" w14:textId="36D28D21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54,1</w:t>
            </w:r>
          </w:p>
        </w:tc>
        <w:tc>
          <w:tcPr>
            <w:tcW w:w="1028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91BB92" w14:textId="445D3421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51,8</w:t>
            </w:r>
          </w:p>
        </w:tc>
        <w:tc>
          <w:tcPr>
            <w:tcW w:w="1028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2A0A047" w14:textId="3F08C465" w:rsidR="00AB58D5" w:rsidRDefault="00B12D33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56,0</w:t>
            </w:r>
          </w:p>
        </w:tc>
      </w:tr>
      <w:tr w:rsidR="00AB58D5" w:rsidRPr="00D24571" w14:paraId="2E470172" w14:textId="673168CE" w:rsidTr="005E55CD">
        <w:trPr>
          <w:trHeight w:hRule="exact" w:val="369"/>
        </w:trPr>
        <w:tc>
          <w:tcPr>
            <w:tcW w:w="3283" w:type="dxa"/>
            <w:vMerge/>
            <w:tcBorders>
              <w:left w:val="nil"/>
              <w:right w:val="nil"/>
            </w:tcBorders>
          </w:tcPr>
          <w:p w14:paraId="321DDE9C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EF1D92B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5F251FEF" w14:textId="46A5A94F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4B172E9D" w14:textId="79F921D6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31,0</w:t>
            </w:r>
          </w:p>
        </w:tc>
        <w:tc>
          <w:tcPr>
            <w:tcW w:w="102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6D8E9CB3" w14:textId="4E632B6F" w:rsidR="00AB58D5" w:rsidRDefault="00B12D33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23,6</w:t>
            </w:r>
          </w:p>
        </w:tc>
      </w:tr>
      <w:tr w:rsidR="00AB58D5" w:rsidRPr="00D24571" w14:paraId="41FCB5C6" w14:textId="131E6528" w:rsidTr="005E55CD">
        <w:trPr>
          <w:trHeight w:hRule="exact" w:val="546"/>
        </w:trPr>
        <w:tc>
          <w:tcPr>
            <w:tcW w:w="3283" w:type="dxa"/>
            <w:vMerge/>
            <w:tcBorders>
              <w:left w:val="nil"/>
              <w:bottom w:val="nil"/>
              <w:right w:val="nil"/>
            </w:tcBorders>
          </w:tcPr>
          <w:p w14:paraId="750F4249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656EDC7C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028" w:type="dxa"/>
            <w:tcBorders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90D6586" w14:textId="65940919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1028" w:type="dxa"/>
            <w:tcBorders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04A5282" w14:textId="2D398F48" w:rsidR="00AB58D5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028" w:type="dxa"/>
            <w:tcBorders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01B7930" w14:textId="4D862BDF" w:rsidR="00AB58D5" w:rsidRDefault="00B12D33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2,9</w:t>
            </w:r>
          </w:p>
        </w:tc>
      </w:tr>
      <w:tr w:rsidR="00AB58D5" w:rsidRPr="00D24571" w14:paraId="7F7AE9DE" w14:textId="0904EF1F" w:rsidTr="005E55CD">
        <w:trPr>
          <w:trHeight w:hRule="exact" w:val="54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16D63C95" w14:textId="77777777" w:rsidR="00AB58D5" w:rsidRPr="00D24571" w:rsidRDefault="00AB58D5" w:rsidP="00AB58D5">
            <w:pPr>
              <w:rPr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D6D4" w14:textId="77777777" w:rsidR="00AB58D5" w:rsidRPr="00D24571" w:rsidRDefault="00AB58D5" w:rsidP="00AB58D5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4D6C" w14:textId="77777777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662629A" w14:textId="77777777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D563315" w14:textId="77777777" w:rsidR="00AB58D5" w:rsidRPr="00D24571" w:rsidRDefault="00AB58D5" w:rsidP="00AB58D5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</w:p>
        </w:tc>
      </w:tr>
    </w:tbl>
    <w:p w14:paraId="02A695C2" w14:textId="77777777" w:rsidR="00BD5592" w:rsidRDefault="00BD5592" w:rsidP="00FB1838">
      <w:pPr>
        <w:rPr>
          <w:shd w:val="clear" w:color="auto" w:fill="FFFFFF"/>
        </w:rPr>
      </w:pPr>
    </w:p>
    <w:p w14:paraId="4BCBECDF" w14:textId="77777777" w:rsidR="00BD5592" w:rsidRDefault="00BD5592" w:rsidP="00FB1838">
      <w:pPr>
        <w:rPr>
          <w:shd w:val="clear" w:color="auto" w:fill="FFFFFF"/>
        </w:rPr>
      </w:pPr>
    </w:p>
    <w:p w14:paraId="6D879E6C" w14:textId="5E62A3C8" w:rsidR="00FB1838" w:rsidRPr="00FB1838" w:rsidRDefault="00FB1838" w:rsidP="00FB1838">
      <w:pPr>
        <w:rPr>
          <w:shd w:val="clear" w:color="auto" w:fill="FFFFFF"/>
        </w:rPr>
      </w:pPr>
      <w:r w:rsidRPr="00FB1838">
        <w:rPr>
          <w:shd w:val="clear" w:color="auto" w:fill="FFFFFF"/>
        </w:rPr>
        <w:t xml:space="preserve">W przypadku cytowania danych Głównego Urzędu Statystycznego prosimy o zamieszczenie informacji: „Źródło danych GUS”, a </w:t>
      </w:r>
      <w:r w:rsidR="00EA74BD">
        <w:rPr>
          <w:shd w:val="clear" w:color="auto" w:fill="FFFFFF"/>
        </w:rPr>
        <w:t xml:space="preserve">w </w:t>
      </w:r>
      <w:r w:rsidRPr="00FB1838">
        <w:rPr>
          <w:shd w:val="clear" w:color="auto" w:fill="FFFFFF"/>
        </w:rPr>
        <w:t xml:space="preserve">przypadku publikowania obliczeń dokonanych na danych opublikowanych przez GUS prosimy o zamieszczenie informacji: „Opracowanie własne na podstawie danych GUS”. </w:t>
      </w:r>
    </w:p>
    <w:p w14:paraId="08D1A23A" w14:textId="77777777" w:rsidR="00FB1838" w:rsidRDefault="00FB1838" w:rsidP="00FE5C2F">
      <w:pPr>
        <w:spacing w:before="0" w:after="160" w:line="259" w:lineRule="auto"/>
        <w:rPr>
          <w:b/>
          <w:spacing w:val="-2"/>
          <w:sz w:val="18"/>
        </w:rPr>
      </w:pPr>
    </w:p>
    <w:p w14:paraId="0B3923C5" w14:textId="77777777" w:rsidR="00FB1838" w:rsidRPr="00FE5C2F" w:rsidRDefault="00FB1838" w:rsidP="00FE5C2F">
      <w:pPr>
        <w:spacing w:before="0" w:after="160" w:line="259" w:lineRule="auto"/>
        <w:rPr>
          <w:b/>
          <w:spacing w:val="-2"/>
          <w:sz w:val="18"/>
        </w:rPr>
        <w:sectPr w:rsidR="00FB1838" w:rsidRPr="00FE5C2F" w:rsidSect="009950DE">
          <w:headerReference w:type="default" r:id="rId28"/>
          <w:footerReference w:type="default" r:id="rId29"/>
          <w:headerReference w:type="first" r:id="rId30"/>
          <w:footerReference w:type="first" r:id="rId31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14:paraId="78672B0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76F85" w:rsidRPr="008F3638" w14:paraId="2DB5CE44" w14:textId="77777777" w:rsidTr="007B0D6A">
        <w:trPr>
          <w:trHeight w:val="1912"/>
        </w:trPr>
        <w:tc>
          <w:tcPr>
            <w:tcW w:w="4379" w:type="dxa"/>
          </w:tcPr>
          <w:p w14:paraId="1B405618" w14:textId="77777777" w:rsidR="00076F85" w:rsidRPr="008F3638" w:rsidRDefault="00076F85" w:rsidP="00076F85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E338E18" w14:textId="77777777" w:rsidR="00076F85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14:paraId="6ADEEB1C" w14:textId="77777777" w:rsidR="00076F85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 w:rsidRPr="00076F85">
              <w:rPr>
                <w:rFonts w:cs="Arial"/>
                <w:b/>
                <w:color w:val="000000" w:themeColor="text1"/>
                <w:sz w:val="20"/>
              </w:rPr>
              <w:t>dr Piotr Ryszard Cmela</w:t>
            </w:r>
          </w:p>
          <w:p w14:paraId="04EE7A73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 w:rsidR="00B05C6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684 56 11</w:t>
            </w:r>
          </w:p>
          <w:p w14:paraId="4BDC4932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5CF0DE93" w14:textId="77777777" w:rsidR="00076F85" w:rsidRPr="008F3638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F979E52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16A17F5E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4C9FE8E1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2B6C7F8" w14:textId="77777777" w:rsidR="00076F85" w:rsidRDefault="00076F85" w:rsidP="00076F85">
      <w:pPr>
        <w:rPr>
          <w:sz w:val="20"/>
        </w:rPr>
      </w:pPr>
    </w:p>
    <w:p w14:paraId="29223097" w14:textId="77777777" w:rsidR="00076F85" w:rsidRDefault="00076F85" w:rsidP="00076F85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76F85" w14:paraId="4EABAEC5" w14:textId="77777777" w:rsidTr="007B0D6A">
        <w:trPr>
          <w:trHeight w:val="610"/>
        </w:trPr>
        <w:tc>
          <w:tcPr>
            <w:tcW w:w="2721" w:type="pct"/>
            <w:vMerge w:val="restart"/>
          </w:tcPr>
          <w:p w14:paraId="1FAECCE0" w14:textId="77777777" w:rsidR="00076F85" w:rsidRPr="00C91687" w:rsidRDefault="00076F85" w:rsidP="00076F8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0FF673D0" w14:textId="77777777" w:rsidR="00076F85" w:rsidRPr="00C91687" w:rsidRDefault="00076F85" w:rsidP="00076F85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7CC59C25" w14:textId="77777777" w:rsidR="00076F85" w:rsidRPr="00076F85" w:rsidRDefault="00076F85" w:rsidP="00076F85">
            <w:pPr>
              <w:rPr>
                <w:sz w:val="18"/>
                <w:lang w:val="en-US"/>
              </w:rPr>
            </w:pPr>
            <w:r w:rsidRPr="00076F85">
              <w:rPr>
                <w:b/>
                <w:sz w:val="20"/>
                <w:lang w:val="en-US"/>
              </w:rPr>
              <w:t>e-mail:</w:t>
            </w:r>
            <w:r w:rsidRPr="00076F85">
              <w:rPr>
                <w:sz w:val="20"/>
                <w:lang w:val="en-US"/>
              </w:rPr>
              <w:t xml:space="preserve"> </w:t>
            </w:r>
            <w:hyperlink r:id="rId32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043060" w14:textId="77777777" w:rsidR="00076F85" w:rsidRPr="00076F85" w:rsidRDefault="00076F85" w:rsidP="00076F8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9616" behindDoc="0" locked="0" layoutInCell="1" allowOverlap="1" wp14:anchorId="6E46C46D" wp14:editId="2BEA742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6FC0B34E" w14:textId="77777777" w:rsidR="00076F85" w:rsidRDefault="00076F85" w:rsidP="00076F8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76F85" w14:paraId="16B3DE99" w14:textId="77777777" w:rsidTr="007B0D6A">
        <w:trPr>
          <w:trHeight w:val="436"/>
        </w:trPr>
        <w:tc>
          <w:tcPr>
            <w:tcW w:w="2721" w:type="pct"/>
            <w:vMerge/>
            <w:vAlign w:val="center"/>
          </w:tcPr>
          <w:p w14:paraId="2B5CAA16" w14:textId="77777777" w:rsidR="00076F85" w:rsidRDefault="00076F85" w:rsidP="00076F8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CF5E4C3" w14:textId="77777777" w:rsidR="00076F85" w:rsidRDefault="00076F85" w:rsidP="00076F8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5C7694AB" wp14:editId="4C324D2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055CD5B" w14:textId="77777777" w:rsidR="00076F85" w:rsidRDefault="00076F85" w:rsidP="00076F8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76F85" w14:paraId="4389F5B7" w14:textId="77777777" w:rsidTr="007B0D6A">
        <w:trPr>
          <w:trHeight w:val="436"/>
        </w:trPr>
        <w:tc>
          <w:tcPr>
            <w:tcW w:w="2721" w:type="pct"/>
            <w:vMerge/>
            <w:vAlign w:val="center"/>
          </w:tcPr>
          <w:p w14:paraId="0D6F5273" w14:textId="77777777" w:rsidR="00076F85" w:rsidRDefault="00076F85" w:rsidP="00076F8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2BAC878" w14:textId="77777777" w:rsidR="00076F85" w:rsidRDefault="00076F85" w:rsidP="00076F8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40C75DC9" wp14:editId="3B65C8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2A94A08" w14:textId="77777777" w:rsidR="00076F85" w:rsidRDefault="00076F85" w:rsidP="00076F85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6286322E" w14:textId="77777777" w:rsidR="00DE1E47" w:rsidRDefault="00DE1E47" w:rsidP="00E76D26">
      <w:pPr>
        <w:rPr>
          <w:sz w:val="18"/>
          <w:lang w:val="en-US"/>
        </w:rPr>
      </w:pPr>
    </w:p>
    <w:p w14:paraId="5140083E" w14:textId="77777777" w:rsidR="00DE1E47" w:rsidRDefault="00DE1E47" w:rsidP="00E76D26">
      <w:pPr>
        <w:rPr>
          <w:sz w:val="18"/>
          <w:lang w:val="en-US"/>
        </w:rPr>
      </w:pPr>
    </w:p>
    <w:p w14:paraId="1EA45209" w14:textId="16EEF630"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D63A91" wp14:editId="150456E4">
                <wp:simplePos x="0" y="0"/>
                <wp:positionH relativeFrom="margin">
                  <wp:posOffset>19050</wp:posOffset>
                </wp:positionH>
                <wp:positionV relativeFrom="page">
                  <wp:posOffset>3914775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78F5" w14:textId="77777777" w:rsidR="001430EF" w:rsidRDefault="001430EF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0D0F3A61" w14:textId="77777777" w:rsidR="001430EF" w:rsidRPr="00C51D06" w:rsidRDefault="001430EF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1C3F59E1" w14:textId="5BBEACB8" w:rsidR="001430EF" w:rsidRPr="00AD0C67" w:rsidRDefault="005F7B98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1430E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przetwórstwie przemysłowym, budownictwie, handlu i usługach w lipcu 2020 roku</w:t>
                              </w:r>
                            </w:hyperlink>
                          </w:p>
                          <w:p w14:paraId="4567E0E2" w14:textId="466A8699" w:rsidR="001430EF" w:rsidRPr="00AD0C67" w:rsidRDefault="005F7B98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1430E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6/2020</w:t>
                              </w:r>
                            </w:hyperlink>
                          </w:p>
                          <w:p w14:paraId="3D2B1744" w14:textId="77777777" w:rsidR="001430EF" w:rsidRPr="00C51D06" w:rsidRDefault="001430E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9286B63" w14:textId="77777777" w:rsidR="001430EF" w:rsidRPr="00655E7E" w:rsidRDefault="001430E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EAC8D14" w14:textId="77777777" w:rsidR="001430EF" w:rsidRPr="00AD0C67" w:rsidRDefault="005F7B9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1430EF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14:paraId="1CAD297C" w14:textId="77777777" w:rsidR="001430EF" w:rsidRPr="00C267CA" w:rsidRDefault="001430E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3A91" id="_x0000_s1042" type="#_x0000_t202" style="position:absolute;margin-left:1.5pt;margin-top:308.2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gpQAIAAHQ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" fillcolor="#f2f2f2 [3052]" strokecolor="white [3212]">
                <v:textbox>
                  <w:txbxContent>
                    <w:p w14:paraId="5D4A78F5" w14:textId="77777777" w:rsidR="001430EF" w:rsidRDefault="001430EF" w:rsidP="00AB6D25">
                      <w:pPr>
                        <w:rPr>
                          <w:b/>
                        </w:rPr>
                      </w:pPr>
                    </w:p>
                    <w:p w14:paraId="0D0F3A61" w14:textId="77777777" w:rsidR="001430EF" w:rsidRPr="00C51D06" w:rsidRDefault="001430EF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14:paraId="1C3F59E1" w14:textId="5BBEACB8" w:rsidR="001430EF" w:rsidRPr="00AD0C67" w:rsidRDefault="001430EF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przetwórstwie przemysłowym, budownictwie, handlu i usługach w lipcu 2020 roku</w:t>
                        </w:r>
                      </w:hyperlink>
                    </w:p>
                    <w:p w14:paraId="4567E0E2" w14:textId="466A8699" w:rsidR="001430EF" w:rsidRPr="00AD0C67" w:rsidRDefault="001430EF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6/2020</w:t>
                        </w:r>
                      </w:hyperlink>
                    </w:p>
                    <w:p w14:paraId="3D2B1744" w14:textId="77777777" w:rsidR="001430EF" w:rsidRPr="00C51D06" w:rsidRDefault="001430E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39286B63" w14:textId="77777777" w:rsidR="001430EF" w:rsidRPr="00655E7E" w:rsidRDefault="001430E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5EAC8D14" w14:textId="77777777" w:rsidR="001430EF" w:rsidRPr="00AD0C67" w:rsidRDefault="001430EF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14:paraId="1CAD297C" w14:textId="77777777" w:rsidR="001430EF" w:rsidRPr="00C267CA" w:rsidRDefault="001430E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D261A2" w:rsidRPr="003308DB" w:rsidSect="003B18B6">
      <w:headerReference w:type="default" r:id="rId42"/>
      <w:footerReference w:type="default" r:id="rId43"/>
      <w:footnotePr>
        <w:numFmt w:val="chicago"/>
      </w:footnotePr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F7612" w14:textId="77777777" w:rsidR="005F7B98" w:rsidRDefault="005F7B98" w:rsidP="000662E2">
      <w:pPr>
        <w:spacing w:after="0" w:line="240" w:lineRule="auto"/>
      </w:pPr>
      <w:r>
        <w:separator/>
      </w:r>
    </w:p>
  </w:endnote>
  <w:endnote w:type="continuationSeparator" w:id="0">
    <w:p w14:paraId="209245A6" w14:textId="77777777" w:rsidR="005F7B98" w:rsidRDefault="005F7B9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libri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14:paraId="3196DBB8" w14:textId="77777777" w:rsidR="001430EF" w:rsidRDefault="001430E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D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AF9F01" w14:textId="77777777" w:rsidR="001430EF" w:rsidRPr="00A518FC" w:rsidRDefault="001430EF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14:paraId="5373A8C0" w14:textId="77777777" w:rsidR="001430EF" w:rsidRPr="00A518FC" w:rsidRDefault="001430EF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097BDD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58335"/>
      <w:docPartObj>
        <w:docPartGallery w:val="Page Numbers (Bottom of Page)"/>
        <w:docPartUnique/>
      </w:docPartObj>
    </w:sdtPr>
    <w:sdtEndPr/>
    <w:sdtContent>
      <w:p w14:paraId="7ECCDFE3" w14:textId="77777777" w:rsidR="001430EF" w:rsidRDefault="001430E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DD">
          <w:rPr>
            <w:noProof/>
          </w:rPr>
          <w:t>10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3566971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8888E1A" w14:textId="77777777" w:rsidR="001430EF" w:rsidRPr="00A518FC" w:rsidRDefault="001430EF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14:paraId="39C04540" w14:textId="77777777" w:rsidR="001430EF" w:rsidRPr="00A518FC" w:rsidRDefault="001430EF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097BDD">
          <w:rPr>
            <w:noProof/>
            <w:sz w:val="16"/>
            <w:szCs w:val="16"/>
          </w:rPr>
          <w:t>6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F3A7A0B" w14:textId="77777777" w:rsidR="001430EF" w:rsidRDefault="001430E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DD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32CD" w14:textId="77777777" w:rsidR="005F7B98" w:rsidRDefault="005F7B98" w:rsidP="000662E2">
      <w:pPr>
        <w:spacing w:after="0" w:line="240" w:lineRule="auto"/>
      </w:pPr>
      <w:r>
        <w:separator/>
      </w:r>
    </w:p>
  </w:footnote>
  <w:footnote w:type="continuationSeparator" w:id="0">
    <w:p w14:paraId="5347BB53" w14:textId="77777777" w:rsidR="005F7B98" w:rsidRDefault="005F7B98" w:rsidP="000662E2">
      <w:pPr>
        <w:spacing w:after="0" w:line="240" w:lineRule="auto"/>
      </w:pPr>
      <w:r>
        <w:continuationSeparator/>
      </w:r>
    </w:p>
  </w:footnote>
  <w:footnote w:id="1">
    <w:p w14:paraId="4D80B54E" w14:textId="571C0414" w:rsidR="001430EF" w:rsidRDefault="001430EF" w:rsidP="000A76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>W</w:t>
      </w:r>
      <w:r>
        <w:rPr>
          <w:noProof/>
          <w:sz w:val="16"/>
          <w:szCs w:val="16"/>
        </w:rPr>
        <w:t xml:space="preserve"> okresie 03-12.08.2020 r. przeprowadzono metodą wywiadu telefonicznego 1154 wywiady.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25AD" w14:textId="77777777" w:rsidR="001430EF" w:rsidRDefault="001430EF">
    <w:pPr>
      <w:pStyle w:val="Nagwek"/>
    </w:pPr>
  </w:p>
  <w:p w14:paraId="51BD416D" w14:textId="77777777" w:rsidR="001430EF" w:rsidRDefault="001430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2860DD" wp14:editId="5E18D42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438F" w14:textId="77777777" w:rsidR="001430EF" w:rsidRDefault="001430EF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98FBC26" wp14:editId="1A31F1CC">
          <wp:extent cx="1153274" cy="720000"/>
          <wp:effectExtent l="0" t="0" r="0" b="4445"/>
          <wp:docPr id="4" name="Obraz 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15D97B" wp14:editId="26450A4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F66D64" w14:textId="77777777" w:rsidR="001430EF" w:rsidRPr="003C6C8D" w:rsidRDefault="001430E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5D97B" id="Schemat blokowy: opóźnienie 6" o:spid="_x0000_s104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0F66D64" w14:textId="77777777" w:rsidR="001430EF" w:rsidRPr="003C6C8D" w:rsidRDefault="001430E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A7B097" wp14:editId="592E5B2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14:paraId="529C9426" w14:textId="77777777" w:rsidR="001430EF" w:rsidRDefault="001430EF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26CFB1B" wp14:editId="09EA1D4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D16CF" w14:textId="555B3D5A" w:rsidR="001430EF" w:rsidRPr="00C97596" w:rsidRDefault="001430E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19.08.2020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CFB1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68DD16CF" w14:textId="555B3D5A" w:rsidR="001430EF" w:rsidRPr="00C97596" w:rsidRDefault="001430E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19.08.2020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B483" w14:textId="77777777" w:rsidR="001430EF" w:rsidRDefault="001430EF">
    <w:pPr>
      <w:pStyle w:val="Nagwek"/>
    </w:pPr>
  </w:p>
  <w:p w14:paraId="12B1F17D" w14:textId="77777777" w:rsidR="001430EF" w:rsidRDefault="001430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C68E397" wp14:editId="2EEFE2A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08" name="Prostokąt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F7F51" id="Prostokąt 208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zWpwIAAK8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G3VrNanAgAArw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BB982" w14:textId="72423298" w:rsidR="001430EF" w:rsidRDefault="001430E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7AEE69A" wp14:editId="709BE3C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210" name="Prostokąt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467F0" id="Prostokąt 210" o:spid="_x0000_s1026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/qngIAAIw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" fillcolor="#f2f2f2" stroked="f" strokeweight="1pt">
              <w10:wrap type="tight"/>
            </v:rect>
          </w:pict>
        </mc:Fallback>
      </mc:AlternateContent>
    </w:r>
  </w:p>
  <w:p w14:paraId="3F28722A" w14:textId="277E6585" w:rsidR="001430EF" w:rsidRDefault="001430EF">
    <w:pPr>
      <w:pStyle w:val="Nagwek"/>
      <w:rPr>
        <w:noProof/>
        <w:lang w:eastAsia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314C" w14:textId="77777777" w:rsidR="001430EF" w:rsidRDefault="001430EF">
    <w:pPr>
      <w:pStyle w:val="Nagwek"/>
    </w:pPr>
  </w:p>
  <w:p w14:paraId="2F92140A" w14:textId="77777777" w:rsidR="001430EF" w:rsidRDefault="001430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262B54"/>
    <w:multiLevelType w:val="hybridMultilevel"/>
    <w:tmpl w:val="DE96DB8E"/>
    <w:lvl w:ilvl="0" w:tplc="982074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A1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CB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23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4E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E7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A3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C4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4B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74"/>
    <w:rsid w:val="00001C5B"/>
    <w:rsid w:val="00003437"/>
    <w:rsid w:val="00004121"/>
    <w:rsid w:val="0000709F"/>
    <w:rsid w:val="000108B8"/>
    <w:rsid w:val="0001263F"/>
    <w:rsid w:val="00014DB7"/>
    <w:rsid w:val="000152F5"/>
    <w:rsid w:val="000248A6"/>
    <w:rsid w:val="0003132A"/>
    <w:rsid w:val="0003182C"/>
    <w:rsid w:val="00034768"/>
    <w:rsid w:val="00037D84"/>
    <w:rsid w:val="00040B33"/>
    <w:rsid w:val="00041217"/>
    <w:rsid w:val="00041798"/>
    <w:rsid w:val="00043689"/>
    <w:rsid w:val="0004582E"/>
    <w:rsid w:val="000470AA"/>
    <w:rsid w:val="00047B35"/>
    <w:rsid w:val="00050829"/>
    <w:rsid w:val="00051607"/>
    <w:rsid w:val="00051E07"/>
    <w:rsid w:val="00052D56"/>
    <w:rsid w:val="00053B77"/>
    <w:rsid w:val="00057CA1"/>
    <w:rsid w:val="000662E2"/>
    <w:rsid w:val="00066883"/>
    <w:rsid w:val="00072F74"/>
    <w:rsid w:val="00074DD8"/>
    <w:rsid w:val="00075F14"/>
    <w:rsid w:val="00076215"/>
    <w:rsid w:val="00076F85"/>
    <w:rsid w:val="000776C7"/>
    <w:rsid w:val="00077F91"/>
    <w:rsid w:val="000806E2"/>
    <w:rsid w:val="000806F7"/>
    <w:rsid w:val="00082013"/>
    <w:rsid w:val="00082442"/>
    <w:rsid w:val="00082E10"/>
    <w:rsid w:val="00086288"/>
    <w:rsid w:val="00087858"/>
    <w:rsid w:val="00092075"/>
    <w:rsid w:val="00092223"/>
    <w:rsid w:val="00094173"/>
    <w:rsid w:val="00096100"/>
    <w:rsid w:val="00097840"/>
    <w:rsid w:val="00097BDD"/>
    <w:rsid w:val="000A2240"/>
    <w:rsid w:val="000A296E"/>
    <w:rsid w:val="000A2CBF"/>
    <w:rsid w:val="000A4C70"/>
    <w:rsid w:val="000A55DB"/>
    <w:rsid w:val="000A65A9"/>
    <w:rsid w:val="000A76BB"/>
    <w:rsid w:val="000B0727"/>
    <w:rsid w:val="000B0D27"/>
    <w:rsid w:val="000B11BD"/>
    <w:rsid w:val="000B5253"/>
    <w:rsid w:val="000B747E"/>
    <w:rsid w:val="000C135D"/>
    <w:rsid w:val="000C2830"/>
    <w:rsid w:val="000C5F1F"/>
    <w:rsid w:val="000C7931"/>
    <w:rsid w:val="000D0352"/>
    <w:rsid w:val="000D1D43"/>
    <w:rsid w:val="000D225C"/>
    <w:rsid w:val="000D29F7"/>
    <w:rsid w:val="000D2A5C"/>
    <w:rsid w:val="000D2D91"/>
    <w:rsid w:val="000E0918"/>
    <w:rsid w:val="000E09C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2723"/>
    <w:rsid w:val="00113C04"/>
    <w:rsid w:val="00114DB9"/>
    <w:rsid w:val="0011502A"/>
    <w:rsid w:val="00116087"/>
    <w:rsid w:val="001174F6"/>
    <w:rsid w:val="00117A01"/>
    <w:rsid w:val="0012106E"/>
    <w:rsid w:val="00124C75"/>
    <w:rsid w:val="001258BC"/>
    <w:rsid w:val="00125FB7"/>
    <w:rsid w:val="0012739E"/>
    <w:rsid w:val="00130296"/>
    <w:rsid w:val="00131F96"/>
    <w:rsid w:val="0013245A"/>
    <w:rsid w:val="00133BFC"/>
    <w:rsid w:val="00137357"/>
    <w:rsid w:val="001423B6"/>
    <w:rsid w:val="00142BFC"/>
    <w:rsid w:val="001430EF"/>
    <w:rsid w:val="001448A7"/>
    <w:rsid w:val="00146621"/>
    <w:rsid w:val="0015506A"/>
    <w:rsid w:val="001613AE"/>
    <w:rsid w:val="00162325"/>
    <w:rsid w:val="00162C4B"/>
    <w:rsid w:val="00163353"/>
    <w:rsid w:val="0016456B"/>
    <w:rsid w:val="001646FD"/>
    <w:rsid w:val="00164F7E"/>
    <w:rsid w:val="001707DA"/>
    <w:rsid w:val="00171469"/>
    <w:rsid w:val="00173149"/>
    <w:rsid w:val="00175722"/>
    <w:rsid w:val="001768B7"/>
    <w:rsid w:val="00177066"/>
    <w:rsid w:val="00181035"/>
    <w:rsid w:val="00181CBC"/>
    <w:rsid w:val="001825B1"/>
    <w:rsid w:val="00183CE4"/>
    <w:rsid w:val="00187D25"/>
    <w:rsid w:val="001904D7"/>
    <w:rsid w:val="00190CA5"/>
    <w:rsid w:val="00192832"/>
    <w:rsid w:val="00194F85"/>
    <w:rsid w:val="001951DA"/>
    <w:rsid w:val="00197987"/>
    <w:rsid w:val="00197B94"/>
    <w:rsid w:val="001A0AD3"/>
    <w:rsid w:val="001A1742"/>
    <w:rsid w:val="001A671B"/>
    <w:rsid w:val="001A6ED5"/>
    <w:rsid w:val="001A7D81"/>
    <w:rsid w:val="001A7FFC"/>
    <w:rsid w:val="001B5A4C"/>
    <w:rsid w:val="001C1E98"/>
    <w:rsid w:val="001C2D33"/>
    <w:rsid w:val="001C3269"/>
    <w:rsid w:val="001C32FE"/>
    <w:rsid w:val="001C42EB"/>
    <w:rsid w:val="001C6EBA"/>
    <w:rsid w:val="001C7BD5"/>
    <w:rsid w:val="001D110E"/>
    <w:rsid w:val="001D1DB4"/>
    <w:rsid w:val="001D2AA0"/>
    <w:rsid w:val="001D4E28"/>
    <w:rsid w:val="001D5FC6"/>
    <w:rsid w:val="001D7E17"/>
    <w:rsid w:val="001E29DE"/>
    <w:rsid w:val="001E4896"/>
    <w:rsid w:val="001F19A3"/>
    <w:rsid w:val="001F2A20"/>
    <w:rsid w:val="00205B38"/>
    <w:rsid w:val="0020714C"/>
    <w:rsid w:val="00210F89"/>
    <w:rsid w:val="002115FD"/>
    <w:rsid w:val="00213881"/>
    <w:rsid w:val="00214086"/>
    <w:rsid w:val="00216D8F"/>
    <w:rsid w:val="00217B26"/>
    <w:rsid w:val="00221E7B"/>
    <w:rsid w:val="002220A6"/>
    <w:rsid w:val="002229AE"/>
    <w:rsid w:val="0022352C"/>
    <w:rsid w:val="00223DBE"/>
    <w:rsid w:val="002253F4"/>
    <w:rsid w:val="002272C5"/>
    <w:rsid w:val="00227C24"/>
    <w:rsid w:val="00232CDD"/>
    <w:rsid w:val="002331F6"/>
    <w:rsid w:val="00233319"/>
    <w:rsid w:val="00234C6A"/>
    <w:rsid w:val="00236A55"/>
    <w:rsid w:val="00236A7C"/>
    <w:rsid w:val="00240B8D"/>
    <w:rsid w:val="00244976"/>
    <w:rsid w:val="00246C38"/>
    <w:rsid w:val="00251C2F"/>
    <w:rsid w:val="00255158"/>
    <w:rsid w:val="002570E8"/>
    <w:rsid w:val="002574F9"/>
    <w:rsid w:val="00262B61"/>
    <w:rsid w:val="00262E7F"/>
    <w:rsid w:val="00267A8F"/>
    <w:rsid w:val="00273134"/>
    <w:rsid w:val="00273FBE"/>
    <w:rsid w:val="00274267"/>
    <w:rsid w:val="00274ADF"/>
    <w:rsid w:val="00276811"/>
    <w:rsid w:val="00276A4D"/>
    <w:rsid w:val="00276FE7"/>
    <w:rsid w:val="00277159"/>
    <w:rsid w:val="00282699"/>
    <w:rsid w:val="002830B9"/>
    <w:rsid w:val="00284122"/>
    <w:rsid w:val="00284618"/>
    <w:rsid w:val="00285ED8"/>
    <w:rsid w:val="002926DF"/>
    <w:rsid w:val="0029516C"/>
    <w:rsid w:val="00295ECA"/>
    <w:rsid w:val="002964C3"/>
    <w:rsid w:val="00296697"/>
    <w:rsid w:val="002971E7"/>
    <w:rsid w:val="002A1C3A"/>
    <w:rsid w:val="002A3665"/>
    <w:rsid w:val="002A595F"/>
    <w:rsid w:val="002A7CCE"/>
    <w:rsid w:val="002B0472"/>
    <w:rsid w:val="002B2112"/>
    <w:rsid w:val="002B21C8"/>
    <w:rsid w:val="002B3471"/>
    <w:rsid w:val="002B6B12"/>
    <w:rsid w:val="002C458A"/>
    <w:rsid w:val="002C46C7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6D6C"/>
    <w:rsid w:val="002E71B6"/>
    <w:rsid w:val="002F027A"/>
    <w:rsid w:val="002F22D2"/>
    <w:rsid w:val="002F5124"/>
    <w:rsid w:val="002F77C8"/>
    <w:rsid w:val="00301996"/>
    <w:rsid w:val="0030476F"/>
    <w:rsid w:val="00304F22"/>
    <w:rsid w:val="003069FD"/>
    <w:rsid w:val="00306C7C"/>
    <w:rsid w:val="00310165"/>
    <w:rsid w:val="00314260"/>
    <w:rsid w:val="00316EF5"/>
    <w:rsid w:val="00320B84"/>
    <w:rsid w:val="003222A9"/>
    <w:rsid w:val="00322ED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397A"/>
    <w:rsid w:val="0035420B"/>
    <w:rsid w:val="00356C31"/>
    <w:rsid w:val="00357611"/>
    <w:rsid w:val="0036042D"/>
    <w:rsid w:val="00360663"/>
    <w:rsid w:val="00361619"/>
    <w:rsid w:val="00361B86"/>
    <w:rsid w:val="003632BA"/>
    <w:rsid w:val="00363703"/>
    <w:rsid w:val="00364413"/>
    <w:rsid w:val="00365786"/>
    <w:rsid w:val="00367237"/>
    <w:rsid w:val="003701DE"/>
    <w:rsid w:val="0037077F"/>
    <w:rsid w:val="00372411"/>
    <w:rsid w:val="00373882"/>
    <w:rsid w:val="003740B0"/>
    <w:rsid w:val="00376382"/>
    <w:rsid w:val="00377B67"/>
    <w:rsid w:val="00380064"/>
    <w:rsid w:val="00380DFD"/>
    <w:rsid w:val="00383267"/>
    <w:rsid w:val="003843DB"/>
    <w:rsid w:val="00384F1C"/>
    <w:rsid w:val="0038699E"/>
    <w:rsid w:val="00386E30"/>
    <w:rsid w:val="00391C97"/>
    <w:rsid w:val="00393761"/>
    <w:rsid w:val="00393F64"/>
    <w:rsid w:val="00394115"/>
    <w:rsid w:val="00396FC5"/>
    <w:rsid w:val="00397D18"/>
    <w:rsid w:val="003A01D8"/>
    <w:rsid w:val="003A0714"/>
    <w:rsid w:val="003A1B36"/>
    <w:rsid w:val="003A2F8C"/>
    <w:rsid w:val="003A3169"/>
    <w:rsid w:val="003B000B"/>
    <w:rsid w:val="003B1454"/>
    <w:rsid w:val="003B18B6"/>
    <w:rsid w:val="003B3271"/>
    <w:rsid w:val="003B5F38"/>
    <w:rsid w:val="003C019D"/>
    <w:rsid w:val="003C1941"/>
    <w:rsid w:val="003C2E08"/>
    <w:rsid w:val="003C59E0"/>
    <w:rsid w:val="003C5D47"/>
    <w:rsid w:val="003C6C8D"/>
    <w:rsid w:val="003C6EFB"/>
    <w:rsid w:val="003C7383"/>
    <w:rsid w:val="003C78C6"/>
    <w:rsid w:val="003C78F1"/>
    <w:rsid w:val="003D01F8"/>
    <w:rsid w:val="003D0689"/>
    <w:rsid w:val="003D4D7F"/>
    <w:rsid w:val="003D4F95"/>
    <w:rsid w:val="003D57EF"/>
    <w:rsid w:val="003D5F42"/>
    <w:rsid w:val="003D60A9"/>
    <w:rsid w:val="003E34F4"/>
    <w:rsid w:val="003E5F73"/>
    <w:rsid w:val="003E63A1"/>
    <w:rsid w:val="003E6677"/>
    <w:rsid w:val="003F153D"/>
    <w:rsid w:val="003F1CD1"/>
    <w:rsid w:val="003F404F"/>
    <w:rsid w:val="003F450F"/>
    <w:rsid w:val="003F4C97"/>
    <w:rsid w:val="003F514B"/>
    <w:rsid w:val="003F6DBB"/>
    <w:rsid w:val="003F7FE6"/>
    <w:rsid w:val="00400193"/>
    <w:rsid w:val="004013C9"/>
    <w:rsid w:val="00401D4E"/>
    <w:rsid w:val="00401F1A"/>
    <w:rsid w:val="00403EBA"/>
    <w:rsid w:val="00403F9D"/>
    <w:rsid w:val="004065F5"/>
    <w:rsid w:val="00406761"/>
    <w:rsid w:val="00407D88"/>
    <w:rsid w:val="004151AC"/>
    <w:rsid w:val="004212E7"/>
    <w:rsid w:val="0042446D"/>
    <w:rsid w:val="00424B5D"/>
    <w:rsid w:val="004266E2"/>
    <w:rsid w:val="00427BF8"/>
    <w:rsid w:val="00431318"/>
    <w:rsid w:val="00431C02"/>
    <w:rsid w:val="00434891"/>
    <w:rsid w:val="00435897"/>
    <w:rsid w:val="00436D99"/>
    <w:rsid w:val="00437395"/>
    <w:rsid w:val="004414F9"/>
    <w:rsid w:val="0044211B"/>
    <w:rsid w:val="004423BF"/>
    <w:rsid w:val="0044416A"/>
    <w:rsid w:val="00445047"/>
    <w:rsid w:val="00447A7C"/>
    <w:rsid w:val="00450D53"/>
    <w:rsid w:val="00452AE6"/>
    <w:rsid w:val="00454AB8"/>
    <w:rsid w:val="00460614"/>
    <w:rsid w:val="00462A13"/>
    <w:rsid w:val="00462C73"/>
    <w:rsid w:val="004631AB"/>
    <w:rsid w:val="00463E39"/>
    <w:rsid w:val="004657FC"/>
    <w:rsid w:val="00465BE2"/>
    <w:rsid w:val="00465D66"/>
    <w:rsid w:val="00465EE5"/>
    <w:rsid w:val="00466732"/>
    <w:rsid w:val="0046695F"/>
    <w:rsid w:val="004733F6"/>
    <w:rsid w:val="00474E69"/>
    <w:rsid w:val="004750B3"/>
    <w:rsid w:val="00475774"/>
    <w:rsid w:val="00475BA8"/>
    <w:rsid w:val="0047601B"/>
    <w:rsid w:val="00477386"/>
    <w:rsid w:val="00477E44"/>
    <w:rsid w:val="00482F43"/>
    <w:rsid w:val="00483BB4"/>
    <w:rsid w:val="0048647D"/>
    <w:rsid w:val="00486E1D"/>
    <w:rsid w:val="004904F8"/>
    <w:rsid w:val="00491BFD"/>
    <w:rsid w:val="00494BFC"/>
    <w:rsid w:val="0049621B"/>
    <w:rsid w:val="00496F49"/>
    <w:rsid w:val="0049754B"/>
    <w:rsid w:val="004A104D"/>
    <w:rsid w:val="004A17A7"/>
    <w:rsid w:val="004A2D43"/>
    <w:rsid w:val="004A2ED0"/>
    <w:rsid w:val="004A34E5"/>
    <w:rsid w:val="004B0AE4"/>
    <w:rsid w:val="004B0C1B"/>
    <w:rsid w:val="004B194F"/>
    <w:rsid w:val="004B2FF7"/>
    <w:rsid w:val="004B587A"/>
    <w:rsid w:val="004B5A91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D6152"/>
    <w:rsid w:val="004D6DE5"/>
    <w:rsid w:val="004E312A"/>
    <w:rsid w:val="004E324A"/>
    <w:rsid w:val="004E464A"/>
    <w:rsid w:val="004E61ED"/>
    <w:rsid w:val="004E6889"/>
    <w:rsid w:val="004F0C3C"/>
    <w:rsid w:val="004F177F"/>
    <w:rsid w:val="004F24C3"/>
    <w:rsid w:val="004F4B02"/>
    <w:rsid w:val="004F56E4"/>
    <w:rsid w:val="004F57F5"/>
    <w:rsid w:val="004F5F26"/>
    <w:rsid w:val="004F63FC"/>
    <w:rsid w:val="004F77E1"/>
    <w:rsid w:val="004F7BB4"/>
    <w:rsid w:val="00500308"/>
    <w:rsid w:val="00500D94"/>
    <w:rsid w:val="00503CEF"/>
    <w:rsid w:val="00504868"/>
    <w:rsid w:val="005049F9"/>
    <w:rsid w:val="00505A92"/>
    <w:rsid w:val="00505EA2"/>
    <w:rsid w:val="0051042A"/>
    <w:rsid w:val="00510941"/>
    <w:rsid w:val="00510D9A"/>
    <w:rsid w:val="0051310C"/>
    <w:rsid w:val="0051777B"/>
    <w:rsid w:val="005203F1"/>
    <w:rsid w:val="00521BC3"/>
    <w:rsid w:val="005242CB"/>
    <w:rsid w:val="005249E0"/>
    <w:rsid w:val="00524FA9"/>
    <w:rsid w:val="00525DC6"/>
    <w:rsid w:val="0052620B"/>
    <w:rsid w:val="00526FE9"/>
    <w:rsid w:val="00527156"/>
    <w:rsid w:val="00527458"/>
    <w:rsid w:val="00530074"/>
    <w:rsid w:val="00530EDF"/>
    <w:rsid w:val="00531FE8"/>
    <w:rsid w:val="00533632"/>
    <w:rsid w:val="005336B5"/>
    <w:rsid w:val="00534B5E"/>
    <w:rsid w:val="005357E1"/>
    <w:rsid w:val="00535A8D"/>
    <w:rsid w:val="00536467"/>
    <w:rsid w:val="0053753D"/>
    <w:rsid w:val="00541B17"/>
    <w:rsid w:val="00541E6E"/>
    <w:rsid w:val="00542145"/>
    <w:rsid w:val="0054251F"/>
    <w:rsid w:val="00542EAD"/>
    <w:rsid w:val="0054344F"/>
    <w:rsid w:val="005462E0"/>
    <w:rsid w:val="005479B1"/>
    <w:rsid w:val="005520D8"/>
    <w:rsid w:val="00555B7A"/>
    <w:rsid w:val="00555E43"/>
    <w:rsid w:val="00555F04"/>
    <w:rsid w:val="005562C4"/>
    <w:rsid w:val="00556C55"/>
    <w:rsid w:val="00556CF1"/>
    <w:rsid w:val="00561BB7"/>
    <w:rsid w:val="005626C0"/>
    <w:rsid w:val="00562D79"/>
    <w:rsid w:val="00562F4D"/>
    <w:rsid w:val="0057036A"/>
    <w:rsid w:val="005755DD"/>
    <w:rsid w:val="005762A7"/>
    <w:rsid w:val="005764B5"/>
    <w:rsid w:val="00581651"/>
    <w:rsid w:val="00581CD2"/>
    <w:rsid w:val="00582389"/>
    <w:rsid w:val="005856AC"/>
    <w:rsid w:val="00586276"/>
    <w:rsid w:val="00586EB0"/>
    <w:rsid w:val="005916D7"/>
    <w:rsid w:val="005930D9"/>
    <w:rsid w:val="00597C1D"/>
    <w:rsid w:val="005A0467"/>
    <w:rsid w:val="005A36AA"/>
    <w:rsid w:val="005A3A95"/>
    <w:rsid w:val="005A3ED2"/>
    <w:rsid w:val="005A653B"/>
    <w:rsid w:val="005A698C"/>
    <w:rsid w:val="005A730E"/>
    <w:rsid w:val="005B00B2"/>
    <w:rsid w:val="005B2AAE"/>
    <w:rsid w:val="005B3A86"/>
    <w:rsid w:val="005B5D8A"/>
    <w:rsid w:val="005B6625"/>
    <w:rsid w:val="005B668B"/>
    <w:rsid w:val="005C433F"/>
    <w:rsid w:val="005C5FBD"/>
    <w:rsid w:val="005C66B9"/>
    <w:rsid w:val="005D05C5"/>
    <w:rsid w:val="005D3055"/>
    <w:rsid w:val="005D6D73"/>
    <w:rsid w:val="005E0799"/>
    <w:rsid w:val="005E0B91"/>
    <w:rsid w:val="005E4C0B"/>
    <w:rsid w:val="005E55CD"/>
    <w:rsid w:val="005F0D73"/>
    <w:rsid w:val="005F311E"/>
    <w:rsid w:val="005F40EF"/>
    <w:rsid w:val="005F41C9"/>
    <w:rsid w:val="005F4C4B"/>
    <w:rsid w:val="005F4EA6"/>
    <w:rsid w:val="005F53B6"/>
    <w:rsid w:val="005F5A80"/>
    <w:rsid w:val="005F6626"/>
    <w:rsid w:val="005F7B98"/>
    <w:rsid w:val="00600506"/>
    <w:rsid w:val="00600F7B"/>
    <w:rsid w:val="00601768"/>
    <w:rsid w:val="006044FF"/>
    <w:rsid w:val="0060556B"/>
    <w:rsid w:val="00607CC5"/>
    <w:rsid w:val="0061571C"/>
    <w:rsid w:val="0061601D"/>
    <w:rsid w:val="00617810"/>
    <w:rsid w:val="00621090"/>
    <w:rsid w:val="00621808"/>
    <w:rsid w:val="0062592E"/>
    <w:rsid w:val="006265B8"/>
    <w:rsid w:val="00633014"/>
    <w:rsid w:val="0063437B"/>
    <w:rsid w:val="006348AB"/>
    <w:rsid w:val="006404CD"/>
    <w:rsid w:val="0064135C"/>
    <w:rsid w:val="00641FD2"/>
    <w:rsid w:val="006456D4"/>
    <w:rsid w:val="00650895"/>
    <w:rsid w:val="006508EE"/>
    <w:rsid w:val="006510A8"/>
    <w:rsid w:val="00651FDC"/>
    <w:rsid w:val="006537BC"/>
    <w:rsid w:val="00653D20"/>
    <w:rsid w:val="00654B4D"/>
    <w:rsid w:val="00655E7E"/>
    <w:rsid w:val="00656AE2"/>
    <w:rsid w:val="00657E03"/>
    <w:rsid w:val="00661090"/>
    <w:rsid w:val="00661ECB"/>
    <w:rsid w:val="006623F1"/>
    <w:rsid w:val="006631D3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77795"/>
    <w:rsid w:val="00680EEC"/>
    <w:rsid w:val="006812AF"/>
    <w:rsid w:val="0068327D"/>
    <w:rsid w:val="00684619"/>
    <w:rsid w:val="00691D5B"/>
    <w:rsid w:val="00694AF0"/>
    <w:rsid w:val="00694C80"/>
    <w:rsid w:val="00695B50"/>
    <w:rsid w:val="006962BC"/>
    <w:rsid w:val="00696A60"/>
    <w:rsid w:val="00696B93"/>
    <w:rsid w:val="00696F32"/>
    <w:rsid w:val="006A3431"/>
    <w:rsid w:val="006A3CBF"/>
    <w:rsid w:val="006A441F"/>
    <w:rsid w:val="006A4686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1D1D"/>
    <w:rsid w:val="006C35F4"/>
    <w:rsid w:val="006C4C37"/>
    <w:rsid w:val="006C62EA"/>
    <w:rsid w:val="006C6C8B"/>
    <w:rsid w:val="006D1507"/>
    <w:rsid w:val="006D4054"/>
    <w:rsid w:val="006D5FA7"/>
    <w:rsid w:val="006D6C0E"/>
    <w:rsid w:val="006E0142"/>
    <w:rsid w:val="006E02EC"/>
    <w:rsid w:val="006E0989"/>
    <w:rsid w:val="006E449A"/>
    <w:rsid w:val="006E4DA1"/>
    <w:rsid w:val="006E5948"/>
    <w:rsid w:val="006E5D67"/>
    <w:rsid w:val="006F05D5"/>
    <w:rsid w:val="006F35B8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3654"/>
    <w:rsid w:val="0071553E"/>
    <w:rsid w:val="00715683"/>
    <w:rsid w:val="007211B1"/>
    <w:rsid w:val="007220B9"/>
    <w:rsid w:val="00722745"/>
    <w:rsid w:val="00722899"/>
    <w:rsid w:val="00724A5A"/>
    <w:rsid w:val="00724C09"/>
    <w:rsid w:val="00730701"/>
    <w:rsid w:val="007316C5"/>
    <w:rsid w:val="00732857"/>
    <w:rsid w:val="00733E2E"/>
    <w:rsid w:val="0073644F"/>
    <w:rsid w:val="0074121C"/>
    <w:rsid w:val="00743028"/>
    <w:rsid w:val="007443DC"/>
    <w:rsid w:val="00744F8A"/>
    <w:rsid w:val="00745D81"/>
    <w:rsid w:val="00746187"/>
    <w:rsid w:val="00754815"/>
    <w:rsid w:val="0076254F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476F"/>
    <w:rsid w:val="00785650"/>
    <w:rsid w:val="00786124"/>
    <w:rsid w:val="00786668"/>
    <w:rsid w:val="007901A2"/>
    <w:rsid w:val="0079514B"/>
    <w:rsid w:val="00795825"/>
    <w:rsid w:val="007968D0"/>
    <w:rsid w:val="0079706E"/>
    <w:rsid w:val="0079799F"/>
    <w:rsid w:val="007A0DC8"/>
    <w:rsid w:val="007A2DC1"/>
    <w:rsid w:val="007A32B5"/>
    <w:rsid w:val="007A4973"/>
    <w:rsid w:val="007A7B28"/>
    <w:rsid w:val="007B0D6A"/>
    <w:rsid w:val="007B26F8"/>
    <w:rsid w:val="007B2BB6"/>
    <w:rsid w:val="007B34B7"/>
    <w:rsid w:val="007B7753"/>
    <w:rsid w:val="007B785C"/>
    <w:rsid w:val="007C070C"/>
    <w:rsid w:val="007C3F8C"/>
    <w:rsid w:val="007C4853"/>
    <w:rsid w:val="007D1DA7"/>
    <w:rsid w:val="007D1F0E"/>
    <w:rsid w:val="007D3319"/>
    <w:rsid w:val="007D335D"/>
    <w:rsid w:val="007D569B"/>
    <w:rsid w:val="007D57F9"/>
    <w:rsid w:val="007D5BFA"/>
    <w:rsid w:val="007D6F6F"/>
    <w:rsid w:val="007E0BA8"/>
    <w:rsid w:val="007E14F8"/>
    <w:rsid w:val="007E3314"/>
    <w:rsid w:val="007E4B03"/>
    <w:rsid w:val="007E58C7"/>
    <w:rsid w:val="007F1A5B"/>
    <w:rsid w:val="007F2056"/>
    <w:rsid w:val="007F324B"/>
    <w:rsid w:val="007F4E3D"/>
    <w:rsid w:val="007F677C"/>
    <w:rsid w:val="00800949"/>
    <w:rsid w:val="00801B02"/>
    <w:rsid w:val="0080234D"/>
    <w:rsid w:val="008024D9"/>
    <w:rsid w:val="008049FE"/>
    <w:rsid w:val="0080553C"/>
    <w:rsid w:val="00805B46"/>
    <w:rsid w:val="008063C9"/>
    <w:rsid w:val="008118C7"/>
    <w:rsid w:val="00812468"/>
    <w:rsid w:val="00812A08"/>
    <w:rsid w:val="00812AE6"/>
    <w:rsid w:val="00813134"/>
    <w:rsid w:val="00815BCD"/>
    <w:rsid w:val="00817BBB"/>
    <w:rsid w:val="00821151"/>
    <w:rsid w:val="0082137A"/>
    <w:rsid w:val="0082262A"/>
    <w:rsid w:val="0082320B"/>
    <w:rsid w:val="00823882"/>
    <w:rsid w:val="0082543E"/>
    <w:rsid w:val="00825DC2"/>
    <w:rsid w:val="00826E3B"/>
    <w:rsid w:val="008305A7"/>
    <w:rsid w:val="00834AD3"/>
    <w:rsid w:val="00836863"/>
    <w:rsid w:val="00842E08"/>
    <w:rsid w:val="00843795"/>
    <w:rsid w:val="00844BF7"/>
    <w:rsid w:val="00844DA1"/>
    <w:rsid w:val="00847F0F"/>
    <w:rsid w:val="00852330"/>
    <w:rsid w:val="0085237B"/>
    <w:rsid w:val="00852448"/>
    <w:rsid w:val="00852FFE"/>
    <w:rsid w:val="00853EB3"/>
    <w:rsid w:val="0085474D"/>
    <w:rsid w:val="00857915"/>
    <w:rsid w:val="008636BC"/>
    <w:rsid w:val="00865527"/>
    <w:rsid w:val="008663B7"/>
    <w:rsid w:val="00866947"/>
    <w:rsid w:val="00866EC4"/>
    <w:rsid w:val="00866FD6"/>
    <w:rsid w:val="00871078"/>
    <w:rsid w:val="008810F3"/>
    <w:rsid w:val="008822CB"/>
    <w:rsid w:val="0088258A"/>
    <w:rsid w:val="008837AF"/>
    <w:rsid w:val="00886332"/>
    <w:rsid w:val="00886CAB"/>
    <w:rsid w:val="0088758F"/>
    <w:rsid w:val="00887A82"/>
    <w:rsid w:val="008908A3"/>
    <w:rsid w:val="00891516"/>
    <w:rsid w:val="00891FF7"/>
    <w:rsid w:val="008931C4"/>
    <w:rsid w:val="008934C4"/>
    <w:rsid w:val="008942E6"/>
    <w:rsid w:val="00896F40"/>
    <w:rsid w:val="00897772"/>
    <w:rsid w:val="008979AA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2201"/>
    <w:rsid w:val="008D4132"/>
    <w:rsid w:val="008D4B7E"/>
    <w:rsid w:val="008D523D"/>
    <w:rsid w:val="008D61B1"/>
    <w:rsid w:val="008D7FBE"/>
    <w:rsid w:val="008E1EB9"/>
    <w:rsid w:val="008E2804"/>
    <w:rsid w:val="008E2806"/>
    <w:rsid w:val="008E39CE"/>
    <w:rsid w:val="008E3D66"/>
    <w:rsid w:val="008E75B8"/>
    <w:rsid w:val="008F179A"/>
    <w:rsid w:val="008F3638"/>
    <w:rsid w:val="008F4441"/>
    <w:rsid w:val="008F5068"/>
    <w:rsid w:val="008F6F31"/>
    <w:rsid w:val="008F74DF"/>
    <w:rsid w:val="0090176A"/>
    <w:rsid w:val="00903394"/>
    <w:rsid w:val="0090561C"/>
    <w:rsid w:val="00906B4E"/>
    <w:rsid w:val="00907522"/>
    <w:rsid w:val="00910FE9"/>
    <w:rsid w:val="009127BA"/>
    <w:rsid w:val="0091301E"/>
    <w:rsid w:val="00914E6D"/>
    <w:rsid w:val="00920F54"/>
    <w:rsid w:val="009211C7"/>
    <w:rsid w:val="00921ACF"/>
    <w:rsid w:val="00921B01"/>
    <w:rsid w:val="009227A6"/>
    <w:rsid w:val="00923642"/>
    <w:rsid w:val="0092395E"/>
    <w:rsid w:val="00924F4C"/>
    <w:rsid w:val="0092516C"/>
    <w:rsid w:val="00931755"/>
    <w:rsid w:val="00933EC1"/>
    <w:rsid w:val="0093459D"/>
    <w:rsid w:val="00936410"/>
    <w:rsid w:val="0093660E"/>
    <w:rsid w:val="00942142"/>
    <w:rsid w:val="00947DDE"/>
    <w:rsid w:val="009508AE"/>
    <w:rsid w:val="009530DB"/>
    <w:rsid w:val="00953676"/>
    <w:rsid w:val="009540D5"/>
    <w:rsid w:val="009551C9"/>
    <w:rsid w:val="009570BF"/>
    <w:rsid w:val="009601C9"/>
    <w:rsid w:val="00967DF8"/>
    <w:rsid w:val="009705EE"/>
    <w:rsid w:val="00974CCD"/>
    <w:rsid w:val="00977927"/>
    <w:rsid w:val="0098135C"/>
    <w:rsid w:val="0098156A"/>
    <w:rsid w:val="00985AF8"/>
    <w:rsid w:val="0098696C"/>
    <w:rsid w:val="00991BAC"/>
    <w:rsid w:val="009942D1"/>
    <w:rsid w:val="009950DE"/>
    <w:rsid w:val="00997879"/>
    <w:rsid w:val="009A0465"/>
    <w:rsid w:val="009A283D"/>
    <w:rsid w:val="009A2905"/>
    <w:rsid w:val="009A3947"/>
    <w:rsid w:val="009A5A6D"/>
    <w:rsid w:val="009A6EA0"/>
    <w:rsid w:val="009B171E"/>
    <w:rsid w:val="009B6D82"/>
    <w:rsid w:val="009B746D"/>
    <w:rsid w:val="009C1335"/>
    <w:rsid w:val="009C162D"/>
    <w:rsid w:val="009C1AB2"/>
    <w:rsid w:val="009C2E5B"/>
    <w:rsid w:val="009C7251"/>
    <w:rsid w:val="009D0AC9"/>
    <w:rsid w:val="009D10D8"/>
    <w:rsid w:val="009D207F"/>
    <w:rsid w:val="009D3DE0"/>
    <w:rsid w:val="009E2265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9F7696"/>
    <w:rsid w:val="00A01C97"/>
    <w:rsid w:val="00A051B0"/>
    <w:rsid w:val="00A0582E"/>
    <w:rsid w:val="00A06A63"/>
    <w:rsid w:val="00A10177"/>
    <w:rsid w:val="00A139F5"/>
    <w:rsid w:val="00A16CF0"/>
    <w:rsid w:val="00A201E6"/>
    <w:rsid w:val="00A217E6"/>
    <w:rsid w:val="00A21E81"/>
    <w:rsid w:val="00A2214D"/>
    <w:rsid w:val="00A23AB4"/>
    <w:rsid w:val="00A2414C"/>
    <w:rsid w:val="00A33D0D"/>
    <w:rsid w:val="00A35C72"/>
    <w:rsid w:val="00A365F4"/>
    <w:rsid w:val="00A419DD"/>
    <w:rsid w:val="00A46DAE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20A9"/>
    <w:rsid w:val="00A62353"/>
    <w:rsid w:val="00A632FA"/>
    <w:rsid w:val="00A638B0"/>
    <w:rsid w:val="00A64D42"/>
    <w:rsid w:val="00A65F25"/>
    <w:rsid w:val="00A6713B"/>
    <w:rsid w:val="00A67DCB"/>
    <w:rsid w:val="00A70B62"/>
    <w:rsid w:val="00A77879"/>
    <w:rsid w:val="00A810F9"/>
    <w:rsid w:val="00A81127"/>
    <w:rsid w:val="00A821F3"/>
    <w:rsid w:val="00A8354F"/>
    <w:rsid w:val="00A83560"/>
    <w:rsid w:val="00A84C04"/>
    <w:rsid w:val="00A85B3E"/>
    <w:rsid w:val="00A85E73"/>
    <w:rsid w:val="00A866F2"/>
    <w:rsid w:val="00A86ECC"/>
    <w:rsid w:val="00A86FCC"/>
    <w:rsid w:val="00A87C05"/>
    <w:rsid w:val="00A907FE"/>
    <w:rsid w:val="00A934AA"/>
    <w:rsid w:val="00A953B9"/>
    <w:rsid w:val="00AA3BAC"/>
    <w:rsid w:val="00AA5262"/>
    <w:rsid w:val="00AA57A3"/>
    <w:rsid w:val="00AA630E"/>
    <w:rsid w:val="00AA676A"/>
    <w:rsid w:val="00AA710D"/>
    <w:rsid w:val="00AA724B"/>
    <w:rsid w:val="00AB0725"/>
    <w:rsid w:val="00AB1B71"/>
    <w:rsid w:val="00AB2C3E"/>
    <w:rsid w:val="00AB3236"/>
    <w:rsid w:val="00AB458F"/>
    <w:rsid w:val="00AB58D5"/>
    <w:rsid w:val="00AB6B5C"/>
    <w:rsid w:val="00AB6D25"/>
    <w:rsid w:val="00AC1A44"/>
    <w:rsid w:val="00AC2AC4"/>
    <w:rsid w:val="00AC3B8D"/>
    <w:rsid w:val="00AC5371"/>
    <w:rsid w:val="00AC6F33"/>
    <w:rsid w:val="00AC77DC"/>
    <w:rsid w:val="00AC7DD4"/>
    <w:rsid w:val="00AD0C67"/>
    <w:rsid w:val="00AD5152"/>
    <w:rsid w:val="00AD58FC"/>
    <w:rsid w:val="00AD7676"/>
    <w:rsid w:val="00AE06C8"/>
    <w:rsid w:val="00AE2D4B"/>
    <w:rsid w:val="00AE40F9"/>
    <w:rsid w:val="00AE4F99"/>
    <w:rsid w:val="00AE6789"/>
    <w:rsid w:val="00AE6EF2"/>
    <w:rsid w:val="00AF1B43"/>
    <w:rsid w:val="00AF2F1E"/>
    <w:rsid w:val="00AF3780"/>
    <w:rsid w:val="00AF4C9F"/>
    <w:rsid w:val="00AF77FE"/>
    <w:rsid w:val="00B00C09"/>
    <w:rsid w:val="00B02851"/>
    <w:rsid w:val="00B05C6D"/>
    <w:rsid w:val="00B06AF2"/>
    <w:rsid w:val="00B1006C"/>
    <w:rsid w:val="00B11B69"/>
    <w:rsid w:val="00B12D33"/>
    <w:rsid w:val="00B12FBA"/>
    <w:rsid w:val="00B14952"/>
    <w:rsid w:val="00B15CA4"/>
    <w:rsid w:val="00B1737B"/>
    <w:rsid w:val="00B217DB"/>
    <w:rsid w:val="00B24F4F"/>
    <w:rsid w:val="00B27791"/>
    <w:rsid w:val="00B27B18"/>
    <w:rsid w:val="00B27B58"/>
    <w:rsid w:val="00B27D3E"/>
    <w:rsid w:val="00B31E5A"/>
    <w:rsid w:val="00B330DE"/>
    <w:rsid w:val="00B34B75"/>
    <w:rsid w:val="00B34DB1"/>
    <w:rsid w:val="00B3501C"/>
    <w:rsid w:val="00B35A63"/>
    <w:rsid w:val="00B403A1"/>
    <w:rsid w:val="00B412A3"/>
    <w:rsid w:val="00B413B9"/>
    <w:rsid w:val="00B4483E"/>
    <w:rsid w:val="00B44CAE"/>
    <w:rsid w:val="00B46A9F"/>
    <w:rsid w:val="00B51B63"/>
    <w:rsid w:val="00B521B0"/>
    <w:rsid w:val="00B57890"/>
    <w:rsid w:val="00B6033B"/>
    <w:rsid w:val="00B61820"/>
    <w:rsid w:val="00B61924"/>
    <w:rsid w:val="00B629EC"/>
    <w:rsid w:val="00B63591"/>
    <w:rsid w:val="00B65031"/>
    <w:rsid w:val="00B6506A"/>
    <w:rsid w:val="00B653AB"/>
    <w:rsid w:val="00B65F9E"/>
    <w:rsid w:val="00B66B19"/>
    <w:rsid w:val="00B7120E"/>
    <w:rsid w:val="00B722C7"/>
    <w:rsid w:val="00B72F68"/>
    <w:rsid w:val="00B733EE"/>
    <w:rsid w:val="00B73F74"/>
    <w:rsid w:val="00B749B9"/>
    <w:rsid w:val="00B75AD8"/>
    <w:rsid w:val="00B77A19"/>
    <w:rsid w:val="00B81262"/>
    <w:rsid w:val="00B81EBE"/>
    <w:rsid w:val="00B82545"/>
    <w:rsid w:val="00B828A8"/>
    <w:rsid w:val="00B85DBF"/>
    <w:rsid w:val="00B86BCA"/>
    <w:rsid w:val="00B914E9"/>
    <w:rsid w:val="00B9163F"/>
    <w:rsid w:val="00B91D7C"/>
    <w:rsid w:val="00B91FEC"/>
    <w:rsid w:val="00B93207"/>
    <w:rsid w:val="00B93F2B"/>
    <w:rsid w:val="00B9543F"/>
    <w:rsid w:val="00B956EE"/>
    <w:rsid w:val="00B95B90"/>
    <w:rsid w:val="00BA2BA1"/>
    <w:rsid w:val="00BA3562"/>
    <w:rsid w:val="00BA3C49"/>
    <w:rsid w:val="00BA4A0F"/>
    <w:rsid w:val="00BA4CBE"/>
    <w:rsid w:val="00BA6359"/>
    <w:rsid w:val="00BA716D"/>
    <w:rsid w:val="00BA728E"/>
    <w:rsid w:val="00BA76A2"/>
    <w:rsid w:val="00BB1D75"/>
    <w:rsid w:val="00BB4DF0"/>
    <w:rsid w:val="00BB4EA0"/>
    <w:rsid w:val="00BB4F09"/>
    <w:rsid w:val="00BB5174"/>
    <w:rsid w:val="00BB6A78"/>
    <w:rsid w:val="00BC1D2E"/>
    <w:rsid w:val="00BC2DDB"/>
    <w:rsid w:val="00BC310C"/>
    <w:rsid w:val="00BC44E4"/>
    <w:rsid w:val="00BD0145"/>
    <w:rsid w:val="00BD1E7E"/>
    <w:rsid w:val="00BD2828"/>
    <w:rsid w:val="00BD4E33"/>
    <w:rsid w:val="00BD5592"/>
    <w:rsid w:val="00BD5CAF"/>
    <w:rsid w:val="00BD6D11"/>
    <w:rsid w:val="00BE3159"/>
    <w:rsid w:val="00BE54BD"/>
    <w:rsid w:val="00BF0508"/>
    <w:rsid w:val="00BF36EE"/>
    <w:rsid w:val="00BF419C"/>
    <w:rsid w:val="00BF54F8"/>
    <w:rsid w:val="00BF61D5"/>
    <w:rsid w:val="00C028B2"/>
    <w:rsid w:val="00C030DE"/>
    <w:rsid w:val="00C03F01"/>
    <w:rsid w:val="00C042F8"/>
    <w:rsid w:val="00C074FD"/>
    <w:rsid w:val="00C10115"/>
    <w:rsid w:val="00C13770"/>
    <w:rsid w:val="00C15772"/>
    <w:rsid w:val="00C16216"/>
    <w:rsid w:val="00C16AEC"/>
    <w:rsid w:val="00C22105"/>
    <w:rsid w:val="00C23026"/>
    <w:rsid w:val="00C244B6"/>
    <w:rsid w:val="00C25087"/>
    <w:rsid w:val="00C267CA"/>
    <w:rsid w:val="00C3503E"/>
    <w:rsid w:val="00C3702F"/>
    <w:rsid w:val="00C42F6A"/>
    <w:rsid w:val="00C43B04"/>
    <w:rsid w:val="00C4500A"/>
    <w:rsid w:val="00C45AF5"/>
    <w:rsid w:val="00C517C0"/>
    <w:rsid w:val="00C51D06"/>
    <w:rsid w:val="00C5296B"/>
    <w:rsid w:val="00C558C4"/>
    <w:rsid w:val="00C562B2"/>
    <w:rsid w:val="00C563F1"/>
    <w:rsid w:val="00C566A9"/>
    <w:rsid w:val="00C56813"/>
    <w:rsid w:val="00C56984"/>
    <w:rsid w:val="00C569AB"/>
    <w:rsid w:val="00C60D38"/>
    <w:rsid w:val="00C61608"/>
    <w:rsid w:val="00C622E5"/>
    <w:rsid w:val="00C62895"/>
    <w:rsid w:val="00C63004"/>
    <w:rsid w:val="00C63B7B"/>
    <w:rsid w:val="00C64240"/>
    <w:rsid w:val="00C64A37"/>
    <w:rsid w:val="00C67462"/>
    <w:rsid w:val="00C70BD0"/>
    <w:rsid w:val="00C7158E"/>
    <w:rsid w:val="00C717C9"/>
    <w:rsid w:val="00C7250B"/>
    <w:rsid w:val="00C7346B"/>
    <w:rsid w:val="00C77050"/>
    <w:rsid w:val="00C77C0E"/>
    <w:rsid w:val="00C8063E"/>
    <w:rsid w:val="00C81487"/>
    <w:rsid w:val="00C84C01"/>
    <w:rsid w:val="00C90369"/>
    <w:rsid w:val="00C91687"/>
    <w:rsid w:val="00C924A8"/>
    <w:rsid w:val="00C93D5E"/>
    <w:rsid w:val="00C93E68"/>
    <w:rsid w:val="00C940E7"/>
    <w:rsid w:val="00C945FE"/>
    <w:rsid w:val="00C9461E"/>
    <w:rsid w:val="00C96FAA"/>
    <w:rsid w:val="00C97A04"/>
    <w:rsid w:val="00CA0641"/>
    <w:rsid w:val="00CA107B"/>
    <w:rsid w:val="00CA12C5"/>
    <w:rsid w:val="00CA3BBC"/>
    <w:rsid w:val="00CA40BD"/>
    <w:rsid w:val="00CA484D"/>
    <w:rsid w:val="00CA495C"/>
    <w:rsid w:val="00CA4DFE"/>
    <w:rsid w:val="00CA4FB6"/>
    <w:rsid w:val="00CA5C53"/>
    <w:rsid w:val="00CA6E82"/>
    <w:rsid w:val="00CB1737"/>
    <w:rsid w:val="00CB1BA1"/>
    <w:rsid w:val="00CB68E5"/>
    <w:rsid w:val="00CC0AFE"/>
    <w:rsid w:val="00CC28D0"/>
    <w:rsid w:val="00CC5415"/>
    <w:rsid w:val="00CC5592"/>
    <w:rsid w:val="00CC72A6"/>
    <w:rsid w:val="00CC739E"/>
    <w:rsid w:val="00CD178A"/>
    <w:rsid w:val="00CD217B"/>
    <w:rsid w:val="00CD2907"/>
    <w:rsid w:val="00CD387D"/>
    <w:rsid w:val="00CD49BB"/>
    <w:rsid w:val="00CD58B7"/>
    <w:rsid w:val="00CD6FF6"/>
    <w:rsid w:val="00CE5807"/>
    <w:rsid w:val="00CE5EF2"/>
    <w:rsid w:val="00CE632B"/>
    <w:rsid w:val="00CE6A48"/>
    <w:rsid w:val="00CF2E4C"/>
    <w:rsid w:val="00CF4099"/>
    <w:rsid w:val="00CF50AE"/>
    <w:rsid w:val="00CF538E"/>
    <w:rsid w:val="00CF6348"/>
    <w:rsid w:val="00CF648E"/>
    <w:rsid w:val="00D00796"/>
    <w:rsid w:val="00D01B23"/>
    <w:rsid w:val="00D01C12"/>
    <w:rsid w:val="00D029DF"/>
    <w:rsid w:val="00D05126"/>
    <w:rsid w:val="00D06B81"/>
    <w:rsid w:val="00D078D8"/>
    <w:rsid w:val="00D12F08"/>
    <w:rsid w:val="00D14A85"/>
    <w:rsid w:val="00D150B0"/>
    <w:rsid w:val="00D16D48"/>
    <w:rsid w:val="00D17EAA"/>
    <w:rsid w:val="00D21BB8"/>
    <w:rsid w:val="00D23581"/>
    <w:rsid w:val="00D24390"/>
    <w:rsid w:val="00D24AD1"/>
    <w:rsid w:val="00D24C05"/>
    <w:rsid w:val="00D26089"/>
    <w:rsid w:val="00D261A2"/>
    <w:rsid w:val="00D30454"/>
    <w:rsid w:val="00D36450"/>
    <w:rsid w:val="00D36D38"/>
    <w:rsid w:val="00D4377C"/>
    <w:rsid w:val="00D44A0E"/>
    <w:rsid w:val="00D47E2E"/>
    <w:rsid w:val="00D50055"/>
    <w:rsid w:val="00D53B77"/>
    <w:rsid w:val="00D54347"/>
    <w:rsid w:val="00D60211"/>
    <w:rsid w:val="00D60442"/>
    <w:rsid w:val="00D60A84"/>
    <w:rsid w:val="00D616D2"/>
    <w:rsid w:val="00D62602"/>
    <w:rsid w:val="00D62F34"/>
    <w:rsid w:val="00D62F45"/>
    <w:rsid w:val="00D63B5F"/>
    <w:rsid w:val="00D70EF7"/>
    <w:rsid w:val="00D734C2"/>
    <w:rsid w:val="00D77FEA"/>
    <w:rsid w:val="00D8019B"/>
    <w:rsid w:val="00D80200"/>
    <w:rsid w:val="00D8397C"/>
    <w:rsid w:val="00D86250"/>
    <w:rsid w:val="00D87AAF"/>
    <w:rsid w:val="00D90CB4"/>
    <w:rsid w:val="00D9166B"/>
    <w:rsid w:val="00D92B9D"/>
    <w:rsid w:val="00D94BFD"/>
    <w:rsid w:val="00D94EED"/>
    <w:rsid w:val="00D95F99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B67AB"/>
    <w:rsid w:val="00DC0BD7"/>
    <w:rsid w:val="00DC22C3"/>
    <w:rsid w:val="00DC6708"/>
    <w:rsid w:val="00DC7F3C"/>
    <w:rsid w:val="00DD01DA"/>
    <w:rsid w:val="00DD08D7"/>
    <w:rsid w:val="00DD1F1F"/>
    <w:rsid w:val="00DD3036"/>
    <w:rsid w:val="00DD7916"/>
    <w:rsid w:val="00DE1E47"/>
    <w:rsid w:val="00DF29DF"/>
    <w:rsid w:val="00DF4CD6"/>
    <w:rsid w:val="00DF5320"/>
    <w:rsid w:val="00DF7BC7"/>
    <w:rsid w:val="00E01436"/>
    <w:rsid w:val="00E03709"/>
    <w:rsid w:val="00E03B38"/>
    <w:rsid w:val="00E045BD"/>
    <w:rsid w:val="00E0762C"/>
    <w:rsid w:val="00E07B0E"/>
    <w:rsid w:val="00E1149B"/>
    <w:rsid w:val="00E135B1"/>
    <w:rsid w:val="00E165BE"/>
    <w:rsid w:val="00E1667E"/>
    <w:rsid w:val="00E17B77"/>
    <w:rsid w:val="00E17DE6"/>
    <w:rsid w:val="00E20041"/>
    <w:rsid w:val="00E20CBE"/>
    <w:rsid w:val="00E212A3"/>
    <w:rsid w:val="00E23337"/>
    <w:rsid w:val="00E2483C"/>
    <w:rsid w:val="00E259EA"/>
    <w:rsid w:val="00E32061"/>
    <w:rsid w:val="00E35136"/>
    <w:rsid w:val="00E37334"/>
    <w:rsid w:val="00E41497"/>
    <w:rsid w:val="00E42FF9"/>
    <w:rsid w:val="00E4714C"/>
    <w:rsid w:val="00E47168"/>
    <w:rsid w:val="00E50EC8"/>
    <w:rsid w:val="00E5101C"/>
    <w:rsid w:val="00E51AEB"/>
    <w:rsid w:val="00E522A7"/>
    <w:rsid w:val="00E53466"/>
    <w:rsid w:val="00E53494"/>
    <w:rsid w:val="00E53693"/>
    <w:rsid w:val="00E53C71"/>
    <w:rsid w:val="00E54452"/>
    <w:rsid w:val="00E55777"/>
    <w:rsid w:val="00E57ABD"/>
    <w:rsid w:val="00E61613"/>
    <w:rsid w:val="00E64BE7"/>
    <w:rsid w:val="00E664C5"/>
    <w:rsid w:val="00E66983"/>
    <w:rsid w:val="00E671A2"/>
    <w:rsid w:val="00E67AEE"/>
    <w:rsid w:val="00E76D26"/>
    <w:rsid w:val="00E77169"/>
    <w:rsid w:val="00E77E1D"/>
    <w:rsid w:val="00E806E2"/>
    <w:rsid w:val="00E827EF"/>
    <w:rsid w:val="00E832ED"/>
    <w:rsid w:val="00E87266"/>
    <w:rsid w:val="00E9568F"/>
    <w:rsid w:val="00E95D33"/>
    <w:rsid w:val="00E96A7E"/>
    <w:rsid w:val="00EA3120"/>
    <w:rsid w:val="00EA46EA"/>
    <w:rsid w:val="00EA57A4"/>
    <w:rsid w:val="00EA5E22"/>
    <w:rsid w:val="00EA69E1"/>
    <w:rsid w:val="00EA74BD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5DD8"/>
    <w:rsid w:val="00EC6435"/>
    <w:rsid w:val="00EC73CA"/>
    <w:rsid w:val="00EC76B9"/>
    <w:rsid w:val="00ED1949"/>
    <w:rsid w:val="00ED1C8A"/>
    <w:rsid w:val="00ED297A"/>
    <w:rsid w:val="00ED55C0"/>
    <w:rsid w:val="00ED682B"/>
    <w:rsid w:val="00EE2896"/>
    <w:rsid w:val="00EE36CB"/>
    <w:rsid w:val="00EE41D5"/>
    <w:rsid w:val="00EE4780"/>
    <w:rsid w:val="00EE4970"/>
    <w:rsid w:val="00EE5223"/>
    <w:rsid w:val="00EE5EC4"/>
    <w:rsid w:val="00EE746E"/>
    <w:rsid w:val="00EF5566"/>
    <w:rsid w:val="00EF6C6B"/>
    <w:rsid w:val="00F0121F"/>
    <w:rsid w:val="00F01669"/>
    <w:rsid w:val="00F0170D"/>
    <w:rsid w:val="00F02254"/>
    <w:rsid w:val="00F037A4"/>
    <w:rsid w:val="00F04122"/>
    <w:rsid w:val="00F04CF9"/>
    <w:rsid w:val="00F06326"/>
    <w:rsid w:val="00F071AC"/>
    <w:rsid w:val="00F108B4"/>
    <w:rsid w:val="00F12E6F"/>
    <w:rsid w:val="00F132FD"/>
    <w:rsid w:val="00F13C31"/>
    <w:rsid w:val="00F154DB"/>
    <w:rsid w:val="00F15F6E"/>
    <w:rsid w:val="00F242CE"/>
    <w:rsid w:val="00F27C8F"/>
    <w:rsid w:val="00F31D9C"/>
    <w:rsid w:val="00F32323"/>
    <w:rsid w:val="00F32749"/>
    <w:rsid w:val="00F327B3"/>
    <w:rsid w:val="00F344CD"/>
    <w:rsid w:val="00F3589E"/>
    <w:rsid w:val="00F359FA"/>
    <w:rsid w:val="00F370FD"/>
    <w:rsid w:val="00F37172"/>
    <w:rsid w:val="00F40194"/>
    <w:rsid w:val="00F4096A"/>
    <w:rsid w:val="00F43964"/>
    <w:rsid w:val="00F44379"/>
    <w:rsid w:val="00F4477E"/>
    <w:rsid w:val="00F45AD8"/>
    <w:rsid w:val="00F46013"/>
    <w:rsid w:val="00F47274"/>
    <w:rsid w:val="00F478EF"/>
    <w:rsid w:val="00F47E33"/>
    <w:rsid w:val="00F54466"/>
    <w:rsid w:val="00F54C16"/>
    <w:rsid w:val="00F6030E"/>
    <w:rsid w:val="00F63DF7"/>
    <w:rsid w:val="00F65B91"/>
    <w:rsid w:val="00F6684A"/>
    <w:rsid w:val="00F6773E"/>
    <w:rsid w:val="00F67D8F"/>
    <w:rsid w:val="00F726A7"/>
    <w:rsid w:val="00F72715"/>
    <w:rsid w:val="00F729F3"/>
    <w:rsid w:val="00F73110"/>
    <w:rsid w:val="00F76B91"/>
    <w:rsid w:val="00F76D4D"/>
    <w:rsid w:val="00F77E64"/>
    <w:rsid w:val="00F802BE"/>
    <w:rsid w:val="00F80E93"/>
    <w:rsid w:val="00F827A4"/>
    <w:rsid w:val="00F82CF5"/>
    <w:rsid w:val="00F83405"/>
    <w:rsid w:val="00F83720"/>
    <w:rsid w:val="00F85252"/>
    <w:rsid w:val="00F86024"/>
    <w:rsid w:val="00F8611A"/>
    <w:rsid w:val="00F87A89"/>
    <w:rsid w:val="00F9541C"/>
    <w:rsid w:val="00F96354"/>
    <w:rsid w:val="00FA0634"/>
    <w:rsid w:val="00FA1F77"/>
    <w:rsid w:val="00FA4875"/>
    <w:rsid w:val="00FA5128"/>
    <w:rsid w:val="00FA5F55"/>
    <w:rsid w:val="00FA5F62"/>
    <w:rsid w:val="00FA60BC"/>
    <w:rsid w:val="00FA623A"/>
    <w:rsid w:val="00FB1838"/>
    <w:rsid w:val="00FB21F6"/>
    <w:rsid w:val="00FB3898"/>
    <w:rsid w:val="00FB42D4"/>
    <w:rsid w:val="00FB451B"/>
    <w:rsid w:val="00FB5906"/>
    <w:rsid w:val="00FB5C58"/>
    <w:rsid w:val="00FB762F"/>
    <w:rsid w:val="00FB7715"/>
    <w:rsid w:val="00FC0725"/>
    <w:rsid w:val="00FC0EC4"/>
    <w:rsid w:val="00FC2AED"/>
    <w:rsid w:val="00FC64E0"/>
    <w:rsid w:val="00FC711D"/>
    <w:rsid w:val="00FD0641"/>
    <w:rsid w:val="00FD30CF"/>
    <w:rsid w:val="00FD4353"/>
    <w:rsid w:val="00FD4F5A"/>
    <w:rsid w:val="00FD5EA7"/>
    <w:rsid w:val="00FD69E9"/>
    <w:rsid w:val="00FD758D"/>
    <w:rsid w:val="00FD7BD2"/>
    <w:rsid w:val="00FE08F1"/>
    <w:rsid w:val="00FE4DFA"/>
    <w:rsid w:val="00FE5525"/>
    <w:rsid w:val="00FE5C2F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AF7B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chart" Target="charts/chart10.xml"/><Relationship Id="rId39" Type="http://schemas.openxmlformats.org/officeDocument/2006/relationships/hyperlink" Target="https://stat.gov.pl/obszary-tematyczne/koniunktura/koniunktura/koniunktura-w-przetworstwie-przemyslowym-budownictwie-handlu-i-uslugach-lipiec-2020-roku,3,92.html" TargetMode="External"/><Relationship Id="rId21" Type="http://schemas.openxmlformats.org/officeDocument/2006/relationships/chart" Target="charts/chart5.xml"/><Relationship Id="rId34" Type="http://schemas.openxmlformats.org/officeDocument/2006/relationships/image" Target="media/image6.png"/><Relationship Id="rId42" Type="http://schemas.openxmlformats.org/officeDocument/2006/relationships/header" Target="header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chart" Target="charts/chart8.xml"/><Relationship Id="rId32" Type="http://schemas.openxmlformats.org/officeDocument/2006/relationships/hyperlink" Target="mailto:obslugaprasowa@stat.gov.pl" TargetMode="External"/><Relationship Id="rId37" Type="http://schemas.openxmlformats.org/officeDocument/2006/relationships/hyperlink" Target="https://stat.gov.pl/obszary-tematyczne/inne-opracowania/informacje-o-sytuacji-spoleczno-gospodarczej/biuletyn-statystyczny-nr-62020,4,101.html" TargetMode="External"/><Relationship Id="rId40" Type="http://schemas.openxmlformats.org/officeDocument/2006/relationships/hyperlink" Target="https://stat.gov.pl/obszary-tematyczne/inne-opracowania/informacje-o-sytuacji-spoleczno-gospodarczej/biuletyn-statystyczny-nr-62020,4,101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chart" Target="charts/chart7.xml"/><Relationship Id="rId28" Type="http://schemas.openxmlformats.org/officeDocument/2006/relationships/header" Target="header3.xml"/><Relationship Id="rId36" Type="http://schemas.openxmlformats.org/officeDocument/2006/relationships/hyperlink" Target="https://stat.gov.pl/obszary-tematyczne/koniunktura/koniunktura/koniunktura-w-przetworstwie-przemyslowym-budownictwie-handlu-i-uslugach-lipiec-2020-roku,3,92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footer" Target="footer4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header" Target="header4.xml"/><Relationship Id="rId35" Type="http://schemas.openxmlformats.org/officeDocument/2006/relationships/image" Target="media/image7.png"/><Relationship Id="rId43" Type="http://schemas.openxmlformats.org/officeDocument/2006/relationships/footer" Target="foot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chart" Target="charts/chart9.xml"/><Relationship Id="rId33" Type="http://schemas.openxmlformats.org/officeDocument/2006/relationships/image" Target="media/image5.png"/><Relationship Id="rId38" Type="http://schemas.openxmlformats.org/officeDocument/2006/relationships/hyperlink" Target="http://swaid.stat.gov.pl/SitePagesDBW/WarunkiZyciaLudnosci.aspx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waid.stat.gov.pl/SitePagesDBW/WarunkiZyciaLudnosci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4"/>
                <c:pt idx="0">
                  <c:v>-1.2</c:v>
                </c:pt>
                <c:pt idx="1">
                  <c:v>-1.9</c:v>
                </c:pt>
                <c:pt idx="2">
                  <c:v>-2</c:v>
                </c:pt>
                <c:pt idx="3">
                  <c:v>-0.8</c:v>
                </c:pt>
                <c:pt idx="4">
                  <c:v>3.1</c:v>
                </c:pt>
                <c:pt idx="5">
                  <c:v>4.8</c:v>
                </c:pt>
                <c:pt idx="6">
                  <c:v>4</c:v>
                </c:pt>
                <c:pt idx="7">
                  <c:v>5.7</c:v>
                </c:pt>
                <c:pt idx="8">
                  <c:v>5</c:v>
                </c:pt>
                <c:pt idx="9">
                  <c:v>4.5999999999999996</c:v>
                </c:pt>
                <c:pt idx="10">
                  <c:v>5.4</c:v>
                </c:pt>
                <c:pt idx="11">
                  <c:v>2.1</c:v>
                </c:pt>
                <c:pt idx="12">
                  <c:v>6.2</c:v>
                </c:pt>
                <c:pt idx="13">
                  <c:v>6.2</c:v>
                </c:pt>
                <c:pt idx="14" formatCode="0.0_)">
                  <c:v>5.4</c:v>
                </c:pt>
                <c:pt idx="15" formatCode="0.0_)">
                  <c:v>7.8</c:v>
                </c:pt>
                <c:pt idx="16">
                  <c:v>5.9</c:v>
                </c:pt>
                <c:pt idx="17">
                  <c:v>6.1</c:v>
                </c:pt>
                <c:pt idx="18">
                  <c:v>5.2</c:v>
                </c:pt>
                <c:pt idx="19">
                  <c:v>6.2</c:v>
                </c:pt>
                <c:pt idx="20">
                  <c:v>6.9</c:v>
                </c:pt>
                <c:pt idx="21">
                  <c:v>6.1</c:v>
                </c:pt>
                <c:pt idx="22">
                  <c:v>5.2</c:v>
                </c:pt>
                <c:pt idx="23">
                  <c:v>1.1000000000000001</c:v>
                </c:pt>
                <c:pt idx="24">
                  <c:v>5.4</c:v>
                </c:pt>
                <c:pt idx="25">
                  <c:v>5.5</c:v>
                </c:pt>
                <c:pt idx="26">
                  <c:v>8.1999999999999993</c:v>
                </c:pt>
                <c:pt idx="27">
                  <c:v>7.2</c:v>
                </c:pt>
                <c:pt idx="28">
                  <c:v>8.3000000000000007</c:v>
                </c:pt>
                <c:pt idx="29">
                  <c:v>9.6</c:v>
                </c:pt>
                <c:pt idx="30">
                  <c:v>9</c:v>
                </c:pt>
                <c:pt idx="31">
                  <c:v>8.1999999999999993</c:v>
                </c:pt>
                <c:pt idx="32">
                  <c:v>10.199999999999999</c:v>
                </c:pt>
                <c:pt idx="33">
                  <c:v>9.3000000000000007</c:v>
                </c:pt>
                <c:pt idx="34">
                  <c:v>6.7</c:v>
                </c:pt>
                <c:pt idx="35">
                  <c:v>4.3</c:v>
                </c:pt>
                <c:pt idx="36">
                  <c:v>3.7</c:v>
                </c:pt>
                <c:pt idx="37">
                  <c:v>1.3</c:v>
                </c:pt>
                <c:pt idx="38">
                  <c:v>1.3</c:v>
                </c:pt>
                <c:pt idx="39">
                  <c:v>-36.4</c:v>
                </c:pt>
                <c:pt idx="40">
                  <c:v>-30.1</c:v>
                </c:pt>
                <c:pt idx="41">
                  <c:v>-19.399999999999999</c:v>
                </c:pt>
                <c:pt idx="42">
                  <c:v>-13.4</c:v>
                </c:pt>
                <c:pt idx="43">
                  <c:v>-15.2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B1-47A5-BCA0-F8F6FD2DE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82607888"/>
        <c:axId val="-1782608432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4"/>
                <c:pt idx="0">
                  <c:v>-1.2</c:v>
                </c:pt>
                <c:pt idx="1">
                  <c:v>-0.9</c:v>
                </c:pt>
                <c:pt idx="2">
                  <c:v>-0.2</c:v>
                </c:pt>
                <c:pt idx="3">
                  <c:v>0.5</c:v>
                </c:pt>
                <c:pt idx="4">
                  <c:v>0.8</c:v>
                </c:pt>
                <c:pt idx="5">
                  <c:v>2.2999999999999998</c:v>
                </c:pt>
                <c:pt idx="6">
                  <c:v>-0.3</c:v>
                </c:pt>
                <c:pt idx="7">
                  <c:v>2</c:v>
                </c:pt>
                <c:pt idx="8">
                  <c:v>0.6</c:v>
                </c:pt>
                <c:pt idx="9">
                  <c:v>-0.3</c:v>
                </c:pt>
                <c:pt idx="10">
                  <c:v>0.2</c:v>
                </c:pt>
                <c:pt idx="11">
                  <c:v>-2.4</c:v>
                </c:pt>
                <c:pt idx="12">
                  <c:v>1.5</c:v>
                </c:pt>
                <c:pt idx="13">
                  <c:v>0.1</c:v>
                </c:pt>
                <c:pt idx="14" formatCode="0.0_)">
                  <c:v>-2.9</c:v>
                </c:pt>
                <c:pt idx="15" formatCode="0.0_)">
                  <c:v>2.4</c:v>
                </c:pt>
                <c:pt idx="16">
                  <c:v>0.7</c:v>
                </c:pt>
                <c:pt idx="17">
                  <c:v>-0.6</c:v>
                </c:pt>
                <c:pt idx="18">
                  <c:v>1</c:v>
                </c:pt>
                <c:pt idx="19">
                  <c:v>2.9</c:v>
                </c:pt>
                <c:pt idx="20">
                  <c:v>1.2</c:v>
                </c:pt>
                <c:pt idx="21">
                  <c:v>-0.2</c:v>
                </c:pt>
                <c:pt idx="22">
                  <c:v>1.9</c:v>
                </c:pt>
                <c:pt idx="23">
                  <c:v>-1.3</c:v>
                </c:pt>
                <c:pt idx="24">
                  <c:v>1.6</c:v>
                </c:pt>
                <c:pt idx="25">
                  <c:v>1.5</c:v>
                </c:pt>
                <c:pt idx="26">
                  <c:v>3.2</c:v>
                </c:pt>
                <c:pt idx="27">
                  <c:v>6</c:v>
                </c:pt>
                <c:pt idx="28">
                  <c:v>4.4000000000000004</c:v>
                </c:pt>
                <c:pt idx="29">
                  <c:v>7.5</c:v>
                </c:pt>
                <c:pt idx="30">
                  <c:v>5.4</c:v>
                </c:pt>
                <c:pt idx="31">
                  <c:v>5.4</c:v>
                </c:pt>
                <c:pt idx="32">
                  <c:v>6.9</c:v>
                </c:pt>
                <c:pt idx="33">
                  <c:v>6.6</c:v>
                </c:pt>
                <c:pt idx="34">
                  <c:v>5.5</c:v>
                </c:pt>
                <c:pt idx="35">
                  <c:v>3.3</c:v>
                </c:pt>
                <c:pt idx="36">
                  <c:v>4.2</c:v>
                </c:pt>
                <c:pt idx="37">
                  <c:v>-0.8</c:v>
                </c:pt>
                <c:pt idx="38">
                  <c:v>1.9</c:v>
                </c:pt>
                <c:pt idx="39">
                  <c:v>-9.1</c:v>
                </c:pt>
                <c:pt idx="40">
                  <c:v>-11</c:v>
                </c:pt>
                <c:pt idx="41">
                  <c:v>-8.3000000000000007</c:v>
                </c:pt>
                <c:pt idx="42">
                  <c:v>-5.5</c:v>
                </c:pt>
                <c:pt idx="43">
                  <c:v>-4.4000000000000004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EB1-47A5-BCA0-F8F6FD2DE8F5}"/>
            </c:ext>
          </c:extLst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4"/>
                <c:pt idx="0">
                  <c:v>2.9</c:v>
                </c:pt>
                <c:pt idx="1">
                  <c:v>2.2000000000000002</c:v>
                </c:pt>
                <c:pt idx="2">
                  <c:v>1.6</c:v>
                </c:pt>
                <c:pt idx="3">
                  <c:v>2</c:v>
                </c:pt>
                <c:pt idx="4">
                  <c:v>2.8</c:v>
                </c:pt>
                <c:pt idx="5">
                  <c:v>2.9</c:v>
                </c:pt>
                <c:pt idx="6">
                  <c:v>3.6</c:v>
                </c:pt>
                <c:pt idx="7">
                  <c:v>4.3</c:v>
                </c:pt>
                <c:pt idx="8">
                  <c:v>4</c:v>
                </c:pt>
                <c:pt idx="9">
                  <c:v>1.6</c:v>
                </c:pt>
                <c:pt idx="10">
                  <c:v>5</c:v>
                </c:pt>
                <c:pt idx="11">
                  <c:v>0.2</c:v>
                </c:pt>
                <c:pt idx="12">
                  <c:v>5.2</c:v>
                </c:pt>
                <c:pt idx="13">
                  <c:v>2.8</c:v>
                </c:pt>
                <c:pt idx="14" formatCode="0.0_)">
                  <c:v>4.2</c:v>
                </c:pt>
                <c:pt idx="15" formatCode="0.0_)">
                  <c:v>5.7</c:v>
                </c:pt>
                <c:pt idx="16">
                  <c:v>3.5</c:v>
                </c:pt>
                <c:pt idx="17">
                  <c:v>3.8</c:v>
                </c:pt>
                <c:pt idx="18">
                  <c:v>3.6</c:v>
                </c:pt>
                <c:pt idx="19">
                  <c:v>4</c:v>
                </c:pt>
                <c:pt idx="20">
                  <c:v>3.1</c:v>
                </c:pt>
                <c:pt idx="21">
                  <c:v>4.7</c:v>
                </c:pt>
                <c:pt idx="22">
                  <c:v>4</c:v>
                </c:pt>
                <c:pt idx="23">
                  <c:v>-1</c:v>
                </c:pt>
                <c:pt idx="24">
                  <c:v>2.8</c:v>
                </c:pt>
                <c:pt idx="25">
                  <c:v>6.9</c:v>
                </c:pt>
                <c:pt idx="26">
                  <c:v>7.7</c:v>
                </c:pt>
                <c:pt idx="27">
                  <c:v>7.9</c:v>
                </c:pt>
                <c:pt idx="28">
                  <c:v>7</c:v>
                </c:pt>
                <c:pt idx="29">
                  <c:v>7.7</c:v>
                </c:pt>
                <c:pt idx="30">
                  <c:v>8.9</c:v>
                </c:pt>
                <c:pt idx="31">
                  <c:v>4.4000000000000004</c:v>
                </c:pt>
                <c:pt idx="32">
                  <c:v>8</c:v>
                </c:pt>
                <c:pt idx="33">
                  <c:v>5.9</c:v>
                </c:pt>
                <c:pt idx="34">
                  <c:v>5</c:v>
                </c:pt>
                <c:pt idx="35">
                  <c:v>2.8</c:v>
                </c:pt>
                <c:pt idx="36">
                  <c:v>2</c:v>
                </c:pt>
                <c:pt idx="37">
                  <c:v>2.4</c:v>
                </c:pt>
                <c:pt idx="38">
                  <c:v>1.7</c:v>
                </c:pt>
                <c:pt idx="39">
                  <c:v>-30.5</c:v>
                </c:pt>
                <c:pt idx="40">
                  <c:v>-19.600000000000001</c:v>
                </c:pt>
                <c:pt idx="41">
                  <c:v>-8.9</c:v>
                </c:pt>
                <c:pt idx="42">
                  <c:v>-3.3</c:v>
                </c:pt>
                <c:pt idx="43">
                  <c:v>-5.0999999999999996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EB1-47A5-BCA0-F8F6FD2DE8F5}"/>
            </c:ext>
          </c:extLst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4"/>
                <c:pt idx="0">
                  <c:v>-4.2</c:v>
                </c:pt>
                <c:pt idx="1">
                  <c:v>-4.8</c:v>
                </c:pt>
                <c:pt idx="2">
                  <c:v>-6.4</c:v>
                </c:pt>
                <c:pt idx="3">
                  <c:v>-3.8</c:v>
                </c:pt>
                <c:pt idx="4">
                  <c:v>0.2</c:v>
                </c:pt>
                <c:pt idx="5">
                  <c:v>3.8</c:v>
                </c:pt>
                <c:pt idx="6">
                  <c:v>4.5999999999999996</c:v>
                </c:pt>
                <c:pt idx="7">
                  <c:v>6.3</c:v>
                </c:pt>
                <c:pt idx="8">
                  <c:v>6.2</c:v>
                </c:pt>
                <c:pt idx="9">
                  <c:v>8.5</c:v>
                </c:pt>
                <c:pt idx="10">
                  <c:v>6.9</c:v>
                </c:pt>
                <c:pt idx="11">
                  <c:v>4</c:v>
                </c:pt>
                <c:pt idx="12">
                  <c:v>8.9</c:v>
                </c:pt>
                <c:pt idx="13">
                  <c:v>9</c:v>
                </c:pt>
                <c:pt idx="14" formatCode="0.0_)">
                  <c:v>9.5</c:v>
                </c:pt>
                <c:pt idx="15" formatCode="0.0_)">
                  <c:v>13.2</c:v>
                </c:pt>
                <c:pt idx="16">
                  <c:v>6.7</c:v>
                </c:pt>
                <c:pt idx="17">
                  <c:v>9.5</c:v>
                </c:pt>
                <c:pt idx="18">
                  <c:v>9.8000000000000007</c:v>
                </c:pt>
                <c:pt idx="19">
                  <c:v>8</c:v>
                </c:pt>
                <c:pt idx="20">
                  <c:v>10.8</c:v>
                </c:pt>
                <c:pt idx="21">
                  <c:v>7</c:v>
                </c:pt>
                <c:pt idx="22">
                  <c:v>6.7</c:v>
                </c:pt>
                <c:pt idx="23">
                  <c:v>4.9000000000000004</c:v>
                </c:pt>
                <c:pt idx="24">
                  <c:v>6.9</c:v>
                </c:pt>
                <c:pt idx="25">
                  <c:v>5.3</c:v>
                </c:pt>
                <c:pt idx="26">
                  <c:v>11.1</c:v>
                </c:pt>
                <c:pt idx="27">
                  <c:v>7.1</c:v>
                </c:pt>
                <c:pt idx="28">
                  <c:v>9.9</c:v>
                </c:pt>
                <c:pt idx="29">
                  <c:v>12</c:v>
                </c:pt>
                <c:pt idx="30">
                  <c:v>11.9</c:v>
                </c:pt>
                <c:pt idx="31">
                  <c:v>10.7</c:v>
                </c:pt>
                <c:pt idx="32">
                  <c:v>13.7</c:v>
                </c:pt>
                <c:pt idx="33">
                  <c:v>12.1</c:v>
                </c:pt>
                <c:pt idx="34">
                  <c:v>10</c:v>
                </c:pt>
                <c:pt idx="35">
                  <c:v>5.6</c:v>
                </c:pt>
                <c:pt idx="36">
                  <c:v>3.7</c:v>
                </c:pt>
                <c:pt idx="37">
                  <c:v>1.9</c:v>
                </c:pt>
                <c:pt idx="38">
                  <c:v>1.5</c:v>
                </c:pt>
                <c:pt idx="39">
                  <c:v>-30.5</c:v>
                </c:pt>
                <c:pt idx="40">
                  <c:v>-35.6</c:v>
                </c:pt>
                <c:pt idx="41">
                  <c:v>-30.8</c:v>
                </c:pt>
                <c:pt idx="42">
                  <c:v>-24.4</c:v>
                </c:pt>
                <c:pt idx="43">
                  <c:v>-29.4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EB1-47A5-BCA0-F8F6FD2DE8F5}"/>
            </c:ext>
          </c:extLst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4"/>
                <c:pt idx="0">
                  <c:v>-10.1</c:v>
                </c:pt>
                <c:pt idx="1">
                  <c:v>-9.1999999999999993</c:v>
                </c:pt>
                <c:pt idx="2">
                  <c:v>-8.3000000000000007</c:v>
                </c:pt>
                <c:pt idx="3">
                  <c:v>-7.2</c:v>
                </c:pt>
                <c:pt idx="4">
                  <c:v>-1.4</c:v>
                </c:pt>
                <c:pt idx="5">
                  <c:v>1.8</c:v>
                </c:pt>
                <c:pt idx="6">
                  <c:v>1.9</c:v>
                </c:pt>
                <c:pt idx="7">
                  <c:v>2.7</c:v>
                </c:pt>
                <c:pt idx="8">
                  <c:v>0.8</c:v>
                </c:pt>
                <c:pt idx="9">
                  <c:v>3.4</c:v>
                </c:pt>
                <c:pt idx="10">
                  <c:v>3.8</c:v>
                </c:pt>
                <c:pt idx="11">
                  <c:v>0.3</c:v>
                </c:pt>
                <c:pt idx="12">
                  <c:v>4</c:v>
                </c:pt>
                <c:pt idx="13">
                  <c:v>6.3</c:v>
                </c:pt>
                <c:pt idx="14" formatCode="0.0_)">
                  <c:v>3.2</c:v>
                </c:pt>
                <c:pt idx="15" formatCode="0.0_)">
                  <c:v>6</c:v>
                </c:pt>
                <c:pt idx="16">
                  <c:v>3.8</c:v>
                </c:pt>
                <c:pt idx="17">
                  <c:v>3.8</c:v>
                </c:pt>
                <c:pt idx="18">
                  <c:v>1.2</c:v>
                </c:pt>
                <c:pt idx="19">
                  <c:v>1.9</c:v>
                </c:pt>
                <c:pt idx="20">
                  <c:v>4.4000000000000004</c:v>
                </c:pt>
                <c:pt idx="21">
                  <c:v>1.5</c:v>
                </c:pt>
                <c:pt idx="22">
                  <c:v>2.7</c:v>
                </c:pt>
                <c:pt idx="23">
                  <c:v>-4.8</c:v>
                </c:pt>
                <c:pt idx="24">
                  <c:v>0.6</c:v>
                </c:pt>
                <c:pt idx="25">
                  <c:v>1.8</c:v>
                </c:pt>
                <c:pt idx="26">
                  <c:v>4.2</c:v>
                </c:pt>
                <c:pt idx="27">
                  <c:v>-0.5</c:v>
                </c:pt>
                <c:pt idx="28">
                  <c:v>3.5</c:v>
                </c:pt>
                <c:pt idx="29">
                  <c:v>3.9</c:v>
                </c:pt>
                <c:pt idx="30">
                  <c:v>2.8</c:v>
                </c:pt>
                <c:pt idx="31">
                  <c:v>2.2000000000000002</c:v>
                </c:pt>
                <c:pt idx="32">
                  <c:v>2.8</c:v>
                </c:pt>
                <c:pt idx="33">
                  <c:v>3.4</c:v>
                </c:pt>
                <c:pt idx="34">
                  <c:v>-3</c:v>
                </c:pt>
                <c:pt idx="35">
                  <c:v>-7.9</c:v>
                </c:pt>
                <c:pt idx="36">
                  <c:v>-7.7</c:v>
                </c:pt>
                <c:pt idx="37">
                  <c:v>-8.4</c:v>
                </c:pt>
                <c:pt idx="38">
                  <c:v>-10.1</c:v>
                </c:pt>
                <c:pt idx="39">
                  <c:v>-64.5</c:v>
                </c:pt>
                <c:pt idx="40">
                  <c:v>-48.9</c:v>
                </c:pt>
                <c:pt idx="41">
                  <c:v>-30.1</c:v>
                </c:pt>
                <c:pt idx="42">
                  <c:v>-18.399999999999999</c:v>
                </c:pt>
                <c:pt idx="43">
                  <c:v>-24.4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EB1-47A5-BCA0-F8F6FD2DE8F5}"/>
            </c:ext>
          </c:extLst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4"/>
                <c:pt idx="0">
                  <c:v>6.6</c:v>
                </c:pt>
                <c:pt idx="1">
                  <c:v>3.4</c:v>
                </c:pt>
                <c:pt idx="2">
                  <c:v>3.3</c:v>
                </c:pt>
                <c:pt idx="3">
                  <c:v>4.7</c:v>
                </c:pt>
                <c:pt idx="4">
                  <c:v>12.9</c:v>
                </c:pt>
                <c:pt idx="5">
                  <c:v>13.2</c:v>
                </c:pt>
                <c:pt idx="6">
                  <c:v>10.3</c:v>
                </c:pt>
                <c:pt idx="7">
                  <c:v>13</c:v>
                </c:pt>
                <c:pt idx="8">
                  <c:v>13.2</c:v>
                </c:pt>
                <c:pt idx="9">
                  <c:v>10</c:v>
                </c:pt>
                <c:pt idx="10">
                  <c:v>11</c:v>
                </c:pt>
                <c:pt idx="11">
                  <c:v>8.4</c:v>
                </c:pt>
                <c:pt idx="12">
                  <c:v>11.4</c:v>
                </c:pt>
                <c:pt idx="13">
                  <c:v>13</c:v>
                </c:pt>
                <c:pt idx="14">
                  <c:v>12.7</c:v>
                </c:pt>
                <c:pt idx="15">
                  <c:v>11.9</c:v>
                </c:pt>
                <c:pt idx="16">
                  <c:v>14.9</c:v>
                </c:pt>
                <c:pt idx="17">
                  <c:v>14.2</c:v>
                </c:pt>
                <c:pt idx="18">
                  <c:v>10.3</c:v>
                </c:pt>
                <c:pt idx="19">
                  <c:v>14.2</c:v>
                </c:pt>
                <c:pt idx="20">
                  <c:v>15.2</c:v>
                </c:pt>
                <c:pt idx="21">
                  <c:v>17.5</c:v>
                </c:pt>
                <c:pt idx="22">
                  <c:v>10.6</c:v>
                </c:pt>
                <c:pt idx="23">
                  <c:v>7.5</c:v>
                </c:pt>
                <c:pt idx="24">
                  <c:v>14.9</c:v>
                </c:pt>
                <c:pt idx="25">
                  <c:v>11.9</c:v>
                </c:pt>
                <c:pt idx="26">
                  <c:v>14.5</c:v>
                </c:pt>
                <c:pt idx="27">
                  <c:v>15.4</c:v>
                </c:pt>
                <c:pt idx="28">
                  <c:v>16.7</c:v>
                </c:pt>
                <c:pt idx="29">
                  <c:v>17.100000000000001</c:v>
                </c:pt>
                <c:pt idx="30">
                  <c:v>16.2</c:v>
                </c:pt>
                <c:pt idx="31">
                  <c:v>18.5</c:v>
                </c:pt>
                <c:pt idx="32">
                  <c:v>19.399999999999999</c:v>
                </c:pt>
                <c:pt idx="33">
                  <c:v>18.2</c:v>
                </c:pt>
                <c:pt idx="34">
                  <c:v>16.100000000000001</c:v>
                </c:pt>
                <c:pt idx="35">
                  <c:v>17.899999999999999</c:v>
                </c:pt>
                <c:pt idx="36">
                  <c:v>16.100000000000001</c:v>
                </c:pt>
                <c:pt idx="37">
                  <c:v>11.5</c:v>
                </c:pt>
                <c:pt idx="38">
                  <c:v>11.5</c:v>
                </c:pt>
                <c:pt idx="39">
                  <c:v>-47.3</c:v>
                </c:pt>
                <c:pt idx="40">
                  <c:v>-35.700000000000003</c:v>
                </c:pt>
                <c:pt idx="41">
                  <c:v>-19</c:v>
                </c:pt>
                <c:pt idx="42">
                  <c:v>-15.7</c:v>
                </c:pt>
                <c:pt idx="43">
                  <c:v>-12.6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EB1-47A5-BCA0-F8F6FD2DE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82607888"/>
        <c:axId val="-1782608432"/>
      </c:lineChart>
      <c:catAx>
        <c:axId val="-178260788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608432"/>
        <c:crossesAt val="0"/>
        <c:auto val="1"/>
        <c:lblAlgn val="ctr"/>
        <c:lblOffset val="100"/>
        <c:tickLblSkip val="1"/>
        <c:noMultiLvlLbl val="0"/>
      </c:catAx>
      <c:valAx>
        <c:axId val="-178260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60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14.7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AF2-4982-9D12-EF87F1CA2061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45.3</c:v>
                </c:pt>
                <c:pt idx="1">
                  <c:v>41.2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27.8</c:v>
                </c:pt>
                <c:pt idx="1">
                  <c:v>26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Arkusz1!$F$2:$F$3</c:f>
              <c:numCache>
                <c:formatCode>0.0</c:formatCode>
                <c:ptCount val="2"/>
                <c:pt idx="0">
                  <c:v>12.2</c:v>
                </c:pt>
                <c:pt idx="1">
                  <c:v>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782491520"/>
        <c:axId val="-1783375984"/>
      </c:barChart>
      <c:valAx>
        <c:axId val="-178337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491520"/>
        <c:crosses val="autoZero"/>
        <c:crossBetween val="between"/>
      </c:valAx>
      <c:catAx>
        <c:axId val="-1782491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33759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415672168885865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13.8</c:v>
                </c:pt>
                <c:pt idx="1">
                  <c:v>17.5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0DE-4CED-86A1-09E654DE0DE6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51.8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31</c:v>
                </c:pt>
                <c:pt idx="1">
                  <c:v>23.6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Arkusz1!$F$2:$F$3</c:f>
              <c:numCache>
                <c:formatCode>General</c:formatCode>
                <c:ptCount val="2"/>
                <c:pt idx="0">
                  <c:v>3.4</c:v>
                </c:pt>
                <c:pt idx="1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2011591040"/>
        <c:axId val="-1782505120"/>
      </c:barChart>
      <c:valAx>
        <c:axId val="-1782505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11591040"/>
        <c:crosses val="autoZero"/>
        <c:crossBetween val="between"/>
      </c:valAx>
      <c:catAx>
        <c:axId val="-2011591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5051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51196133957E-2"/>
          <c:y val="0.82878788644042967"/>
          <c:w val="0.8999999023922679"/>
          <c:h val="0.107068431712232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  <c:pt idx="22" formatCode="0.0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F2-498E-B669-1117FC4FE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82607344"/>
        <c:axId val="-1782618768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  <c:pt idx="22" formatCode="0.0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2F2-498E-B669-1117FC4FE837}"/>
            </c:ext>
          </c:extLst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2F2-498E-B669-1117FC4FE837}"/>
            </c:ext>
          </c:extLst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  <c:pt idx="22" formatCode="0.0">
                  <c:v>9.6999999999999993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2F2-498E-B669-1117FC4FE837}"/>
            </c:ext>
          </c:extLst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2F2-498E-B669-1117FC4FE837}"/>
            </c:ext>
          </c:extLst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3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  <c:pt idx="22" formatCode="General">
                  <c:v>16.399999999999999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2F2-498E-B669-1117FC4FE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82607344"/>
        <c:axId val="-1782618768"/>
      </c:lineChart>
      <c:catAx>
        <c:axId val="-178260734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618768"/>
        <c:crossesAt val="0"/>
        <c:auto val="0"/>
        <c:lblAlgn val="ctr"/>
        <c:lblOffset val="100"/>
        <c:tickLblSkip val="1"/>
        <c:noMultiLvlLbl val="0"/>
      </c:catAx>
      <c:valAx>
        <c:axId val="-178261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60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4"/>
                <c:pt idx="0">
                  <c:v>-4.4000000000000004</c:v>
                </c:pt>
                <c:pt idx="1">
                  <c:v>-3.6</c:v>
                </c:pt>
                <c:pt idx="2">
                  <c:v>-4.2</c:v>
                </c:pt>
                <c:pt idx="3">
                  <c:v>-3.1</c:v>
                </c:pt>
                <c:pt idx="4">
                  <c:v>0.6</c:v>
                </c:pt>
                <c:pt idx="5">
                  <c:v>1.8</c:v>
                </c:pt>
                <c:pt idx="6">
                  <c:v>1.3</c:v>
                </c:pt>
                <c:pt idx="7">
                  <c:v>2.7</c:v>
                </c:pt>
                <c:pt idx="8">
                  <c:v>0.8</c:v>
                </c:pt>
                <c:pt idx="9">
                  <c:v>1.6</c:v>
                </c:pt>
                <c:pt idx="10">
                  <c:v>3.4</c:v>
                </c:pt>
                <c:pt idx="11">
                  <c:v>-0.2</c:v>
                </c:pt>
                <c:pt idx="12">
                  <c:v>4.3</c:v>
                </c:pt>
                <c:pt idx="13">
                  <c:v>4.2</c:v>
                </c:pt>
                <c:pt idx="14">
                  <c:v>2.9</c:v>
                </c:pt>
                <c:pt idx="15">
                  <c:v>5.7</c:v>
                </c:pt>
                <c:pt idx="16">
                  <c:v>2.8</c:v>
                </c:pt>
                <c:pt idx="17">
                  <c:v>4</c:v>
                </c:pt>
                <c:pt idx="18">
                  <c:v>2.4</c:v>
                </c:pt>
                <c:pt idx="19">
                  <c:v>2.4</c:v>
                </c:pt>
                <c:pt idx="20">
                  <c:v>3.1</c:v>
                </c:pt>
                <c:pt idx="21">
                  <c:v>1.3</c:v>
                </c:pt>
                <c:pt idx="22">
                  <c:v>3.4</c:v>
                </c:pt>
                <c:pt idx="23">
                  <c:v>-1.8</c:v>
                </c:pt>
                <c:pt idx="24">
                  <c:v>2.2000000000000002</c:v>
                </c:pt>
                <c:pt idx="25">
                  <c:v>3.2</c:v>
                </c:pt>
                <c:pt idx="26">
                  <c:v>4.7</c:v>
                </c:pt>
                <c:pt idx="27">
                  <c:v>3.5</c:v>
                </c:pt>
                <c:pt idx="28">
                  <c:v>4.9000000000000004</c:v>
                </c:pt>
                <c:pt idx="29">
                  <c:v>7.5</c:v>
                </c:pt>
                <c:pt idx="30">
                  <c:v>5.9</c:v>
                </c:pt>
                <c:pt idx="31">
                  <c:v>3.9</c:v>
                </c:pt>
                <c:pt idx="32">
                  <c:v>7</c:v>
                </c:pt>
                <c:pt idx="33">
                  <c:v>3.6</c:v>
                </c:pt>
                <c:pt idx="34">
                  <c:v>2.2000000000000002</c:v>
                </c:pt>
                <c:pt idx="35">
                  <c:v>-0.8</c:v>
                </c:pt>
                <c:pt idx="36">
                  <c:v>-0.6</c:v>
                </c:pt>
                <c:pt idx="37">
                  <c:v>-2.2000000000000002</c:v>
                </c:pt>
                <c:pt idx="38">
                  <c:v>-2.2999999999999998</c:v>
                </c:pt>
                <c:pt idx="39">
                  <c:v>-47.7</c:v>
                </c:pt>
                <c:pt idx="40">
                  <c:v>-37.299999999999997</c:v>
                </c:pt>
                <c:pt idx="41">
                  <c:v>-23.9</c:v>
                </c:pt>
                <c:pt idx="42">
                  <c:v>-13.6</c:v>
                </c:pt>
                <c:pt idx="43">
                  <c:v>-16.5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8A-4BD7-9881-15605F11A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82606256"/>
        <c:axId val="-1782617680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4"/>
                <c:pt idx="0">
                  <c:v>2.9</c:v>
                </c:pt>
                <c:pt idx="1">
                  <c:v>2.2000000000000002</c:v>
                </c:pt>
                <c:pt idx="2">
                  <c:v>1.6</c:v>
                </c:pt>
                <c:pt idx="3">
                  <c:v>2</c:v>
                </c:pt>
                <c:pt idx="4">
                  <c:v>2.8</c:v>
                </c:pt>
                <c:pt idx="5">
                  <c:v>2.9</c:v>
                </c:pt>
                <c:pt idx="6">
                  <c:v>3.6</c:v>
                </c:pt>
                <c:pt idx="7">
                  <c:v>4.3</c:v>
                </c:pt>
                <c:pt idx="8">
                  <c:v>4</c:v>
                </c:pt>
                <c:pt idx="9">
                  <c:v>1.6</c:v>
                </c:pt>
                <c:pt idx="10">
                  <c:v>5</c:v>
                </c:pt>
                <c:pt idx="11">
                  <c:v>0.2</c:v>
                </c:pt>
                <c:pt idx="12">
                  <c:v>5.2</c:v>
                </c:pt>
                <c:pt idx="13">
                  <c:v>2.8</c:v>
                </c:pt>
                <c:pt idx="14">
                  <c:v>4.2</c:v>
                </c:pt>
                <c:pt idx="15">
                  <c:v>5.7</c:v>
                </c:pt>
                <c:pt idx="16">
                  <c:v>3.5</c:v>
                </c:pt>
                <c:pt idx="17">
                  <c:v>3.8</c:v>
                </c:pt>
                <c:pt idx="18">
                  <c:v>3.6</c:v>
                </c:pt>
                <c:pt idx="19">
                  <c:v>4</c:v>
                </c:pt>
                <c:pt idx="20">
                  <c:v>3.1</c:v>
                </c:pt>
                <c:pt idx="21">
                  <c:v>4.7</c:v>
                </c:pt>
                <c:pt idx="22">
                  <c:v>4</c:v>
                </c:pt>
                <c:pt idx="23">
                  <c:v>-1</c:v>
                </c:pt>
                <c:pt idx="24">
                  <c:v>2.8</c:v>
                </c:pt>
                <c:pt idx="25">
                  <c:v>6.9</c:v>
                </c:pt>
                <c:pt idx="26">
                  <c:v>7.7</c:v>
                </c:pt>
                <c:pt idx="27">
                  <c:v>7.9</c:v>
                </c:pt>
                <c:pt idx="28">
                  <c:v>7</c:v>
                </c:pt>
                <c:pt idx="29">
                  <c:v>7.7</c:v>
                </c:pt>
                <c:pt idx="30">
                  <c:v>8.9</c:v>
                </c:pt>
                <c:pt idx="31">
                  <c:v>4.4000000000000004</c:v>
                </c:pt>
                <c:pt idx="32">
                  <c:v>8</c:v>
                </c:pt>
                <c:pt idx="33">
                  <c:v>5.9</c:v>
                </c:pt>
                <c:pt idx="34">
                  <c:v>5</c:v>
                </c:pt>
                <c:pt idx="35">
                  <c:v>2.8</c:v>
                </c:pt>
                <c:pt idx="36">
                  <c:v>2</c:v>
                </c:pt>
                <c:pt idx="37">
                  <c:v>2.4</c:v>
                </c:pt>
                <c:pt idx="38">
                  <c:v>1.7</c:v>
                </c:pt>
                <c:pt idx="39">
                  <c:v>-30.5</c:v>
                </c:pt>
                <c:pt idx="40">
                  <c:v>-19.600000000000001</c:v>
                </c:pt>
                <c:pt idx="41">
                  <c:v>-8.9</c:v>
                </c:pt>
                <c:pt idx="42">
                  <c:v>-3.3</c:v>
                </c:pt>
                <c:pt idx="43">
                  <c:v>-5.0999999999999996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A8A-4BD7-9881-15605F11A980}"/>
            </c:ext>
          </c:extLst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4"/>
                <c:pt idx="0">
                  <c:v>-10.1</c:v>
                </c:pt>
                <c:pt idx="1">
                  <c:v>-9.1999999999999993</c:v>
                </c:pt>
                <c:pt idx="2">
                  <c:v>-8.3000000000000007</c:v>
                </c:pt>
                <c:pt idx="3">
                  <c:v>-7.2</c:v>
                </c:pt>
                <c:pt idx="4">
                  <c:v>-1.4</c:v>
                </c:pt>
                <c:pt idx="5">
                  <c:v>1.8</c:v>
                </c:pt>
                <c:pt idx="6">
                  <c:v>1.9</c:v>
                </c:pt>
                <c:pt idx="7">
                  <c:v>2.7</c:v>
                </c:pt>
                <c:pt idx="8">
                  <c:v>0.8</c:v>
                </c:pt>
                <c:pt idx="9">
                  <c:v>3.4</c:v>
                </c:pt>
                <c:pt idx="10">
                  <c:v>3.8</c:v>
                </c:pt>
                <c:pt idx="11">
                  <c:v>0.3</c:v>
                </c:pt>
                <c:pt idx="12">
                  <c:v>4</c:v>
                </c:pt>
                <c:pt idx="13">
                  <c:v>6.3</c:v>
                </c:pt>
                <c:pt idx="14">
                  <c:v>3.2</c:v>
                </c:pt>
                <c:pt idx="15">
                  <c:v>6</c:v>
                </c:pt>
                <c:pt idx="16">
                  <c:v>3.8</c:v>
                </c:pt>
                <c:pt idx="17">
                  <c:v>3.8</c:v>
                </c:pt>
                <c:pt idx="18">
                  <c:v>1.2</c:v>
                </c:pt>
                <c:pt idx="19">
                  <c:v>1.9</c:v>
                </c:pt>
                <c:pt idx="20">
                  <c:v>4.4000000000000004</c:v>
                </c:pt>
                <c:pt idx="21">
                  <c:v>1.5</c:v>
                </c:pt>
                <c:pt idx="22">
                  <c:v>2.7</c:v>
                </c:pt>
                <c:pt idx="23">
                  <c:v>-4.8</c:v>
                </c:pt>
                <c:pt idx="24">
                  <c:v>0.6</c:v>
                </c:pt>
                <c:pt idx="25">
                  <c:v>1.8</c:v>
                </c:pt>
                <c:pt idx="26">
                  <c:v>4.2</c:v>
                </c:pt>
                <c:pt idx="27">
                  <c:v>-0.5</c:v>
                </c:pt>
                <c:pt idx="28">
                  <c:v>3.5</c:v>
                </c:pt>
                <c:pt idx="29">
                  <c:v>3.9</c:v>
                </c:pt>
                <c:pt idx="30">
                  <c:v>2.8</c:v>
                </c:pt>
                <c:pt idx="31">
                  <c:v>2.2000000000000002</c:v>
                </c:pt>
                <c:pt idx="32">
                  <c:v>2.8</c:v>
                </c:pt>
                <c:pt idx="33">
                  <c:v>3.4</c:v>
                </c:pt>
                <c:pt idx="34">
                  <c:v>-3</c:v>
                </c:pt>
                <c:pt idx="35">
                  <c:v>-7.9</c:v>
                </c:pt>
                <c:pt idx="36">
                  <c:v>-7.7</c:v>
                </c:pt>
                <c:pt idx="37">
                  <c:v>-8.4</c:v>
                </c:pt>
                <c:pt idx="38">
                  <c:v>-10.1</c:v>
                </c:pt>
                <c:pt idx="39">
                  <c:v>-64.5</c:v>
                </c:pt>
                <c:pt idx="40">
                  <c:v>-48.9</c:v>
                </c:pt>
                <c:pt idx="41">
                  <c:v>-30.1</c:v>
                </c:pt>
                <c:pt idx="42">
                  <c:v>-18.399999999999999</c:v>
                </c:pt>
                <c:pt idx="43">
                  <c:v>-24.4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A8A-4BD7-9881-15605F11A980}"/>
            </c:ext>
          </c:extLst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4"/>
                <c:pt idx="0">
                  <c:v>-0.1</c:v>
                </c:pt>
                <c:pt idx="1">
                  <c:v>4.4000000000000004</c:v>
                </c:pt>
                <c:pt idx="2">
                  <c:v>4.9000000000000004</c:v>
                </c:pt>
                <c:pt idx="3">
                  <c:v>5.9</c:v>
                </c:pt>
                <c:pt idx="4">
                  <c:v>11</c:v>
                </c:pt>
                <c:pt idx="5">
                  <c:v>11.7</c:v>
                </c:pt>
                <c:pt idx="6">
                  <c:v>10.1</c:v>
                </c:pt>
                <c:pt idx="7">
                  <c:v>11</c:v>
                </c:pt>
                <c:pt idx="8">
                  <c:v>10.199999999999999</c:v>
                </c:pt>
                <c:pt idx="9">
                  <c:v>9.1999999999999993</c:v>
                </c:pt>
                <c:pt idx="10">
                  <c:v>13.5</c:v>
                </c:pt>
                <c:pt idx="11">
                  <c:v>10.8</c:v>
                </c:pt>
                <c:pt idx="12">
                  <c:v>13.6</c:v>
                </c:pt>
                <c:pt idx="13">
                  <c:v>14.1</c:v>
                </c:pt>
                <c:pt idx="14">
                  <c:v>13.4</c:v>
                </c:pt>
                <c:pt idx="15">
                  <c:v>18</c:v>
                </c:pt>
                <c:pt idx="16">
                  <c:v>14.2</c:v>
                </c:pt>
                <c:pt idx="17">
                  <c:v>13.7</c:v>
                </c:pt>
                <c:pt idx="18">
                  <c:v>14.1</c:v>
                </c:pt>
                <c:pt idx="19">
                  <c:v>12.3</c:v>
                </c:pt>
                <c:pt idx="20">
                  <c:v>11.9</c:v>
                </c:pt>
                <c:pt idx="21">
                  <c:v>8.3000000000000007</c:v>
                </c:pt>
                <c:pt idx="22">
                  <c:v>9.4</c:v>
                </c:pt>
                <c:pt idx="23">
                  <c:v>7.6</c:v>
                </c:pt>
                <c:pt idx="24">
                  <c:v>7.2</c:v>
                </c:pt>
                <c:pt idx="25">
                  <c:v>7.6</c:v>
                </c:pt>
                <c:pt idx="26">
                  <c:v>9.8000000000000007</c:v>
                </c:pt>
                <c:pt idx="27">
                  <c:v>8.1</c:v>
                </c:pt>
                <c:pt idx="28">
                  <c:v>10</c:v>
                </c:pt>
                <c:pt idx="29">
                  <c:v>15.3</c:v>
                </c:pt>
                <c:pt idx="30">
                  <c:v>10.3</c:v>
                </c:pt>
                <c:pt idx="31">
                  <c:v>8.6999999999999993</c:v>
                </c:pt>
                <c:pt idx="32">
                  <c:v>9.8000000000000007</c:v>
                </c:pt>
                <c:pt idx="33">
                  <c:v>2.5</c:v>
                </c:pt>
                <c:pt idx="34">
                  <c:v>2.9</c:v>
                </c:pt>
                <c:pt idx="35">
                  <c:v>0.5</c:v>
                </c:pt>
                <c:pt idx="36">
                  <c:v>2.4</c:v>
                </c:pt>
                <c:pt idx="37">
                  <c:v>-0.7</c:v>
                </c:pt>
                <c:pt idx="38">
                  <c:v>-0.7</c:v>
                </c:pt>
                <c:pt idx="39">
                  <c:v>-77.7</c:v>
                </c:pt>
                <c:pt idx="40">
                  <c:v>-73.2</c:v>
                </c:pt>
                <c:pt idx="41">
                  <c:v>-55.8</c:v>
                </c:pt>
                <c:pt idx="42">
                  <c:v>-37</c:v>
                </c:pt>
                <c:pt idx="43">
                  <c:v>-40.299999999999997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A8A-4BD7-9881-15605F11A980}"/>
            </c:ext>
          </c:extLst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4"/>
                <c:pt idx="0">
                  <c:v>-10.1</c:v>
                </c:pt>
                <c:pt idx="1">
                  <c:v>-11.8</c:v>
                </c:pt>
                <c:pt idx="2">
                  <c:v>-15</c:v>
                </c:pt>
                <c:pt idx="3">
                  <c:v>-12.9</c:v>
                </c:pt>
                <c:pt idx="4">
                  <c:v>-10</c:v>
                </c:pt>
                <c:pt idx="5">
                  <c:v>-9.4</c:v>
                </c:pt>
                <c:pt idx="6">
                  <c:v>-10.5</c:v>
                </c:pt>
                <c:pt idx="7">
                  <c:v>-7.3</c:v>
                </c:pt>
                <c:pt idx="8">
                  <c:v>-11.7</c:v>
                </c:pt>
                <c:pt idx="9">
                  <c:v>-8</c:v>
                </c:pt>
                <c:pt idx="10">
                  <c:v>-8.8000000000000007</c:v>
                </c:pt>
                <c:pt idx="11">
                  <c:v>-12</c:v>
                </c:pt>
                <c:pt idx="12">
                  <c:v>-5.8</c:v>
                </c:pt>
                <c:pt idx="13">
                  <c:v>-6.4</c:v>
                </c:pt>
                <c:pt idx="14">
                  <c:v>-9.1999999999999993</c:v>
                </c:pt>
                <c:pt idx="15">
                  <c:v>-6.9</c:v>
                </c:pt>
                <c:pt idx="16">
                  <c:v>-10.199999999999999</c:v>
                </c:pt>
                <c:pt idx="17">
                  <c:v>-5.2</c:v>
                </c:pt>
                <c:pt idx="18">
                  <c:v>-9.4</c:v>
                </c:pt>
                <c:pt idx="19">
                  <c:v>-8.6999999999999993</c:v>
                </c:pt>
                <c:pt idx="20">
                  <c:v>-7.2</c:v>
                </c:pt>
                <c:pt idx="21">
                  <c:v>-9.3000000000000007</c:v>
                </c:pt>
                <c:pt idx="22">
                  <c:v>-2.6</c:v>
                </c:pt>
                <c:pt idx="23">
                  <c:v>-9</c:v>
                </c:pt>
                <c:pt idx="24">
                  <c:v>-1.6</c:v>
                </c:pt>
                <c:pt idx="25">
                  <c:v>-3.4</c:v>
                </c:pt>
                <c:pt idx="26">
                  <c:v>-3.1</c:v>
                </c:pt>
                <c:pt idx="27">
                  <c:v>-1.4</c:v>
                </c:pt>
                <c:pt idx="28">
                  <c:v>-0.8</c:v>
                </c:pt>
                <c:pt idx="29">
                  <c:v>3.1</c:v>
                </c:pt>
                <c:pt idx="30">
                  <c:v>1.7</c:v>
                </c:pt>
                <c:pt idx="31">
                  <c:v>0.4</c:v>
                </c:pt>
                <c:pt idx="32">
                  <c:v>7.5</c:v>
                </c:pt>
                <c:pt idx="33">
                  <c:v>2.6</c:v>
                </c:pt>
                <c:pt idx="34">
                  <c:v>3.9</c:v>
                </c:pt>
                <c:pt idx="35">
                  <c:v>1.2</c:v>
                </c:pt>
                <c:pt idx="36">
                  <c:v>1.1000000000000001</c:v>
                </c:pt>
                <c:pt idx="37">
                  <c:v>-2</c:v>
                </c:pt>
                <c:pt idx="38">
                  <c:v>-0.2</c:v>
                </c:pt>
                <c:pt idx="39">
                  <c:v>-18.3</c:v>
                </c:pt>
                <c:pt idx="40">
                  <c:v>-7.4</c:v>
                </c:pt>
                <c:pt idx="41">
                  <c:v>-0.6</c:v>
                </c:pt>
                <c:pt idx="42">
                  <c:v>4.4000000000000004</c:v>
                </c:pt>
                <c:pt idx="43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A8A-4BD7-9881-15605F11A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82606256"/>
        <c:axId val="-1782617680"/>
      </c:lineChart>
      <c:catAx>
        <c:axId val="-178260625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617680"/>
        <c:crossesAt val="0"/>
        <c:auto val="1"/>
        <c:lblAlgn val="ctr"/>
        <c:lblOffset val="100"/>
        <c:tickLblSkip val="1"/>
        <c:noMultiLvlLbl val="0"/>
      </c:catAx>
      <c:valAx>
        <c:axId val="-178261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260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  <c:pt idx="22" formatCode="0.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5-4F43-B77C-634C5FD2D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51076800"/>
        <c:axId val="-195108713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D55-4F43-B77C-634C5FD2DC7C}"/>
            </c:ext>
          </c:extLst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D55-4F43-B77C-634C5FD2DC7C}"/>
            </c:ext>
          </c:extLst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  <c:pt idx="22" formatCode="0.0">
                  <c:v>7.7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D55-4F43-B77C-634C5FD2DC7C}"/>
            </c:ext>
          </c:extLst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  <c:pt idx="22" formatCode="0.0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D55-4F43-B77C-634C5FD2D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51076800"/>
        <c:axId val="-1951087136"/>
      </c:lineChart>
      <c:catAx>
        <c:axId val="-195107680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51087136"/>
        <c:crossesAt val="0"/>
        <c:auto val="0"/>
        <c:lblAlgn val="ctr"/>
        <c:lblOffset val="100"/>
        <c:tickLblSkip val="1"/>
        <c:noMultiLvlLbl val="0"/>
      </c:catAx>
      <c:valAx>
        <c:axId val="-19510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5107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znaczny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28.5</c:v>
                </c:pt>
                <c:pt idx="1">
                  <c:v>27.2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686-4FF2-B204-52B5A94AC922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umiarkowany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56.1</c:v>
                </c:pt>
                <c:pt idx="1">
                  <c:v>56.6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żaden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15.4</c:v>
                </c:pt>
                <c:pt idx="1">
                  <c:v>16.2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-1951081152"/>
        <c:axId val="-1951087680"/>
      </c:barChart>
      <c:valAx>
        <c:axId val="-195108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51081152"/>
        <c:crosses val="autoZero"/>
        <c:crossBetween val="between"/>
      </c:valAx>
      <c:catAx>
        <c:axId val="-1951081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51087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zdecydowanie tak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6.5</c:v>
                </c:pt>
                <c:pt idx="1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A96-4F8B-A7F4-49536915A70E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możliwe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20</c:v>
                </c:pt>
                <c:pt idx="1">
                  <c:v>17.899999999999999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raczej nie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31.4</c:v>
                </c:pt>
                <c:pt idx="1">
                  <c:v>39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Arkusz1!$F$2:$F$3</c:f>
              <c:numCache>
                <c:formatCode>0.0</c:formatCode>
                <c:ptCount val="2"/>
                <c:pt idx="0">
                  <c:v>40.6</c:v>
                </c:pt>
                <c:pt idx="1">
                  <c:v>35.799999999999997</c:v>
                </c:pt>
              </c:numCache>
            </c:numRef>
          </c:val>
        </c:ser>
        <c:ser>
          <c:idx val="4"/>
          <c:order val="4"/>
          <c:tx>
            <c:strRef>
              <c:f>Arkusz1!$G$1</c:f>
              <c:strCache>
                <c:ptCount val="1"/>
                <c:pt idx="0">
                  <c:v>nie mam zdania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Arkusz1!$G$2:$G$3</c:f>
              <c:numCache>
                <c:formatCode>0.0</c:formatCode>
                <c:ptCount val="2"/>
                <c:pt idx="0">
                  <c:v>1.5</c:v>
                </c:pt>
                <c:pt idx="1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798024016"/>
        <c:axId val="-1951088768"/>
      </c:barChart>
      <c:valAx>
        <c:axId val="-1951088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8024016"/>
        <c:crosses val="autoZero"/>
        <c:crossBetween val="between"/>
      </c:valAx>
      <c:catAx>
        <c:axId val="-1798024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510887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27.9</c:v>
                </c:pt>
                <c:pt idx="1">
                  <c:v>36.1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0FA-4E8A-8E9A-7AAD9CDDA1E7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52.5</c:v>
                </c:pt>
                <c:pt idx="1">
                  <c:v>49.9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17.8</c:v>
                </c:pt>
                <c:pt idx="1">
                  <c:v>12.9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Arkusz1!$F$2:$F$3</c:f>
              <c:numCache>
                <c:formatCode>0.0</c:formatCode>
                <c:ptCount val="2"/>
                <c:pt idx="0">
                  <c:v>1.8</c:v>
                </c:pt>
                <c:pt idx="1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798013680"/>
        <c:axId val="-1798022928"/>
      </c:barChart>
      <c:catAx>
        <c:axId val="-1798013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8022928"/>
        <c:crosses val="autoZero"/>
        <c:auto val="1"/>
        <c:lblAlgn val="ctr"/>
        <c:lblOffset val="100"/>
        <c:noMultiLvlLbl val="0"/>
      </c:catAx>
      <c:valAx>
        <c:axId val="-1798022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801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21.8</c:v>
                </c:pt>
                <c:pt idx="1">
                  <c:v>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054-4B9B-ABB4-5BB51D2DBAB2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47.8</c:v>
                </c:pt>
                <c:pt idx="1">
                  <c:v>46.1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26.8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Arkusz1!$F$2:$F$3</c:f>
              <c:numCache>
                <c:formatCode>0.0</c:formatCode>
                <c:ptCount val="2"/>
                <c:pt idx="0">
                  <c:v>3.6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800205856"/>
        <c:axId val="-1800206400"/>
      </c:barChart>
      <c:valAx>
        <c:axId val="-1800206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800205856"/>
        <c:crosses val="autoZero"/>
        <c:crossBetween val="between"/>
      </c:valAx>
      <c:catAx>
        <c:axId val="-1800205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800206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Arkusz1!$C$2:$C$3</c:f>
              <c:numCache>
                <c:formatCode>0.0</c:formatCode>
                <c:ptCount val="2"/>
                <c:pt idx="0">
                  <c:v>52.5</c:v>
                </c:pt>
                <c:pt idx="1">
                  <c:v>54.2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D08-48BD-B624-88C1E2C3ACB2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Arkusz1!$D$2:$D$3</c:f>
              <c:numCache>
                <c:formatCode>0.0</c:formatCode>
                <c:ptCount val="2"/>
                <c:pt idx="0">
                  <c:v>39.799999999999997</c:v>
                </c:pt>
                <c:pt idx="1">
                  <c:v>40.1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Arkusz1!$E$2:$E$3</c:f>
              <c:numCache>
                <c:formatCode>0.0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9.9169455807611249E-3"/>
                  <c:y val="-2.93988478953636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Arkusz1!$B$2:$B$3</c:f>
              <c:strCache>
                <c:ptCount val="2"/>
                <c:pt idx="0">
                  <c:v>VII 2020</c:v>
                </c:pt>
                <c:pt idx="1">
                  <c:v>VIII 2020</c:v>
                </c:pt>
              </c:strCache>
            </c:strRef>
          </c:cat>
          <c:val>
            <c:numRef>
              <c:f>Arkusz1!$F$2:$F$3</c:f>
              <c:numCache>
                <c:formatCode>0.0</c:formatCode>
                <c:ptCount val="2"/>
                <c:pt idx="0">
                  <c:v>0.7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783379248"/>
        <c:axId val="-1800205312"/>
      </c:barChart>
      <c:valAx>
        <c:axId val="-1800205312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83379248"/>
        <c:crosses val="autoZero"/>
        <c:crossBetween val="between"/>
      </c:valAx>
      <c:catAx>
        <c:axId val="-1783379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800205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0873F-0B68-461F-80E5-57478630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2020-08-17T10:09:00Z</cp:lastPrinted>
  <dcterms:created xsi:type="dcterms:W3CDTF">2020-08-19T06:52:00Z</dcterms:created>
  <dcterms:modified xsi:type="dcterms:W3CDTF">2020-08-19T06:52:00Z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