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994E1A1" w:rsidR="00393761" w:rsidRPr="00BE1B76" w:rsidRDefault="00BF3ABF" w:rsidP="006D7A45">
      <w:pPr>
        <w:pStyle w:val="tytuinformacji"/>
        <w:spacing w:after="60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20EE8F8" wp14:editId="282D3F05">
                <wp:simplePos x="0" y="0"/>
                <wp:positionH relativeFrom="page">
                  <wp:posOffset>5687568</wp:posOffset>
                </wp:positionH>
                <wp:positionV relativeFrom="paragraph">
                  <wp:posOffset>-63068</wp:posOffset>
                </wp:positionV>
                <wp:extent cx="1872000" cy="23493552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93552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EDB55" id="Prostokąt 10" o:spid="_x0000_s1026" style="position:absolute;margin-left:447.85pt;margin-top:-4.95pt;width:147.4pt;height:1849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" fillcolor="#f2f2f2" stroked="f" strokeweight="1pt">
                <w10:wrap anchorx="page"/>
              </v:rect>
            </w:pict>
          </mc:Fallback>
        </mc:AlternateContent>
      </w:r>
      <w:r w:rsidR="0081230C" w:rsidRPr="006D7A45">
        <w:rPr>
          <w:rFonts w:ascii="Fira Sans" w:hAnsi="Fira Sans"/>
          <w:b/>
          <w:noProof/>
          <w:color w:val="auto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2C35E293" wp14:editId="49964FBB">
                <wp:simplePos x="0" y="0"/>
                <wp:positionH relativeFrom="column">
                  <wp:posOffset>5229225</wp:posOffset>
                </wp:positionH>
                <wp:positionV relativeFrom="paragraph">
                  <wp:posOffset>10956</wp:posOffset>
                </wp:positionV>
                <wp:extent cx="1725295" cy="352425"/>
                <wp:effectExtent l="0" t="0" r="0" b="0"/>
                <wp:wrapTight wrapText="bothSides">
                  <wp:wrapPolygon edited="0">
                    <wp:start x="715" y="0"/>
                    <wp:lineTo x="715" y="19849"/>
                    <wp:lineTo x="20749" y="19849"/>
                    <wp:lineTo x="20749" y="0"/>
                    <wp:lineTo x="715" y="0"/>
                  </wp:wrapPolygon>
                </wp:wrapTight>
                <wp:docPr id="78" name="Pole tekstowe 78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11B8" w14:textId="2A147513" w:rsidR="00D67684" w:rsidRPr="006D7A45" w:rsidRDefault="00D67684" w:rsidP="006D7A45">
                            <w:pPr>
                              <w:pStyle w:val="tekstzboku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30.09</w:t>
                            </w:r>
                            <w:r w:rsidRPr="006D7A45">
                              <w:rPr>
                                <w:b/>
                              </w:rPr>
                              <w:t>.2022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D7A45">
                              <w:rPr>
                                <w:b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5E293" id="_x0000_t202" coordsize="21600,21600" o:spt="202" path="m,l,21600r21600,l21600,xe">
                <v:stroke joinstyle="miter"/>
                <v:path gradientshapeok="t" o:connecttype="rect"/>
              </v:shapetype>
              <v:shape id="Pole tekstowe 78" o:spid="_x0000_s1026" type="#_x0000_t202" alt="Lorem ipsum dolor sit amet, consectetur adipiscing elit" style="position:absolute;margin-left:411.75pt;margin-top:.85pt;width:135.85pt;height:2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" filled="f" stroked="f">
                <v:textbox>
                  <w:txbxContent>
                    <w:p w14:paraId="5CE911B8" w14:textId="2A147513" w:rsidR="00D67684" w:rsidRPr="006D7A45" w:rsidRDefault="00D67684" w:rsidP="006D7A45">
                      <w:pPr>
                        <w:pStyle w:val="tekstzboku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30.09</w:t>
                      </w:r>
                      <w:r w:rsidRPr="006D7A45">
                        <w:rPr>
                          <w:b/>
                        </w:rPr>
                        <w:t>.2022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D7A45">
                        <w:rPr>
                          <w:b/>
                        </w:rPr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40C4" w:rsidRPr="00810A4A">
        <w:rPr>
          <w:shd w:val="clear" w:color="auto" w:fill="FFFFFF"/>
        </w:rPr>
        <w:t xml:space="preserve">Koniunktura w gospodarstwach rolnych </w:t>
      </w:r>
      <w:r w:rsidR="00A940C4" w:rsidRPr="00810A4A">
        <w:rPr>
          <w:shd w:val="clear" w:color="auto" w:fill="FFFFFF"/>
        </w:rPr>
        <w:br/>
        <w:t xml:space="preserve">w </w:t>
      </w:r>
      <w:r w:rsidR="0009565E">
        <w:rPr>
          <w:shd w:val="clear" w:color="auto" w:fill="FFFFFF"/>
        </w:rPr>
        <w:t>I półroczu 2022</w:t>
      </w:r>
      <w:r w:rsidR="00A940C4" w:rsidRPr="00810A4A">
        <w:rPr>
          <w:shd w:val="clear" w:color="auto" w:fill="FFFFFF"/>
        </w:rPr>
        <w:t xml:space="preserve"> r. </w:t>
      </w:r>
    </w:p>
    <w:p w14:paraId="5FBB4FF5" w14:textId="0D864BA5" w:rsidR="00A940C4" w:rsidRPr="00BE1B76" w:rsidRDefault="00D67684" w:rsidP="00350C3A">
      <w:pPr>
        <w:pStyle w:val="Lead"/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7EC8E6E">
                <wp:simplePos x="0" y="0"/>
                <wp:positionH relativeFrom="column">
                  <wp:posOffset>5229225</wp:posOffset>
                </wp:positionH>
                <wp:positionV relativeFrom="paragraph">
                  <wp:posOffset>1167130</wp:posOffset>
                </wp:positionV>
                <wp:extent cx="1801495" cy="1076325"/>
                <wp:effectExtent l="0" t="0" r="0" b="0"/>
                <wp:wrapTight wrapText="bothSides">
                  <wp:wrapPolygon edited="0">
                    <wp:start x="685" y="0"/>
                    <wp:lineTo x="685" y="21027"/>
                    <wp:lineTo x="20785" y="21027"/>
                    <wp:lineTo x="20785" y="0"/>
                    <wp:lineTo x="68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0FD0767" w:rsidR="00D67684" w:rsidRPr="00BA372A" w:rsidRDefault="00D67684" w:rsidP="005F45EE">
                            <w:pPr>
                              <w:pStyle w:val="tekstzboku"/>
                            </w:pPr>
                            <w:r>
                              <w:t>Pesymistycznie koniunkturę w gospodarstwach rolnych ocenili rolnicy prowadzący gospodarstwa specjalizujące się w produkcji roślinnej.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Pole tekstowe 2" o:spid="_x0000_s1027" type="#_x0000_t202" alt="Lorem ipsum dolor sit amet, consectetur adipiscing elit" style="position:absolute;margin-left:411.75pt;margin-top:91.9pt;width:141.85pt;height:84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" filled="f" stroked="f">
                <v:textbox>
                  <w:txbxContent>
                    <w:p w14:paraId="66113316" w14:textId="70FD0767" w:rsidR="00D67684" w:rsidRPr="00BA372A" w:rsidRDefault="00D67684" w:rsidP="005F45EE">
                      <w:pPr>
                        <w:pStyle w:val="tekstzboku"/>
                      </w:pPr>
                      <w:r>
                        <w:t>Pesymistycznie koniunkturę w gospodarstwach rolnych ocenili rolnicy prowadzący gospodarstwa specjalizujące się w produkcji roślinnej.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4F818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50,3 %&#10;Odsetek gospodarstw rolnych, w których ogólna sytuacja pogorszyła się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8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50B9D5E" w:rsidR="00D67684" w:rsidRPr="007D605C" w:rsidRDefault="00D6768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50,3 %</w:t>
                            </w:r>
                          </w:p>
                          <w:p w14:paraId="63B3F253" w14:textId="6A9FAD55" w:rsidR="00D67684" w:rsidRPr="007D605C" w:rsidRDefault="00D6768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Odsetek gospodarstw rolnych, w których ogólna sytuacja</w:t>
                            </w:r>
                            <w:r>
                              <w:br/>
                              <w:t>pogorszyła się.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8" alt="50,3 %&#10;Odsetek gospodarstw rolnych, w których ogólna sytuacja pogorszyła się.&#10;" style="position:absolute;margin-left:0;margin-top:3.6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" fillcolor="#001d77" stroked="f">
                <v:stroke joinstyle="miter"/>
                <v:textbox>
                  <w:txbxContent>
                    <w:p w14:paraId="30951E30" w14:textId="250B9D5E" w:rsidR="00D67684" w:rsidRPr="007D605C" w:rsidRDefault="00D6768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50,3 %</w:t>
                      </w:r>
                    </w:p>
                    <w:p w14:paraId="63B3F253" w14:textId="6A9FAD55" w:rsidR="00D67684" w:rsidRPr="007D605C" w:rsidRDefault="00D6768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Odsetek gospodarstw rolnych, w których ogólna sytuacja</w:t>
                      </w:r>
                      <w:r>
                        <w:br/>
                        <w:t>pogorszyła się.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40C4" w:rsidRPr="003326B7">
        <w:rPr>
          <w:szCs w:val="24"/>
        </w:rPr>
        <w:t>W ocenie rolnik</w:t>
      </w:r>
      <w:r>
        <w:rPr>
          <w:szCs w:val="24"/>
        </w:rPr>
        <w:t>ów zmiany jakie miały miejsce w II </w:t>
      </w:r>
      <w:r w:rsidR="00A940C4">
        <w:rPr>
          <w:szCs w:val="24"/>
        </w:rPr>
        <w:t>półroczu 2021</w:t>
      </w:r>
      <w:r w:rsidR="00A940C4" w:rsidRPr="003326B7">
        <w:rPr>
          <w:szCs w:val="24"/>
        </w:rPr>
        <w:t xml:space="preserve"> r., jak i bieżąca (</w:t>
      </w:r>
      <w:r w:rsidR="0045322B">
        <w:rPr>
          <w:szCs w:val="24"/>
        </w:rPr>
        <w:t>czerwiec 2022</w:t>
      </w:r>
      <w:r w:rsidR="00A940C4" w:rsidRPr="00D50A92">
        <w:rPr>
          <w:szCs w:val="24"/>
        </w:rPr>
        <w:t> r.)</w:t>
      </w:r>
      <w:r w:rsidR="00A940C4" w:rsidRPr="003326B7">
        <w:rPr>
          <w:szCs w:val="24"/>
        </w:rPr>
        <w:t xml:space="preserve"> koniunktura w użytkowanych przez nich gospodarstwach rolnych kształtowały się niekorzystnie. </w:t>
      </w:r>
      <w:r w:rsidR="00DA2CC2">
        <w:rPr>
          <w:szCs w:val="24"/>
        </w:rPr>
        <w:t xml:space="preserve">Równie </w:t>
      </w:r>
      <w:r w:rsidR="001D0BDA">
        <w:rPr>
          <w:szCs w:val="24"/>
        </w:rPr>
        <w:t>p</w:t>
      </w:r>
      <w:r w:rsidR="00A940C4" w:rsidRPr="003326B7">
        <w:rPr>
          <w:szCs w:val="24"/>
        </w:rPr>
        <w:t xml:space="preserve">esymistyczne były prognozy na </w:t>
      </w:r>
      <w:r w:rsidR="00A940C4">
        <w:rPr>
          <w:szCs w:val="24"/>
        </w:rPr>
        <w:t>I</w:t>
      </w:r>
      <w:r w:rsidR="00E96269">
        <w:rPr>
          <w:szCs w:val="24"/>
        </w:rPr>
        <w:t>I</w:t>
      </w:r>
      <w:r w:rsidR="00A940C4" w:rsidRPr="003326B7">
        <w:rPr>
          <w:szCs w:val="24"/>
        </w:rPr>
        <w:t xml:space="preserve"> </w:t>
      </w:r>
      <w:r w:rsidR="00A940C4">
        <w:rPr>
          <w:szCs w:val="24"/>
        </w:rPr>
        <w:t>półrocze 2022</w:t>
      </w:r>
      <w:r w:rsidR="00A940C4" w:rsidRPr="003326B7">
        <w:rPr>
          <w:szCs w:val="24"/>
        </w:rPr>
        <w:t xml:space="preserve"> r.</w:t>
      </w:r>
      <w:r w:rsidR="00BE1B76">
        <w:rPr>
          <w:szCs w:val="24"/>
        </w:rPr>
        <w:br/>
      </w:r>
      <w:r w:rsidR="00BE1B76">
        <w:rPr>
          <w:szCs w:val="24"/>
        </w:rPr>
        <w:br/>
      </w:r>
    </w:p>
    <w:p w14:paraId="4C1EE295" w14:textId="0629D2BD" w:rsidR="00BE1B76" w:rsidRDefault="00BE1B76" w:rsidP="00BE1B76">
      <w:pPr>
        <w:keepNext/>
        <w:jc w:val="both"/>
        <w:outlineLvl w:val="0"/>
        <w:rPr>
          <w:rFonts w:eastAsia="Calibri" w:cs="Times New Roman"/>
          <w:bCs/>
          <w:szCs w:val="19"/>
          <w:lang w:eastAsia="pl-PL"/>
        </w:rPr>
      </w:pPr>
      <w:r w:rsidRPr="00BE1B76">
        <w:rPr>
          <w:rFonts w:eastAsia="Times New Roman" w:cs="Times New Roman"/>
          <w:bCs/>
          <w:szCs w:val="19"/>
          <w:lang w:eastAsia="pl-PL"/>
        </w:rPr>
        <w:t xml:space="preserve">Ogólnie pesymistyczne opinie rolników dotyczące koniunktury w gospodarstwach rolnych różniły się w zależności od </w:t>
      </w:r>
      <w:r w:rsidRPr="00BE1B76">
        <w:rPr>
          <w:rFonts w:eastAsia="Calibri" w:cs="Times New Roman"/>
          <w:bCs/>
          <w:szCs w:val="19"/>
          <w:lang w:eastAsia="pl-PL"/>
        </w:rPr>
        <w:t>formy prawnej gospodarstwa rolnego, powierzchni użytków rolnych, ukierunkowania produkcyjnego gospodarstw rolnych, rodzaju prowadzonych upraw i gatunków/grup użytkowych utrzymywanych zwierząt gospodarskich, a także od wieku i wykształcenia osoby kierującej gospodarstwem rolnym.</w:t>
      </w:r>
    </w:p>
    <w:p w14:paraId="60D150D8" w14:textId="77777777" w:rsidR="00BE1B76" w:rsidRPr="00A36B9D" w:rsidRDefault="00BE1B76" w:rsidP="00660841">
      <w:pPr>
        <w:spacing w:line="288" w:lineRule="auto"/>
        <w:jc w:val="both"/>
        <w:rPr>
          <w:rFonts w:eastAsia="Calibri"/>
          <w:szCs w:val="19"/>
        </w:rPr>
      </w:pPr>
      <w:r>
        <w:rPr>
          <w:rFonts w:eastAsia="Calibri"/>
          <w:szCs w:val="19"/>
        </w:rPr>
        <w:t>Analiza sald odpowiedzi wykazuje</w:t>
      </w:r>
      <w:r w:rsidRPr="00A36B9D">
        <w:rPr>
          <w:rFonts w:eastAsia="Calibri"/>
          <w:szCs w:val="19"/>
        </w:rPr>
        <w:t xml:space="preserve">, że: </w:t>
      </w:r>
    </w:p>
    <w:p w14:paraId="6F405938" w14:textId="1DD80FA9" w:rsidR="00BE1B76" w:rsidRPr="00660841" w:rsidRDefault="00BE1B76" w:rsidP="00660841">
      <w:pPr>
        <w:pStyle w:val="Akapitzlist"/>
        <w:numPr>
          <w:ilvl w:val="0"/>
          <w:numId w:val="8"/>
        </w:numPr>
        <w:tabs>
          <w:tab w:val="left" w:pos="426"/>
        </w:tabs>
        <w:spacing w:after="0" w:line="276" w:lineRule="auto"/>
        <w:ind w:left="425" w:hanging="425"/>
        <w:contextualSpacing w:val="0"/>
        <w:jc w:val="both"/>
        <w:rPr>
          <w:szCs w:val="19"/>
        </w:rPr>
      </w:pPr>
      <w:r w:rsidRPr="00A36B9D">
        <w:rPr>
          <w:szCs w:val="19"/>
        </w:rPr>
        <w:t xml:space="preserve">osoby kierujące gospodarstwami </w:t>
      </w:r>
      <w:r>
        <w:rPr>
          <w:szCs w:val="19"/>
        </w:rPr>
        <w:t xml:space="preserve">indywidualnymi </w:t>
      </w:r>
      <w:r w:rsidRPr="00A36B9D">
        <w:rPr>
          <w:szCs w:val="19"/>
        </w:rPr>
        <w:t>były bardziej pesymistyczne w ocenie zmian jakie zaszły w I</w:t>
      </w:r>
      <w:r>
        <w:rPr>
          <w:szCs w:val="19"/>
        </w:rPr>
        <w:t xml:space="preserve"> </w:t>
      </w:r>
      <w:r w:rsidRPr="00A36B9D">
        <w:rPr>
          <w:szCs w:val="19"/>
        </w:rPr>
        <w:t>półroczu 202</w:t>
      </w:r>
      <w:r w:rsidR="001D0BDA">
        <w:rPr>
          <w:szCs w:val="19"/>
        </w:rPr>
        <w:t>2</w:t>
      </w:r>
      <w:r w:rsidRPr="00A36B9D">
        <w:rPr>
          <w:szCs w:val="19"/>
        </w:rPr>
        <w:t xml:space="preserve"> r.</w:t>
      </w:r>
      <w:r>
        <w:rPr>
          <w:szCs w:val="19"/>
        </w:rPr>
        <w:t>,</w:t>
      </w:r>
      <w:r w:rsidRPr="00A36B9D">
        <w:rPr>
          <w:szCs w:val="19"/>
        </w:rPr>
        <w:t xml:space="preserve"> jak i z wi</w:t>
      </w:r>
      <w:r>
        <w:rPr>
          <w:szCs w:val="19"/>
        </w:rPr>
        <w:t>ększym pesymizmem patrzyły na I</w:t>
      </w:r>
      <w:r w:rsidR="001D0BDA">
        <w:rPr>
          <w:szCs w:val="19"/>
        </w:rPr>
        <w:t>I</w:t>
      </w:r>
      <w:r>
        <w:rPr>
          <w:szCs w:val="19"/>
        </w:rPr>
        <w:t> </w:t>
      </w:r>
      <w:r w:rsidRPr="00A36B9D">
        <w:rPr>
          <w:szCs w:val="19"/>
        </w:rPr>
        <w:t>półrocze</w:t>
      </w:r>
      <w:r>
        <w:rPr>
          <w:szCs w:val="19"/>
        </w:rPr>
        <w:t> 2022</w:t>
      </w:r>
      <w:r w:rsidRPr="00A36B9D">
        <w:rPr>
          <w:szCs w:val="19"/>
        </w:rPr>
        <w:t xml:space="preserve"> </w:t>
      </w:r>
      <w:r>
        <w:rPr>
          <w:szCs w:val="19"/>
        </w:rPr>
        <w:t xml:space="preserve">r. </w:t>
      </w:r>
      <w:r w:rsidRPr="00A36B9D">
        <w:rPr>
          <w:szCs w:val="19"/>
        </w:rPr>
        <w:t xml:space="preserve">niż użytkownicy gospodarstw </w:t>
      </w:r>
      <w:r>
        <w:rPr>
          <w:szCs w:val="19"/>
        </w:rPr>
        <w:t>osób prawnych i niemających osobowości prawnej,</w:t>
      </w:r>
    </w:p>
    <w:p w14:paraId="5F987170" w14:textId="1D6867C9" w:rsidR="00BE1B76" w:rsidRPr="00660841" w:rsidRDefault="00BE1B76" w:rsidP="000C3594">
      <w:pPr>
        <w:pStyle w:val="Akapitzlist"/>
        <w:numPr>
          <w:ilvl w:val="0"/>
          <w:numId w:val="8"/>
        </w:numPr>
        <w:tabs>
          <w:tab w:val="left" w:pos="426"/>
        </w:tabs>
        <w:spacing w:after="0" w:line="276" w:lineRule="auto"/>
        <w:ind w:left="425" w:hanging="425"/>
        <w:contextualSpacing w:val="0"/>
        <w:rPr>
          <w:szCs w:val="19"/>
        </w:rPr>
      </w:pPr>
      <w:r w:rsidRPr="00A36B9D">
        <w:rPr>
          <w:szCs w:val="19"/>
        </w:rPr>
        <w:t xml:space="preserve">gospodarstwa specjalizujące się w produkcji </w:t>
      </w:r>
      <w:r w:rsidR="001D0BDA">
        <w:rPr>
          <w:szCs w:val="19"/>
        </w:rPr>
        <w:t>zwierzęcej</w:t>
      </w:r>
      <w:r w:rsidRPr="00A36B9D">
        <w:rPr>
          <w:szCs w:val="19"/>
        </w:rPr>
        <w:t xml:space="preserve"> korzystniej oceniały koniunkturę niż użytkownicy gospodarstw </w:t>
      </w:r>
      <w:r w:rsidR="001D0BDA">
        <w:rPr>
          <w:szCs w:val="19"/>
        </w:rPr>
        <w:t>wielokierunkowych</w:t>
      </w:r>
      <w:r>
        <w:rPr>
          <w:szCs w:val="19"/>
        </w:rPr>
        <w:t>. Najwięcej n</w:t>
      </w:r>
      <w:r w:rsidRPr="00A36B9D">
        <w:rPr>
          <w:szCs w:val="19"/>
        </w:rPr>
        <w:t>egatywnych opinii wyrażali użytkownicy gospodarstw</w:t>
      </w:r>
      <w:r>
        <w:rPr>
          <w:szCs w:val="19"/>
        </w:rPr>
        <w:t xml:space="preserve"> indywidualnych</w:t>
      </w:r>
      <w:r w:rsidRPr="00A36B9D">
        <w:rPr>
          <w:szCs w:val="19"/>
        </w:rPr>
        <w:t xml:space="preserve"> </w:t>
      </w:r>
      <w:r w:rsidR="001D0BDA">
        <w:rPr>
          <w:szCs w:val="19"/>
        </w:rPr>
        <w:t>ukierunkowanych na produkcję roślinną</w:t>
      </w:r>
      <w:r>
        <w:rPr>
          <w:szCs w:val="19"/>
        </w:rPr>
        <w:t>,</w:t>
      </w:r>
    </w:p>
    <w:p w14:paraId="4536B265" w14:textId="1C75AC51" w:rsidR="00BE1B76" w:rsidRPr="000C3594" w:rsidRDefault="002D6A2F" w:rsidP="000C3594">
      <w:pPr>
        <w:pStyle w:val="Akapitzlist"/>
        <w:numPr>
          <w:ilvl w:val="0"/>
          <w:numId w:val="8"/>
        </w:numPr>
        <w:tabs>
          <w:tab w:val="left" w:pos="426"/>
        </w:tabs>
        <w:spacing w:after="0" w:line="276" w:lineRule="auto"/>
        <w:ind w:left="425" w:hanging="425"/>
        <w:contextualSpacing w:val="0"/>
        <w:rPr>
          <w:szCs w:val="19"/>
        </w:rPr>
      </w:pPr>
      <w:r>
        <w:rPr>
          <w:szCs w:val="19"/>
        </w:rPr>
        <w:t>najbardziej</w:t>
      </w:r>
      <w:r w:rsidR="00BE1B76" w:rsidRPr="00A36B9D">
        <w:rPr>
          <w:szCs w:val="19"/>
        </w:rPr>
        <w:t xml:space="preserve"> pesymistyczni w swoich ocenach byli użytkownicy gospodarstw rolnych o powierzchni </w:t>
      </w:r>
      <w:r w:rsidR="001D0BDA">
        <w:rPr>
          <w:szCs w:val="19"/>
        </w:rPr>
        <w:t xml:space="preserve">od 1 do 5 </w:t>
      </w:r>
      <w:r w:rsidR="00BE1B76" w:rsidRPr="00A36B9D">
        <w:rPr>
          <w:szCs w:val="19"/>
        </w:rPr>
        <w:t>ha użytków rolnych</w:t>
      </w:r>
      <w:r w:rsidR="001D0BDA">
        <w:rPr>
          <w:szCs w:val="19"/>
        </w:rPr>
        <w:t>,</w:t>
      </w:r>
    </w:p>
    <w:p w14:paraId="0829A6C9" w14:textId="784DBA37" w:rsidR="00BE1B76" w:rsidRPr="003472E7" w:rsidRDefault="00BE1B76" w:rsidP="0001009C">
      <w:pPr>
        <w:pStyle w:val="Akapitzlist"/>
        <w:numPr>
          <w:ilvl w:val="0"/>
          <w:numId w:val="8"/>
        </w:numPr>
        <w:tabs>
          <w:tab w:val="left" w:pos="426"/>
        </w:tabs>
        <w:spacing w:line="269" w:lineRule="auto"/>
        <w:ind w:left="425" w:hanging="425"/>
        <w:contextualSpacing w:val="0"/>
        <w:rPr>
          <w:szCs w:val="19"/>
        </w:rPr>
      </w:pPr>
      <w:r w:rsidRPr="00A36B9D">
        <w:rPr>
          <w:szCs w:val="19"/>
        </w:rPr>
        <w:t xml:space="preserve">najwięcej </w:t>
      </w:r>
      <w:r w:rsidR="00DA2CC2">
        <w:rPr>
          <w:szCs w:val="19"/>
        </w:rPr>
        <w:t>pesymistycznych</w:t>
      </w:r>
      <w:r w:rsidRPr="00A36B9D">
        <w:rPr>
          <w:szCs w:val="19"/>
        </w:rPr>
        <w:t xml:space="preserve"> opinii wyrażali rolnicy w wieku </w:t>
      </w:r>
      <w:r w:rsidR="00DA2CC2">
        <w:rPr>
          <w:szCs w:val="19"/>
        </w:rPr>
        <w:t>powyżej 35 roku życia</w:t>
      </w:r>
      <w:r w:rsidRPr="00A36B9D">
        <w:rPr>
          <w:szCs w:val="19"/>
        </w:rPr>
        <w:t xml:space="preserve">, z </w:t>
      </w:r>
      <w:r w:rsidR="001D0BDA">
        <w:rPr>
          <w:szCs w:val="19"/>
        </w:rPr>
        <w:t>policealnym</w:t>
      </w:r>
      <w:r>
        <w:rPr>
          <w:szCs w:val="19"/>
        </w:rPr>
        <w:t xml:space="preserve"> </w:t>
      </w:r>
      <w:r w:rsidRPr="00A36B9D">
        <w:rPr>
          <w:szCs w:val="19"/>
        </w:rPr>
        <w:t xml:space="preserve">wykształceniem </w:t>
      </w:r>
      <w:r>
        <w:rPr>
          <w:szCs w:val="19"/>
        </w:rPr>
        <w:t>rolniczym</w:t>
      </w:r>
      <w:r w:rsidRPr="00A36B9D">
        <w:rPr>
          <w:szCs w:val="19"/>
        </w:rPr>
        <w:t xml:space="preserve"> oraz osoby prowadzące gospodarstwo rolne w okresie </w:t>
      </w:r>
      <w:r w:rsidR="00DA2CC2">
        <w:rPr>
          <w:szCs w:val="19"/>
        </w:rPr>
        <w:t>dłuższym</w:t>
      </w:r>
      <w:r w:rsidR="001D0BDA">
        <w:rPr>
          <w:szCs w:val="19"/>
        </w:rPr>
        <w:t xml:space="preserve"> niż </w:t>
      </w:r>
      <w:r w:rsidR="00DA2CC2">
        <w:rPr>
          <w:szCs w:val="19"/>
        </w:rPr>
        <w:t>20 lat</w:t>
      </w:r>
      <w:r w:rsidR="001D0BDA">
        <w:rPr>
          <w:szCs w:val="19"/>
        </w:rPr>
        <w:t>.</w:t>
      </w:r>
    </w:p>
    <w:p w14:paraId="3559E944" w14:textId="4C9DCE99" w:rsidR="00BE1B76" w:rsidRPr="00A36B9D" w:rsidRDefault="00080174" w:rsidP="001430A2">
      <w:pPr>
        <w:pStyle w:val="tytuwykresu"/>
        <w:spacing w:before="360" w:line="240" w:lineRule="auto"/>
        <w:outlineLvl w:val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55872" behindDoc="1" locked="0" layoutInCell="1" allowOverlap="1" wp14:anchorId="3084807C" wp14:editId="1FD1D45C">
            <wp:simplePos x="0" y="0"/>
            <wp:positionH relativeFrom="margin">
              <wp:align>right</wp:align>
            </wp:positionH>
            <wp:positionV relativeFrom="paragraph">
              <wp:posOffset>518795</wp:posOffset>
            </wp:positionV>
            <wp:extent cx="51054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ight>
            <wp:docPr id="13" name="Wykres 13" descr="Wykres 1. Salda odpowiedzi dla bieżącej (VI 2022 r.) i prognozowanej (II półrocze 2022 r.) ogólnej sytuacji gospodarstw rolnych według grup obszarowych użytków rolny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  <w:r w:rsidR="00BE1B76" w:rsidRPr="00A36B9D">
        <w:t xml:space="preserve">Wykres 1. </w:t>
      </w:r>
      <w:r w:rsidR="00BE1B76" w:rsidRPr="00A36B9D">
        <w:rPr>
          <w:shd w:val="clear" w:color="auto" w:fill="FFFFFF"/>
        </w:rPr>
        <w:t>Sa</w:t>
      </w:r>
      <w:r w:rsidR="00B942EB">
        <w:rPr>
          <w:shd w:val="clear" w:color="auto" w:fill="FFFFFF"/>
        </w:rPr>
        <w:t>lda odpowiedzi dla bieżącej (VI</w:t>
      </w:r>
      <w:r w:rsidR="00BE1B76" w:rsidRPr="00A36B9D">
        <w:rPr>
          <w:shd w:val="clear" w:color="auto" w:fill="FFFFFF"/>
        </w:rPr>
        <w:t xml:space="preserve"> 202</w:t>
      </w:r>
      <w:r w:rsidR="00B942EB">
        <w:rPr>
          <w:shd w:val="clear" w:color="auto" w:fill="FFFFFF"/>
        </w:rPr>
        <w:t>2</w:t>
      </w:r>
      <w:r w:rsidR="00BE1B76" w:rsidRPr="00A36B9D">
        <w:rPr>
          <w:shd w:val="clear" w:color="auto" w:fill="FFFFFF"/>
        </w:rPr>
        <w:t xml:space="preserve"> r.) i prognozowanej (I</w:t>
      </w:r>
      <w:r w:rsidR="00B942EB">
        <w:rPr>
          <w:shd w:val="clear" w:color="auto" w:fill="FFFFFF"/>
        </w:rPr>
        <w:t xml:space="preserve">I </w:t>
      </w:r>
      <w:r w:rsidR="00BE1B76">
        <w:rPr>
          <w:shd w:val="clear" w:color="auto" w:fill="FFFFFF"/>
        </w:rPr>
        <w:t>półrocze 2022</w:t>
      </w:r>
      <w:r w:rsidR="00BE1B76" w:rsidRPr="00A36B9D">
        <w:rPr>
          <w:shd w:val="clear" w:color="auto" w:fill="FFFFFF"/>
        </w:rPr>
        <w:t xml:space="preserve"> r.) ogólnej sytuacji gospodarstw rolnych według grup obszarowych użytków rolnych</w:t>
      </w:r>
    </w:p>
    <w:p w14:paraId="327B1106" w14:textId="6DC3F484" w:rsidR="003472E7" w:rsidRPr="003472E7" w:rsidRDefault="00190C35" w:rsidP="001430A2">
      <w:pPr>
        <w:pStyle w:val="tytuwykresu"/>
        <w:spacing w:before="360" w:line="240" w:lineRule="auto"/>
        <w:outlineLvl w:val="0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56896" behindDoc="1" locked="0" layoutInCell="1" allowOverlap="1" wp14:anchorId="3040546C" wp14:editId="5471763D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5133975" cy="2280285"/>
            <wp:effectExtent l="0" t="0" r="0" b="5715"/>
            <wp:wrapTight wrapText="bothSides">
              <wp:wrapPolygon edited="0">
                <wp:start x="0" y="0"/>
                <wp:lineTo x="0" y="21474"/>
                <wp:lineTo x="21480" y="21474"/>
                <wp:lineTo x="21480" y="0"/>
                <wp:lineTo x="0" y="0"/>
              </wp:wrapPolygon>
            </wp:wrapTight>
            <wp:docPr id="14" name="Wykres 14" descr="Wykres 2. Salda odpowiedzi dla bieżącej (VI 2022 r.) i prognozowanej (II półrocze 2022 r.) ogólnej &#10;sytuacji gospodarstw rolnych według wieku osoby kierującej gospodarstwem rolny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0A43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AD4D985" wp14:editId="691EA472">
                <wp:simplePos x="0" y="0"/>
                <wp:positionH relativeFrom="page">
                  <wp:align>right</wp:align>
                </wp:positionH>
                <wp:positionV relativeFrom="paragraph">
                  <wp:posOffset>-434340</wp:posOffset>
                </wp:positionV>
                <wp:extent cx="1872000" cy="23468330"/>
                <wp:effectExtent l="0" t="0" r="0" b="127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6E2FA" id="Prostokąt 44" o:spid="_x0000_s1026" style="position:absolute;margin-left:96.2pt;margin-top:-34.2pt;width:147.4pt;height:1847.9pt;z-index:-251527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" fillcolor="#f2f2f2" stroked="f" strokeweight="1pt">
                <w10:wrap anchorx="page"/>
              </v:rect>
            </w:pict>
          </mc:Fallback>
        </mc:AlternateContent>
      </w:r>
      <w:r w:rsidR="00BE1B76" w:rsidRPr="00A36B9D">
        <w:t>Wykres 2.</w:t>
      </w:r>
      <w:r w:rsidR="00BE1B76" w:rsidRPr="00A36B9D">
        <w:rPr>
          <w:shd w:val="clear" w:color="auto" w:fill="FFFFFF"/>
        </w:rPr>
        <w:t xml:space="preserve"> Salda </w:t>
      </w:r>
      <w:r>
        <w:rPr>
          <w:shd w:val="clear" w:color="auto" w:fill="FFFFFF"/>
        </w:rPr>
        <w:t>odpowiedzi dla bieżącej (VI</w:t>
      </w:r>
      <w:r w:rsidR="00BE1B76">
        <w:rPr>
          <w:shd w:val="clear" w:color="auto" w:fill="FFFFFF"/>
        </w:rPr>
        <w:t xml:space="preserve"> </w:t>
      </w:r>
      <w:r w:rsidR="00BE1B76" w:rsidRPr="00A36B9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="00BE1B76" w:rsidRPr="00A36B9D">
        <w:rPr>
          <w:shd w:val="clear" w:color="auto" w:fill="FFFFFF"/>
        </w:rPr>
        <w:t xml:space="preserve"> r.) i prognozowanej (</w:t>
      </w:r>
      <w:r w:rsidR="00BE1B76">
        <w:rPr>
          <w:shd w:val="clear" w:color="auto" w:fill="FFFFFF"/>
        </w:rPr>
        <w:t>I</w:t>
      </w:r>
      <w:r>
        <w:rPr>
          <w:shd w:val="clear" w:color="auto" w:fill="FFFFFF"/>
        </w:rPr>
        <w:t>I</w:t>
      </w:r>
      <w:r w:rsidR="00BE1B76" w:rsidRPr="00A36B9D">
        <w:rPr>
          <w:shd w:val="clear" w:color="auto" w:fill="FFFFFF"/>
        </w:rPr>
        <w:t xml:space="preserve"> półrocze 202</w:t>
      </w:r>
      <w:r w:rsidR="00BE1B76">
        <w:rPr>
          <w:shd w:val="clear" w:color="auto" w:fill="FFFFFF"/>
        </w:rPr>
        <w:t>2</w:t>
      </w:r>
      <w:r w:rsidR="00BE1B76" w:rsidRPr="00A36B9D">
        <w:rPr>
          <w:shd w:val="clear" w:color="auto" w:fill="FFFFFF"/>
        </w:rPr>
        <w:t xml:space="preserve"> r.) ogólnej </w:t>
      </w:r>
      <w:r w:rsidR="0007789A">
        <w:rPr>
          <w:shd w:val="clear" w:color="auto" w:fill="FFFFFF"/>
        </w:rPr>
        <w:br/>
      </w:r>
      <w:r w:rsidR="00BE1B76" w:rsidRPr="00A36B9D">
        <w:rPr>
          <w:shd w:val="clear" w:color="auto" w:fill="FFFFFF"/>
        </w:rPr>
        <w:t>sytuacji gospodarstw rolnych według wieku osoby kierującej gospodarstwem rolnym</w:t>
      </w:r>
    </w:p>
    <w:p w14:paraId="217E980D" w14:textId="0169C8D5" w:rsidR="00660841" w:rsidRPr="00660841" w:rsidRDefault="003472E7" w:rsidP="00660841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71A0FDF" wp14:editId="58768E86">
                <wp:simplePos x="0" y="0"/>
                <wp:positionH relativeFrom="rightMargin">
                  <wp:posOffset>135255</wp:posOffset>
                </wp:positionH>
                <wp:positionV relativeFrom="paragraph">
                  <wp:posOffset>2602230</wp:posOffset>
                </wp:positionV>
                <wp:extent cx="1828800" cy="1181100"/>
                <wp:effectExtent l="0" t="0" r="0" b="0"/>
                <wp:wrapTight wrapText="bothSides">
                  <wp:wrapPolygon edited="0">
                    <wp:start x="675" y="0"/>
                    <wp:lineTo x="675" y="21252"/>
                    <wp:lineTo x="20700" y="21252"/>
                    <wp:lineTo x="20700" y="0"/>
                    <wp:lineTo x="675" y="0"/>
                  </wp:wrapPolygon>
                </wp:wrapTight>
                <wp:docPr id="18" name="Pole tekstowe 18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A428B" w14:textId="12444C09" w:rsidR="00D67684" w:rsidRPr="00332E9B" w:rsidRDefault="00D67684" w:rsidP="003472E7">
                            <w:pPr>
                              <w:pStyle w:val="tekstzboku"/>
                            </w:pPr>
                            <w:r>
                              <w:t>W odniesieniu do poprzednich edycji badań, koniunktura</w:t>
                            </w:r>
                            <w:r w:rsidRPr="00332E9B">
                              <w:t xml:space="preserve"> w</w:t>
                            </w:r>
                            <w:r>
                              <w:t xml:space="preserve"> gospodarstwach rolnych w II półroczu 2021 r. oceniana jest bardziej negatywnie. </w:t>
                            </w:r>
                          </w:p>
                          <w:p w14:paraId="76B729D0" w14:textId="77777777" w:rsidR="00D67684" w:rsidRPr="00E95B8E" w:rsidRDefault="00D67684" w:rsidP="00BE1B7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0FDF" id="Pole tekstowe 18" o:spid="_x0000_s1029" type="#_x0000_t202" alt="Lorem ipsum dolor sit amet, consectetur adipiscing elit" style="position:absolute;margin-left:10.65pt;margin-top:204.9pt;width:2in;height:93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" filled="f" stroked="f">
                <v:textbox>
                  <w:txbxContent>
                    <w:p w14:paraId="374A428B" w14:textId="12444C09" w:rsidR="00D67684" w:rsidRPr="00332E9B" w:rsidRDefault="00D67684" w:rsidP="003472E7">
                      <w:pPr>
                        <w:pStyle w:val="tekstzboku"/>
                      </w:pPr>
                      <w:r>
                        <w:t>W odniesieniu do poprzednich edycji badań, koniunktura</w:t>
                      </w:r>
                      <w:r w:rsidRPr="00332E9B">
                        <w:t xml:space="preserve"> w</w:t>
                      </w:r>
                      <w:r>
                        <w:t xml:space="preserve"> gospodarstwach rolnych w II półroczu 2021 r. oceniana jest bardziej negatywnie. </w:t>
                      </w:r>
                    </w:p>
                    <w:p w14:paraId="76B729D0" w14:textId="77777777" w:rsidR="00D67684" w:rsidRPr="00E95B8E" w:rsidRDefault="00D67684" w:rsidP="00BE1B76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37B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Zmiany w koniunkturze w I półroczu 2022</w:t>
      </w:r>
      <w:r w:rsidR="00660841" w:rsidRPr="00660841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r. </w:t>
      </w:r>
    </w:p>
    <w:p w14:paraId="109BFB6C" w14:textId="57C3C8A9" w:rsidR="00660841" w:rsidRPr="00660841" w:rsidRDefault="00660841" w:rsidP="003472E7">
      <w:r w:rsidRPr="00660841">
        <w:rPr>
          <w:szCs w:val="19"/>
        </w:rPr>
        <w:t xml:space="preserve">W </w:t>
      </w:r>
      <w:r w:rsidR="001D0BDA">
        <w:rPr>
          <w:szCs w:val="19"/>
        </w:rPr>
        <w:t>I półroczu 2022</w:t>
      </w:r>
      <w:r w:rsidRPr="00660841">
        <w:rPr>
          <w:szCs w:val="19"/>
        </w:rPr>
        <w:t xml:space="preserve"> r</w:t>
      </w:r>
      <w:r w:rsidR="00F46517">
        <w:rPr>
          <w:szCs w:val="19"/>
        </w:rPr>
        <w:t>.</w:t>
      </w:r>
      <w:r w:rsidR="001D0BDA">
        <w:rPr>
          <w:szCs w:val="19"/>
        </w:rPr>
        <w:t xml:space="preserve"> ocena</w:t>
      </w:r>
      <w:r w:rsidR="001D0BDA" w:rsidRPr="00660841">
        <w:rPr>
          <w:szCs w:val="19"/>
        </w:rPr>
        <w:t xml:space="preserve"> ogóln</w:t>
      </w:r>
      <w:r w:rsidR="001D0BDA">
        <w:rPr>
          <w:szCs w:val="19"/>
        </w:rPr>
        <w:t>ej</w:t>
      </w:r>
      <w:r w:rsidR="001D0BDA" w:rsidRPr="00660841">
        <w:rPr>
          <w:szCs w:val="19"/>
        </w:rPr>
        <w:t xml:space="preserve"> sytuacj</w:t>
      </w:r>
      <w:r w:rsidR="001D0BDA">
        <w:rPr>
          <w:szCs w:val="19"/>
        </w:rPr>
        <w:t>i</w:t>
      </w:r>
      <w:r w:rsidR="001D0BDA" w:rsidRPr="00660841">
        <w:rPr>
          <w:szCs w:val="19"/>
        </w:rPr>
        <w:t xml:space="preserve"> w gospodarstwach rolnych</w:t>
      </w:r>
      <w:r w:rsidR="001D0BDA">
        <w:rPr>
          <w:szCs w:val="19"/>
        </w:rPr>
        <w:t xml:space="preserve"> nie zmieniła się w porównaniu z </w:t>
      </w:r>
      <w:r w:rsidRPr="00660841">
        <w:rPr>
          <w:szCs w:val="19"/>
        </w:rPr>
        <w:t>poprzedn</w:t>
      </w:r>
      <w:r w:rsidR="001D0BDA">
        <w:rPr>
          <w:szCs w:val="19"/>
        </w:rPr>
        <w:t>ią</w:t>
      </w:r>
      <w:r w:rsidRPr="00660841">
        <w:rPr>
          <w:szCs w:val="19"/>
        </w:rPr>
        <w:t xml:space="preserve"> edycj</w:t>
      </w:r>
      <w:r w:rsidR="001D0BDA">
        <w:rPr>
          <w:szCs w:val="19"/>
        </w:rPr>
        <w:t>ą</w:t>
      </w:r>
      <w:r w:rsidRPr="00660841">
        <w:rPr>
          <w:szCs w:val="19"/>
        </w:rPr>
        <w:t xml:space="preserve"> badania, </w:t>
      </w:r>
      <w:r w:rsidR="001D0BDA">
        <w:rPr>
          <w:szCs w:val="19"/>
        </w:rPr>
        <w:t>zarówno</w:t>
      </w:r>
      <w:r w:rsidRPr="00660841">
        <w:rPr>
          <w:szCs w:val="19"/>
        </w:rPr>
        <w:t xml:space="preserve"> opłacalność produkcji rolniczej</w:t>
      </w:r>
      <w:r w:rsidR="001D0BDA">
        <w:rPr>
          <w:szCs w:val="19"/>
        </w:rPr>
        <w:t xml:space="preserve"> oraz</w:t>
      </w:r>
      <w:r w:rsidRPr="00660841">
        <w:rPr>
          <w:szCs w:val="19"/>
        </w:rPr>
        <w:t xml:space="preserve"> zapotrzebowanie na produkty rolne zostało ocenione</w:t>
      </w:r>
      <w:r w:rsidR="00BA372A">
        <w:rPr>
          <w:szCs w:val="19"/>
        </w:rPr>
        <w:t xml:space="preserve"> </w:t>
      </w:r>
      <w:r w:rsidR="001D0BDA">
        <w:rPr>
          <w:szCs w:val="19"/>
        </w:rPr>
        <w:t xml:space="preserve">tak samo negatywnie jak </w:t>
      </w:r>
      <w:r w:rsidR="00BA372A">
        <w:rPr>
          <w:szCs w:val="19"/>
        </w:rPr>
        <w:t>w I</w:t>
      </w:r>
      <w:r w:rsidR="002214CC">
        <w:rPr>
          <w:szCs w:val="19"/>
        </w:rPr>
        <w:t>I półro</w:t>
      </w:r>
      <w:r w:rsidR="00DA2CC2">
        <w:rPr>
          <w:szCs w:val="19"/>
        </w:rPr>
        <w:t>czu</w:t>
      </w:r>
      <w:r w:rsidR="002214CC">
        <w:rPr>
          <w:szCs w:val="19"/>
        </w:rPr>
        <w:t> </w:t>
      </w:r>
      <w:r w:rsidR="00DA2CC2">
        <w:rPr>
          <w:szCs w:val="19"/>
        </w:rPr>
        <w:t>2021</w:t>
      </w:r>
      <w:r w:rsidR="00BA372A">
        <w:rPr>
          <w:szCs w:val="19"/>
        </w:rPr>
        <w:t>r</w:t>
      </w:r>
      <w:r w:rsidRPr="00660841">
        <w:rPr>
          <w:szCs w:val="19"/>
        </w:rPr>
        <w:t>.</w:t>
      </w:r>
      <w:r w:rsidRPr="00660841">
        <w:t xml:space="preserve"> </w:t>
      </w:r>
      <w:r w:rsidR="001D0BDA">
        <w:t xml:space="preserve">W </w:t>
      </w:r>
      <w:r w:rsidR="00F46517">
        <w:t xml:space="preserve">czerwcu b.r. ,w </w:t>
      </w:r>
      <w:r w:rsidR="001D0BDA">
        <w:t>porównaniu z analogicznym</w:t>
      </w:r>
      <w:r w:rsidR="00F46517">
        <w:t xml:space="preserve"> okresem</w:t>
      </w:r>
      <w:r w:rsidR="001D0BDA">
        <w:t xml:space="preserve"> </w:t>
      </w:r>
      <w:r w:rsidR="002214CC">
        <w:t>ub.r.</w:t>
      </w:r>
      <w:r w:rsidR="00F46517">
        <w:t>,</w:t>
      </w:r>
      <w:r w:rsidR="001D0BDA">
        <w:t xml:space="preserve"> rolnicy znacznie bardziej negatywnie oceniali ogólną sytuację swoich gospodarstw.</w:t>
      </w:r>
    </w:p>
    <w:p w14:paraId="2B95A6DF" w14:textId="0D1EDF31" w:rsidR="00F46517" w:rsidRPr="00660841" w:rsidRDefault="00660841" w:rsidP="00F46517">
      <w:pPr>
        <w:spacing w:line="269" w:lineRule="auto"/>
        <w:rPr>
          <w:szCs w:val="19"/>
        </w:rPr>
      </w:pPr>
      <w:r w:rsidRPr="00660841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6E3553F" wp14:editId="3697084C">
                <wp:simplePos x="0" y="0"/>
                <wp:positionH relativeFrom="page">
                  <wp:posOffset>5721985</wp:posOffset>
                </wp:positionH>
                <wp:positionV relativeFrom="paragraph">
                  <wp:posOffset>369570</wp:posOffset>
                </wp:positionV>
                <wp:extent cx="1838325" cy="857250"/>
                <wp:effectExtent l="0" t="0" r="0" b="0"/>
                <wp:wrapTight wrapText="bothSides">
                  <wp:wrapPolygon edited="0">
                    <wp:start x="672" y="0"/>
                    <wp:lineTo x="672" y="21120"/>
                    <wp:lineTo x="20817" y="21120"/>
                    <wp:lineTo x="20817" y="0"/>
                    <wp:lineTo x="672" y="0"/>
                  </wp:wrapPolygon>
                </wp:wrapTight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68E75" w14:textId="186471A8" w:rsidR="00D67684" w:rsidRPr="00332E9B" w:rsidRDefault="00D67684" w:rsidP="00660841">
                            <w:pPr>
                              <w:pStyle w:val="tekstzboku"/>
                            </w:pPr>
                            <w:r w:rsidRPr="00332E9B">
                              <w:t>N</w:t>
                            </w:r>
                            <w:r>
                              <w:t>ajbardziej pesymistyczni w ocenach byli rolnicy ukierunkowani na uprawy roślin przemysłowych.</w:t>
                            </w:r>
                          </w:p>
                          <w:p w14:paraId="48140083" w14:textId="77777777" w:rsidR="00D67684" w:rsidRPr="00D616D2" w:rsidRDefault="00D67684" w:rsidP="0066084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553F" id="_x0000_s1030" type="#_x0000_t202" style="position:absolute;margin-left:450.55pt;margin-top:29.1pt;width:144.75pt;height:67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" filled="f" stroked="f">
                <v:textbox>
                  <w:txbxContent>
                    <w:p w14:paraId="5F868E75" w14:textId="186471A8" w:rsidR="00D67684" w:rsidRPr="00332E9B" w:rsidRDefault="00D67684" w:rsidP="00660841">
                      <w:pPr>
                        <w:pStyle w:val="tekstzboku"/>
                      </w:pPr>
                      <w:r w:rsidRPr="00332E9B">
                        <w:t>N</w:t>
                      </w:r>
                      <w:r>
                        <w:t>ajbardziej pesymistyczni w ocenach byli rolnicy ukierunkowani na uprawy roślin przemysłowych.</w:t>
                      </w:r>
                    </w:p>
                    <w:p w14:paraId="48140083" w14:textId="77777777" w:rsidR="00D67684" w:rsidRPr="00D616D2" w:rsidRDefault="00D67684" w:rsidP="0066084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6517">
        <w:rPr>
          <w:noProof/>
          <w:szCs w:val="19"/>
          <w:lang w:eastAsia="pl-PL"/>
        </w:rPr>
        <w:t>Wzrosła</w:t>
      </w:r>
      <w:r w:rsidR="001D0BDA">
        <w:rPr>
          <w:szCs w:val="19"/>
        </w:rPr>
        <w:t xml:space="preserve"> </w:t>
      </w:r>
      <w:r w:rsidR="00F46517">
        <w:rPr>
          <w:szCs w:val="19"/>
        </w:rPr>
        <w:t>liczba</w:t>
      </w:r>
      <w:r w:rsidR="00BA372A">
        <w:rPr>
          <w:szCs w:val="19"/>
        </w:rPr>
        <w:t xml:space="preserve"> negatywnych opinii wyraża</w:t>
      </w:r>
      <w:r w:rsidR="001D0BDA">
        <w:rPr>
          <w:szCs w:val="19"/>
        </w:rPr>
        <w:t>nych przez</w:t>
      </w:r>
      <w:r w:rsidR="00BA372A">
        <w:rPr>
          <w:szCs w:val="19"/>
        </w:rPr>
        <w:t xml:space="preserve"> użytkowni</w:t>
      </w:r>
      <w:r w:rsidR="001D0BDA">
        <w:rPr>
          <w:szCs w:val="19"/>
        </w:rPr>
        <w:t>ków</w:t>
      </w:r>
      <w:r w:rsidR="00BA372A">
        <w:rPr>
          <w:szCs w:val="19"/>
        </w:rPr>
        <w:t xml:space="preserve"> gospodarstw prowadzący</w:t>
      </w:r>
      <w:r w:rsidR="001D0BDA">
        <w:rPr>
          <w:szCs w:val="19"/>
        </w:rPr>
        <w:t>ch</w:t>
      </w:r>
      <w:r w:rsidR="00BA372A">
        <w:rPr>
          <w:szCs w:val="19"/>
        </w:rPr>
        <w:t xml:space="preserve"> produkcję </w:t>
      </w:r>
      <w:r w:rsidR="001D0BDA">
        <w:rPr>
          <w:szCs w:val="19"/>
        </w:rPr>
        <w:t>roślinną</w:t>
      </w:r>
      <w:r w:rsidR="00BA372A">
        <w:rPr>
          <w:szCs w:val="19"/>
        </w:rPr>
        <w:t>.</w:t>
      </w:r>
      <w:r w:rsidRPr="00660841">
        <w:rPr>
          <w:szCs w:val="19"/>
        </w:rPr>
        <w:t xml:space="preserve"> Najwięcej </w:t>
      </w:r>
      <w:r w:rsidR="00DA2CC2">
        <w:rPr>
          <w:szCs w:val="19"/>
        </w:rPr>
        <w:t>pesymistycznych</w:t>
      </w:r>
      <w:r w:rsidRPr="00660841">
        <w:rPr>
          <w:szCs w:val="19"/>
        </w:rPr>
        <w:t xml:space="preserve"> opinii wyrażali </w:t>
      </w:r>
      <w:r w:rsidR="00F46517" w:rsidRPr="00660841">
        <w:rPr>
          <w:szCs w:val="19"/>
        </w:rPr>
        <w:t xml:space="preserve">producenci prowadzący uprawy </w:t>
      </w:r>
      <w:r w:rsidR="00F46517">
        <w:rPr>
          <w:szCs w:val="19"/>
        </w:rPr>
        <w:t xml:space="preserve">roślin przemysłowych, w szczególności buraków cukrowych. Wśród gospodarstw ukierunkowanych na produkcję zwierzęcą najbardziej pesymistyczni w ocenach byli </w:t>
      </w:r>
      <w:r w:rsidR="00F46517" w:rsidRPr="00660841">
        <w:rPr>
          <w:szCs w:val="19"/>
        </w:rPr>
        <w:t xml:space="preserve">hodowcy </w:t>
      </w:r>
      <w:r w:rsidR="00F46517">
        <w:rPr>
          <w:szCs w:val="19"/>
        </w:rPr>
        <w:t>drobiu nieśnego.</w:t>
      </w:r>
    </w:p>
    <w:p w14:paraId="0E4D562A" w14:textId="01A8B5F4" w:rsidR="009D1F97" w:rsidRDefault="00660841" w:rsidP="001430A2">
      <w:pPr>
        <w:spacing w:before="360" w:line="240" w:lineRule="auto"/>
        <w:outlineLvl w:val="0"/>
        <w:rPr>
          <w:b/>
          <w:spacing w:val="-2"/>
          <w:sz w:val="18"/>
          <w:shd w:val="clear" w:color="auto" w:fill="FFFFFF"/>
        </w:rPr>
      </w:pPr>
      <w:r w:rsidRPr="00660841">
        <w:rPr>
          <w:b/>
          <w:spacing w:val="-2"/>
          <w:sz w:val="18"/>
        </w:rPr>
        <w:t>Wykres 3.</w:t>
      </w:r>
      <w:r w:rsidRPr="00660841">
        <w:rPr>
          <w:b/>
          <w:spacing w:val="-2"/>
          <w:sz w:val="18"/>
          <w:shd w:val="clear" w:color="auto" w:fill="FFFFFF"/>
        </w:rPr>
        <w:t xml:space="preserve"> Salda</w:t>
      </w:r>
      <w:r w:rsidR="00396012">
        <w:rPr>
          <w:b/>
          <w:spacing w:val="-2"/>
          <w:sz w:val="18"/>
          <w:shd w:val="clear" w:color="auto" w:fill="FFFFFF"/>
        </w:rPr>
        <w:t xml:space="preserve"> odpowiedzi dotyczące zmian w I półroczu 2022</w:t>
      </w:r>
      <w:r w:rsidRPr="00660841">
        <w:rPr>
          <w:b/>
          <w:spacing w:val="-2"/>
          <w:sz w:val="18"/>
          <w:shd w:val="clear" w:color="auto" w:fill="FFFFFF"/>
        </w:rPr>
        <w:t xml:space="preserve"> r. sytuacji ogólnej gospodarstw rolnych, opłacalności produkcji rolniczej i popytu na produkty rolne </w:t>
      </w:r>
    </w:p>
    <w:p w14:paraId="6906E19B" w14:textId="30704EEF" w:rsidR="00DA331D" w:rsidRPr="009D1F97" w:rsidRDefault="002D6A2F" w:rsidP="009D1F9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67136" behindDoc="1" locked="0" layoutInCell="1" allowOverlap="1" wp14:anchorId="06866FD8" wp14:editId="4619522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095875" cy="3152775"/>
            <wp:effectExtent l="0" t="0" r="0" b="0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5" name="Wykres 5" descr="Wykres 3. Salda odpowiedzi dotyczące zmian w I półroczu 2022 r. sytuacji ogólnej gospodarstw rolnych, opłacal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9D1F97">
        <w:rPr>
          <w:b/>
          <w:spacing w:val="-2"/>
          <w:sz w:val="18"/>
          <w:shd w:val="clear" w:color="auto" w:fill="FFFFFF"/>
        </w:rPr>
        <w:br w:type="page"/>
      </w:r>
    </w:p>
    <w:p w14:paraId="3C222B0C" w14:textId="318B5160" w:rsidR="00DA331D" w:rsidRPr="009D1F97" w:rsidRDefault="000A4356" w:rsidP="009D1F97">
      <w:pPr>
        <w:spacing w:before="360" w:line="240" w:lineRule="auto"/>
        <w:jc w:val="both"/>
        <w:outlineLvl w:val="0"/>
        <w:rPr>
          <w:b/>
          <w:sz w:val="18"/>
          <w:szCs w:val="1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EE36627" wp14:editId="547428AC">
                <wp:simplePos x="0" y="0"/>
                <wp:positionH relativeFrom="page">
                  <wp:align>right</wp:align>
                </wp:positionH>
                <wp:positionV relativeFrom="paragraph">
                  <wp:posOffset>-431165</wp:posOffset>
                </wp:positionV>
                <wp:extent cx="1872000" cy="23468330"/>
                <wp:effectExtent l="0" t="0" r="0" b="127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4D3B9" id="Prostokąt 45" o:spid="_x0000_s1026" style="position:absolute;margin-left:96.2pt;margin-top:-33.95pt;width:147.4pt;height:1847.9pt;z-index:-251525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" fillcolor="#f2f2f2" stroked="f" strokeweight="1pt">
                <w10:wrap anchorx="page"/>
              </v:rect>
            </w:pict>
          </mc:Fallback>
        </mc:AlternateContent>
      </w:r>
      <w:r w:rsidR="00BA372A" w:rsidRPr="00BA372A">
        <w:rPr>
          <w:b/>
          <w:sz w:val="18"/>
          <w:szCs w:val="18"/>
        </w:rPr>
        <w:t>Tablica 1. Salda odpowiedzi dotyczące ocen zmian: sytuacji ogólnej gospodarstwa rolnego, opłacalności produkcji rolnicz</w:t>
      </w:r>
      <w:r w:rsidR="009D1F97">
        <w:rPr>
          <w:b/>
          <w:sz w:val="18"/>
          <w:szCs w:val="18"/>
        </w:rPr>
        <w:t>ej oraz popytu na produkty rolne</w:t>
      </w:r>
    </w:p>
    <w:tbl>
      <w:tblPr>
        <w:tblW w:w="8172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Salda odpowiedzi dotyczące ocen zmian: sytuacji ogólnej gospodarstwa rolnego, opłacalności produkcji rolniczej oraz popytu na produkty rolne"/>
      </w:tblPr>
      <w:tblGrid>
        <w:gridCol w:w="1368"/>
        <w:gridCol w:w="1134"/>
        <w:gridCol w:w="1134"/>
        <w:gridCol w:w="1134"/>
        <w:gridCol w:w="1134"/>
        <w:gridCol w:w="1134"/>
        <w:gridCol w:w="1134"/>
      </w:tblGrid>
      <w:tr w:rsidR="009D1F97" w:rsidRPr="00ED5B39" w14:paraId="5EC65F26" w14:textId="77777777" w:rsidTr="00DA7437">
        <w:trPr>
          <w:trHeight w:hRule="exact" w:val="737"/>
          <w:jc w:val="center"/>
        </w:trPr>
        <w:tc>
          <w:tcPr>
            <w:tcW w:w="1368" w:type="dxa"/>
            <w:vMerge w:val="restart"/>
            <w:shd w:val="clear" w:color="auto" w:fill="auto"/>
            <w:vAlign w:val="center"/>
            <w:hideMark/>
          </w:tcPr>
          <w:p w14:paraId="6912EDD0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 xml:space="preserve">Okres badania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14:paraId="163A3D46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sytuacji ogólnej gospodarstwa rolnego w:</w:t>
            </w:r>
          </w:p>
        </w:tc>
        <w:tc>
          <w:tcPr>
            <w:tcW w:w="2268" w:type="dxa"/>
            <w:gridSpan w:val="2"/>
            <w:vAlign w:val="center"/>
          </w:tcPr>
          <w:p w14:paraId="534D71CF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opłacalności produkcji rolniczej w:</w:t>
            </w:r>
          </w:p>
        </w:tc>
        <w:tc>
          <w:tcPr>
            <w:tcW w:w="2268" w:type="dxa"/>
            <w:gridSpan w:val="2"/>
            <w:vAlign w:val="center"/>
          </w:tcPr>
          <w:p w14:paraId="5D13E1B2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popytu na produkty rolne w:</w:t>
            </w:r>
          </w:p>
        </w:tc>
      </w:tr>
      <w:tr w:rsidR="009D1F97" w:rsidRPr="00ED5B39" w14:paraId="1DDDA923" w14:textId="77777777" w:rsidTr="00DA7437">
        <w:trPr>
          <w:trHeight w:hRule="exact" w:val="737"/>
          <w:jc w:val="center"/>
        </w:trPr>
        <w:tc>
          <w:tcPr>
            <w:tcW w:w="1368" w:type="dxa"/>
            <w:vMerge/>
            <w:shd w:val="clear" w:color="auto" w:fill="auto"/>
            <w:vAlign w:val="center"/>
            <w:hideMark/>
          </w:tcPr>
          <w:p w14:paraId="7B3D2DD0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136BD0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51BF018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  <w:tc>
          <w:tcPr>
            <w:tcW w:w="1134" w:type="dxa"/>
            <w:vAlign w:val="center"/>
          </w:tcPr>
          <w:p w14:paraId="1BD680FE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vAlign w:val="center"/>
          </w:tcPr>
          <w:p w14:paraId="0F1F5390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  <w:tc>
          <w:tcPr>
            <w:tcW w:w="1134" w:type="dxa"/>
            <w:vAlign w:val="center"/>
          </w:tcPr>
          <w:p w14:paraId="3FD57322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vAlign w:val="center"/>
          </w:tcPr>
          <w:p w14:paraId="7AAEC58D" w14:textId="77777777" w:rsidR="009D1F97" w:rsidRPr="00ED5B39" w:rsidRDefault="009D1F97" w:rsidP="00DA7437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</w:tr>
      <w:tr w:rsidR="009D1F97" w:rsidRPr="00ED5B39" w14:paraId="200D707B" w14:textId="77777777" w:rsidTr="00DA7437">
        <w:trPr>
          <w:trHeight w:val="315"/>
          <w:jc w:val="center"/>
        </w:trPr>
        <w:tc>
          <w:tcPr>
            <w:tcW w:w="1368" w:type="dxa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BAE6161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</w:p>
        </w:tc>
        <w:tc>
          <w:tcPr>
            <w:tcW w:w="6804" w:type="dxa"/>
            <w:gridSpan w:val="6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BDAB2E2" w14:textId="77777777" w:rsidR="009D1F97" w:rsidRPr="00ED5B39" w:rsidRDefault="009D1F97" w:rsidP="00DA7437">
            <w:pPr>
              <w:jc w:val="center"/>
              <w:rPr>
                <w:bCs/>
                <w:i/>
                <w:sz w:val="16"/>
                <w:szCs w:val="16"/>
              </w:rPr>
            </w:pPr>
            <w:r w:rsidRPr="00ED5B39">
              <w:rPr>
                <w:bCs/>
                <w:i/>
                <w:sz w:val="16"/>
                <w:szCs w:val="16"/>
              </w:rPr>
              <w:t>saldo odpowiedzi w p. proc.</w:t>
            </w:r>
          </w:p>
        </w:tc>
      </w:tr>
      <w:tr w:rsidR="009D1F97" w:rsidRPr="00ED5B39" w14:paraId="1A098224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3EA0D322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2014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D09EE3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6C34A4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-4,4</w:t>
            </w:r>
          </w:p>
        </w:tc>
        <w:tc>
          <w:tcPr>
            <w:tcW w:w="1134" w:type="dxa"/>
            <w:vAlign w:val="center"/>
          </w:tcPr>
          <w:p w14:paraId="022C710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-30,6</w:t>
            </w:r>
          </w:p>
        </w:tc>
        <w:tc>
          <w:tcPr>
            <w:tcW w:w="1134" w:type="dxa"/>
            <w:vAlign w:val="center"/>
          </w:tcPr>
          <w:p w14:paraId="7DF9510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-10,8</w:t>
            </w:r>
          </w:p>
        </w:tc>
        <w:tc>
          <w:tcPr>
            <w:tcW w:w="1134" w:type="dxa"/>
            <w:vAlign w:val="center"/>
          </w:tcPr>
          <w:p w14:paraId="60A6E69E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-11,0</w:t>
            </w:r>
          </w:p>
        </w:tc>
        <w:tc>
          <w:tcPr>
            <w:tcW w:w="1134" w:type="dxa"/>
            <w:vAlign w:val="center"/>
          </w:tcPr>
          <w:p w14:paraId="7DEA213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-3,7</w:t>
            </w:r>
          </w:p>
        </w:tc>
      </w:tr>
      <w:tr w:rsidR="009D1F97" w:rsidRPr="00ED5B39" w14:paraId="22B19730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79D2716C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2014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562DF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-31,6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2E9F7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-15,9</w:t>
            </w:r>
          </w:p>
        </w:tc>
        <w:tc>
          <w:tcPr>
            <w:tcW w:w="1134" w:type="dxa"/>
            <w:vAlign w:val="center"/>
          </w:tcPr>
          <w:p w14:paraId="09A89BA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-51,4</w:t>
            </w:r>
          </w:p>
        </w:tc>
        <w:tc>
          <w:tcPr>
            <w:tcW w:w="1134" w:type="dxa"/>
            <w:vAlign w:val="center"/>
          </w:tcPr>
          <w:p w14:paraId="24684670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-21,2</w:t>
            </w:r>
          </w:p>
        </w:tc>
        <w:tc>
          <w:tcPr>
            <w:tcW w:w="1134" w:type="dxa"/>
            <w:vAlign w:val="center"/>
          </w:tcPr>
          <w:p w14:paraId="4F62F853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-28,1</w:t>
            </w:r>
          </w:p>
        </w:tc>
        <w:tc>
          <w:tcPr>
            <w:tcW w:w="1134" w:type="dxa"/>
            <w:vAlign w:val="center"/>
          </w:tcPr>
          <w:p w14:paraId="22DD667D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-12,3</w:t>
            </w:r>
          </w:p>
        </w:tc>
      </w:tr>
      <w:tr w:rsidR="009D1F97" w:rsidRPr="00ED5B39" w14:paraId="56F4C197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1201D4BF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2015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4B61B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-40,5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F0FB34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-21,4</w:t>
            </w:r>
          </w:p>
        </w:tc>
        <w:tc>
          <w:tcPr>
            <w:tcW w:w="1134" w:type="dxa"/>
            <w:vAlign w:val="center"/>
          </w:tcPr>
          <w:p w14:paraId="48E1E39D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-59,2</w:t>
            </w:r>
          </w:p>
        </w:tc>
        <w:tc>
          <w:tcPr>
            <w:tcW w:w="1134" w:type="dxa"/>
            <w:vAlign w:val="center"/>
          </w:tcPr>
          <w:p w14:paraId="1CE5E331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-27,8</w:t>
            </w:r>
          </w:p>
        </w:tc>
        <w:tc>
          <w:tcPr>
            <w:tcW w:w="1134" w:type="dxa"/>
            <w:vAlign w:val="center"/>
          </w:tcPr>
          <w:p w14:paraId="3A498A85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-24,8</w:t>
            </w:r>
          </w:p>
        </w:tc>
        <w:tc>
          <w:tcPr>
            <w:tcW w:w="1134" w:type="dxa"/>
            <w:vAlign w:val="center"/>
          </w:tcPr>
          <w:p w14:paraId="3253E13D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-13,2</w:t>
            </w:r>
          </w:p>
        </w:tc>
      </w:tr>
      <w:tr w:rsidR="009D1F97" w:rsidRPr="00ED5B39" w14:paraId="01F7ADEA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06B3B54C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2015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3EC641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487471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-10,5</w:t>
            </w:r>
          </w:p>
        </w:tc>
        <w:tc>
          <w:tcPr>
            <w:tcW w:w="1134" w:type="dxa"/>
            <w:vAlign w:val="center"/>
          </w:tcPr>
          <w:p w14:paraId="3CA8022C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-53,5</w:t>
            </w:r>
          </w:p>
        </w:tc>
        <w:tc>
          <w:tcPr>
            <w:tcW w:w="1134" w:type="dxa"/>
            <w:vAlign w:val="center"/>
          </w:tcPr>
          <w:p w14:paraId="146813D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-15,6</w:t>
            </w:r>
          </w:p>
        </w:tc>
        <w:tc>
          <w:tcPr>
            <w:tcW w:w="1134" w:type="dxa"/>
            <w:vAlign w:val="center"/>
          </w:tcPr>
          <w:p w14:paraId="77CE38B5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-20,8</w:t>
            </w:r>
          </w:p>
        </w:tc>
        <w:tc>
          <w:tcPr>
            <w:tcW w:w="1134" w:type="dxa"/>
            <w:vAlign w:val="center"/>
          </w:tcPr>
          <w:p w14:paraId="3D625F88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-6,8</w:t>
            </w:r>
          </w:p>
        </w:tc>
      </w:tr>
      <w:tr w:rsidR="009D1F97" w:rsidRPr="00ED5B39" w14:paraId="0BCC1E66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15D7A4C1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2016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D8432E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-29,0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95F5A1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-10,4</w:t>
            </w:r>
          </w:p>
        </w:tc>
        <w:tc>
          <w:tcPr>
            <w:tcW w:w="1134" w:type="dxa"/>
            <w:vAlign w:val="center"/>
          </w:tcPr>
          <w:p w14:paraId="16FD0AFD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-46,6</w:t>
            </w:r>
          </w:p>
        </w:tc>
        <w:tc>
          <w:tcPr>
            <w:tcW w:w="1134" w:type="dxa"/>
            <w:vAlign w:val="center"/>
          </w:tcPr>
          <w:p w14:paraId="049B5C2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-16,3</w:t>
            </w:r>
          </w:p>
        </w:tc>
        <w:tc>
          <w:tcPr>
            <w:tcW w:w="1134" w:type="dxa"/>
            <w:vAlign w:val="center"/>
          </w:tcPr>
          <w:p w14:paraId="572B58F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-16,1</w:t>
            </w:r>
          </w:p>
        </w:tc>
        <w:tc>
          <w:tcPr>
            <w:tcW w:w="1134" w:type="dxa"/>
            <w:vAlign w:val="center"/>
          </w:tcPr>
          <w:p w14:paraId="35013E9F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-7,6</w:t>
            </w:r>
          </w:p>
        </w:tc>
      </w:tr>
      <w:tr w:rsidR="009D1F97" w:rsidRPr="00ED5B39" w14:paraId="5379F6DC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30B6F138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2016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50B3B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0BE43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2,9</w:t>
            </w:r>
          </w:p>
        </w:tc>
        <w:tc>
          <w:tcPr>
            <w:tcW w:w="1134" w:type="dxa"/>
            <w:vAlign w:val="center"/>
          </w:tcPr>
          <w:p w14:paraId="473F5013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-23,4</w:t>
            </w:r>
          </w:p>
        </w:tc>
        <w:tc>
          <w:tcPr>
            <w:tcW w:w="1134" w:type="dxa"/>
            <w:vAlign w:val="center"/>
          </w:tcPr>
          <w:p w14:paraId="62EFBBEC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-1,2</w:t>
            </w:r>
          </w:p>
        </w:tc>
        <w:tc>
          <w:tcPr>
            <w:tcW w:w="1134" w:type="dxa"/>
            <w:vAlign w:val="center"/>
          </w:tcPr>
          <w:p w14:paraId="22093077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-5,8</w:t>
            </w:r>
          </w:p>
        </w:tc>
        <w:tc>
          <w:tcPr>
            <w:tcW w:w="1134" w:type="dxa"/>
            <w:vAlign w:val="center"/>
          </w:tcPr>
          <w:p w14:paraId="55951601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2,8</w:t>
            </w:r>
          </w:p>
        </w:tc>
      </w:tr>
      <w:tr w:rsidR="009D1F97" w:rsidRPr="00ED5B39" w14:paraId="380FE988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09002F3D" w14:textId="77777777" w:rsidR="009D1F97" w:rsidRPr="00ED5B39" w:rsidRDefault="009D1F97" w:rsidP="00DA7437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2017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20FE6A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CD1EBE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-1,1</w:t>
            </w:r>
          </w:p>
        </w:tc>
        <w:tc>
          <w:tcPr>
            <w:tcW w:w="1134" w:type="dxa"/>
            <w:vAlign w:val="center"/>
          </w:tcPr>
          <w:p w14:paraId="132150FE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-12,8</w:t>
            </w:r>
          </w:p>
        </w:tc>
        <w:tc>
          <w:tcPr>
            <w:tcW w:w="1134" w:type="dxa"/>
            <w:vAlign w:val="center"/>
          </w:tcPr>
          <w:p w14:paraId="002CDE65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-3,9</w:t>
            </w:r>
          </w:p>
        </w:tc>
        <w:tc>
          <w:tcPr>
            <w:tcW w:w="1134" w:type="dxa"/>
            <w:vAlign w:val="center"/>
          </w:tcPr>
          <w:p w14:paraId="545C6C0F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1134" w:type="dxa"/>
            <w:vAlign w:val="center"/>
          </w:tcPr>
          <w:p w14:paraId="78AA4B19" w14:textId="77777777" w:rsidR="009D1F97" w:rsidRPr="00ED5B39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2,2</w:t>
            </w:r>
          </w:p>
        </w:tc>
      </w:tr>
      <w:tr w:rsidR="009D1F97" w:rsidRPr="00A829E3" w14:paraId="2D43D38D" w14:textId="77777777" w:rsidTr="007D2A4C">
        <w:trPr>
          <w:trHeight w:val="301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14:paraId="557ECC2A" w14:textId="77777777" w:rsidR="009D1F97" w:rsidRPr="00A829E3" w:rsidRDefault="009D1F97" w:rsidP="00DA7437">
            <w:pPr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Grudzień 2017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6B4537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-10,1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4B46A4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-3,0</w:t>
            </w:r>
          </w:p>
        </w:tc>
        <w:tc>
          <w:tcPr>
            <w:tcW w:w="1134" w:type="dxa"/>
            <w:vAlign w:val="center"/>
          </w:tcPr>
          <w:p w14:paraId="74E1DE90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-17,5</w:t>
            </w:r>
          </w:p>
        </w:tc>
        <w:tc>
          <w:tcPr>
            <w:tcW w:w="1134" w:type="dxa"/>
            <w:vAlign w:val="center"/>
          </w:tcPr>
          <w:p w14:paraId="1824241D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-6,5</w:t>
            </w:r>
          </w:p>
        </w:tc>
        <w:tc>
          <w:tcPr>
            <w:tcW w:w="1134" w:type="dxa"/>
            <w:vAlign w:val="center"/>
          </w:tcPr>
          <w:p w14:paraId="3D8A324B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-2,7</w:t>
            </w:r>
          </w:p>
        </w:tc>
        <w:tc>
          <w:tcPr>
            <w:tcW w:w="1134" w:type="dxa"/>
            <w:vAlign w:val="center"/>
          </w:tcPr>
          <w:p w14:paraId="79B84534" w14:textId="77777777" w:rsidR="009D1F97" w:rsidRPr="00A829E3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A829E3">
              <w:rPr>
                <w:bCs/>
                <w:sz w:val="16"/>
                <w:szCs w:val="16"/>
              </w:rPr>
              <w:t>-0,1</w:t>
            </w:r>
          </w:p>
        </w:tc>
      </w:tr>
      <w:tr w:rsidR="009D1F97" w:rsidRPr="005203D6" w14:paraId="0575C77E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17A536" w14:textId="77777777" w:rsidR="009D1F97" w:rsidRPr="005203D6" w:rsidRDefault="009D1F97" w:rsidP="00DA7437">
            <w:pPr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Czerwiec 2018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29CC0E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-32,7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85FAD8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-22,6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F50E6E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-47,4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76343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-25,9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E7B7E4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-15,6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386624B" w14:textId="77777777" w:rsidR="009D1F97" w:rsidRPr="005203D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5203D6">
              <w:rPr>
                <w:bCs/>
                <w:sz w:val="16"/>
                <w:szCs w:val="16"/>
              </w:rPr>
              <w:t>-7,8</w:t>
            </w:r>
          </w:p>
        </w:tc>
      </w:tr>
      <w:tr w:rsidR="009D1F97" w:rsidRPr="00452B86" w14:paraId="5E05DC8C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72E426" w14:textId="77777777" w:rsidR="009D1F97" w:rsidRPr="00452B86" w:rsidRDefault="009D1F97" w:rsidP="00DA7437">
            <w:pPr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Grudzień 2018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A74232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-28,5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A36171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DDE764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-36,0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902E222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EAA2777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0B8D666" w14:textId="77777777" w:rsidR="009D1F97" w:rsidRPr="00452B86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452B86">
              <w:rPr>
                <w:bCs/>
                <w:sz w:val="16"/>
                <w:szCs w:val="16"/>
              </w:rPr>
              <w:t>-1,9</w:t>
            </w:r>
          </w:p>
        </w:tc>
      </w:tr>
      <w:tr w:rsidR="009D1F97" w:rsidRPr="008239D1" w14:paraId="6B0F5C2B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EACA5E" w14:textId="77777777" w:rsidR="009D1F97" w:rsidRPr="008239D1" w:rsidRDefault="009D1F97" w:rsidP="00DA7437">
            <w:pPr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Czerwiec 2019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623404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-29,4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725C51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-19,5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4C4141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-40,0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02C6F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-23,2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6585A7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-12,1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C51DA6" w14:textId="77777777" w:rsidR="009D1F97" w:rsidRPr="008239D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239D1">
              <w:rPr>
                <w:bCs/>
                <w:sz w:val="16"/>
                <w:szCs w:val="16"/>
              </w:rPr>
              <w:t>-7,1</w:t>
            </w:r>
          </w:p>
        </w:tc>
      </w:tr>
      <w:tr w:rsidR="009D1F97" w:rsidRPr="0094061E" w14:paraId="05807440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4FC8FE" w14:textId="77777777" w:rsidR="009D1F97" w:rsidRPr="0094061E" w:rsidRDefault="009D1F97" w:rsidP="00DA7437">
            <w:pPr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Grudzień 2019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DE9D5A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-25,5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4760CF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-11,7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59BA3E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-34,3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4ABC95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-16,1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3174B9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57B9D2" w14:textId="77777777" w:rsidR="009D1F97" w:rsidRPr="0094061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94061E">
              <w:rPr>
                <w:bCs/>
                <w:sz w:val="16"/>
                <w:szCs w:val="16"/>
              </w:rPr>
              <w:t>-3,8</w:t>
            </w:r>
          </w:p>
        </w:tc>
      </w:tr>
      <w:tr w:rsidR="009D1F97" w:rsidRPr="00E06E7C" w14:paraId="53EA6320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F86F40" w14:textId="77777777" w:rsidR="009D1F97" w:rsidRPr="00683315" w:rsidRDefault="009D1F97" w:rsidP="00DA7437">
            <w:pPr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Czerwiec 2020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D0C655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55B427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CE6A7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-36,5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596E22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-11,6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2E38B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-16,1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D40397D" w14:textId="77777777" w:rsidR="009D1F97" w:rsidRPr="00683315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683315">
              <w:rPr>
                <w:bCs/>
                <w:sz w:val="16"/>
                <w:szCs w:val="16"/>
              </w:rPr>
              <w:t>-5,0</w:t>
            </w:r>
          </w:p>
        </w:tc>
      </w:tr>
      <w:tr w:rsidR="009D1F97" w:rsidRPr="00E06E7C" w14:paraId="56D3287A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E9A00F" w14:textId="77777777" w:rsidR="009D1F97" w:rsidRPr="00E06E7C" w:rsidRDefault="009D1F97" w:rsidP="00DA7437">
            <w:pPr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Grudzień 2020</w:t>
            </w:r>
            <w:r w:rsidRPr="0094061E">
              <w:rPr>
                <w:bCs/>
                <w:sz w:val="16"/>
                <w:szCs w:val="16"/>
              </w:rPr>
              <w:t xml:space="preserve">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AE4CB2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-25,9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C11C0F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5E4BA8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-35,1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894E90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-13,1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97BEAF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-15,7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C7B0748" w14:textId="77777777" w:rsidR="009D1F97" w:rsidRPr="008D5D91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8D5D91">
              <w:rPr>
                <w:bCs/>
                <w:sz w:val="16"/>
                <w:szCs w:val="16"/>
              </w:rPr>
              <w:t>-5,2</w:t>
            </w:r>
          </w:p>
        </w:tc>
      </w:tr>
      <w:tr w:rsidR="009D1F97" w:rsidRPr="00E06E7C" w14:paraId="41BC8BDB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C4A98E" w14:textId="77777777" w:rsidR="009D1F97" w:rsidRPr="00351F2E" w:rsidRDefault="009D1F97" w:rsidP="00DA7437">
            <w:pPr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Czerwiec 2021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A9B999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-25,2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421D18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-15,4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62D499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-38,6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82B1DF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EE8C01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-7,4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7DFF6C" w14:textId="77777777" w:rsidR="009D1F97" w:rsidRPr="00351F2E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351F2E">
              <w:rPr>
                <w:bCs/>
                <w:sz w:val="16"/>
                <w:szCs w:val="16"/>
              </w:rPr>
              <w:t>-6,4</w:t>
            </w:r>
          </w:p>
        </w:tc>
      </w:tr>
      <w:tr w:rsidR="009D1F97" w:rsidRPr="00E06E7C" w14:paraId="72DA4A36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4E1E2E" w14:textId="77777777" w:rsidR="009D1F97" w:rsidRPr="0007789A" w:rsidRDefault="009D1F97" w:rsidP="00DA7437">
            <w:pPr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Grudzień 2021 r.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8D1CF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-37,3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C5B8DC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-47,2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518E69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-47,0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D13EB7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-52,1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FD3E3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508A65" w14:textId="77777777" w:rsidR="009D1F97" w:rsidRPr="0007789A" w:rsidRDefault="009D1F97" w:rsidP="00DA7437">
            <w:pPr>
              <w:jc w:val="right"/>
              <w:rPr>
                <w:bCs/>
                <w:sz w:val="16"/>
                <w:szCs w:val="16"/>
              </w:rPr>
            </w:pPr>
            <w:r w:rsidRPr="0007789A">
              <w:rPr>
                <w:bCs/>
                <w:sz w:val="16"/>
                <w:szCs w:val="16"/>
              </w:rPr>
              <w:t>-16,3</w:t>
            </w:r>
          </w:p>
        </w:tc>
      </w:tr>
      <w:tr w:rsidR="0007789A" w:rsidRPr="00E06E7C" w14:paraId="744BCCA4" w14:textId="77777777" w:rsidTr="007D2A4C">
        <w:trPr>
          <w:trHeight w:val="301"/>
          <w:jc w:val="center"/>
        </w:trPr>
        <w:tc>
          <w:tcPr>
            <w:tcW w:w="13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BAC820" w14:textId="7ED8FD85" w:rsidR="0007789A" w:rsidRPr="00351F2E" w:rsidRDefault="001A3866" w:rsidP="00DA743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Czerwiec</w:t>
            </w:r>
            <w:r w:rsidR="0007789A">
              <w:rPr>
                <w:b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9C6CF0" w14:textId="5079C165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-46,2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0BE9AA" w14:textId="602B7701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-39,4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0FD441" w14:textId="57AE98DF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-54,4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4EB5FA" w14:textId="68D1E798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-45,2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A81508" w14:textId="2A250231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3BAC40" w14:textId="0011137B" w:rsidR="0007789A" w:rsidRPr="0007789A" w:rsidRDefault="0007789A" w:rsidP="0007789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-16,1</w:t>
            </w:r>
          </w:p>
        </w:tc>
      </w:tr>
    </w:tbl>
    <w:p w14:paraId="0B3EBAFD" w14:textId="77777777" w:rsidR="005E5521" w:rsidRDefault="005E5521" w:rsidP="009D1F97">
      <w:pPr>
        <w:keepNext/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14:paraId="0CEF155A" w14:textId="77777777" w:rsidR="009D1F97" w:rsidRPr="009D1F97" w:rsidRDefault="009D1F97" w:rsidP="009D1F97">
      <w:pPr>
        <w:keepNext/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9D1F97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AE6A3E1" wp14:editId="72C1B38B">
                <wp:simplePos x="0" y="0"/>
                <wp:positionH relativeFrom="page">
                  <wp:posOffset>5705475</wp:posOffset>
                </wp:positionH>
                <wp:positionV relativeFrom="paragraph">
                  <wp:posOffset>158750</wp:posOffset>
                </wp:positionV>
                <wp:extent cx="1762125" cy="1266825"/>
                <wp:effectExtent l="0" t="0" r="0" b="0"/>
                <wp:wrapTight wrapText="bothSides">
                  <wp:wrapPolygon edited="0">
                    <wp:start x="701" y="0"/>
                    <wp:lineTo x="701" y="21113"/>
                    <wp:lineTo x="20783" y="21113"/>
                    <wp:lineTo x="20783" y="0"/>
                    <wp:lineTo x="701" y="0"/>
                  </wp:wrapPolygon>
                </wp:wrapTight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E2CB" w14:textId="34267C87" w:rsidR="00D67684" w:rsidRPr="00332E9B" w:rsidRDefault="00D67684" w:rsidP="009D1F97">
                            <w:pPr>
                              <w:pStyle w:val="tekstzboku"/>
                            </w:pPr>
                            <w:r>
                              <w:t xml:space="preserve">Przeważające negatywne oceny bieżącej sytuacji ogólnej gospodarstw rolnych wśród </w:t>
                            </w:r>
                            <w:r>
                              <w:rPr>
                                <w:szCs w:val="19"/>
                              </w:rPr>
                              <w:t>użytkowników</w:t>
                            </w:r>
                            <w:r w:rsidRPr="009D1F97">
                              <w:rPr>
                                <w:szCs w:val="19"/>
                              </w:rPr>
                              <w:t xml:space="preserve"> gospodarstw prowadzących produkcję </w:t>
                            </w:r>
                            <w:r>
                              <w:rPr>
                                <w:szCs w:val="19"/>
                              </w:rPr>
                              <w:t>roślinną.</w:t>
                            </w:r>
                          </w:p>
                          <w:p w14:paraId="3BB25792" w14:textId="77777777" w:rsidR="00D67684" w:rsidRPr="00D616D2" w:rsidRDefault="00D67684" w:rsidP="009D1F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A3E1" id="_x0000_s1031" type="#_x0000_t202" style="position:absolute;margin-left:449.25pt;margin-top:12.5pt;width:138.75pt;height:99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" filled="f" stroked="f">
                <v:textbox>
                  <w:txbxContent>
                    <w:p w14:paraId="1CBDE2CB" w14:textId="34267C87" w:rsidR="00D67684" w:rsidRPr="00332E9B" w:rsidRDefault="00D67684" w:rsidP="009D1F97">
                      <w:pPr>
                        <w:pStyle w:val="tekstzboku"/>
                      </w:pPr>
                      <w:r>
                        <w:t xml:space="preserve">Przeważające negatywne oceny bieżącej sytuacji ogólnej gospodarstw rolnych wśród </w:t>
                      </w:r>
                      <w:r>
                        <w:rPr>
                          <w:szCs w:val="19"/>
                        </w:rPr>
                        <w:t>użytkowników</w:t>
                      </w:r>
                      <w:r w:rsidRPr="009D1F97">
                        <w:rPr>
                          <w:szCs w:val="19"/>
                        </w:rPr>
                        <w:t xml:space="preserve"> gospodarstw prowadzących produkcję </w:t>
                      </w:r>
                      <w:r>
                        <w:rPr>
                          <w:szCs w:val="19"/>
                        </w:rPr>
                        <w:t>roślinną.</w:t>
                      </w:r>
                    </w:p>
                    <w:p w14:paraId="3BB25792" w14:textId="77777777" w:rsidR="00D67684" w:rsidRPr="00D616D2" w:rsidRDefault="00D67684" w:rsidP="009D1F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D1F9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Ocena sytuacji ogólnej gospodarstw rolnych</w:t>
      </w:r>
    </w:p>
    <w:p w14:paraId="4B12C3D5" w14:textId="43275113" w:rsidR="009D1F97" w:rsidRPr="009D1F97" w:rsidRDefault="009D1F97" w:rsidP="009D1F97">
      <w:pPr>
        <w:spacing w:line="288" w:lineRule="auto"/>
        <w:rPr>
          <w:szCs w:val="19"/>
        </w:rPr>
      </w:pPr>
      <w:r w:rsidRPr="009D1F97">
        <w:rPr>
          <w:szCs w:val="19"/>
        </w:rPr>
        <w:t xml:space="preserve">Około </w:t>
      </w:r>
      <w:r w:rsidR="00DA2CC2">
        <w:rPr>
          <w:szCs w:val="19"/>
        </w:rPr>
        <w:t>32</w:t>
      </w:r>
      <w:r w:rsidRPr="009D1F97">
        <w:rPr>
          <w:szCs w:val="19"/>
        </w:rPr>
        <w:t>% rolników – o</w:t>
      </w:r>
      <w:r w:rsidR="001D0BDA">
        <w:rPr>
          <w:szCs w:val="19"/>
        </w:rPr>
        <w:t xml:space="preserve"> ponad</w:t>
      </w:r>
      <w:r w:rsidRPr="009D1F97">
        <w:rPr>
          <w:szCs w:val="19"/>
        </w:rPr>
        <w:t xml:space="preserve"> </w:t>
      </w:r>
      <w:r w:rsidR="001D0BDA">
        <w:rPr>
          <w:szCs w:val="19"/>
        </w:rPr>
        <w:t>9</w:t>
      </w:r>
      <w:r w:rsidRPr="009D1F97">
        <w:rPr>
          <w:szCs w:val="19"/>
        </w:rPr>
        <w:t xml:space="preserve">% </w:t>
      </w:r>
      <w:r w:rsidR="00DA2CC2">
        <w:rPr>
          <w:szCs w:val="19"/>
        </w:rPr>
        <w:t xml:space="preserve">więcej </w:t>
      </w:r>
      <w:r w:rsidRPr="009D1F97">
        <w:rPr>
          <w:szCs w:val="19"/>
        </w:rPr>
        <w:t xml:space="preserve">niż w </w:t>
      </w:r>
      <w:r w:rsidR="001D0BDA">
        <w:rPr>
          <w:szCs w:val="19"/>
        </w:rPr>
        <w:t>grudniu 2021</w:t>
      </w:r>
      <w:r w:rsidR="00F46517">
        <w:rPr>
          <w:szCs w:val="19"/>
        </w:rPr>
        <w:t xml:space="preserve"> r. - uznało bieżącą </w:t>
      </w:r>
      <w:r w:rsidRPr="009D1F97">
        <w:rPr>
          <w:szCs w:val="19"/>
        </w:rPr>
        <w:t xml:space="preserve">ogólną sytuację swoich gospodarstw rolnych jako </w:t>
      </w:r>
      <w:r w:rsidR="00DA2CC2">
        <w:rPr>
          <w:szCs w:val="19"/>
        </w:rPr>
        <w:t>złą</w:t>
      </w:r>
      <w:r w:rsidRPr="009D1F97">
        <w:rPr>
          <w:szCs w:val="19"/>
        </w:rPr>
        <w:t xml:space="preserve">. </w:t>
      </w:r>
    </w:p>
    <w:p w14:paraId="7C19EFAE" w14:textId="45757672" w:rsidR="00A417AF" w:rsidRDefault="00F46517" w:rsidP="00A417AF">
      <w:pPr>
        <w:spacing w:line="288" w:lineRule="auto"/>
        <w:rPr>
          <w:szCs w:val="19"/>
        </w:rPr>
      </w:pPr>
      <w:r>
        <w:rPr>
          <w:szCs w:val="19"/>
        </w:rPr>
        <w:t>N</w:t>
      </w:r>
      <w:r w:rsidR="009D1F97" w:rsidRPr="009D1F97">
        <w:rPr>
          <w:szCs w:val="19"/>
        </w:rPr>
        <w:t xml:space="preserve">ajgorzej swoją sytuację ocenili użytkownicy gospodarstw prowadzących produkcję </w:t>
      </w:r>
      <w:r w:rsidR="001D0BDA">
        <w:rPr>
          <w:szCs w:val="19"/>
        </w:rPr>
        <w:t>roślinną</w:t>
      </w:r>
      <w:r w:rsidR="009D1F97" w:rsidRPr="009D1F97">
        <w:rPr>
          <w:szCs w:val="19"/>
        </w:rPr>
        <w:t>. Wśród gospodarstw ukierunkowanych na produkcję roślinną najgorzej swoją sytuację ocenili rolnicy prowadzący produkcję buraków cukrowych</w:t>
      </w:r>
      <w:r w:rsidR="00A80178">
        <w:rPr>
          <w:szCs w:val="19"/>
        </w:rPr>
        <w:t>, warzyw gruntowych</w:t>
      </w:r>
      <w:r w:rsidR="009D1F97" w:rsidRPr="009D1F97">
        <w:rPr>
          <w:szCs w:val="19"/>
        </w:rPr>
        <w:t xml:space="preserve">  oraz </w:t>
      </w:r>
      <w:r w:rsidR="00305FBA">
        <w:rPr>
          <w:szCs w:val="19"/>
        </w:rPr>
        <w:t xml:space="preserve">gospodarstw </w:t>
      </w:r>
      <w:r w:rsidR="00A80178">
        <w:rPr>
          <w:szCs w:val="19"/>
        </w:rPr>
        <w:t>specjalizują</w:t>
      </w:r>
      <w:r w:rsidR="00305FBA">
        <w:rPr>
          <w:szCs w:val="19"/>
        </w:rPr>
        <w:t>cych</w:t>
      </w:r>
      <w:r w:rsidR="00A80178">
        <w:rPr>
          <w:szCs w:val="19"/>
        </w:rPr>
        <w:t xml:space="preserve"> się w  hodowli </w:t>
      </w:r>
      <w:r w:rsidR="009D1F97" w:rsidRPr="009D1F97">
        <w:rPr>
          <w:szCs w:val="19"/>
        </w:rPr>
        <w:t xml:space="preserve">drobiu </w:t>
      </w:r>
      <w:r w:rsidR="00A80178">
        <w:rPr>
          <w:szCs w:val="19"/>
        </w:rPr>
        <w:t>nieśnego</w:t>
      </w:r>
      <w:r w:rsidR="009D1F97" w:rsidRPr="009D1F97">
        <w:rPr>
          <w:szCs w:val="19"/>
        </w:rPr>
        <w:t xml:space="preserve"> i trzody chlewnej.</w:t>
      </w:r>
    </w:p>
    <w:p w14:paraId="747649D0" w14:textId="4F1E321E" w:rsidR="00A417AF" w:rsidRDefault="00A417AF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BDC7ABD" w14:textId="7BBFDBA5" w:rsidR="00A85AF0" w:rsidRPr="00A85AF0" w:rsidRDefault="0027763B" w:rsidP="001430A2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60992" behindDoc="1" locked="0" layoutInCell="1" allowOverlap="1" wp14:anchorId="5CD1793D" wp14:editId="0A5A5270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122545" cy="2266950"/>
            <wp:effectExtent l="0" t="0" r="1905" b="0"/>
            <wp:wrapTight wrapText="bothSides">
              <wp:wrapPolygon edited="0">
                <wp:start x="0" y="0"/>
                <wp:lineTo x="0" y="21418"/>
                <wp:lineTo x="21528" y="21418"/>
                <wp:lineTo x="21528" y="0"/>
                <wp:lineTo x="0" y="0"/>
              </wp:wrapPolygon>
            </wp:wrapTight>
            <wp:docPr id="7" name="Wykres 7" descr="Wykres 4. Salda odpowiedzi dotyczące bieżącej sytuacji ogólnej gospodarstw rolnych, opłacal-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3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1DB42C" wp14:editId="004057CE">
                <wp:simplePos x="0" y="0"/>
                <wp:positionH relativeFrom="page">
                  <wp:align>right</wp:align>
                </wp:positionH>
                <wp:positionV relativeFrom="paragraph">
                  <wp:posOffset>-450215</wp:posOffset>
                </wp:positionV>
                <wp:extent cx="1872000" cy="23468330"/>
                <wp:effectExtent l="0" t="0" r="0" b="127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2970" id="Prostokąt 46" o:spid="_x0000_s1026" style="position:absolute;margin-left:96.2pt;margin-top:-35.45pt;width:147.4pt;height:1847.9pt;z-index:-251523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" fillcolor="#f2f2f2" stroked="f" strokeweight="1pt">
                <w10:wrap anchorx="page"/>
              </v:rect>
            </w:pict>
          </mc:Fallback>
        </mc:AlternateContent>
      </w:r>
      <w:r w:rsidR="00A85AF0" w:rsidRPr="00A85AF0">
        <w:rPr>
          <w:b/>
          <w:spacing w:val="-2"/>
          <w:sz w:val="18"/>
        </w:rPr>
        <w:t>Wykres 4.</w:t>
      </w:r>
      <w:r w:rsidR="00A85AF0" w:rsidRPr="00A85AF0">
        <w:rPr>
          <w:b/>
          <w:spacing w:val="-2"/>
          <w:sz w:val="18"/>
          <w:shd w:val="clear" w:color="auto" w:fill="FFFFFF"/>
        </w:rPr>
        <w:t xml:space="preserve"> Salda</w:t>
      </w:r>
      <w:r w:rsidR="00A51416">
        <w:rPr>
          <w:b/>
          <w:spacing w:val="-2"/>
          <w:sz w:val="18"/>
          <w:shd w:val="clear" w:color="auto" w:fill="FFFFFF"/>
        </w:rPr>
        <w:t xml:space="preserve"> odpowiedzi dotyczące bieżącej </w:t>
      </w:r>
      <w:r w:rsidR="00A85AF0" w:rsidRPr="00A85AF0">
        <w:rPr>
          <w:b/>
          <w:spacing w:val="-2"/>
          <w:sz w:val="18"/>
          <w:shd w:val="clear" w:color="auto" w:fill="FFFFFF"/>
        </w:rPr>
        <w:t>sytuacji ogólnej gospodarstw rolnych, opłacalności produk</w:t>
      </w:r>
      <w:r w:rsidR="000A4356">
        <w:rPr>
          <w:b/>
          <w:sz w:val="18"/>
          <w:szCs w:val="18"/>
        </w:rPr>
        <w:t>cji rolniczej i popytu na produkty rolne</w:t>
      </w:r>
    </w:p>
    <w:p w14:paraId="1100D3F8" w14:textId="77777777" w:rsidR="00A85AF0" w:rsidRPr="00A85AF0" w:rsidRDefault="00A85AF0" w:rsidP="007D2A4C">
      <w:pPr>
        <w:spacing w:before="360" w:line="240" w:lineRule="auto"/>
        <w:jc w:val="both"/>
        <w:rPr>
          <w:b/>
          <w:sz w:val="18"/>
          <w:szCs w:val="18"/>
        </w:rPr>
      </w:pPr>
      <w:r w:rsidRPr="00A85AF0">
        <w:rPr>
          <w:b/>
          <w:sz w:val="18"/>
          <w:szCs w:val="18"/>
        </w:rPr>
        <w:t>Tablica 2. Ocena sytuacji ogólnej gospodarstw rolnych</w:t>
      </w:r>
    </w:p>
    <w:tbl>
      <w:tblPr>
        <w:tblW w:w="7938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Ocena sytuacji ogólnej gospodarstw rolnych"/>
      </w:tblPr>
      <w:tblGrid>
        <w:gridCol w:w="2073"/>
        <w:gridCol w:w="1593"/>
        <w:gridCol w:w="1440"/>
        <w:gridCol w:w="1440"/>
        <w:gridCol w:w="1392"/>
      </w:tblGrid>
      <w:tr w:rsidR="00A85AF0" w:rsidRPr="00A85AF0" w14:paraId="4B9DA3C5" w14:textId="77777777" w:rsidTr="007D2A4C">
        <w:trPr>
          <w:trHeight w:hRule="exact" w:val="360"/>
        </w:trPr>
        <w:tc>
          <w:tcPr>
            <w:tcW w:w="2073" w:type="dxa"/>
            <w:vMerge w:val="restart"/>
            <w:shd w:val="clear" w:color="auto" w:fill="auto"/>
            <w:vAlign w:val="center"/>
            <w:hideMark/>
          </w:tcPr>
          <w:p w14:paraId="67D08910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Wyszczególnienie</w:t>
            </w:r>
          </w:p>
          <w:p w14:paraId="46271EF4" w14:textId="77777777" w:rsidR="00A85AF0" w:rsidRPr="00A85AF0" w:rsidRDefault="00A85AF0" w:rsidP="00A85AF0">
            <w:pPr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 </w:t>
            </w:r>
          </w:p>
        </w:tc>
        <w:tc>
          <w:tcPr>
            <w:tcW w:w="4473" w:type="dxa"/>
            <w:gridSpan w:val="3"/>
            <w:shd w:val="clear" w:color="auto" w:fill="auto"/>
            <w:vAlign w:val="center"/>
            <w:hideMark/>
          </w:tcPr>
          <w:p w14:paraId="65DB3EF2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Gospodarstwa rolne, których bieżąca sytuacja ogólna była:</w:t>
            </w:r>
          </w:p>
        </w:tc>
        <w:tc>
          <w:tcPr>
            <w:tcW w:w="1392" w:type="dxa"/>
            <w:vMerge w:val="restart"/>
            <w:vAlign w:val="center"/>
          </w:tcPr>
          <w:p w14:paraId="270AAE9F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Saldo</w:t>
            </w:r>
          </w:p>
          <w:p w14:paraId="5FD9C208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odpowiedzi</w:t>
            </w:r>
          </w:p>
          <w:p w14:paraId="3FF5968E" w14:textId="77777777" w:rsidR="00A85AF0" w:rsidRPr="00A85AF0" w:rsidRDefault="00A85AF0" w:rsidP="00A85AF0">
            <w:pPr>
              <w:jc w:val="center"/>
              <w:rPr>
                <w:i/>
                <w:sz w:val="16"/>
                <w:szCs w:val="16"/>
              </w:rPr>
            </w:pPr>
            <w:r w:rsidRPr="00A85AF0">
              <w:rPr>
                <w:i/>
                <w:sz w:val="16"/>
                <w:szCs w:val="16"/>
              </w:rPr>
              <w:t>w p. proc.</w:t>
            </w:r>
          </w:p>
        </w:tc>
      </w:tr>
      <w:tr w:rsidR="00A85AF0" w:rsidRPr="00A85AF0" w14:paraId="3561030D" w14:textId="77777777" w:rsidTr="007D2A4C">
        <w:trPr>
          <w:trHeight w:hRule="exact" w:val="448"/>
        </w:trPr>
        <w:tc>
          <w:tcPr>
            <w:tcW w:w="2073" w:type="dxa"/>
            <w:vMerge/>
            <w:vAlign w:val="center"/>
            <w:hideMark/>
          </w:tcPr>
          <w:p w14:paraId="79A0A2C4" w14:textId="77777777" w:rsidR="00A85AF0" w:rsidRPr="00A85AF0" w:rsidRDefault="00A85AF0" w:rsidP="00A85AF0">
            <w:pPr>
              <w:rPr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14:paraId="2291301E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dobra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36EFAC91" w14:textId="77777777" w:rsidR="00A85AF0" w:rsidRPr="00A85AF0" w:rsidRDefault="00A85AF0" w:rsidP="00A85AF0">
            <w:pPr>
              <w:jc w:val="center"/>
              <w:rPr>
                <w:sz w:val="16"/>
                <w:szCs w:val="16"/>
                <w:vertAlign w:val="superscript"/>
              </w:rPr>
            </w:pPr>
            <w:r w:rsidRPr="00A85AF0">
              <w:rPr>
                <w:sz w:val="16"/>
                <w:szCs w:val="16"/>
              </w:rPr>
              <w:t xml:space="preserve">normalna </w:t>
            </w:r>
            <w:r w:rsidRPr="00A85AF0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23BBFCF6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  <w:r w:rsidRPr="00A85AF0">
              <w:rPr>
                <w:sz w:val="16"/>
                <w:szCs w:val="16"/>
              </w:rPr>
              <w:t>zła</w:t>
            </w:r>
          </w:p>
        </w:tc>
        <w:tc>
          <w:tcPr>
            <w:tcW w:w="1392" w:type="dxa"/>
            <w:vMerge/>
            <w:vAlign w:val="center"/>
          </w:tcPr>
          <w:p w14:paraId="7DE42B60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</w:p>
        </w:tc>
      </w:tr>
      <w:tr w:rsidR="00A85AF0" w:rsidRPr="00A85AF0" w14:paraId="3F07FCD3" w14:textId="77777777" w:rsidTr="007D2A4C">
        <w:trPr>
          <w:trHeight w:hRule="exact" w:val="410"/>
        </w:trPr>
        <w:tc>
          <w:tcPr>
            <w:tcW w:w="2073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5BEE941" w14:textId="77777777" w:rsidR="00A85AF0" w:rsidRPr="00A85AF0" w:rsidRDefault="00A85AF0" w:rsidP="00A85AF0">
            <w:pPr>
              <w:rPr>
                <w:sz w:val="16"/>
                <w:szCs w:val="16"/>
              </w:rPr>
            </w:pPr>
          </w:p>
        </w:tc>
        <w:tc>
          <w:tcPr>
            <w:tcW w:w="4473" w:type="dxa"/>
            <w:gridSpan w:val="3"/>
            <w:tcBorders>
              <w:bottom w:val="single" w:sz="12" w:space="0" w:color="001D77"/>
            </w:tcBorders>
            <w:shd w:val="clear" w:color="auto" w:fill="auto"/>
            <w:hideMark/>
          </w:tcPr>
          <w:p w14:paraId="68075327" w14:textId="77777777" w:rsidR="00A85AF0" w:rsidRPr="00A85AF0" w:rsidRDefault="00A85AF0" w:rsidP="00A85AF0">
            <w:pPr>
              <w:jc w:val="center"/>
              <w:rPr>
                <w:i/>
                <w:sz w:val="16"/>
                <w:szCs w:val="16"/>
              </w:rPr>
            </w:pPr>
            <w:r w:rsidRPr="00A85AF0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392" w:type="dxa"/>
            <w:vMerge/>
            <w:tcBorders>
              <w:bottom w:val="single" w:sz="12" w:space="0" w:color="001D77"/>
            </w:tcBorders>
          </w:tcPr>
          <w:p w14:paraId="7C0DF8A0" w14:textId="77777777" w:rsidR="00A85AF0" w:rsidRPr="00A85AF0" w:rsidRDefault="00A85AF0" w:rsidP="00A85AF0">
            <w:pPr>
              <w:jc w:val="center"/>
              <w:rPr>
                <w:sz w:val="16"/>
                <w:szCs w:val="16"/>
              </w:rPr>
            </w:pPr>
          </w:p>
        </w:tc>
      </w:tr>
      <w:tr w:rsidR="00A85AF0" w:rsidRPr="00A85AF0" w14:paraId="4A281003" w14:textId="77777777" w:rsidTr="007D2A4C">
        <w:trPr>
          <w:trHeight w:val="227"/>
        </w:trPr>
        <w:tc>
          <w:tcPr>
            <w:tcW w:w="2073" w:type="dxa"/>
            <w:shd w:val="clear" w:color="auto" w:fill="auto"/>
            <w:hideMark/>
          </w:tcPr>
          <w:p w14:paraId="307AF74E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593" w:type="dxa"/>
            <w:shd w:val="clear" w:color="auto" w:fill="auto"/>
            <w:hideMark/>
          </w:tcPr>
          <w:p w14:paraId="786E3E34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20,7</w:t>
            </w:r>
          </w:p>
        </w:tc>
        <w:tc>
          <w:tcPr>
            <w:tcW w:w="1440" w:type="dxa"/>
            <w:shd w:val="clear" w:color="auto" w:fill="auto"/>
            <w:hideMark/>
          </w:tcPr>
          <w:p w14:paraId="38554D0C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62,7</w:t>
            </w:r>
          </w:p>
        </w:tc>
        <w:tc>
          <w:tcPr>
            <w:tcW w:w="1440" w:type="dxa"/>
            <w:shd w:val="clear" w:color="auto" w:fill="auto"/>
            <w:hideMark/>
          </w:tcPr>
          <w:p w14:paraId="3B799E73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16,6</w:t>
            </w:r>
          </w:p>
        </w:tc>
        <w:tc>
          <w:tcPr>
            <w:tcW w:w="1392" w:type="dxa"/>
          </w:tcPr>
          <w:p w14:paraId="43C07A7E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4,1</w:t>
            </w:r>
          </w:p>
        </w:tc>
      </w:tr>
      <w:tr w:rsidR="00A85AF0" w:rsidRPr="00A85AF0" w14:paraId="094141BA" w14:textId="77777777" w:rsidTr="007D2A4C">
        <w:trPr>
          <w:trHeight w:val="227"/>
        </w:trPr>
        <w:tc>
          <w:tcPr>
            <w:tcW w:w="2073" w:type="dxa"/>
            <w:shd w:val="clear" w:color="auto" w:fill="auto"/>
            <w:hideMark/>
          </w:tcPr>
          <w:p w14:paraId="7DFB0D91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2014 r.</w:t>
            </w:r>
          </w:p>
        </w:tc>
        <w:tc>
          <w:tcPr>
            <w:tcW w:w="1593" w:type="dxa"/>
            <w:shd w:val="clear" w:color="auto" w:fill="auto"/>
            <w:hideMark/>
          </w:tcPr>
          <w:p w14:paraId="234462A6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15,7</w:t>
            </w:r>
          </w:p>
        </w:tc>
        <w:tc>
          <w:tcPr>
            <w:tcW w:w="1440" w:type="dxa"/>
            <w:shd w:val="clear" w:color="auto" w:fill="auto"/>
            <w:hideMark/>
          </w:tcPr>
          <w:p w14:paraId="11892E3C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56,7</w:t>
            </w:r>
          </w:p>
        </w:tc>
        <w:tc>
          <w:tcPr>
            <w:tcW w:w="1440" w:type="dxa"/>
            <w:shd w:val="clear" w:color="auto" w:fill="auto"/>
            <w:hideMark/>
          </w:tcPr>
          <w:p w14:paraId="56BF628D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27,6</w:t>
            </w:r>
          </w:p>
        </w:tc>
        <w:tc>
          <w:tcPr>
            <w:tcW w:w="1392" w:type="dxa"/>
          </w:tcPr>
          <w:p w14:paraId="0734A241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-11,9</w:t>
            </w:r>
          </w:p>
        </w:tc>
      </w:tr>
      <w:tr w:rsidR="00A85AF0" w:rsidRPr="00A85AF0" w14:paraId="4C4DA413" w14:textId="77777777" w:rsidTr="007D2A4C">
        <w:trPr>
          <w:trHeight w:val="227"/>
        </w:trPr>
        <w:tc>
          <w:tcPr>
            <w:tcW w:w="2073" w:type="dxa"/>
            <w:shd w:val="clear" w:color="auto" w:fill="auto"/>
            <w:hideMark/>
          </w:tcPr>
          <w:p w14:paraId="27833332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593" w:type="dxa"/>
            <w:shd w:val="clear" w:color="auto" w:fill="auto"/>
            <w:hideMark/>
          </w:tcPr>
          <w:p w14:paraId="6F4FC899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9,0</w:t>
            </w:r>
          </w:p>
        </w:tc>
        <w:tc>
          <w:tcPr>
            <w:tcW w:w="1440" w:type="dxa"/>
            <w:shd w:val="clear" w:color="auto" w:fill="auto"/>
            <w:hideMark/>
          </w:tcPr>
          <w:p w14:paraId="62CF81B4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56,5</w:t>
            </w:r>
          </w:p>
        </w:tc>
        <w:tc>
          <w:tcPr>
            <w:tcW w:w="1440" w:type="dxa"/>
            <w:shd w:val="clear" w:color="auto" w:fill="auto"/>
            <w:hideMark/>
          </w:tcPr>
          <w:p w14:paraId="4DAFB46D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34,5</w:t>
            </w:r>
          </w:p>
        </w:tc>
        <w:tc>
          <w:tcPr>
            <w:tcW w:w="1392" w:type="dxa"/>
          </w:tcPr>
          <w:p w14:paraId="68A991DC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-25,5</w:t>
            </w:r>
          </w:p>
        </w:tc>
      </w:tr>
      <w:tr w:rsidR="00A85AF0" w:rsidRPr="00A85AF0" w14:paraId="440FA636" w14:textId="77777777" w:rsidTr="007D2A4C">
        <w:trPr>
          <w:trHeight w:val="227"/>
        </w:trPr>
        <w:tc>
          <w:tcPr>
            <w:tcW w:w="2073" w:type="dxa"/>
            <w:shd w:val="clear" w:color="auto" w:fill="auto"/>
          </w:tcPr>
          <w:p w14:paraId="599C501B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2015 r.</w:t>
            </w:r>
          </w:p>
        </w:tc>
        <w:tc>
          <w:tcPr>
            <w:tcW w:w="1593" w:type="dxa"/>
            <w:shd w:val="clear" w:color="auto" w:fill="auto"/>
          </w:tcPr>
          <w:p w14:paraId="5CBA0887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7,6</w:t>
            </w:r>
          </w:p>
        </w:tc>
        <w:tc>
          <w:tcPr>
            <w:tcW w:w="1440" w:type="dxa"/>
            <w:shd w:val="clear" w:color="auto" w:fill="auto"/>
          </w:tcPr>
          <w:p w14:paraId="67E61262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66,0</w:t>
            </w:r>
          </w:p>
        </w:tc>
        <w:tc>
          <w:tcPr>
            <w:tcW w:w="1440" w:type="dxa"/>
            <w:shd w:val="clear" w:color="auto" w:fill="auto"/>
          </w:tcPr>
          <w:p w14:paraId="005C36A9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26,4</w:t>
            </w:r>
          </w:p>
        </w:tc>
        <w:tc>
          <w:tcPr>
            <w:tcW w:w="1392" w:type="dxa"/>
          </w:tcPr>
          <w:p w14:paraId="6CA9AAF0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-18,8</w:t>
            </w:r>
          </w:p>
        </w:tc>
      </w:tr>
      <w:tr w:rsidR="00A85AF0" w:rsidRPr="00A85AF0" w14:paraId="1949AC6A" w14:textId="77777777" w:rsidTr="007D2A4C">
        <w:trPr>
          <w:trHeight w:val="227"/>
        </w:trPr>
        <w:tc>
          <w:tcPr>
            <w:tcW w:w="2073" w:type="dxa"/>
            <w:shd w:val="clear" w:color="auto" w:fill="auto"/>
            <w:hideMark/>
          </w:tcPr>
          <w:p w14:paraId="27683292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2016 r.</w:t>
            </w:r>
          </w:p>
        </w:tc>
        <w:tc>
          <w:tcPr>
            <w:tcW w:w="1593" w:type="dxa"/>
            <w:shd w:val="clear" w:color="auto" w:fill="auto"/>
            <w:hideMark/>
          </w:tcPr>
          <w:p w14:paraId="6368D36B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11,5</w:t>
            </w:r>
          </w:p>
        </w:tc>
        <w:tc>
          <w:tcPr>
            <w:tcW w:w="1440" w:type="dxa"/>
            <w:shd w:val="clear" w:color="auto" w:fill="auto"/>
            <w:hideMark/>
          </w:tcPr>
          <w:p w14:paraId="47839B8B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65,4</w:t>
            </w:r>
          </w:p>
        </w:tc>
        <w:tc>
          <w:tcPr>
            <w:tcW w:w="1440" w:type="dxa"/>
            <w:shd w:val="clear" w:color="auto" w:fill="auto"/>
            <w:hideMark/>
          </w:tcPr>
          <w:p w14:paraId="1EF2FE03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23,1</w:t>
            </w:r>
          </w:p>
        </w:tc>
        <w:tc>
          <w:tcPr>
            <w:tcW w:w="1392" w:type="dxa"/>
          </w:tcPr>
          <w:p w14:paraId="6B077CBF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-11,6</w:t>
            </w:r>
          </w:p>
        </w:tc>
      </w:tr>
      <w:tr w:rsidR="00A85AF0" w:rsidRPr="00A85AF0" w14:paraId="53934181" w14:textId="77777777" w:rsidTr="007D2A4C">
        <w:trPr>
          <w:trHeight w:val="227"/>
        </w:trPr>
        <w:tc>
          <w:tcPr>
            <w:tcW w:w="2073" w:type="dxa"/>
            <w:shd w:val="clear" w:color="auto" w:fill="auto"/>
          </w:tcPr>
          <w:p w14:paraId="3A683041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2016 r.</w:t>
            </w:r>
          </w:p>
        </w:tc>
        <w:tc>
          <w:tcPr>
            <w:tcW w:w="1593" w:type="dxa"/>
            <w:shd w:val="clear" w:color="auto" w:fill="auto"/>
          </w:tcPr>
          <w:p w14:paraId="4A100DF9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11,8</w:t>
            </w:r>
          </w:p>
        </w:tc>
        <w:tc>
          <w:tcPr>
            <w:tcW w:w="1440" w:type="dxa"/>
            <w:shd w:val="clear" w:color="auto" w:fill="auto"/>
          </w:tcPr>
          <w:p w14:paraId="64F4D38F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75,7</w:t>
            </w:r>
          </w:p>
        </w:tc>
        <w:tc>
          <w:tcPr>
            <w:tcW w:w="1440" w:type="dxa"/>
            <w:shd w:val="clear" w:color="auto" w:fill="auto"/>
          </w:tcPr>
          <w:p w14:paraId="1F650771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12,5</w:t>
            </w:r>
          </w:p>
        </w:tc>
        <w:tc>
          <w:tcPr>
            <w:tcW w:w="1392" w:type="dxa"/>
          </w:tcPr>
          <w:p w14:paraId="01DB4283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-0,7</w:t>
            </w:r>
          </w:p>
        </w:tc>
      </w:tr>
      <w:tr w:rsidR="00A85AF0" w:rsidRPr="00A85AF0" w14:paraId="127EFB3C" w14:textId="77777777" w:rsidTr="007D2A4C">
        <w:trPr>
          <w:trHeight w:val="227"/>
        </w:trPr>
        <w:tc>
          <w:tcPr>
            <w:tcW w:w="2073" w:type="dxa"/>
            <w:shd w:val="clear" w:color="auto" w:fill="auto"/>
          </w:tcPr>
          <w:p w14:paraId="5344C842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2017 r.</w:t>
            </w:r>
          </w:p>
        </w:tc>
        <w:tc>
          <w:tcPr>
            <w:tcW w:w="1593" w:type="dxa"/>
            <w:shd w:val="clear" w:color="auto" w:fill="auto"/>
          </w:tcPr>
          <w:p w14:paraId="10C36705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15,9</w:t>
            </w:r>
          </w:p>
        </w:tc>
        <w:tc>
          <w:tcPr>
            <w:tcW w:w="1440" w:type="dxa"/>
            <w:shd w:val="clear" w:color="auto" w:fill="auto"/>
          </w:tcPr>
          <w:p w14:paraId="3353D288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69,4</w:t>
            </w:r>
          </w:p>
        </w:tc>
        <w:tc>
          <w:tcPr>
            <w:tcW w:w="1440" w:type="dxa"/>
            <w:shd w:val="clear" w:color="auto" w:fill="auto"/>
          </w:tcPr>
          <w:p w14:paraId="31C06939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14,7</w:t>
            </w:r>
          </w:p>
        </w:tc>
        <w:tc>
          <w:tcPr>
            <w:tcW w:w="1392" w:type="dxa"/>
          </w:tcPr>
          <w:p w14:paraId="3D9183ED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1,2</w:t>
            </w:r>
          </w:p>
        </w:tc>
      </w:tr>
      <w:tr w:rsidR="00A85AF0" w:rsidRPr="00A85AF0" w14:paraId="04BB00A9" w14:textId="77777777" w:rsidTr="007D2A4C">
        <w:trPr>
          <w:trHeight w:val="227"/>
        </w:trPr>
        <w:tc>
          <w:tcPr>
            <w:tcW w:w="2073" w:type="dxa"/>
            <w:shd w:val="clear" w:color="auto" w:fill="auto"/>
          </w:tcPr>
          <w:p w14:paraId="2C78E1FF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2017 r.</w:t>
            </w:r>
          </w:p>
        </w:tc>
        <w:tc>
          <w:tcPr>
            <w:tcW w:w="1593" w:type="dxa"/>
            <w:shd w:val="clear" w:color="auto" w:fill="auto"/>
          </w:tcPr>
          <w:p w14:paraId="3482CC21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13,7</w:t>
            </w:r>
          </w:p>
        </w:tc>
        <w:tc>
          <w:tcPr>
            <w:tcW w:w="1440" w:type="dxa"/>
            <w:shd w:val="clear" w:color="auto" w:fill="auto"/>
          </w:tcPr>
          <w:p w14:paraId="18DDD553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73,6</w:t>
            </w:r>
          </w:p>
        </w:tc>
        <w:tc>
          <w:tcPr>
            <w:tcW w:w="1440" w:type="dxa"/>
            <w:shd w:val="clear" w:color="auto" w:fill="auto"/>
          </w:tcPr>
          <w:p w14:paraId="114D81A2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12,7</w:t>
            </w:r>
          </w:p>
        </w:tc>
        <w:tc>
          <w:tcPr>
            <w:tcW w:w="1392" w:type="dxa"/>
          </w:tcPr>
          <w:p w14:paraId="6572EB55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1,0</w:t>
            </w:r>
          </w:p>
        </w:tc>
      </w:tr>
      <w:tr w:rsidR="00A85AF0" w:rsidRPr="00A85AF0" w14:paraId="04281DC5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1512A3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2018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78B661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7,1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F985CD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54,2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8EC5CA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38,7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046B8B1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-31,6</w:t>
            </w:r>
          </w:p>
        </w:tc>
      </w:tr>
      <w:tr w:rsidR="00A85AF0" w:rsidRPr="00A85AF0" w14:paraId="5F898D64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</w:tcPr>
          <w:p w14:paraId="120ABC47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2018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0E59BA0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8,6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3902CEE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70,7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D187E35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20,7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</w:tcBorders>
          </w:tcPr>
          <w:p w14:paraId="7FAE5F43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-12,1</w:t>
            </w:r>
          </w:p>
        </w:tc>
      </w:tr>
      <w:tr w:rsidR="00A85AF0" w:rsidRPr="00A85AF0" w14:paraId="62B68D7E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021F81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2019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7F5A19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7,8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B060CD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56,9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7E6BA4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35,3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8F4643E" w14:textId="77777777" w:rsidR="00A85AF0" w:rsidRPr="00A85AF0" w:rsidRDefault="00A85AF0" w:rsidP="00A85AF0">
            <w:pPr>
              <w:jc w:val="right"/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>-27,5</w:t>
            </w:r>
          </w:p>
        </w:tc>
      </w:tr>
      <w:tr w:rsidR="00A85AF0" w:rsidRPr="00A85AF0" w14:paraId="4A9D04E2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</w:tcPr>
          <w:p w14:paraId="105EF4FE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2019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5E95C10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9,0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47D969A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73,6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1073BAE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17,4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</w:tcBorders>
          </w:tcPr>
          <w:p w14:paraId="6D8962B7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-8,4</w:t>
            </w:r>
          </w:p>
        </w:tc>
      </w:tr>
      <w:tr w:rsidR="00A85AF0" w:rsidRPr="00A85AF0" w14:paraId="35F61E89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D13C6E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2020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07F1C5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10,6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D2FA0B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68,5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CF4BEB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20,9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8A03AA1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-10,3</w:t>
            </w:r>
          </w:p>
        </w:tc>
      </w:tr>
      <w:tr w:rsidR="00A85AF0" w:rsidRPr="00A85AF0" w14:paraId="180167CC" w14:textId="77777777" w:rsidTr="007D2A4C">
        <w:trPr>
          <w:trHeight w:val="227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FE44E9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Grudzień 2020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A681FF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9,3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D60E4C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67,9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EF3A5A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22,8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E9E3FC5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-13,5</w:t>
            </w:r>
          </w:p>
        </w:tc>
      </w:tr>
      <w:tr w:rsidR="00A85AF0" w:rsidRPr="00A85AF0" w14:paraId="642E175D" w14:textId="77777777" w:rsidTr="007D2A4C">
        <w:trPr>
          <w:trHeight w:val="340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F7C113" w14:textId="77777777" w:rsidR="00A85AF0" w:rsidRPr="00A85AF0" w:rsidRDefault="00A85AF0" w:rsidP="00A85AF0">
            <w:pPr>
              <w:rPr>
                <w:bCs/>
                <w:sz w:val="16"/>
                <w:szCs w:val="16"/>
              </w:rPr>
            </w:pPr>
            <w:r w:rsidRPr="00A85AF0">
              <w:rPr>
                <w:bCs/>
                <w:sz w:val="16"/>
                <w:szCs w:val="16"/>
              </w:rPr>
              <w:t xml:space="preserve">  Czerwiec 2021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B69FB7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9,8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19F098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71,4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FCB23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18,8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A90E857" w14:textId="77777777" w:rsidR="00A85AF0" w:rsidRPr="00A85AF0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A85AF0">
              <w:rPr>
                <w:rFonts w:cs="Arial"/>
                <w:bCs/>
                <w:sz w:val="16"/>
                <w:szCs w:val="16"/>
              </w:rPr>
              <w:t>-9,0</w:t>
            </w:r>
          </w:p>
        </w:tc>
      </w:tr>
      <w:tr w:rsidR="00A85AF0" w:rsidRPr="00A85AF0" w14:paraId="0822BCFD" w14:textId="77777777" w:rsidTr="00D36AC2">
        <w:trPr>
          <w:trHeight w:val="227"/>
        </w:trPr>
        <w:tc>
          <w:tcPr>
            <w:tcW w:w="207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4328BE" w14:textId="77777777" w:rsidR="00A85AF0" w:rsidRPr="00D36AC2" w:rsidRDefault="00A85AF0" w:rsidP="00A85AF0">
            <w:pPr>
              <w:rPr>
                <w:bCs/>
                <w:sz w:val="16"/>
                <w:szCs w:val="16"/>
              </w:rPr>
            </w:pPr>
            <w:r w:rsidRPr="00D36AC2">
              <w:rPr>
                <w:bCs/>
                <w:sz w:val="16"/>
                <w:szCs w:val="16"/>
              </w:rPr>
              <w:t xml:space="preserve">  Grudzień 2021 r.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7EF8AF" w14:textId="77777777" w:rsidR="00A85AF0" w:rsidRPr="00D36AC2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cs="Arial"/>
                <w:bCs/>
                <w:sz w:val="16"/>
                <w:szCs w:val="16"/>
              </w:rPr>
              <w:t>6,1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172E7D" w14:textId="77777777" w:rsidR="00A85AF0" w:rsidRPr="00D36AC2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cs="Arial"/>
                <w:bCs/>
                <w:sz w:val="16"/>
                <w:szCs w:val="16"/>
              </w:rPr>
              <w:t>69,8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5F2DE0" w14:textId="77777777" w:rsidR="00A85AF0" w:rsidRPr="00D36AC2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cs="Arial"/>
                <w:bCs/>
                <w:sz w:val="16"/>
                <w:szCs w:val="16"/>
              </w:rPr>
              <w:t>24,1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26FDA9E" w14:textId="77777777" w:rsidR="00A85AF0" w:rsidRPr="00D36AC2" w:rsidRDefault="00A85AF0" w:rsidP="00A85AF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cs="Arial"/>
                <w:bCs/>
                <w:sz w:val="16"/>
                <w:szCs w:val="16"/>
              </w:rPr>
              <w:t>18,0</w:t>
            </w:r>
          </w:p>
        </w:tc>
      </w:tr>
      <w:tr w:rsidR="00D36AC2" w:rsidRPr="00A85AF0" w14:paraId="1744729A" w14:textId="77777777" w:rsidTr="00E725E2">
        <w:trPr>
          <w:trHeight w:val="227"/>
        </w:trPr>
        <w:tc>
          <w:tcPr>
            <w:tcW w:w="2073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</w:tcPr>
          <w:p w14:paraId="16FBE44D" w14:textId="2E3E8F9F" w:rsidR="00D36AC2" w:rsidRPr="00D36AC2" w:rsidRDefault="00D36AC2" w:rsidP="00D36AC2">
            <w:pPr>
              <w:rPr>
                <w:bCs/>
                <w:sz w:val="16"/>
                <w:szCs w:val="16"/>
              </w:rPr>
            </w:pPr>
            <w:r w:rsidRPr="00D36AC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 Czerwiec 2022 r</w:t>
            </w:r>
          </w:p>
        </w:tc>
        <w:tc>
          <w:tcPr>
            <w:tcW w:w="15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722EE5" w14:textId="70FE1C20" w:rsidR="00D36AC2" w:rsidRPr="00D36AC2" w:rsidRDefault="00D36AC2" w:rsidP="00D36AC2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7DE7A0" w14:textId="5F89DD14" w:rsidR="00D36AC2" w:rsidRPr="00D36AC2" w:rsidRDefault="00D36AC2" w:rsidP="00D36AC2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60,7</w:t>
            </w:r>
          </w:p>
        </w:tc>
        <w:tc>
          <w:tcPr>
            <w:tcW w:w="14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2BB633" w14:textId="7E8E4D9A" w:rsidR="00D36AC2" w:rsidRPr="00D36AC2" w:rsidRDefault="00D36AC2" w:rsidP="00D36AC2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32,1</w:t>
            </w:r>
          </w:p>
        </w:tc>
        <w:tc>
          <w:tcPr>
            <w:tcW w:w="1392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3F98A8A" w14:textId="3443F865" w:rsidR="00D36AC2" w:rsidRPr="00D36AC2" w:rsidRDefault="00D36AC2" w:rsidP="00D36AC2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D36AC2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-24,9</w:t>
            </w:r>
          </w:p>
        </w:tc>
      </w:tr>
    </w:tbl>
    <w:p w14:paraId="6ADE7EAF" w14:textId="2E9D0073" w:rsidR="007D2A4C" w:rsidRPr="007D2A4C" w:rsidRDefault="007D2A4C" w:rsidP="007D2A4C">
      <w:pPr>
        <w:rPr>
          <w:spacing w:val="-2"/>
          <w:sz w:val="16"/>
          <w:szCs w:val="16"/>
          <w:vertAlign w:val="superscript"/>
        </w:rPr>
      </w:pPr>
      <w:r w:rsidRPr="007D2A4C">
        <w:rPr>
          <w:spacing w:val="-2"/>
          <w:sz w:val="16"/>
          <w:szCs w:val="16"/>
          <w:vertAlign w:val="superscript"/>
        </w:rPr>
        <w:t>a – normalna, jak na tę porę roku</w:t>
      </w:r>
    </w:p>
    <w:p w14:paraId="2DEEE03D" w14:textId="65B7040D" w:rsidR="00A82F73" w:rsidRDefault="00585B86" w:rsidP="00A82F73">
      <w:pPr>
        <w:pStyle w:val="tytuwykresu"/>
        <w:spacing w:before="360" w:line="269" w:lineRule="auto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59968" behindDoc="1" locked="0" layoutInCell="1" allowOverlap="1" wp14:anchorId="4468F692" wp14:editId="46376D89">
            <wp:simplePos x="0" y="0"/>
            <wp:positionH relativeFrom="margin">
              <wp:align>right</wp:align>
            </wp:positionH>
            <wp:positionV relativeFrom="paragraph">
              <wp:posOffset>1152525</wp:posOffset>
            </wp:positionV>
            <wp:extent cx="5114925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79" y="21438"/>
                <wp:lineTo x="21479" y="0"/>
                <wp:lineTo x="0" y="0"/>
              </wp:wrapPolygon>
            </wp:wrapTight>
            <wp:docPr id="1" name="Wykres 1" descr="Wykres 5. Salda odpowiedzi dla bieżącej sytuacji ogólnej gospodarstw rolnych,  opłacalności produkcji rolniczej i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AA7">
        <w:rPr>
          <w:noProof/>
          <w:lang w:eastAsia="pl-PL"/>
        </w:rPr>
        <w:drawing>
          <wp:anchor distT="0" distB="0" distL="114300" distR="114300" simplePos="0" relativeHeight="251862016" behindDoc="1" locked="0" layoutInCell="1" allowOverlap="1" wp14:anchorId="046CC762" wp14:editId="18245E04">
            <wp:simplePos x="0" y="0"/>
            <wp:positionH relativeFrom="margin">
              <wp:align>right</wp:align>
            </wp:positionH>
            <wp:positionV relativeFrom="paragraph">
              <wp:posOffset>4219575</wp:posOffset>
            </wp:positionV>
            <wp:extent cx="513397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0" y="21441"/>
                <wp:lineTo x="21480" y="0"/>
                <wp:lineTo x="0" y="0"/>
              </wp:wrapPolygon>
            </wp:wrapTight>
            <wp:docPr id="8" name="Wykres 8" descr="Wykres 6. Sytuacja ogólna gospodarstwa rolnego – zmiany w ostatnim półrocz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AF7A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797C360" wp14:editId="378DEE27">
                <wp:simplePos x="0" y="0"/>
                <wp:positionH relativeFrom="page">
                  <wp:posOffset>5686425</wp:posOffset>
                </wp:positionH>
                <wp:positionV relativeFrom="paragraph">
                  <wp:posOffset>-476250</wp:posOffset>
                </wp:positionV>
                <wp:extent cx="1938655" cy="23535005"/>
                <wp:effectExtent l="0" t="0" r="4445" b="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235350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70A4C" id="Prostokąt 47" o:spid="_x0000_s1026" style="position:absolute;margin-left:447.75pt;margin-top:-37.5pt;width:152.65pt;height:1853.1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" fillcolor="#f2f2f2" stroked="f" strokeweight="1pt">
                <w10:wrap anchorx="page"/>
              </v:rect>
            </w:pict>
          </mc:Fallback>
        </mc:AlternateContent>
      </w:r>
      <w:r w:rsidR="001430A2" w:rsidRPr="001430A2">
        <w:rPr>
          <w:b w:val="0"/>
          <w:sz w:val="19"/>
          <w:szCs w:val="19"/>
        </w:rPr>
        <w:t xml:space="preserve">Bieżąca ocena ogólnej sytuacji gospodarstwa rolnego oraz </w:t>
      </w:r>
      <w:r w:rsidR="001430A2" w:rsidRPr="001430A2">
        <w:rPr>
          <w:b w:val="0"/>
          <w:szCs w:val="19"/>
        </w:rPr>
        <w:t xml:space="preserve">opłacalności </w:t>
      </w:r>
      <w:r w:rsidR="001430A2" w:rsidRPr="001430A2">
        <w:rPr>
          <w:b w:val="0"/>
          <w:sz w:val="19"/>
          <w:szCs w:val="19"/>
        </w:rPr>
        <w:t xml:space="preserve">produkcji rolniczej, była bardziej pesymistyczna w porównaniu z </w:t>
      </w:r>
      <w:r w:rsidR="00A80178">
        <w:rPr>
          <w:b w:val="0"/>
          <w:sz w:val="19"/>
          <w:szCs w:val="19"/>
        </w:rPr>
        <w:t>grudniem</w:t>
      </w:r>
      <w:r w:rsidR="001430A2" w:rsidRPr="001430A2">
        <w:rPr>
          <w:b w:val="0"/>
          <w:sz w:val="19"/>
          <w:szCs w:val="19"/>
        </w:rPr>
        <w:t xml:space="preserve"> ub. r., </w:t>
      </w:r>
      <w:r w:rsidR="001430A2" w:rsidRPr="001430A2">
        <w:rPr>
          <w:b w:val="0"/>
          <w:szCs w:val="19"/>
        </w:rPr>
        <w:t xml:space="preserve">oraz </w:t>
      </w:r>
      <w:r w:rsidR="001D0BDA">
        <w:rPr>
          <w:b w:val="0"/>
          <w:szCs w:val="19"/>
        </w:rPr>
        <w:t xml:space="preserve">dużo </w:t>
      </w:r>
      <w:r w:rsidR="001430A2" w:rsidRPr="001430A2">
        <w:rPr>
          <w:b w:val="0"/>
          <w:szCs w:val="19"/>
        </w:rPr>
        <w:t>bar</w:t>
      </w:r>
      <w:r w:rsidR="001430A2" w:rsidRPr="001430A2">
        <w:rPr>
          <w:b w:val="0"/>
          <w:sz w:val="19"/>
          <w:szCs w:val="19"/>
        </w:rPr>
        <w:t xml:space="preserve">dziej pesymistyczna w porównaniu z </w:t>
      </w:r>
      <w:r w:rsidR="001430A2" w:rsidRPr="001430A2">
        <w:rPr>
          <w:b w:val="0"/>
          <w:szCs w:val="19"/>
        </w:rPr>
        <w:t>analogicznym</w:t>
      </w:r>
      <w:r w:rsidR="001430A2" w:rsidRPr="001430A2">
        <w:rPr>
          <w:b w:val="0"/>
          <w:sz w:val="19"/>
          <w:szCs w:val="19"/>
        </w:rPr>
        <w:t xml:space="preserve"> okresem roku poprzedniego. </w:t>
      </w:r>
      <w:r w:rsidR="00A80178">
        <w:rPr>
          <w:b w:val="0"/>
          <w:sz w:val="19"/>
          <w:szCs w:val="19"/>
        </w:rPr>
        <w:t>Także p</w:t>
      </w:r>
      <w:r w:rsidR="001430A2" w:rsidRPr="001430A2">
        <w:rPr>
          <w:b w:val="0"/>
          <w:sz w:val="19"/>
          <w:szCs w:val="19"/>
        </w:rPr>
        <w:t xml:space="preserve">opyt na produkty rolne został oceniony </w:t>
      </w:r>
      <w:r w:rsidR="001D0BDA">
        <w:rPr>
          <w:b w:val="0"/>
          <w:sz w:val="19"/>
          <w:szCs w:val="19"/>
        </w:rPr>
        <w:t>gorzej</w:t>
      </w:r>
      <w:r w:rsidR="001430A2" w:rsidRPr="001430A2">
        <w:rPr>
          <w:b w:val="0"/>
          <w:sz w:val="19"/>
          <w:szCs w:val="19"/>
        </w:rPr>
        <w:t xml:space="preserve"> niż w I</w:t>
      </w:r>
      <w:r w:rsidR="001D0BDA">
        <w:rPr>
          <w:b w:val="0"/>
          <w:sz w:val="19"/>
          <w:szCs w:val="19"/>
        </w:rPr>
        <w:t>I</w:t>
      </w:r>
      <w:r w:rsidR="001430A2" w:rsidRPr="001430A2">
        <w:rPr>
          <w:b w:val="0"/>
          <w:sz w:val="19"/>
          <w:szCs w:val="19"/>
        </w:rPr>
        <w:t xml:space="preserve"> półroczu</w:t>
      </w:r>
      <w:r w:rsidR="001D0BDA">
        <w:rPr>
          <w:b w:val="0"/>
          <w:sz w:val="19"/>
          <w:szCs w:val="19"/>
        </w:rPr>
        <w:t xml:space="preserve"> </w:t>
      </w:r>
      <w:r w:rsidR="00312C6A">
        <w:rPr>
          <w:b w:val="0"/>
          <w:szCs w:val="19"/>
        </w:rPr>
        <w:t>2021 r.</w:t>
      </w:r>
      <w:r w:rsidR="00432800">
        <w:rPr>
          <w:szCs w:val="19"/>
        </w:rPr>
        <w:br/>
      </w:r>
      <w:r w:rsidR="001430A2">
        <w:rPr>
          <w:szCs w:val="19"/>
        </w:rPr>
        <w:br/>
      </w:r>
      <w:r w:rsidR="001430A2" w:rsidRPr="001430A2">
        <w:t>Wykres 5.</w:t>
      </w:r>
      <w:r w:rsidR="001430A2" w:rsidRPr="001430A2">
        <w:rPr>
          <w:shd w:val="clear" w:color="auto" w:fill="FFFFFF"/>
        </w:rPr>
        <w:t xml:space="preserve"> Salda odpowiedzi dla bieżącej sytuacji ogólnej gospodarstw rolnych,  opł</w:t>
      </w:r>
      <w:r w:rsidR="004B714E">
        <w:rPr>
          <w:shd w:val="clear" w:color="auto" w:fill="FFFFFF"/>
        </w:rPr>
        <w:t>acalności produkcji rolniczej i</w:t>
      </w:r>
      <w:r w:rsidR="001430A2" w:rsidRPr="001430A2">
        <w:rPr>
          <w:shd w:val="clear" w:color="auto" w:fill="FFFFFF"/>
        </w:rPr>
        <w:t xml:space="preserve"> popytu na produkty rolne </w:t>
      </w:r>
      <w:r w:rsidR="004B714E">
        <w:rPr>
          <w:shd w:val="clear" w:color="auto" w:fill="FFFFFF"/>
        </w:rPr>
        <w:br/>
      </w:r>
      <w:r w:rsidR="004B714E">
        <w:t>Wy</w:t>
      </w:r>
      <w:r w:rsidR="004B714E" w:rsidRPr="004B714E">
        <w:t>kres 6.</w:t>
      </w:r>
      <w:r w:rsidR="004B714E" w:rsidRPr="004B714E">
        <w:rPr>
          <w:shd w:val="clear" w:color="auto" w:fill="FFFFFF"/>
        </w:rPr>
        <w:t xml:space="preserve"> Sytuacja ogólna gospodarstwa rolnego – zmiany w ostatnim półroczu </w:t>
      </w:r>
    </w:p>
    <w:p w14:paraId="034D2261" w14:textId="27E307DB" w:rsidR="00DA0870" w:rsidRPr="00A82F73" w:rsidRDefault="00A82F73" w:rsidP="00A82F73">
      <w:pPr>
        <w:pStyle w:val="tytuwykresu"/>
        <w:spacing w:before="360" w:line="269" w:lineRule="auto"/>
        <w:rPr>
          <w:shd w:val="clear" w:color="auto" w:fill="FFFFFF"/>
        </w:rPr>
      </w:pPr>
      <w:r>
        <w:rPr>
          <w:noProof/>
          <w:lang w:eastAsia="pl-PL"/>
        </w:rPr>
        <w:t>Wykres 7</w:t>
      </w:r>
      <w:r w:rsidRPr="00A82F73">
        <w:rPr>
          <w:noProof/>
          <w:lang w:eastAsia="pl-PL"/>
        </w:rPr>
        <w:t xml:space="preserve">. Sytuacja ogólna gospodarstwa rolnego – zmiany w </w:t>
      </w:r>
      <w:r w:rsidR="002214CC">
        <w:rPr>
          <w:noProof/>
          <w:lang w:eastAsia="pl-PL"/>
        </w:rPr>
        <w:t>najbliższym półroczu</w:t>
      </w:r>
      <w:r>
        <w:rPr>
          <w:noProof/>
          <w:lang w:eastAsia="pl-PL"/>
        </w:rPr>
        <w:br/>
      </w:r>
      <w:r>
        <w:rPr>
          <w:noProof/>
          <w:lang w:eastAsia="pl-PL"/>
        </w:rPr>
        <w:drawing>
          <wp:inline distT="0" distB="0" distL="0" distR="0" wp14:anchorId="3EC4026B" wp14:editId="08574CA7">
            <wp:extent cx="5133975" cy="2562225"/>
            <wp:effectExtent l="0" t="0" r="0" b="0"/>
            <wp:docPr id="16" name="Wykres 16" descr="Wykres 7. Sytuacja ogólna gospodarstwa rolnego – zmiany w najbliższym półrocz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486192" w14:textId="5895055C" w:rsidR="002D67A4" w:rsidRPr="00432800" w:rsidRDefault="00312C6A" w:rsidP="00CC2CE0">
      <w:pPr>
        <w:rPr>
          <w:b/>
          <w:spacing w:val="-2"/>
          <w:sz w:val="18"/>
          <w:shd w:val="clear" w:color="auto" w:fill="FFFFFF"/>
        </w:rPr>
      </w:pPr>
      <w:r w:rsidRPr="00FB5B1B">
        <w:rPr>
          <w:rFonts w:ascii="Fira Sans SemiBold" w:hAnsi="Fira Sans SemiBold"/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1FD92B01" wp14:editId="7D9F0809">
                <wp:simplePos x="0" y="0"/>
                <wp:positionH relativeFrom="page">
                  <wp:posOffset>5712460</wp:posOffset>
                </wp:positionH>
                <wp:positionV relativeFrom="paragraph">
                  <wp:posOffset>2807970</wp:posOffset>
                </wp:positionV>
                <wp:extent cx="1781175" cy="1285875"/>
                <wp:effectExtent l="0" t="0" r="0" b="0"/>
                <wp:wrapTight wrapText="bothSides">
                  <wp:wrapPolygon edited="0">
                    <wp:start x="693" y="0"/>
                    <wp:lineTo x="693" y="21120"/>
                    <wp:lineTo x="20791" y="21120"/>
                    <wp:lineTo x="20791" y="0"/>
                    <wp:lineTo x="693" y="0"/>
                  </wp:wrapPolygon>
                </wp:wrapTight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35C" w14:textId="77777777" w:rsidR="00D67684" w:rsidRPr="00332E9B" w:rsidRDefault="00D67684" w:rsidP="00FB5B1B">
                            <w:pPr>
                              <w:pStyle w:val="tekstzboku"/>
                            </w:pPr>
                            <w:r>
                              <w:t>Negatywna ocena bieżącej opłacalności produkcji rolniczej została odnotowana wśród rolników prowadzących gospodarstwa indywidualne ukierunkowane na produkcję zwierzęcą.</w:t>
                            </w:r>
                          </w:p>
                          <w:p w14:paraId="57463799" w14:textId="77777777" w:rsidR="00D67684" w:rsidRPr="00D616D2" w:rsidRDefault="00D67684" w:rsidP="00FB5B1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2B01" id="_x0000_s1032" type="#_x0000_t202" style="position:absolute;margin-left:449.8pt;margin-top:221.1pt;width:140.25pt;height:101.2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" filled="f" stroked="f">
                <v:textbox>
                  <w:txbxContent>
                    <w:p w14:paraId="5033335C" w14:textId="77777777" w:rsidR="00D67684" w:rsidRPr="00332E9B" w:rsidRDefault="00D67684" w:rsidP="00FB5B1B">
                      <w:pPr>
                        <w:pStyle w:val="tekstzboku"/>
                      </w:pPr>
                      <w:r>
                        <w:t>Negatywna ocena bieżącej opłacalności produkcji rolniczej została odnotowana wśród rolników prowadzących gospodarstwa indywidualne ukierunkowane na produkcję zwierzęcą.</w:t>
                      </w:r>
                    </w:p>
                    <w:p w14:paraId="57463799" w14:textId="77777777" w:rsidR="00D67684" w:rsidRPr="00D616D2" w:rsidRDefault="00D67684" w:rsidP="00FB5B1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05B5">
        <w:rPr>
          <w:noProof/>
          <w:lang w:eastAsia="pl-PL"/>
        </w:rPr>
        <w:drawing>
          <wp:anchor distT="0" distB="0" distL="114300" distR="114300" simplePos="0" relativeHeight="251863040" behindDoc="1" locked="0" layoutInCell="1" allowOverlap="1" wp14:anchorId="720EC860" wp14:editId="1F7BB85E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13397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ight>
            <wp:docPr id="20" name="Wykres 20" descr="Wykres 8. Sytuacja ogólna gospodarstwa rolnego – zmiany w najbliższym półrocz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1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D26D91B" wp14:editId="2319CB34">
                <wp:simplePos x="0" y="0"/>
                <wp:positionH relativeFrom="page">
                  <wp:align>right</wp:align>
                </wp:positionH>
                <wp:positionV relativeFrom="paragraph">
                  <wp:posOffset>-610235</wp:posOffset>
                </wp:positionV>
                <wp:extent cx="1872000" cy="23468330"/>
                <wp:effectExtent l="0" t="0" r="0" b="127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BBBB87" w14:textId="77777777" w:rsidR="00D67684" w:rsidRPr="00FB5B1B" w:rsidRDefault="00D67684" w:rsidP="00FB5B1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B5B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Negatywna ocena bieżącej opłacalności produkcji rolniczej została odnotowana wśród rolników prowadzących gospodarstwa indywidualne ukierunkowane na produkcję zwierzęcą.</w:t>
                            </w:r>
                          </w:p>
                          <w:p w14:paraId="1EAD076F" w14:textId="77777777" w:rsidR="00D67684" w:rsidRDefault="00D67684" w:rsidP="00FB5B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6D91B" id="Prostokąt 52" o:spid="_x0000_s1033" style="position:absolute;margin-left:96.2pt;margin-top:-48.05pt;width:147.4pt;height:1847.9pt;z-index:-251514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" fillcolor="#f2f2f2" stroked="f" strokeweight="1pt">
                <v:textbox>
                  <w:txbxContent>
                    <w:p w14:paraId="5DBBBB87" w14:textId="77777777" w:rsidR="00D67684" w:rsidRPr="00FB5B1B" w:rsidRDefault="00D67684" w:rsidP="00FB5B1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B5B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Negatywna ocena bieżącej opłacalności produkcji rolniczej została odnotowana wśród rolników prowadzących gospodarstwa indywidualne ukierunkowane na produkcję zwierzęcą.</w:t>
                      </w:r>
                    </w:p>
                    <w:p w14:paraId="1EAD076F" w14:textId="77777777" w:rsidR="00D67684" w:rsidRDefault="00D67684" w:rsidP="00FB5B1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32800">
        <w:rPr>
          <w:b/>
          <w:spacing w:val="-2"/>
          <w:sz w:val="18"/>
          <w:shd w:val="clear" w:color="auto" w:fill="FFFFFF"/>
        </w:rPr>
        <w:t xml:space="preserve">Wykres 8. </w:t>
      </w:r>
      <w:r w:rsidR="00432800" w:rsidRPr="00432800">
        <w:rPr>
          <w:b/>
          <w:spacing w:val="-2"/>
          <w:sz w:val="18"/>
          <w:shd w:val="clear" w:color="auto" w:fill="FFFFFF"/>
        </w:rPr>
        <w:t>Sytuacja ogólna gospodarstwa rolnego – zmiany w najbliższym półroczu</w:t>
      </w:r>
      <w:r w:rsidR="004F1477" w:rsidRPr="004F1477">
        <w:rPr>
          <w:noProof/>
          <w:lang w:eastAsia="pl-PL"/>
        </w:rPr>
        <w:t xml:space="preserve"> </w:t>
      </w:r>
      <w:r w:rsidR="00432800">
        <w:rPr>
          <w:rFonts w:ascii="Fira Sans SemiBold" w:hAnsi="Fira Sans SemiBold"/>
          <w:color w:val="001D77"/>
          <w:szCs w:val="19"/>
          <w:shd w:val="clear" w:color="auto" w:fill="FFFFFF"/>
        </w:rPr>
        <w:br/>
      </w:r>
      <w:r w:rsidR="002D67A4" w:rsidRPr="002D67A4">
        <w:rPr>
          <w:rFonts w:ascii="Fira Sans SemiBold" w:hAnsi="Fira Sans SemiBold"/>
          <w:color w:val="001D77"/>
          <w:szCs w:val="19"/>
          <w:shd w:val="clear" w:color="auto" w:fill="FFFFFF"/>
        </w:rPr>
        <w:t>Ocena opłacalności produkcji rolniczej</w:t>
      </w:r>
    </w:p>
    <w:p w14:paraId="26D3ECF1" w14:textId="59042A3E" w:rsidR="002D67A4" w:rsidRPr="002D67A4" w:rsidRDefault="002D67A4" w:rsidP="00B12D4A">
      <w:pPr>
        <w:spacing w:before="0" w:line="288" w:lineRule="auto"/>
        <w:rPr>
          <w:szCs w:val="19"/>
        </w:rPr>
      </w:pPr>
      <w:r w:rsidRPr="002D67A4">
        <w:rPr>
          <w:noProof/>
          <w:szCs w:val="19"/>
          <w:lang w:eastAsia="pl-PL"/>
        </w:rPr>
        <w:t>Analogicznie jak w</w:t>
      </w:r>
      <w:r w:rsidRPr="002D67A4">
        <w:rPr>
          <w:szCs w:val="19"/>
        </w:rPr>
        <w:t xml:space="preserve"> poprzedniej edycji badania, rolnicy negatywnie ocenili bieżącą  opłacalność produkcji rolniczej. Saldo odpowiedzi nieznacznie pogorszyło się i wynosiło </w:t>
      </w:r>
      <w:r w:rsidR="001D0BDA">
        <w:rPr>
          <w:szCs w:val="19"/>
        </w:rPr>
        <w:t>–</w:t>
      </w:r>
      <w:r w:rsidRPr="002D67A4">
        <w:rPr>
          <w:szCs w:val="19"/>
        </w:rPr>
        <w:t xml:space="preserve"> </w:t>
      </w:r>
      <w:r w:rsidR="001D0BDA">
        <w:rPr>
          <w:szCs w:val="19"/>
        </w:rPr>
        <w:t>18,9</w:t>
      </w:r>
      <w:r w:rsidRPr="002D67A4">
        <w:rPr>
          <w:szCs w:val="19"/>
        </w:rPr>
        <w:t xml:space="preserve"> p. proc.  w </w:t>
      </w:r>
      <w:r w:rsidR="001D0BDA">
        <w:rPr>
          <w:szCs w:val="19"/>
        </w:rPr>
        <w:t>czerwcu 2022</w:t>
      </w:r>
      <w:r w:rsidRPr="002D67A4">
        <w:rPr>
          <w:szCs w:val="19"/>
        </w:rPr>
        <w:t xml:space="preserve"> r. wobec </w:t>
      </w:r>
      <w:r w:rsidR="00147685">
        <w:rPr>
          <w:szCs w:val="19"/>
        </w:rPr>
        <w:t>-</w:t>
      </w:r>
      <w:r w:rsidRPr="002D67A4">
        <w:rPr>
          <w:szCs w:val="19"/>
        </w:rPr>
        <w:t xml:space="preserve"> 1</w:t>
      </w:r>
      <w:r w:rsidR="00147685">
        <w:rPr>
          <w:szCs w:val="19"/>
        </w:rPr>
        <w:t>8,7</w:t>
      </w:r>
      <w:r w:rsidRPr="002D67A4">
        <w:rPr>
          <w:szCs w:val="19"/>
        </w:rPr>
        <w:t xml:space="preserve"> p. proc. w</w:t>
      </w:r>
      <w:r w:rsidR="00147685">
        <w:rPr>
          <w:szCs w:val="19"/>
        </w:rPr>
        <w:t xml:space="preserve"> grudniu</w:t>
      </w:r>
      <w:r w:rsidRPr="002D67A4">
        <w:rPr>
          <w:szCs w:val="19"/>
        </w:rPr>
        <w:t xml:space="preserve"> 2021 r.</w:t>
      </w:r>
    </w:p>
    <w:p w14:paraId="10B1F4E7" w14:textId="4B1E0CC7" w:rsidR="00432800" w:rsidRPr="002D67A4" w:rsidRDefault="002D67A4" w:rsidP="00B12D4A">
      <w:pPr>
        <w:spacing w:line="240" w:lineRule="auto"/>
        <w:outlineLvl w:val="0"/>
        <w:rPr>
          <w:b/>
          <w:sz w:val="18"/>
          <w:szCs w:val="18"/>
        </w:rPr>
      </w:pPr>
      <w:r w:rsidRPr="002D67A4">
        <w:rPr>
          <w:b/>
          <w:sz w:val="18"/>
          <w:szCs w:val="18"/>
        </w:rPr>
        <w:t>Tablica 3. Ocena opłacalności produkcji rolniczej</w:t>
      </w:r>
    </w:p>
    <w:tbl>
      <w:tblPr>
        <w:tblW w:w="8080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Ocena opłacalności produkcji rolniczej"/>
      </w:tblPr>
      <w:tblGrid>
        <w:gridCol w:w="1792"/>
        <w:gridCol w:w="1572"/>
        <w:gridCol w:w="1685"/>
        <w:gridCol w:w="1560"/>
        <w:gridCol w:w="1471"/>
      </w:tblGrid>
      <w:tr w:rsidR="00432800" w:rsidRPr="00432800" w14:paraId="0B0571A2" w14:textId="77777777" w:rsidTr="00B67BE1">
        <w:trPr>
          <w:trHeight w:hRule="exact" w:val="418"/>
        </w:trPr>
        <w:tc>
          <w:tcPr>
            <w:tcW w:w="1792" w:type="dxa"/>
            <w:vMerge w:val="restart"/>
            <w:shd w:val="clear" w:color="auto" w:fill="auto"/>
            <w:vAlign w:val="center"/>
            <w:hideMark/>
          </w:tcPr>
          <w:p w14:paraId="160D061B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Wyszczególnienie</w:t>
            </w:r>
          </w:p>
          <w:p w14:paraId="0CAFF887" w14:textId="77777777" w:rsidR="00432800" w:rsidRPr="00432800" w:rsidRDefault="00432800" w:rsidP="00432800">
            <w:pPr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 </w:t>
            </w:r>
          </w:p>
        </w:tc>
        <w:tc>
          <w:tcPr>
            <w:tcW w:w="4817" w:type="dxa"/>
            <w:gridSpan w:val="3"/>
            <w:shd w:val="clear" w:color="auto" w:fill="auto"/>
            <w:vAlign w:val="center"/>
            <w:hideMark/>
          </w:tcPr>
          <w:p w14:paraId="55DE07CB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Gospodarstwa rolne, w których bieżąca produkcja rolnicza była:</w:t>
            </w:r>
          </w:p>
        </w:tc>
        <w:tc>
          <w:tcPr>
            <w:tcW w:w="1471" w:type="dxa"/>
            <w:vMerge w:val="restart"/>
            <w:vAlign w:val="center"/>
          </w:tcPr>
          <w:p w14:paraId="41DDCBCA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Saldo</w:t>
            </w:r>
          </w:p>
          <w:p w14:paraId="74DFE470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odpowiedzi</w:t>
            </w:r>
          </w:p>
          <w:p w14:paraId="4C4B97A5" w14:textId="77777777" w:rsidR="00432800" w:rsidRPr="00432800" w:rsidRDefault="00432800" w:rsidP="00432800">
            <w:pPr>
              <w:jc w:val="center"/>
              <w:rPr>
                <w:i/>
                <w:sz w:val="16"/>
                <w:szCs w:val="16"/>
              </w:rPr>
            </w:pPr>
            <w:r w:rsidRPr="00432800">
              <w:rPr>
                <w:i/>
                <w:sz w:val="16"/>
                <w:szCs w:val="16"/>
              </w:rPr>
              <w:t>w p. proc.</w:t>
            </w:r>
          </w:p>
        </w:tc>
      </w:tr>
      <w:tr w:rsidR="00432800" w:rsidRPr="00432800" w14:paraId="77193859" w14:textId="77777777" w:rsidTr="00B67BE1">
        <w:trPr>
          <w:trHeight w:hRule="exact" w:val="664"/>
        </w:trPr>
        <w:tc>
          <w:tcPr>
            <w:tcW w:w="1792" w:type="dxa"/>
            <w:vMerge/>
            <w:shd w:val="clear" w:color="auto" w:fill="auto"/>
            <w:vAlign w:val="center"/>
            <w:hideMark/>
          </w:tcPr>
          <w:p w14:paraId="6AE4FB69" w14:textId="77777777" w:rsidR="00432800" w:rsidRPr="00432800" w:rsidRDefault="00432800" w:rsidP="00432800">
            <w:pPr>
              <w:rPr>
                <w:sz w:val="16"/>
                <w:szCs w:val="16"/>
              </w:rPr>
            </w:pP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D8DE7BF" w14:textId="77777777" w:rsidR="00432800" w:rsidRPr="00432800" w:rsidRDefault="00432800" w:rsidP="004328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opłacalna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78008D49" w14:textId="77777777" w:rsidR="00432800" w:rsidRPr="00432800" w:rsidRDefault="00432800" w:rsidP="004328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Brak</w:t>
            </w:r>
          </w:p>
          <w:p w14:paraId="48390FF2" w14:textId="77777777" w:rsidR="00432800" w:rsidRPr="00432800" w:rsidRDefault="00432800" w:rsidP="004328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zdecydowanej opinii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0259C71" w14:textId="77777777" w:rsidR="00432800" w:rsidRPr="00432800" w:rsidRDefault="00432800" w:rsidP="0043280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nieopłacalna</w:t>
            </w:r>
          </w:p>
        </w:tc>
        <w:tc>
          <w:tcPr>
            <w:tcW w:w="1471" w:type="dxa"/>
            <w:vMerge/>
            <w:vAlign w:val="center"/>
          </w:tcPr>
          <w:p w14:paraId="4DEF799C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</w:p>
        </w:tc>
      </w:tr>
      <w:tr w:rsidR="00432800" w:rsidRPr="00432800" w14:paraId="06051331" w14:textId="77777777" w:rsidTr="00B67BE1">
        <w:trPr>
          <w:trHeight w:hRule="exact" w:val="432"/>
        </w:trPr>
        <w:tc>
          <w:tcPr>
            <w:tcW w:w="1792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D93B701" w14:textId="77777777" w:rsidR="00432800" w:rsidRPr="00432800" w:rsidRDefault="00432800" w:rsidP="00432800">
            <w:pPr>
              <w:rPr>
                <w:sz w:val="16"/>
                <w:szCs w:val="16"/>
              </w:rPr>
            </w:pPr>
          </w:p>
        </w:tc>
        <w:tc>
          <w:tcPr>
            <w:tcW w:w="4817" w:type="dxa"/>
            <w:gridSpan w:val="3"/>
            <w:tcBorders>
              <w:bottom w:val="single" w:sz="12" w:space="0" w:color="001D77"/>
            </w:tcBorders>
            <w:shd w:val="clear" w:color="auto" w:fill="auto"/>
            <w:hideMark/>
          </w:tcPr>
          <w:p w14:paraId="46E060D4" w14:textId="77777777" w:rsidR="00432800" w:rsidRPr="00432800" w:rsidRDefault="00432800" w:rsidP="00432800">
            <w:pPr>
              <w:jc w:val="center"/>
              <w:rPr>
                <w:i/>
                <w:sz w:val="16"/>
                <w:szCs w:val="16"/>
              </w:rPr>
            </w:pPr>
            <w:r w:rsidRPr="00432800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471" w:type="dxa"/>
            <w:vMerge/>
            <w:tcBorders>
              <w:bottom w:val="single" w:sz="12" w:space="0" w:color="001D77"/>
            </w:tcBorders>
          </w:tcPr>
          <w:p w14:paraId="28EF7916" w14:textId="77777777" w:rsidR="00432800" w:rsidRPr="00432800" w:rsidRDefault="00432800" w:rsidP="00432800">
            <w:pPr>
              <w:jc w:val="center"/>
              <w:rPr>
                <w:sz w:val="16"/>
                <w:szCs w:val="16"/>
              </w:rPr>
            </w:pPr>
          </w:p>
        </w:tc>
      </w:tr>
      <w:tr w:rsidR="00432800" w:rsidRPr="00432800" w14:paraId="0A84274C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0BBDFC3F" w14:textId="77777777" w:rsidR="00432800" w:rsidRPr="00432800" w:rsidRDefault="00432800" w:rsidP="00432800">
            <w:pPr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282AE44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18,7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3A643514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58,2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15519F5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23,1</w:t>
            </w:r>
          </w:p>
        </w:tc>
        <w:tc>
          <w:tcPr>
            <w:tcW w:w="1471" w:type="dxa"/>
            <w:vAlign w:val="center"/>
          </w:tcPr>
          <w:p w14:paraId="28D18FBE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-4,4</w:t>
            </w:r>
          </w:p>
        </w:tc>
      </w:tr>
      <w:tr w:rsidR="00432800" w:rsidRPr="00432800" w14:paraId="6A402BCF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0AE435BA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2014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FEDCD00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11,0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10DE6E31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53,7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0360493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35,3</w:t>
            </w:r>
          </w:p>
        </w:tc>
        <w:tc>
          <w:tcPr>
            <w:tcW w:w="1471" w:type="dxa"/>
            <w:vAlign w:val="center"/>
          </w:tcPr>
          <w:p w14:paraId="735A4CC6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-24,3</w:t>
            </w:r>
          </w:p>
        </w:tc>
      </w:tr>
      <w:tr w:rsidR="00432800" w:rsidRPr="00432800" w14:paraId="64223C16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</w:tcPr>
          <w:p w14:paraId="3ADD82FC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572" w:type="dxa"/>
            <w:shd w:val="clear" w:color="auto" w:fill="auto"/>
            <w:vAlign w:val="center"/>
          </w:tcPr>
          <w:p w14:paraId="5EF6CEC5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9,6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3D673182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47,3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E32F2E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43,1</w:t>
            </w:r>
          </w:p>
        </w:tc>
        <w:tc>
          <w:tcPr>
            <w:tcW w:w="1471" w:type="dxa"/>
            <w:vAlign w:val="center"/>
          </w:tcPr>
          <w:p w14:paraId="3895C137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-33,5</w:t>
            </w:r>
          </w:p>
        </w:tc>
      </w:tr>
      <w:tr w:rsidR="00432800" w:rsidRPr="00432800" w14:paraId="2BC4DBEC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1068016B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2015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10B2F28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10,1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251CB75F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49,6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9B386F0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40,3</w:t>
            </w:r>
          </w:p>
        </w:tc>
        <w:tc>
          <w:tcPr>
            <w:tcW w:w="1471" w:type="dxa"/>
            <w:vAlign w:val="center"/>
          </w:tcPr>
          <w:p w14:paraId="574C78D8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-30,2</w:t>
            </w:r>
          </w:p>
        </w:tc>
      </w:tr>
      <w:tr w:rsidR="00432800" w:rsidRPr="00432800" w14:paraId="0DE6E7E8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3A35C454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2016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BB98AF4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13,5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58149492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53,6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8948E64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32,9</w:t>
            </w:r>
          </w:p>
        </w:tc>
        <w:tc>
          <w:tcPr>
            <w:tcW w:w="1471" w:type="dxa"/>
            <w:vAlign w:val="center"/>
          </w:tcPr>
          <w:p w14:paraId="662754A3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-19,4</w:t>
            </w:r>
          </w:p>
        </w:tc>
      </w:tr>
      <w:tr w:rsidR="00432800" w:rsidRPr="00432800" w14:paraId="536BD87C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6E5B57F7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2016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414A90C6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18,7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64A0C116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60,1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61C5BF0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21,2</w:t>
            </w:r>
          </w:p>
        </w:tc>
        <w:tc>
          <w:tcPr>
            <w:tcW w:w="1471" w:type="dxa"/>
            <w:vAlign w:val="center"/>
          </w:tcPr>
          <w:p w14:paraId="08FFABBB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-2,5</w:t>
            </w:r>
          </w:p>
        </w:tc>
      </w:tr>
      <w:tr w:rsidR="00432800" w:rsidRPr="00432800" w14:paraId="0D6ADB10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6B5CE5AF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2017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65E46634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23,3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0631CE02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58,7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FB8D288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18,0</w:t>
            </w:r>
          </w:p>
        </w:tc>
        <w:tc>
          <w:tcPr>
            <w:tcW w:w="1471" w:type="dxa"/>
            <w:vAlign w:val="center"/>
          </w:tcPr>
          <w:p w14:paraId="307180E7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5,3</w:t>
            </w:r>
          </w:p>
        </w:tc>
      </w:tr>
      <w:tr w:rsidR="00432800" w:rsidRPr="00432800" w14:paraId="1278EA32" w14:textId="77777777" w:rsidTr="00B67BE1">
        <w:trPr>
          <w:trHeight w:hRule="exact" w:val="454"/>
        </w:trPr>
        <w:tc>
          <w:tcPr>
            <w:tcW w:w="1792" w:type="dxa"/>
            <w:shd w:val="clear" w:color="auto" w:fill="auto"/>
            <w:vAlign w:val="center"/>
            <w:hideMark/>
          </w:tcPr>
          <w:p w14:paraId="5762B0AE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2017 r.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0020E213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22,0</w:t>
            </w:r>
          </w:p>
        </w:tc>
        <w:tc>
          <w:tcPr>
            <w:tcW w:w="1685" w:type="dxa"/>
            <w:shd w:val="clear" w:color="auto" w:fill="auto"/>
            <w:vAlign w:val="center"/>
            <w:hideMark/>
          </w:tcPr>
          <w:p w14:paraId="088DA4BC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58,5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CF56BC2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19,5</w:t>
            </w:r>
          </w:p>
        </w:tc>
        <w:tc>
          <w:tcPr>
            <w:tcW w:w="1471" w:type="dxa"/>
            <w:vAlign w:val="center"/>
          </w:tcPr>
          <w:p w14:paraId="2E33C0D1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2,5</w:t>
            </w:r>
          </w:p>
        </w:tc>
      </w:tr>
      <w:tr w:rsidR="00432800" w:rsidRPr="00432800" w14:paraId="4D518B24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BD3297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2018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4AAE0F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12,8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04622B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52,8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36FAF8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34,4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746AC6C" w14:textId="77777777" w:rsidR="00432800" w:rsidRPr="00432800" w:rsidRDefault="00432800" w:rsidP="00432800">
            <w:pPr>
              <w:jc w:val="right"/>
              <w:rPr>
                <w:bCs/>
                <w:sz w:val="16"/>
                <w:szCs w:val="16"/>
              </w:rPr>
            </w:pPr>
            <w:r w:rsidRPr="00432800">
              <w:rPr>
                <w:bCs/>
                <w:sz w:val="16"/>
                <w:szCs w:val="16"/>
              </w:rPr>
              <w:t>-21,6</w:t>
            </w:r>
          </w:p>
        </w:tc>
      </w:tr>
      <w:tr w:rsidR="00432800" w:rsidRPr="00432800" w14:paraId="2D58439D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53D119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2018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8990EF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14,4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8A0D66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57,0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30BD1A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28,6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D34703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-14,2</w:t>
            </w:r>
          </w:p>
        </w:tc>
      </w:tr>
      <w:tr w:rsidR="00432800" w:rsidRPr="00432800" w14:paraId="2092DE6D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26ABE3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2019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9CF2BE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14,5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191D3E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54,6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83B287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30,9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964F189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-16,4</w:t>
            </w:r>
          </w:p>
        </w:tc>
      </w:tr>
      <w:tr w:rsidR="00432800" w:rsidRPr="00432800" w14:paraId="2997D3FE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D6BC447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2019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55B8F9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17,1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A618D9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58,8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14285C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24,1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05CF7B6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-7,0</w:t>
            </w:r>
          </w:p>
        </w:tc>
      </w:tr>
      <w:tr w:rsidR="00432800" w:rsidRPr="00432800" w14:paraId="5D013CDA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AC7457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2020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F808DF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17,1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790FA0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58,5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596B4D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24,4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47664AE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-7,3</w:t>
            </w:r>
          </w:p>
        </w:tc>
      </w:tr>
      <w:tr w:rsidR="00432800" w:rsidRPr="00432800" w14:paraId="0103EA05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8868A4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Grudzień 2020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230F33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18,3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0B1D80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56.3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7788A5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25,4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0C21748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-7,1</w:t>
            </w:r>
          </w:p>
        </w:tc>
      </w:tr>
      <w:tr w:rsidR="00432800" w:rsidRPr="00432800" w14:paraId="4E755AD4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357286" w14:textId="77777777" w:rsidR="00432800" w:rsidRPr="00432800" w:rsidRDefault="00432800" w:rsidP="00432800">
            <w:pPr>
              <w:contextualSpacing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 xml:space="preserve">  Czerwiec 2021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7734B5" w14:textId="77777777" w:rsidR="00432800" w:rsidRPr="00432800" w:rsidRDefault="00432800" w:rsidP="00432800">
            <w:pPr>
              <w:contextualSpacing/>
              <w:jc w:val="right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15,0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2DC14E" w14:textId="77777777" w:rsidR="00432800" w:rsidRPr="00432800" w:rsidRDefault="00432800" w:rsidP="00432800">
            <w:pPr>
              <w:contextualSpacing/>
              <w:jc w:val="right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58,4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5DC2B7" w14:textId="77777777" w:rsidR="00432800" w:rsidRPr="00432800" w:rsidRDefault="00432800" w:rsidP="004328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32800">
              <w:rPr>
                <w:sz w:val="16"/>
                <w:szCs w:val="16"/>
              </w:rPr>
              <w:t>26,6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D039B9B" w14:textId="77777777" w:rsidR="00432800" w:rsidRPr="00432800" w:rsidRDefault="00432800" w:rsidP="00432800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432800">
              <w:rPr>
                <w:rFonts w:cs="Arial"/>
                <w:bCs/>
                <w:sz w:val="16"/>
                <w:szCs w:val="16"/>
              </w:rPr>
              <w:t>-11,6</w:t>
            </w:r>
          </w:p>
        </w:tc>
      </w:tr>
      <w:tr w:rsidR="00432800" w:rsidRPr="00432800" w14:paraId="245081F6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2A68D6" w14:textId="77777777" w:rsidR="00432800" w:rsidRPr="00C105B5" w:rsidRDefault="00432800" w:rsidP="00432800">
            <w:pPr>
              <w:contextualSpacing/>
              <w:rPr>
                <w:sz w:val="16"/>
                <w:szCs w:val="16"/>
              </w:rPr>
            </w:pPr>
            <w:r w:rsidRPr="00C105B5">
              <w:rPr>
                <w:sz w:val="16"/>
                <w:szCs w:val="16"/>
              </w:rPr>
              <w:t xml:space="preserve">  Grudzień 2021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0489DA" w14:textId="77777777" w:rsidR="00432800" w:rsidRPr="00C105B5" w:rsidRDefault="00432800" w:rsidP="00432800">
            <w:pPr>
              <w:contextualSpacing/>
              <w:jc w:val="right"/>
              <w:rPr>
                <w:sz w:val="16"/>
                <w:szCs w:val="16"/>
              </w:rPr>
            </w:pPr>
            <w:r w:rsidRPr="00C105B5">
              <w:rPr>
                <w:sz w:val="16"/>
                <w:szCs w:val="16"/>
              </w:rPr>
              <w:t>13,1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2914D6" w14:textId="77777777" w:rsidR="00432800" w:rsidRPr="00C105B5" w:rsidRDefault="00432800" w:rsidP="00432800">
            <w:pPr>
              <w:contextualSpacing/>
              <w:jc w:val="right"/>
              <w:rPr>
                <w:sz w:val="16"/>
                <w:szCs w:val="16"/>
              </w:rPr>
            </w:pPr>
            <w:r w:rsidRPr="00C105B5">
              <w:rPr>
                <w:sz w:val="16"/>
                <w:szCs w:val="16"/>
              </w:rPr>
              <w:t>55,1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1128C4" w14:textId="77777777" w:rsidR="00432800" w:rsidRPr="00C105B5" w:rsidRDefault="00432800" w:rsidP="00432800">
            <w:pPr>
              <w:contextualSpacing/>
              <w:jc w:val="right"/>
              <w:rPr>
                <w:sz w:val="16"/>
                <w:szCs w:val="16"/>
              </w:rPr>
            </w:pPr>
            <w:r w:rsidRPr="00C105B5">
              <w:rPr>
                <w:sz w:val="16"/>
                <w:szCs w:val="16"/>
              </w:rPr>
              <w:t>31,8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A55B012" w14:textId="77777777" w:rsidR="00432800" w:rsidRPr="00C105B5" w:rsidRDefault="00432800" w:rsidP="0043280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105B5">
              <w:rPr>
                <w:sz w:val="16"/>
                <w:szCs w:val="16"/>
              </w:rPr>
              <w:t>-18,7</w:t>
            </w:r>
          </w:p>
        </w:tc>
      </w:tr>
      <w:tr w:rsidR="00C105B5" w:rsidRPr="00432800" w14:paraId="03835B7B" w14:textId="77777777" w:rsidTr="00B67BE1">
        <w:trPr>
          <w:trHeight w:hRule="exact" w:val="454"/>
        </w:trPr>
        <w:tc>
          <w:tcPr>
            <w:tcW w:w="179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51955A" w14:textId="091CF6B0" w:rsidR="00C105B5" w:rsidRPr="00C105B5" w:rsidRDefault="00C105B5" w:rsidP="00432800">
            <w:pPr>
              <w:contextualSpacing/>
              <w:rPr>
                <w:b/>
                <w:sz w:val="16"/>
                <w:szCs w:val="16"/>
              </w:rPr>
            </w:pPr>
            <w:r w:rsidRPr="00C105B5">
              <w:rPr>
                <w:b/>
                <w:sz w:val="16"/>
                <w:szCs w:val="16"/>
              </w:rPr>
              <w:t xml:space="preserve">  Czerwiec 2022 r.</w:t>
            </w:r>
          </w:p>
        </w:tc>
        <w:tc>
          <w:tcPr>
            <w:tcW w:w="15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DB9188" w14:textId="506841F2" w:rsidR="00C105B5" w:rsidRPr="00C105B5" w:rsidRDefault="00C105B5" w:rsidP="00C105B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C105B5">
              <w:rPr>
                <w:b/>
                <w:sz w:val="16"/>
                <w:szCs w:val="16"/>
              </w:rPr>
              <w:t>12,9</w:t>
            </w:r>
          </w:p>
        </w:tc>
        <w:tc>
          <w:tcPr>
            <w:tcW w:w="16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6B0791" w14:textId="301DDB80" w:rsidR="00C105B5" w:rsidRPr="00C105B5" w:rsidRDefault="00C105B5" w:rsidP="00432800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55,3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0E1493" w14:textId="047A7D31" w:rsidR="00C105B5" w:rsidRPr="00C105B5" w:rsidRDefault="00C105B5" w:rsidP="00432800">
            <w:pPr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31,8</w:t>
            </w:r>
          </w:p>
        </w:tc>
        <w:tc>
          <w:tcPr>
            <w:tcW w:w="14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1382F82" w14:textId="0479D18A" w:rsidR="00C105B5" w:rsidRPr="00C105B5" w:rsidRDefault="00C105B5" w:rsidP="00432800">
            <w:pPr>
              <w:spacing w:before="0" w:after="0"/>
              <w:contextualSpacing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-18,9</w:t>
            </w:r>
          </w:p>
        </w:tc>
      </w:tr>
    </w:tbl>
    <w:p w14:paraId="207B4248" w14:textId="0E47F47C" w:rsidR="00FA6201" w:rsidRPr="00FA6201" w:rsidRDefault="00305FBA" w:rsidP="00FA6201">
      <w:pPr>
        <w:spacing w:line="288" w:lineRule="auto"/>
        <w:rPr>
          <w:szCs w:val="19"/>
        </w:rPr>
      </w:pPr>
      <w:r w:rsidRPr="00305FBA">
        <w:rPr>
          <w:szCs w:val="19"/>
        </w:rPr>
        <w:lastRenderedPageBreak/>
        <w:t xml:space="preserve">W czerwcu 2022 roku jedynie około 13% respondentów stwierdziło, że prowadzenie produkcji rolniczej jest opłacalne. </w:t>
      </w:r>
      <w:r w:rsidR="00354004" w:rsidRPr="00FA6201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6BC92FEC" wp14:editId="34D8436B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800225" cy="1762125"/>
                <wp:effectExtent l="0" t="0" r="0" b="0"/>
                <wp:wrapTight wrapText="bothSides">
                  <wp:wrapPolygon edited="0">
                    <wp:start x="686" y="0"/>
                    <wp:lineTo x="686" y="21250"/>
                    <wp:lineTo x="20800" y="21250"/>
                    <wp:lineTo x="20800" y="0"/>
                    <wp:lineTo x="686" y="0"/>
                  </wp:wrapPolygon>
                </wp:wrapTight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1C0E8" w14:textId="2C6DF101" w:rsidR="00D67684" w:rsidRPr="00035762" w:rsidRDefault="00D67684" w:rsidP="00FA6201">
                            <w:pPr>
                              <w:pStyle w:val="tekstzboku"/>
                            </w:pPr>
                            <w:r>
                              <w:t xml:space="preserve">Pesymistyczne opinie wyrażali użytkownicy gospodarstw rolnych bez względu na ich specjalizację.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2FEC" id="_x0000_s1034" type="#_x0000_t202" style="position:absolute;margin-left:90.55pt;margin-top:0;width:141.75pt;height:138.75pt;z-index:-2515087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" filled="f" stroked="f">
                <v:textbox>
                  <w:txbxContent>
                    <w:p w14:paraId="1901C0E8" w14:textId="2C6DF101" w:rsidR="00D67684" w:rsidRPr="00035762" w:rsidRDefault="00D67684" w:rsidP="00FA6201">
                      <w:pPr>
                        <w:pStyle w:val="tekstzboku"/>
                      </w:pPr>
                      <w:r>
                        <w:t xml:space="preserve">Pesymistyczne opinie wyrażali użytkownicy gospodarstw rolnych bez względu na ich specjalizację.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178" w:rsidRPr="00305FBA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4834C50" wp14:editId="053B4E3C">
                <wp:simplePos x="0" y="0"/>
                <wp:positionH relativeFrom="page">
                  <wp:posOffset>5705475</wp:posOffset>
                </wp:positionH>
                <wp:positionV relativeFrom="paragraph">
                  <wp:posOffset>-438149</wp:posOffset>
                </wp:positionV>
                <wp:extent cx="1919605" cy="23468330"/>
                <wp:effectExtent l="0" t="0" r="4445" b="127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605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B9DD5" id="Prostokąt 53" o:spid="_x0000_s1026" style="position:absolute;margin-left:449.25pt;margin-top:-34.5pt;width:151.15pt;height:1847.9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" fillcolor="#f2f2f2" stroked="f" strokeweight="1pt">
                <w10:wrap anchorx="page"/>
              </v:rect>
            </w:pict>
          </mc:Fallback>
        </mc:AlternateContent>
      </w:r>
      <w:r w:rsidR="00FA6201" w:rsidRPr="00FA6201">
        <w:rPr>
          <w:szCs w:val="19"/>
        </w:rPr>
        <w:t xml:space="preserve">Najbardziej negatywne oceny o  opłacalności produkcji rolniczej odnotowano u rolników prowadzących </w:t>
      </w:r>
      <w:r w:rsidR="001D0BDA">
        <w:rPr>
          <w:szCs w:val="19"/>
        </w:rPr>
        <w:t>uprawy</w:t>
      </w:r>
      <w:r w:rsidR="00A80178">
        <w:rPr>
          <w:szCs w:val="19"/>
        </w:rPr>
        <w:t xml:space="preserve"> ziemniaków,</w:t>
      </w:r>
      <w:r w:rsidR="001D0BDA">
        <w:rPr>
          <w:szCs w:val="19"/>
        </w:rPr>
        <w:t xml:space="preserve"> warzyw gruntowych i upraw pod osłonami</w:t>
      </w:r>
      <w:r w:rsidR="00FA6201" w:rsidRPr="00FA6201">
        <w:rPr>
          <w:szCs w:val="19"/>
        </w:rPr>
        <w:t>, hodowców specjalizujących się chowie drobiu nieśnego oraz prowadzących chów trzody chlewnej.</w:t>
      </w:r>
    </w:p>
    <w:p w14:paraId="45A6581C" w14:textId="212413BC" w:rsidR="00787BF9" w:rsidRDefault="00305FBA" w:rsidP="00787BF9">
      <w:pPr>
        <w:pStyle w:val="tytuwykresu"/>
        <w:spacing w:line="288" w:lineRule="auto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64064" behindDoc="1" locked="0" layoutInCell="1" allowOverlap="1" wp14:anchorId="67782272" wp14:editId="5A308FF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5133975" cy="2543175"/>
            <wp:effectExtent l="0" t="0" r="0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24" name="Wykres 24" descr="Wykres 9. Opłacalność produkcji rolniczej – zmiany w ostatnim półrocz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787BF9">
        <w:rPr>
          <w:szCs w:val="19"/>
        </w:rPr>
        <w:br/>
      </w:r>
      <w:r w:rsidR="00787BF9">
        <w:t>Wy</w:t>
      </w:r>
      <w:r w:rsidR="00787BF9" w:rsidRPr="00A36B9D">
        <w:t>kres 9.</w:t>
      </w:r>
      <w:r w:rsidR="00787BF9" w:rsidRPr="00A36B9D">
        <w:rPr>
          <w:shd w:val="clear" w:color="auto" w:fill="FFFFFF"/>
        </w:rPr>
        <w:t xml:space="preserve"> Opłacalność produkcji rolniczej – zmiany w ostatnim półroczu</w:t>
      </w:r>
    </w:p>
    <w:p w14:paraId="085203EB" w14:textId="77777777" w:rsidR="00305FBA" w:rsidRDefault="00F0723F" w:rsidP="00F0723F">
      <w:pPr>
        <w:pStyle w:val="tytuwykresu"/>
        <w:spacing w:before="24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865088" behindDoc="1" locked="0" layoutInCell="1" allowOverlap="1" wp14:anchorId="6D534D00" wp14:editId="289F01E7">
            <wp:simplePos x="0" y="0"/>
            <wp:positionH relativeFrom="margin">
              <wp:align>right</wp:align>
            </wp:positionH>
            <wp:positionV relativeFrom="paragraph">
              <wp:posOffset>3269615</wp:posOffset>
            </wp:positionV>
            <wp:extent cx="5122545" cy="2800350"/>
            <wp:effectExtent l="0" t="0" r="1905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26" name="Wykres 26" descr="Wykres 10. Opłacalność produkcji rolniczej – ocena bieżąc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FA6201">
        <w:rPr>
          <w:szCs w:val="19"/>
        </w:rPr>
        <w:br/>
      </w:r>
    </w:p>
    <w:p w14:paraId="1E1CFB7A" w14:textId="4D6D0D63" w:rsidR="00787BF9" w:rsidRPr="00787BF9" w:rsidRDefault="00787BF9" w:rsidP="00F0723F">
      <w:pPr>
        <w:pStyle w:val="tytuwykresu"/>
        <w:spacing w:before="240" w:line="240" w:lineRule="auto"/>
        <w:rPr>
          <w:shd w:val="clear" w:color="auto" w:fill="FFFFFF"/>
        </w:rPr>
      </w:pPr>
      <w:r w:rsidRPr="00787BF9">
        <w:t>Wykres 10.</w:t>
      </w:r>
      <w:r w:rsidRPr="00787BF9">
        <w:rPr>
          <w:shd w:val="clear" w:color="auto" w:fill="FFFFFF"/>
        </w:rPr>
        <w:t xml:space="preserve"> Opłacalność produkcji rolniczej – ocena bieżąca</w:t>
      </w:r>
    </w:p>
    <w:p w14:paraId="4E9A0B0E" w14:textId="536AEDD6" w:rsidR="00C372E4" w:rsidRDefault="00C372E4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378E40B4" w14:textId="2660616B" w:rsidR="00C372E4" w:rsidRPr="00C372E4" w:rsidRDefault="00A80178" w:rsidP="00926034">
      <w:pPr>
        <w:spacing w:before="360" w:line="240" w:lineRule="auto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899D30D" wp14:editId="7B2FFD61">
                <wp:simplePos x="0" y="0"/>
                <wp:positionH relativeFrom="page">
                  <wp:posOffset>5686425</wp:posOffset>
                </wp:positionH>
                <wp:positionV relativeFrom="paragraph">
                  <wp:posOffset>-457200</wp:posOffset>
                </wp:positionV>
                <wp:extent cx="1929130" cy="23468330"/>
                <wp:effectExtent l="0" t="0" r="0" b="127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6EF5C" id="Prostokąt 56" o:spid="_x0000_s1026" style="position:absolute;margin-left:447.75pt;margin-top:-36pt;width:151.9pt;height:1847.9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" fillcolor="#f2f2f2" stroked="f" strokeweight="1pt">
                <w10:wrap anchorx="page"/>
              </v:rect>
            </w:pict>
          </mc:Fallback>
        </mc:AlternateContent>
      </w:r>
      <w:r w:rsidR="00F0723F">
        <w:rPr>
          <w:noProof/>
          <w:lang w:eastAsia="pl-PL"/>
        </w:rPr>
        <w:drawing>
          <wp:anchor distT="0" distB="0" distL="114300" distR="114300" simplePos="0" relativeHeight="251866112" behindDoc="1" locked="0" layoutInCell="1" allowOverlap="1" wp14:anchorId="7BD0FAD4" wp14:editId="5484E613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1244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ight>
            <wp:docPr id="28" name="Wykres 28" descr="Wykres 11. Opłacalność produkcji rolniczej –  zmiany w najbliższym półrocz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2E4">
        <w:rPr>
          <w:b/>
          <w:spacing w:val="-2"/>
          <w:sz w:val="18"/>
        </w:rPr>
        <w:t xml:space="preserve">Wykres </w:t>
      </w:r>
      <w:r w:rsidR="00C372E4" w:rsidRPr="00C372E4">
        <w:rPr>
          <w:b/>
          <w:spacing w:val="-2"/>
          <w:sz w:val="18"/>
        </w:rPr>
        <w:t>11.</w:t>
      </w:r>
      <w:r w:rsidR="00C372E4" w:rsidRPr="00C372E4">
        <w:rPr>
          <w:b/>
          <w:spacing w:val="-2"/>
          <w:sz w:val="18"/>
          <w:shd w:val="clear" w:color="auto" w:fill="FFFFFF"/>
        </w:rPr>
        <w:t xml:space="preserve"> Opłacalność produkcji rolniczej –  zmiany w najbliższym półroczu</w:t>
      </w:r>
      <w:r w:rsidR="00F0723F" w:rsidRPr="00F0723F">
        <w:rPr>
          <w:noProof/>
          <w:lang w:eastAsia="pl-PL"/>
        </w:rPr>
        <w:t xml:space="preserve"> </w:t>
      </w:r>
    </w:p>
    <w:p w14:paraId="066716F6" w14:textId="75A30A0D" w:rsidR="00AB7311" w:rsidRPr="00AB7311" w:rsidRDefault="009235D4" w:rsidP="00B16AEE">
      <w:pPr>
        <w:pStyle w:val="Nagwek1"/>
        <w:spacing w:before="120"/>
      </w:pPr>
      <w:r w:rsidRPr="00AB7311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48181184" wp14:editId="5D321E96">
                <wp:simplePos x="0" y="0"/>
                <wp:positionH relativeFrom="column">
                  <wp:posOffset>5259705</wp:posOffset>
                </wp:positionH>
                <wp:positionV relativeFrom="paragraph">
                  <wp:posOffset>2769870</wp:posOffset>
                </wp:positionV>
                <wp:extent cx="1843405" cy="1114425"/>
                <wp:effectExtent l="0" t="0" r="0" b="0"/>
                <wp:wrapTight wrapText="bothSides">
                  <wp:wrapPolygon edited="0">
                    <wp:start x="670" y="0"/>
                    <wp:lineTo x="670" y="21046"/>
                    <wp:lineTo x="20759" y="21046"/>
                    <wp:lineTo x="20759" y="0"/>
                    <wp:lineTo x="670" y="0"/>
                  </wp:wrapPolygon>
                </wp:wrapTight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6B10" w14:textId="6FF564BC" w:rsidR="00D67684" w:rsidRPr="00332E9B" w:rsidRDefault="00D67684" w:rsidP="00AB7311">
                            <w:pPr>
                              <w:pStyle w:val="tekstzboku"/>
                            </w:pPr>
                            <w:r>
                              <w:t>Najbardziej pesymistyczni w ocenach popytu byli rolnicy specjalizujący się w chowie drobiu i trzody chlewnej.</w:t>
                            </w:r>
                          </w:p>
                          <w:p w14:paraId="3B57288B" w14:textId="77777777" w:rsidR="00D67684" w:rsidRPr="00D616D2" w:rsidRDefault="00D67684" w:rsidP="00AB731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81184" id="_x0000_s1035" type="#_x0000_t202" style="position:absolute;margin-left:414.15pt;margin-top:218.1pt;width:145.15pt;height:87.7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" filled="f" stroked="f">
                <v:textbox>
                  <w:txbxContent>
                    <w:p w14:paraId="6F4B6B10" w14:textId="6FF564BC" w:rsidR="00D67684" w:rsidRPr="00332E9B" w:rsidRDefault="00D67684" w:rsidP="00AB7311">
                      <w:pPr>
                        <w:pStyle w:val="tekstzboku"/>
                      </w:pPr>
                      <w:r>
                        <w:t>Najbardziej pesymistyczni w ocenach popytu byli rolnicy specjalizujący się w chowie drobiu i trzody chlewnej.</w:t>
                      </w:r>
                    </w:p>
                    <w:p w14:paraId="3B57288B" w14:textId="77777777" w:rsidR="00D67684" w:rsidRPr="00D616D2" w:rsidRDefault="00D67684" w:rsidP="00AB731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7311">
        <w:rPr>
          <w:b/>
          <w:spacing w:val="-2"/>
          <w:sz w:val="18"/>
          <w:shd w:val="clear" w:color="auto" w:fill="FFFFFF"/>
        </w:rPr>
        <w:br/>
      </w:r>
      <w:r w:rsidR="00AB7311" w:rsidRPr="00AB7311">
        <w:rPr>
          <w:noProof/>
          <w:spacing w:val="-2"/>
          <w:szCs w:val="19"/>
        </w:rPr>
        <w:t>Ocena popytu na produkty rolne</w:t>
      </w:r>
    </w:p>
    <w:p w14:paraId="4D38390C" w14:textId="242633C7" w:rsidR="009235D4" w:rsidRPr="00DA0870" w:rsidRDefault="00AB7311" w:rsidP="009235D4">
      <w:pPr>
        <w:spacing w:before="360" w:line="240" w:lineRule="auto"/>
        <w:outlineLvl w:val="0"/>
        <w:rPr>
          <w:b/>
          <w:spacing w:val="-2"/>
          <w:sz w:val="18"/>
          <w:shd w:val="clear" w:color="auto" w:fill="FFFFFF"/>
        </w:rPr>
      </w:pPr>
      <w:r w:rsidRPr="00A36B9D">
        <w:rPr>
          <w:szCs w:val="19"/>
        </w:rPr>
        <w:t xml:space="preserve">W porównaniu z wynikami </w:t>
      </w:r>
      <w:r w:rsidR="001D0BDA">
        <w:rPr>
          <w:szCs w:val="19"/>
        </w:rPr>
        <w:t xml:space="preserve">z </w:t>
      </w:r>
      <w:r w:rsidRPr="00A36B9D">
        <w:rPr>
          <w:szCs w:val="19"/>
        </w:rPr>
        <w:t xml:space="preserve">poprzedniej edycji badania </w:t>
      </w:r>
      <w:r>
        <w:rPr>
          <w:szCs w:val="19"/>
        </w:rPr>
        <w:t xml:space="preserve">opinie rolników w ocenie bieżącego popytu na wytwarzane w ich gospodarstwach produkty </w:t>
      </w:r>
      <w:r w:rsidR="001D0BDA">
        <w:rPr>
          <w:szCs w:val="19"/>
        </w:rPr>
        <w:t>były bardziej negatywne niż</w:t>
      </w:r>
      <w:r>
        <w:rPr>
          <w:szCs w:val="19"/>
        </w:rPr>
        <w:t xml:space="preserve"> w I</w:t>
      </w:r>
      <w:r w:rsidR="001D0BDA">
        <w:rPr>
          <w:szCs w:val="19"/>
        </w:rPr>
        <w:t>I</w:t>
      </w:r>
      <w:r>
        <w:rPr>
          <w:szCs w:val="19"/>
        </w:rPr>
        <w:t xml:space="preserve"> edycji badania 2021 r.</w:t>
      </w:r>
      <w:r w:rsidR="00354004">
        <w:rPr>
          <w:szCs w:val="19"/>
        </w:rPr>
        <w:t xml:space="preserve"> </w:t>
      </w:r>
      <w:r w:rsidR="009235D4">
        <w:rPr>
          <w:szCs w:val="19"/>
        </w:rPr>
        <w:br/>
      </w:r>
      <w:r w:rsidR="009235D4">
        <w:rPr>
          <w:szCs w:val="19"/>
        </w:rPr>
        <w:br/>
      </w:r>
      <w:r w:rsidR="009235D4" w:rsidRPr="00F57295">
        <w:rPr>
          <w:b/>
          <w:sz w:val="18"/>
          <w:szCs w:val="18"/>
        </w:rPr>
        <w:t>Tablica 4. Ocena popytu na produkty roln</w:t>
      </w:r>
      <w:r w:rsidR="009235D4">
        <w:rPr>
          <w:b/>
          <w:sz w:val="18"/>
          <w:szCs w:val="18"/>
        </w:rPr>
        <w:t>e</w:t>
      </w:r>
      <w:r w:rsidR="009235D4">
        <w:rPr>
          <w:b/>
          <w:sz w:val="18"/>
          <w:szCs w:val="18"/>
        </w:rPr>
        <w:br/>
      </w:r>
    </w:p>
    <w:tbl>
      <w:tblPr>
        <w:tblW w:w="8136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4. Ocena popytu na produkty rolne"/>
      </w:tblPr>
      <w:tblGrid>
        <w:gridCol w:w="2324"/>
        <w:gridCol w:w="1465"/>
        <w:gridCol w:w="1465"/>
        <w:gridCol w:w="47"/>
        <w:gridCol w:w="1418"/>
        <w:gridCol w:w="1417"/>
      </w:tblGrid>
      <w:tr w:rsidR="009235D4" w:rsidRPr="009235D4" w14:paraId="38F3884D" w14:textId="77777777" w:rsidTr="004C56BC">
        <w:trPr>
          <w:trHeight w:val="624"/>
        </w:trPr>
        <w:tc>
          <w:tcPr>
            <w:tcW w:w="2324" w:type="dxa"/>
            <w:vMerge w:val="restart"/>
            <w:shd w:val="clear" w:color="auto" w:fill="auto"/>
            <w:vAlign w:val="center"/>
            <w:hideMark/>
          </w:tcPr>
          <w:p w14:paraId="00F157D5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Wyszczególnienie</w:t>
            </w:r>
          </w:p>
          <w:p w14:paraId="45C32B05" w14:textId="77777777" w:rsidR="009235D4" w:rsidRPr="009235D4" w:rsidRDefault="009235D4" w:rsidP="009235D4">
            <w:pPr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 </w:t>
            </w:r>
          </w:p>
        </w:tc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6B5631D6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Gospodarstwa rolne, w których bieżący popyt na wytworzone produkty rolne był:</w:t>
            </w:r>
          </w:p>
        </w:tc>
        <w:tc>
          <w:tcPr>
            <w:tcW w:w="1417" w:type="dxa"/>
            <w:vMerge w:val="restart"/>
            <w:vAlign w:val="center"/>
          </w:tcPr>
          <w:p w14:paraId="64C2CDEF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Saldo</w:t>
            </w:r>
          </w:p>
          <w:p w14:paraId="206338F2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odpowiedzi</w:t>
            </w:r>
          </w:p>
          <w:p w14:paraId="198C5DB4" w14:textId="77777777" w:rsidR="009235D4" w:rsidRPr="009235D4" w:rsidRDefault="009235D4" w:rsidP="009235D4">
            <w:pPr>
              <w:jc w:val="center"/>
              <w:rPr>
                <w:i/>
                <w:sz w:val="16"/>
                <w:szCs w:val="16"/>
              </w:rPr>
            </w:pPr>
            <w:r w:rsidRPr="009235D4">
              <w:rPr>
                <w:i/>
                <w:sz w:val="16"/>
                <w:szCs w:val="16"/>
              </w:rPr>
              <w:t>w p. proc.</w:t>
            </w:r>
          </w:p>
        </w:tc>
      </w:tr>
      <w:tr w:rsidR="009235D4" w:rsidRPr="009235D4" w14:paraId="78F0E132" w14:textId="77777777" w:rsidTr="004C56BC">
        <w:trPr>
          <w:trHeight w:val="397"/>
        </w:trPr>
        <w:tc>
          <w:tcPr>
            <w:tcW w:w="2324" w:type="dxa"/>
            <w:vMerge/>
            <w:vAlign w:val="center"/>
            <w:hideMark/>
          </w:tcPr>
          <w:p w14:paraId="71C0B781" w14:textId="77777777" w:rsidR="009235D4" w:rsidRPr="009235D4" w:rsidRDefault="009235D4" w:rsidP="009235D4">
            <w:pPr>
              <w:rPr>
                <w:sz w:val="16"/>
                <w:szCs w:val="16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94CBF49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powyżej oczekiwań</w:t>
            </w:r>
          </w:p>
        </w:tc>
        <w:tc>
          <w:tcPr>
            <w:tcW w:w="1512" w:type="dxa"/>
            <w:gridSpan w:val="2"/>
            <w:shd w:val="clear" w:color="auto" w:fill="auto"/>
            <w:vAlign w:val="center"/>
            <w:hideMark/>
          </w:tcPr>
          <w:p w14:paraId="60530AE4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zgodny z oczekiwaniami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CD5AF95" w14:textId="77777777" w:rsidR="009235D4" w:rsidRPr="009235D4" w:rsidRDefault="009235D4" w:rsidP="009235D4">
            <w:pPr>
              <w:jc w:val="center"/>
              <w:rPr>
                <w:sz w:val="16"/>
                <w:szCs w:val="16"/>
                <w:highlight w:val="yellow"/>
              </w:rPr>
            </w:pPr>
            <w:r w:rsidRPr="009235D4">
              <w:rPr>
                <w:sz w:val="16"/>
                <w:szCs w:val="16"/>
              </w:rPr>
              <w:t>poniżej oczekiwań</w:t>
            </w:r>
          </w:p>
        </w:tc>
        <w:tc>
          <w:tcPr>
            <w:tcW w:w="1417" w:type="dxa"/>
            <w:vMerge/>
            <w:vAlign w:val="center"/>
          </w:tcPr>
          <w:p w14:paraId="5CBDD067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</w:p>
        </w:tc>
      </w:tr>
      <w:tr w:rsidR="009235D4" w:rsidRPr="009235D4" w14:paraId="7C3868B1" w14:textId="77777777" w:rsidTr="004C56BC">
        <w:trPr>
          <w:trHeight w:val="315"/>
        </w:trPr>
        <w:tc>
          <w:tcPr>
            <w:tcW w:w="2324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BFC3CF1" w14:textId="77777777" w:rsidR="009235D4" w:rsidRPr="009235D4" w:rsidRDefault="009235D4" w:rsidP="009235D4">
            <w:pPr>
              <w:rPr>
                <w:sz w:val="16"/>
                <w:szCs w:val="16"/>
              </w:rPr>
            </w:pPr>
          </w:p>
        </w:tc>
        <w:tc>
          <w:tcPr>
            <w:tcW w:w="4395" w:type="dxa"/>
            <w:gridSpan w:val="4"/>
            <w:tcBorders>
              <w:bottom w:val="single" w:sz="12" w:space="0" w:color="001D77"/>
            </w:tcBorders>
            <w:shd w:val="clear" w:color="auto" w:fill="auto"/>
            <w:hideMark/>
          </w:tcPr>
          <w:p w14:paraId="26BAB41B" w14:textId="77777777" w:rsidR="009235D4" w:rsidRPr="009235D4" w:rsidRDefault="009235D4" w:rsidP="009235D4">
            <w:pPr>
              <w:jc w:val="center"/>
              <w:rPr>
                <w:i/>
                <w:sz w:val="16"/>
                <w:szCs w:val="16"/>
              </w:rPr>
            </w:pPr>
            <w:r w:rsidRPr="009235D4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417" w:type="dxa"/>
            <w:vMerge/>
            <w:tcBorders>
              <w:bottom w:val="single" w:sz="12" w:space="0" w:color="001D77"/>
            </w:tcBorders>
          </w:tcPr>
          <w:p w14:paraId="639C3F61" w14:textId="77777777" w:rsidR="009235D4" w:rsidRPr="009235D4" w:rsidRDefault="009235D4" w:rsidP="009235D4">
            <w:pPr>
              <w:jc w:val="center"/>
              <w:rPr>
                <w:sz w:val="16"/>
                <w:szCs w:val="16"/>
              </w:rPr>
            </w:pPr>
          </w:p>
        </w:tc>
      </w:tr>
      <w:tr w:rsidR="009235D4" w:rsidRPr="009235D4" w14:paraId="7E18E78E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  <w:hideMark/>
          </w:tcPr>
          <w:p w14:paraId="1B154331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9BF7011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1,9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603AF7AB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61,3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14:paraId="513C3D80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36,8</w:t>
            </w:r>
          </w:p>
        </w:tc>
        <w:tc>
          <w:tcPr>
            <w:tcW w:w="1417" w:type="dxa"/>
            <w:vAlign w:val="center"/>
          </w:tcPr>
          <w:p w14:paraId="0F10444D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-34,9</w:t>
            </w:r>
          </w:p>
        </w:tc>
      </w:tr>
      <w:tr w:rsidR="009235D4" w:rsidRPr="009235D4" w14:paraId="6BC086B2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  <w:hideMark/>
          </w:tcPr>
          <w:p w14:paraId="1C782B86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2014 r.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14:paraId="492A6DC0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1,2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14:paraId="7BC12FD2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48,9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  <w:hideMark/>
          </w:tcPr>
          <w:p w14:paraId="3D5479A9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49,9</w:t>
            </w:r>
          </w:p>
        </w:tc>
        <w:tc>
          <w:tcPr>
            <w:tcW w:w="1417" w:type="dxa"/>
            <w:vAlign w:val="bottom"/>
          </w:tcPr>
          <w:p w14:paraId="6CCC114C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-48,7</w:t>
            </w:r>
          </w:p>
        </w:tc>
      </w:tr>
      <w:tr w:rsidR="009235D4" w:rsidRPr="009235D4" w14:paraId="4209AF13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</w:tcPr>
          <w:p w14:paraId="53FC3EB1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465" w:type="dxa"/>
            <w:shd w:val="clear" w:color="auto" w:fill="auto"/>
            <w:vAlign w:val="bottom"/>
          </w:tcPr>
          <w:p w14:paraId="0EFDF906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1,6</w:t>
            </w:r>
          </w:p>
        </w:tc>
        <w:tc>
          <w:tcPr>
            <w:tcW w:w="1465" w:type="dxa"/>
            <w:shd w:val="clear" w:color="auto" w:fill="auto"/>
            <w:vAlign w:val="bottom"/>
          </w:tcPr>
          <w:p w14:paraId="40472429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47,6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</w:tcPr>
          <w:p w14:paraId="04430F97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50,8</w:t>
            </w:r>
          </w:p>
        </w:tc>
        <w:tc>
          <w:tcPr>
            <w:tcW w:w="1417" w:type="dxa"/>
            <w:vAlign w:val="bottom"/>
          </w:tcPr>
          <w:p w14:paraId="1BB9CD67" w14:textId="77777777" w:rsidR="009235D4" w:rsidRPr="009235D4" w:rsidRDefault="009235D4" w:rsidP="009235D4">
            <w:pPr>
              <w:jc w:val="right"/>
              <w:rPr>
                <w:sz w:val="16"/>
                <w:szCs w:val="16"/>
              </w:rPr>
            </w:pPr>
            <w:r w:rsidRPr="009235D4">
              <w:rPr>
                <w:sz w:val="16"/>
                <w:szCs w:val="16"/>
              </w:rPr>
              <w:t>-49,2</w:t>
            </w:r>
          </w:p>
        </w:tc>
      </w:tr>
      <w:tr w:rsidR="009235D4" w:rsidRPr="009235D4" w14:paraId="7C26794C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  <w:hideMark/>
          </w:tcPr>
          <w:p w14:paraId="088E50C2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2015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6BCE8AF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1,6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283762FC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52,2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14:paraId="6FDD161D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46,2</w:t>
            </w:r>
          </w:p>
        </w:tc>
        <w:tc>
          <w:tcPr>
            <w:tcW w:w="1417" w:type="dxa"/>
            <w:vAlign w:val="center"/>
          </w:tcPr>
          <w:p w14:paraId="0FA65C10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-44,6</w:t>
            </w:r>
          </w:p>
        </w:tc>
      </w:tr>
      <w:tr w:rsidR="009235D4" w:rsidRPr="009235D4" w14:paraId="72EA12C6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  <w:hideMark/>
          </w:tcPr>
          <w:p w14:paraId="6B084E3F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2016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38AEA79F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2,3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F61456C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56,8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14:paraId="71B0FEB9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40,9</w:t>
            </w:r>
          </w:p>
        </w:tc>
        <w:tc>
          <w:tcPr>
            <w:tcW w:w="1417" w:type="dxa"/>
            <w:vAlign w:val="center"/>
          </w:tcPr>
          <w:p w14:paraId="2E28EBC8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-38,6</w:t>
            </w:r>
          </w:p>
        </w:tc>
      </w:tr>
      <w:tr w:rsidR="009235D4" w:rsidRPr="009235D4" w14:paraId="78A86552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</w:tcPr>
          <w:p w14:paraId="18DF1BD6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2016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423B956B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2,6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02DFF7F3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67,6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537E317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29,8</w:t>
            </w:r>
          </w:p>
        </w:tc>
        <w:tc>
          <w:tcPr>
            <w:tcW w:w="1417" w:type="dxa"/>
            <w:vAlign w:val="center"/>
          </w:tcPr>
          <w:p w14:paraId="2C0FE3F1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-27,2</w:t>
            </w:r>
          </w:p>
        </w:tc>
      </w:tr>
      <w:tr w:rsidR="009235D4" w:rsidRPr="009235D4" w14:paraId="350964E5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</w:tcPr>
          <w:p w14:paraId="6F43F3A5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2017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CE700B2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4,9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5127AF6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69,3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11042874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25,8</w:t>
            </w:r>
          </w:p>
        </w:tc>
        <w:tc>
          <w:tcPr>
            <w:tcW w:w="1417" w:type="dxa"/>
            <w:vAlign w:val="center"/>
          </w:tcPr>
          <w:p w14:paraId="6790B1FF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-20,9</w:t>
            </w:r>
          </w:p>
        </w:tc>
      </w:tr>
      <w:tr w:rsidR="009235D4" w:rsidRPr="009235D4" w14:paraId="57189873" w14:textId="77777777" w:rsidTr="004C56BC">
        <w:trPr>
          <w:trHeight w:hRule="exact" w:val="397"/>
        </w:trPr>
        <w:tc>
          <w:tcPr>
            <w:tcW w:w="2324" w:type="dxa"/>
            <w:shd w:val="clear" w:color="auto" w:fill="auto"/>
            <w:vAlign w:val="center"/>
          </w:tcPr>
          <w:p w14:paraId="44707630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2017 r.</w:t>
            </w:r>
          </w:p>
        </w:tc>
        <w:tc>
          <w:tcPr>
            <w:tcW w:w="1465" w:type="dxa"/>
            <w:shd w:val="clear" w:color="auto" w:fill="auto"/>
            <w:vAlign w:val="bottom"/>
          </w:tcPr>
          <w:p w14:paraId="2972F6D7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3,9</w:t>
            </w:r>
          </w:p>
        </w:tc>
        <w:tc>
          <w:tcPr>
            <w:tcW w:w="1465" w:type="dxa"/>
            <w:shd w:val="clear" w:color="auto" w:fill="auto"/>
            <w:vAlign w:val="bottom"/>
          </w:tcPr>
          <w:p w14:paraId="3A74630F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69,6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</w:tcPr>
          <w:p w14:paraId="1E08FED5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26,5</w:t>
            </w:r>
          </w:p>
        </w:tc>
        <w:tc>
          <w:tcPr>
            <w:tcW w:w="1417" w:type="dxa"/>
            <w:vAlign w:val="bottom"/>
          </w:tcPr>
          <w:p w14:paraId="5A24F6B0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-22,6</w:t>
            </w:r>
          </w:p>
        </w:tc>
      </w:tr>
      <w:tr w:rsidR="009235D4" w:rsidRPr="009235D4" w14:paraId="6AA94C11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9D5DCD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2018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245C22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2,2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EF7C50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58,8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80DB7B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39,0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14:paraId="4A70F665" w14:textId="77777777" w:rsidR="009235D4" w:rsidRPr="009235D4" w:rsidRDefault="009235D4" w:rsidP="009235D4">
            <w:pPr>
              <w:jc w:val="right"/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>-36,8</w:t>
            </w:r>
          </w:p>
        </w:tc>
      </w:tr>
      <w:tr w:rsidR="009235D4" w:rsidRPr="009235D4" w14:paraId="4DEE81B7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D81E09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2018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0534C2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3,8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C5C920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63,2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C19184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33,0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5F833F7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-29,2</w:t>
            </w:r>
          </w:p>
        </w:tc>
      </w:tr>
      <w:tr w:rsidR="009235D4" w:rsidRPr="009235D4" w14:paraId="0679E07B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F33467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2019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2E34F9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3,8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B32154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59,7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126A82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36,5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58CD2A6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-32,7</w:t>
            </w:r>
          </w:p>
        </w:tc>
      </w:tr>
      <w:tr w:rsidR="009235D4" w:rsidRPr="009235D4" w14:paraId="39BF3657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A58EAD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2019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5F3AF8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2,9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6617CE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66,2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AC2043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F5E8FCC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-28,0</w:t>
            </w:r>
          </w:p>
        </w:tc>
      </w:tr>
      <w:tr w:rsidR="009235D4" w:rsidRPr="009235D4" w14:paraId="32453A77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94680A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2020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684FEE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2,8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CF2086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65,1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1F7DF5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301292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-29,3</w:t>
            </w:r>
          </w:p>
        </w:tc>
      </w:tr>
      <w:tr w:rsidR="009235D4" w:rsidRPr="009235D4" w14:paraId="1D2E3CC0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0AF63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Grudzień  2020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B53FBB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3,8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5ACFCF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62,2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E3211A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34,0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879A14F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-30,2</w:t>
            </w:r>
          </w:p>
        </w:tc>
      </w:tr>
      <w:tr w:rsidR="009235D4" w:rsidRPr="009235D4" w14:paraId="32C263F8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DD5E8E" w14:textId="77777777" w:rsidR="009235D4" w:rsidRPr="009235D4" w:rsidRDefault="009235D4" w:rsidP="009235D4">
            <w:pPr>
              <w:rPr>
                <w:bCs/>
                <w:sz w:val="16"/>
                <w:szCs w:val="16"/>
              </w:rPr>
            </w:pPr>
            <w:r w:rsidRPr="009235D4">
              <w:rPr>
                <w:bCs/>
                <w:sz w:val="16"/>
                <w:szCs w:val="16"/>
              </w:rPr>
              <w:t xml:space="preserve">  Czerwiec 2021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812807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4,1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E98876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66,4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24CA58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29,5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17363A4" w14:textId="77777777" w:rsidR="009235D4" w:rsidRPr="009235D4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9235D4">
              <w:rPr>
                <w:rFonts w:cs="Arial"/>
                <w:bCs/>
                <w:sz w:val="16"/>
                <w:szCs w:val="16"/>
              </w:rPr>
              <w:t>-25,4</w:t>
            </w:r>
          </w:p>
        </w:tc>
      </w:tr>
      <w:tr w:rsidR="009235D4" w:rsidRPr="009235D4" w14:paraId="1F8045C5" w14:textId="77777777" w:rsidTr="00B16AEE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1EF51" w14:textId="77777777" w:rsidR="009235D4" w:rsidRPr="00B16AEE" w:rsidRDefault="009235D4" w:rsidP="009235D4">
            <w:pPr>
              <w:rPr>
                <w:bCs/>
                <w:sz w:val="16"/>
                <w:szCs w:val="16"/>
              </w:rPr>
            </w:pPr>
            <w:r w:rsidRPr="00B16AEE">
              <w:rPr>
                <w:bCs/>
                <w:sz w:val="16"/>
                <w:szCs w:val="16"/>
              </w:rPr>
              <w:t xml:space="preserve">  Grudzień  2021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6E88B" w14:textId="77777777" w:rsidR="009235D4" w:rsidRPr="00B16AEE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B16AEE">
              <w:rPr>
                <w:rFonts w:cs="Arial"/>
                <w:bCs/>
                <w:sz w:val="16"/>
                <w:szCs w:val="16"/>
              </w:rPr>
              <w:t>3,9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D3E879" w14:textId="77777777" w:rsidR="009235D4" w:rsidRPr="00B16AEE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B16AEE">
              <w:rPr>
                <w:rFonts w:cs="Arial"/>
                <w:bCs/>
                <w:sz w:val="16"/>
                <w:szCs w:val="16"/>
              </w:rPr>
              <w:t>67,1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8A4AD6" w14:textId="77777777" w:rsidR="009235D4" w:rsidRPr="00B16AEE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B16AEE">
              <w:rPr>
                <w:rFonts w:cs="Arial"/>
                <w:bCs/>
                <w:sz w:val="16"/>
                <w:szCs w:val="16"/>
              </w:rPr>
              <w:t>29,0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5665EEA0" w14:textId="77777777" w:rsidR="009235D4" w:rsidRPr="00B16AEE" w:rsidRDefault="009235D4" w:rsidP="009235D4">
            <w:pPr>
              <w:jc w:val="right"/>
              <w:rPr>
                <w:rFonts w:cs="Arial"/>
                <w:bCs/>
                <w:sz w:val="16"/>
                <w:szCs w:val="16"/>
              </w:rPr>
            </w:pPr>
            <w:r w:rsidRPr="00B16AEE">
              <w:rPr>
                <w:rFonts w:cs="Arial"/>
                <w:bCs/>
                <w:sz w:val="16"/>
                <w:szCs w:val="16"/>
              </w:rPr>
              <w:t>-25,1</w:t>
            </w:r>
          </w:p>
        </w:tc>
      </w:tr>
      <w:tr w:rsidR="00B16AEE" w:rsidRPr="009235D4" w14:paraId="56D99BA2" w14:textId="77777777" w:rsidTr="004C56BC">
        <w:trPr>
          <w:trHeight w:hRule="exact" w:val="397"/>
        </w:trPr>
        <w:tc>
          <w:tcPr>
            <w:tcW w:w="232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D14D15" w14:textId="1D494E79" w:rsidR="00B16AEE" w:rsidRPr="00B16AEE" w:rsidRDefault="00B16AEE" w:rsidP="009235D4">
            <w:pPr>
              <w:rPr>
                <w:b/>
                <w:bCs/>
                <w:sz w:val="16"/>
                <w:szCs w:val="16"/>
              </w:rPr>
            </w:pPr>
            <w:r w:rsidRPr="00B16AEE">
              <w:rPr>
                <w:b/>
                <w:bCs/>
                <w:sz w:val="16"/>
                <w:szCs w:val="16"/>
              </w:rPr>
              <w:t xml:space="preserve">  Czerwiec 2022 r.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F86D5ED" w14:textId="205449EE" w:rsidR="00B16AEE" w:rsidRPr="00B16AEE" w:rsidRDefault="00B16AEE" w:rsidP="009235D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16AEE">
              <w:rPr>
                <w:rFonts w:cs="Arial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14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2C9C0E2" w14:textId="5CA4FE5C" w:rsidR="00B16AEE" w:rsidRPr="00B16AEE" w:rsidRDefault="00B16AEE" w:rsidP="009235D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16AEE">
              <w:rPr>
                <w:rFonts w:cs="Arial"/>
                <w:b/>
                <w:bCs/>
                <w:sz w:val="16"/>
                <w:szCs w:val="16"/>
              </w:rPr>
              <w:t>65,6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0F98B7F" w14:textId="40BEF387" w:rsidR="00B16AEE" w:rsidRPr="00B16AEE" w:rsidRDefault="00B16AEE" w:rsidP="009235D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16AEE">
              <w:rPr>
                <w:rFonts w:cs="Arial"/>
                <w:b/>
                <w:bCs/>
                <w:sz w:val="16"/>
                <w:szCs w:val="16"/>
              </w:rPr>
              <w:t>35,1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</w:tcPr>
          <w:p w14:paraId="30696878" w14:textId="799BD47F" w:rsidR="00B16AEE" w:rsidRPr="00B16AEE" w:rsidRDefault="00B16AEE" w:rsidP="009235D4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16AEE">
              <w:rPr>
                <w:rFonts w:cs="Arial"/>
                <w:b/>
                <w:bCs/>
                <w:sz w:val="16"/>
                <w:szCs w:val="16"/>
              </w:rPr>
              <w:t>-31,8</w:t>
            </w:r>
          </w:p>
        </w:tc>
      </w:tr>
    </w:tbl>
    <w:bookmarkStart w:id="0" w:name="_GoBack"/>
    <w:p w14:paraId="302D4610" w14:textId="62E307DF" w:rsidR="00734E4A" w:rsidRPr="00734E4A" w:rsidRDefault="00734E4A" w:rsidP="00151765">
      <w:pPr>
        <w:spacing w:line="288" w:lineRule="auto"/>
        <w:rPr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4163ECD" wp14:editId="32DA6584">
                <wp:simplePos x="0" y="0"/>
                <wp:positionH relativeFrom="page">
                  <wp:align>right</wp:align>
                </wp:positionH>
                <wp:positionV relativeFrom="paragraph">
                  <wp:posOffset>-741045</wp:posOffset>
                </wp:positionV>
                <wp:extent cx="1872000" cy="23468330"/>
                <wp:effectExtent l="0" t="0" r="0" b="1270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234683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9AA42" id="Prostokąt 60" o:spid="_x0000_s1026" style="position:absolute;margin-left:96.2pt;margin-top:-58.35pt;width:147.4pt;height:1847.9pt;z-index:-25149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" fillcolor="#f2f2f2" stroked="f" strokeweight="1pt">
                <w10:wrap anchorx="page"/>
              </v:rect>
            </w:pict>
          </mc:Fallback>
        </mc:AlternateContent>
      </w:r>
      <w:bookmarkEnd w:id="0"/>
      <w:r w:rsidRPr="00734E4A">
        <w:rPr>
          <w:szCs w:val="19"/>
        </w:rPr>
        <w:t>Ponad 6</w:t>
      </w:r>
      <w:r w:rsidR="001D0BDA">
        <w:rPr>
          <w:szCs w:val="19"/>
        </w:rPr>
        <w:t>5</w:t>
      </w:r>
      <w:r w:rsidRPr="00734E4A">
        <w:rPr>
          <w:szCs w:val="19"/>
        </w:rPr>
        <w:t xml:space="preserve">% rolników uznało popyt za wystarczający, zgodny z ich oczekiwaniami. Około </w:t>
      </w:r>
      <w:r w:rsidR="001D0BDA">
        <w:rPr>
          <w:szCs w:val="19"/>
        </w:rPr>
        <w:t>3</w:t>
      </w:r>
      <w:r w:rsidRPr="00734E4A">
        <w:rPr>
          <w:szCs w:val="19"/>
        </w:rPr>
        <w:t xml:space="preserve">% stwierdziło, że popyt kształtuje się na poziomie powyżej ich oczekiwań, wobec niemal </w:t>
      </w:r>
      <w:r w:rsidR="001D0BDA">
        <w:rPr>
          <w:szCs w:val="19"/>
        </w:rPr>
        <w:t>31</w:t>
      </w:r>
      <w:r w:rsidRPr="00734E4A">
        <w:rPr>
          <w:szCs w:val="19"/>
        </w:rPr>
        <w:t>%  respondentów, którzy wskazali, że popyt jest niewystarczający. Negatywne opinie dotyczyły wszystkich użytkowników gospodarstw rolnych niezależnie od wielkości gospodarstwa i kierunku prowadzonej produkcji</w:t>
      </w:r>
      <w:r w:rsidR="00354004">
        <w:rPr>
          <w:szCs w:val="19"/>
        </w:rPr>
        <w:t xml:space="preserve"> rolnej</w:t>
      </w:r>
      <w:r w:rsidRPr="00734E4A">
        <w:rPr>
          <w:szCs w:val="19"/>
        </w:rPr>
        <w:t xml:space="preserve">. Najbardziej niezadowoleni z popytu na produkty rolne byli rolnicy prowadzący uprawy warzyw gruntowych, </w:t>
      </w:r>
      <w:r w:rsidR="00701013">
        <w:rPr>
          <w:szCs w:val="19"/>
        </w:rPr>
        <w:t>upraw pod osłonami</w:t>
      </w:r>
      <w:r w:rsidRPr="00734E4A">
        <w:rPr>
          <w:szCs w:val="19"/>
        </w:rPr>
        <w:t xml:space="preserve"> oraz hodowcy trzody chlewnej  i drobiu </w:t>
      </w:r>
      <w:r w:rsidR="00701013">
        <w:rPr>
          <w:szCs w:val="19"/>
        </w:rPr>
        <w:t>nieśnego</w:t>
      </w:r>
      <w:r w:rsidRPr="00734E4A">
        <w:rPr>
          <w:szCs w:val="19"/>
        </w:rPr>
        <w:t xml:space="preserve">. </w:t>
      </w:r>
    </w:p>
    <w:p w14:paraId="3AB1F29E" w14:textId="5498A24F" w:rsidR="00354004" w:rsidRPr="00734E4A" w:rsidRDefault="00354004" w:rsidP="00151765">
      <w:pPr>
        <w:spacing w:line="288" w:lineRule="auto"/>
        <w:rPr>
          <w:szCs w:val="19"/>
        </w:rPr>
      </w:pPr>
      <w:r>
        <w:rPr>
          <w:szCs w:val="19"/>
        </w:rPr>
        <w:t>Użytkownicy, którzy sygnalizowali zmianę wielkości sprzedaży w porównaniu do analogicznego półrocza poprzedniego roku wyrażali w większości negatywne opinie. Największy spadek sprzedaży odnotowano wśród użytkowników małych gospodarstw w szczególności prowadzących uprawy ziemniaków, warzyw gruntowych i uprawy pod osł</w:t>
      </w:r>
      <w:r w:rsidR="002D6A2F">
        <w:rPr>
          <w:szCs w:val="19"/>
        </w:rPr>
        <w:t xml:space="preserve">onami oraz hodowlę trzody chlewnej, drobiu nieśnego i owiec. </w:t>
      </w:r>
    </w:p>
    <w:p w14:paraId="29BFF9D2" w14:textId="2B1A0351" w:rsidR="00734E4A" w:rsidRPr="00734E4A" w:rsidRDefault="00734E4A" w:rsidP="00734E4A">
      <w:pPr>
        <w:rPr>
          <w:szCs w:val="19"/>
        </w:rPr>
      </w:pPr>
    </w:p>
    <w:p w14:paraId="44DFB838" w14:textId="267A7DAB" w:rsidR="00734E4A" w:rsidRPr="00734E4A" w:rsidRDefault="00734E4A" w:rsidP="00734E4A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34E4A">
        <w:rPr>
          <w:rFonts w:ascii="Fira Sans SemiBold" w:eastAsia="Times New Roman" w:hAnsi="Fira Sans SemiBold" w:cs="Times New Roman"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1DFE8EE6" wp14:editId="4795FE61">
                <wp:simplePos x="0" y="0"/>
                <wp:positionH relativeFrom="page">
                  <wp:align>right</wp:align>
                </wp:positionH>
                <wp:positionV relativeFrom="paragraph">
                  <wp:posOffset>86995</wp:posOffset>
                </wp:positionV>
                <wp:extent cx="1853565" cy="1123950"/>
                <wp:effectExtent l="0" t="0" r="0" b="0"/>
                <wp:wrapTight wrapText="bothSides">
                  <wp:wrapPolygon edited="0">
                    <wp:start x="666" y="0"/>
                    <wp:lineTo x="666" y="21234"/>
                    <wp:lineTo x="20867" y="21234"/>
                    <wp:lineTo x="20867" y="0"/>
                    <wp:lineTo x="666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87C7" w14:textId="505BFBFF" w:rsidR="00D67684" w:rsidRPr="00332E9B" w:rsidRDefault="00D67684" w:rsidP="00734E4A">
                            <w:pPr>
                              <w:pStyle w:val="tekstzboku"/>
                            </w:pPr>
                            <w:r>
                              <w:t>Najbardziej o swoją przyszłość obawiają się rolnicy prowadzący chów trzody chlewnej, a także rolnicy uprawę roślin przemysłowych.</w:t>
                            </w:r>
                          </w:p>
                          <w:p w14:paraId="4921C91D" w14:textId="77777777" w:rsidR="00D67684" w:rsidRPr="00D616D2" w:rsidRDefault="00D67684" w:rsidP="00734E4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8EE6" id="_x0000_s1036" type="#_x0000_t202" style="position:absolute;margin-left:94.75pt;margin-top:6.85pt;width:145.95pt;height:88.5pt;z-index:-2514933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" filled="f" stroked="f">
                <v:textbox>
                  <w:txbxContent>
                    <w:p w14:paraId="6CEC87C7" w14:textId="505BFBFF" w:rsidR="00D67684" w:rsidRPr="00332E9B" w:rsidRDefault="00D67684" w:rsidP="00734E4A">
                      <w:pPr>
                        <w:pStyle w:val="tekstzboku"/>
                      </w:pPr>
                      <w:r>
                        <w:t>Najbardziej o swoją przyszłość obawiają się rolnicy prowadzący chów trzody chlewnej, a także rolnicy uprawę roślin przemysłowych.</w:t>
                      </w:r>
                    </w:p>
                    <w:p w14:paraId="4921C91D" w14:textId="77777777" w:rsidR="00D67684" w:rsidRPr="00D616D2" w:rsidRDefault="00D67684" w:rsidP="00734E4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34E4A">
        <w:rPr>
          <w:rFonts w:ascii="Fira Sans SemiBold" w:eastAsia="Times New Roman" w:hAnsi="Fira Sans SemiBold" w:cs="Times New Roman"/>
          <w:bCs/>
          <w:noProof/>
          <w:color w:val="001D77"/>
          <w:spacing w:val="-2"/>
          <w:szCs w:val="19"/>
          <w:lang w:eastAsia="pl-PL"/>
        </w:rPr>
        <w:t>Prognoza  sytuacji gospodarstw rolnych</w:t>
      </w:r>
    </w:p>
    <w:p w14:paraId="55AB0865" w14:textId="6BA75F96" w:rsidR="00734E4A" w:rsidRPr="00734E4A" w:rsidRDefault="00734E4A" w:rsidP="00151765">
      <w:pPr>
        <w:spacing w:line="288" w:lineRule="auto"/>
        <w:rPr>
          <w:szCs w:val="19"/>
        </w:rPr>
      </w:pPr>
      <w:r w:rsidRPr="00734E4A">
        <w:rPr>
          <w:szCs w:val="19"/>
        </w:rPr>
        <w:t xml:space="preserve">W </w:t>
      </w:r>
      <w:r w:rsidR="00567CEA">
        <w:rPr>
          <w:szCs w:val="19"/>
        </w:rPr>
        <w:t>czerwcu 2022</w:t>
      </w:r>
      <w:r w:rsidRPr="00734E4A">
        <w:rPr>
          <w:szCs w:val="19"/>
        </w:rPr>
        <w:t xml:space="preserve"> r. prognozy dotyczące zarówno sytuacji ogólnej gospodarstw rolnych, opłacalności produkcji rolniczej, jak i popytu na wytwarzane produkty rolne były niekorzystne. </w:t>
      </w:r>
    </w:p>
    <w:p w14:paraId="1D6DF28B" w14:textId="157ADC1D" w:rsidR="00734E4A" w:rsidRPr="00734E4A" w:rsidRDefault="00734E4A" w:rsidP="00151765">
      <w:pPr>
        <w:spacing w:line="288" w:lineRule="auto"/>
        <w:rPr>
          <w:szCs w:val="19"/>
        </w:rPr>
      </w:pPr>
      <w:r w:rsidRPr="00734E4A">
        <w:rPr>
          <w:szCs w:val="19"/>
        </w:rPr>
        <w:t xml:space="preserve">Najbardziej o swoją przyszłość obawiają się użytkownicy gospodarstw prowadzący uprawy </w:t>
      </w:r>
      <w:r w:rsidR="00B93ECF">
        <w:rPr>
          <w:szCs w:val="19"/>
        </w:rPr>
        <w:t>buraków cukrowych, roślin przemysłowych</w:t>
      </w:r>
      <w:r w:rsidRPr="00734E4A">
        <w:rPr>
          <w:szCs w:val="19"/>
        </w:rPr>
        <w:t xml:space="preserve"> oraz hodowcy trzody chlewnej. Biorąc pod uwagę ukierunkowanie produkcyjne gospodarstw rolnych, najbardziej </w:t>
      </w:r>
      <w:r w:rsidR="00305FBA">
        <w:rPr>
          <w:szCs w:val="19"/>
        </w:rPr>
        <w:t>pesymistyczne</w:t>
      </w:r>
      <w:r w:rsidRPr="00734E4A">
        <w:rPr>
          <w:szCs w:val="19"/>
        </w:rPr>
        <w:t xml:space="preserve"> opinie wyrażali rolnicy specjalizujący się w chowie </w:t>
      </w:r>
      <w:r w:rsidR="00305FBA">
        <w:rPr>
          <w:szCs w:val="19"/>
        </w:rPr>
        <w:t>trzody chlewnej i bydła rzeźnego</w:t>
      </w:r>
      <w:r w:rsidRPr="00734E4A">
        <w:rPr>
          <w:szCs w:val="19"/>
        </w:rPr>
        <w:t xml:space="preserve">. Wśród gospodarstw nastawionych na produkcję roślinną, najbardziej </w:t>
      </w:r>
      <w:r w:rsidR="00305FBA">
        <w:rPr>
          <w:szCs w:val="19"/>
        </w:rPr>
        <w:t>pesymistycznie</w:t>
      </w:r>
      <w:r w:rsidRPr="00734E4A">
        <w:rPr>
          <w:szCs w:val="19"/>
        </w:rPr>
        <w:t xml:space="preserve"> nastawieni byli rolnicy specjalizujący się w uprawach </w:t>
      </w:r>
      <w:r w:rsidR="00305FBA">
        <w:rPr>
          <w:szCs w:val="19"/>
        </w:rPr>
        <w:t>roślin przemysłowych, w szczególności buraków cukrowych oraz warzyw gruntowych</w:t>
      </w:r>
      <w:r w:rsidRPr="00734E4A">
        <w:rPr>
          <w:szCs w:val="19"/>
        </w:rPr>
        <w:t xml:space="preserve">. </w:t>
      </w:r>
      <w:r w:rsidR="008C5B59">
        <w:rPr>
          <w:szCs w:val="19"/>
        </w:rPr>
        <w:br/>
      </w:r>
    </w:p>
    <w:p w14:paraId="20A777B7" w14:textId="77777777" w:rsidR="008C5B59" w:rsidRPr="008C5B59" w:rsidRDefault="008C5B59" w:rsidP="008C5B59">
      <w:pPr>
        <w:spacing w:line="240" w:lineRule="auto"/>
        <w:outlineLvl w:val="0"/>
        <w:rPr>
          <w:b/>
          <w:spacing w:val="-2"/>
          <w:sz w:val="18"/>
          <w:shd w:val="clear" w:color="auto" w:fill="FFFFFF"/>
        </w:rPr>
      </w:pPr>
      <w:r w:rsidRPr="008C5B59">
        <w:rPr>
          <w:b/>
          <w:spacing w:val="-2"/>
          <w:sz w:val="18"/>
        </w:rPr>
        <w:t>Wykres 12.</w:t>
      </w:r>
      <w:r w:rsidRPr="008C5B59">
        <w:rPr>
          <w:b/>
          <w:spacing w:val="-2"/>
          <w:sz w:val="18"/>
          <w:shd w:val="clear" w:color="auto" w:fill="FFFFFF"/>
        </w:rPr>
        <w:t xml:space="preserve"> Salda odpowiedzi dotyczące prognozowanej w I półroczu 2022 r. sytuacji ogólnej gospodarstw rolnych, opłacalności produkcji rolniczej oraz popytu na produkty rolne </w:t>
      </w:r>
    </w:p>
    <w:p w14:paraId="46053724" w14:textId="733589CE" w:rsidR="008C5B59" w:rsidRPr="00E13A41" w:rsidRDefault="00E13A41" w:rsidP="00E13A41">
      <w:pPr>
        <w:spacing w:before="360" w:line="240" w:lineRule="auto"/>
        <w:outlineLvl w:val="0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7F49653" wp14:editId="33431193">
            <wp:extent cx="5162550" cy="3000375"/>
            <wp:effectExtent l="0" t="0" r="0" b="0"/>
            <wp:docPr id="37" name="Wykres 37" descr="Wykres 12. Salda odpowiedzi dotyczące prognozowanej w I półroczu 2022 r. sytuacji ogólnej gospodarstw rolnych, opłacalności produkcji rolniczej oraz popytu na produkty rolne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FC10813" w14:textId="04AB6E24" w:rsidR="00FE263A" w:rsidRDefault="008C5B59" w:rsidP="008C5B59">
      <w:pPr>
        <w:tabs>
          <w:tab w:val="left" w:pos="5685"/>
        </w:tabs>
        <w:rPr>
          <w:sz w:val="18"/>
        </w:rPr>
      </w:pPr>
      <w:r>
        <w:rPr>
          <w:sz w:val="18"/>
        </w:rPr>
        <w:tab/>
      </w:r>
    </w:p>
    <w:p w14:paraId="3FAD02F1" w14:textId="1405950B" w:rsidR="00FE263A" w:rsidRDefault="00FE263A">
      <w:pPr>
        <w:spacing w:before="0" w:after="160" w:line="259" w:lineRule="auto"/>
        <w:rPr>
          <w:sz w:val="18"/>
        </w:rPr>
      </w:pPr>
    </w:p>
    <w:p w14:paraId="7D19089F" w14:textId="77777777" w:rsidR="008066F4" w:rsidRDefault="008066F4" w:rsidP="008066F4">
      <w:pPr>
        <w:spacing w:line="259" w:lineRule="auto"/>
        <w:rPr>
          <w:sz w:val="16"/>
          <w:szCs w:val="16"/>
        </w:rPr>
      </w:pPr>
      <w:r w:rsidRPr="008066F4">
        <w:rPr>
          <w:sz w:val="16"/>
          <w:szCs w:val="16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77124C49" w14:textId="77777777" w:rsidR="00B93ECF" w:rsidRPr="008066F4" w:rsidRDefault="00B93ECF" w:rsidP="008066F4">
      <w:pPr>
        <w:spacing w:line="259" w:lineRule="auto"/>
        <w:rPr>
          <w:sz w:val="16"/>
          <w:szCs w:val="16"/>
        </w:rPr>
      </w:pPr>
    </w:p>
    <w:tbl>
      <w:tblPr>
        <w:tblStyle w:val="Tabela-Siatka1"/>
        <w:tblW w:w="992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5001"/>
      </w:tblGrid>
      <w:tr w:rsidR="000A50C7" w:rsidRPr="000A50C7" w14:paraId="29FA4D79" w14:textId="77777777" w:rsidTr="00AF7A37">
        <w:trPr>
          <w:trHeight w:val="1626"/>
        </w:trPr>
        <w:tc>
          <w:tcPr>
            <w:tcW w:w="4926" w:type="dxa"/>
          </w:tcPr>
          <w:p w14:paraId="5A91EB25" w14:textId="77777777" w:rsidR="000A50C7" w:rsidRPr="000A50C7" w:rsidRDefault="000A50C7" w:rsidP="000A50C7">
            <w:pPr>
              <w:spacing w:before="0" w:after="0" w:line="276" w:lineRule="auto"/>
              <w:rPr>
                <w:rFonts w:eastAsia="Calibri" w:cs="Arial"/>
                <w:sz w:val="20"/>
              </w:rPr>
            </w:pPr>
            <w:r w:rsidRPr="000A50C7">
              <w:rPr>
                <w:rFonts w:eastAsia="Calibri" w:cs="Arial"/>
                <w:sz w:val="20"/>
              </w:rPr>
              <w:lastRenderedPageBreak/>
              <w:t>Opracowanie merytoryczne:</w:t>
            </w:r>
          </w:p>
          <w:p w14:paraId="2AF6D0CC" w14:textId="77777777" w:rsidR="000A50C7" w:rsidRPr="000A50C7" w:rsidRDefault="000A50C7" w:rsidP="000A50C7">
            <w:pPr>
              <w:spacing w:before="0" w:line="276" w:lineRule="auto"/>
              <w:rPr>
                <w:rFonts w:eastAsia="Calibri" w:cs="Arial"/>
                <w:b/>
                <w:color w:val="000000"/>
                <w:sz w:val="20"/>
              </w:rPr>
            </w:pPr>
            <w:r w:rsidRPr="000A50C7">
              <w:rPr>
                <w:rFonts w:eastAsia="Calibri" w:cs="Arial"/>
                <w:b/>
                <w:sz w:val="20"/>
              </w:rPr>
              <w:t>Urząd Statystyczny w Zielonej Górze</w:t>
            </w:r>
          </w:p>
          <w:p w14:paraId="59B4DA3B" w14:textId="77777777" w:rsidR="000A50C7" w:rsidRPr="000A50C7" w:rsidRDefault="000A50C7" w:rsidP="000A50C7">
            <w:pPr>
              <w:spacing w:before="0" w:after="0" w:line="276" w:lineRule="auto"/>
              <w:rPr>
                <w:rFonts w:eastAsia="Calibri" w:cs="Times New Roman"/>
                <w:b/>
                <w:lang w:val="fi-FI"/>
              </w:rPr>
            </w:pPr>
            <w:r w:rsidRPr="000A50C7">
              <w:rPr>
                <w:rFonts w:eastAsia="Calibri" w:cs="Times New Roman"/>
                <w:b/>
                <w:lang w:val="fi-FI"/>
              </w:rPr>
              <w:t>Dyrektor Roman Fedak</w:t>
            </w:r>
          </w:p>
          <w:p w14:paraId="0A24E526" w14:textId="77777777" w:rsidR="000A50C7" w:rsidRPr="000A50C7" w:rsidRDefault="000A50C7" w:rsidP="000A50C7">
            <w:pPr>
              <w:keepNext/>
              <w:keepLines/>
              <w:spacing w:before="0" w:line="240" w:lineRule="auto"/>
              <w:outlineLvl w:val="2"/>
              <w:rPr>
                <w:rFonts w:eastAsia="Times New Roman" w:cs="Arial"/>
                <w:color w:val="000000"/>
                <w:sz w:val="20"/>
                <w:szCs w:val="24"/>
                <w:lang w:val="fi-FI"/>
              </w:rPr>
            </w:pPr>
            <w:r w:rsidRPr="000A50C7">
              <w:rPr>
                <w:rFonts w:eastAsia="Times New Roman" w:cs="Arial"/>
                <w:color w:val="000000"/>
                <w:sz w:val="20"/>
                <w:szCs w:val="24"/>
                <w:lang w:val="fi-FI"/>
              </w:rPr>
              <w:t>Tel: 68 322 31 12</w:t>
            </w:r>
          </w:p>
        </w:tc>
        <w:tc>
          <w:tcPr>
            <w:tcW w:w="5001" w:type="dxa"/>
          </w:tcPr>
          <w:p w14:paraId="4477A2DE" w14:textId="77777777" w:rsidR="000A50C7" w:rsidRPr="000A50C7" w:rsidRDefault="000A50C7" w:rsidP="000A50C7">
            <w:pPr>
              <w:spacing w:before="0" w:line="276" w:lineRule="auto"/>
              <w:rPr>
                <w:rFonts w:eastAsia="Calibri" w:cs="Arial"/>
                <w:b/>
                <w:sz w:val="20"/>
              </w:rPr>
            </w:pPr>
            <w:r w:rsidRPr="000A50C7">
              <w:rPr>
                <w:rFonts w:eastAsia="Calibri" w:cs="Arial"/>
                <w:sz w:val="20"/>
              </w:rPr>
              <w:t>Rozpowszechnianie:</w:t>
            </w:r>
            <w:r w:rsidRPr="000A50C7">
              <w:rPr>
                <w:rFonts w:eastAsia="Calibri" w:cs="Arial"/>
                <w:sz w:val="20"/>
              </w:rPr>
              <w:br/>
            </w:r>
            <w:r w:rsidRPr="000A50C7">
              <w:rPr>
                <w:rFonts w:eastAsia="Calibri" w:cs="Arial"/>
                <w:b/>
                <w:sz w:val="20"/>
              </w:rPr>
              <w:t>Rzecznik Prasowy Prezesa GUS</w:t>
            </w:r>
          </w:p>
          <w:p w14:paraId="3CB0041A" w14:textId="77777777" w:rsidR="000A50C7" w:rsidRPr="000A50C7" w:rsidRDefault="000A50C7" w:rsidP="000A50C7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b/>
                <w:sz w:val="20"/>
                <w:szCs w:val="28"/>
              </w:rPr>
            </w:pPr>
            <w:r w:rsidRPr="000A50C7">
              <w:rPr>
                <w:rFonts w:eastAsia="Times New Roman" w:cs="Arial"/>
                <w:b/>
                <w:sz w:val="20"/>
                <w:szCs w:val="28"/>
              </w:rPr>
              <w:t>Karolina Banaszek</w:t>
            </w:r>
          </w:p>
          <w:p w14:paraId="479A3109" w14:textId="77777777" w:rsidR="000A50C7" w:rsidRPr="000A50C7" w:rsidRDefault="000A50C7" w:rsidP="000A50C7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sz w:val="20"/>
                <w:szCs w:val="24"/>
                <w:lang w:val="fi-FI"/>
              </w:rPr>
            </w:pPr>
            <w:r w:rsidRPr="000A50C7">
              <w:rPr>
                <w:rFonts w:eastAsia="Times New Roman" w:cs="Arial"/>
                <w:sz w:val="20"/>
                <w:szCs w:val="24"/>
                <w:lang w:val="fi-FI"/>
              </w:rPr>
              <w:t>Tel: 695 255 011</w:t>
            </w:r>
          </w:p>
          <w:p w14:paraId="01580D13" w14:textId="77777777" w:rsidR="000A50C7" w:rsidRPr="000A50C7" w:rsidRDefault="000A50C7" w:rsidP="000A50C7">
            <w:pPr>
              <w:rPr>
                <w:rFonts w:eastAsia="Calibri" w:cs="Times New Roman"/>
                <w:sz w:val="18"/>
              </w:rPr>
            </w:pPr>
          </w:p>
        </w:tc>
      </w:tr>
      <w:tr w:rsidR="000A50C7" w:rsidRPr="000A50C7" w14:paraId="16C6C531" w14:textId="77777777" w:rsidTr="00AF7A37">
        <w:trPr>
          <w:trHeight w:val="418"/>
        </w:trPr>
        <w:tc>
          <w:tcPr>
            <w:tcW w:w="4926" w:type="dxa"/>
            <w:vMerge w:val="restart"/>
          </w:tcPr>
          <w:p w14:paraId="027ADDF3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  <w:r w:rsidRPr="000A50C7">
              <w:rPr>
                <w:rFonts w:eastAsia="Calibri" w:cs="Times New Roman"/>
                <w:b/>
                <w:sz w:val="20"/>
              </w:rPr>
              <w:t xml:space="preserve">Wydział Współpracy z Mediami </w:t>
            </w:r>
          </w:p>
          <w:p w14:paraId="3EA15ABA" w14:textId="77777777" w:rsidR="000A50C7" w:rsidRPr="000A50C7" w:rsidRDefault="000A50C7" w:rsidP="000A50C7">
            <w:pPr>
              <w:rPr>
                <w:rFonts w:eastAsia="Calibri" w:cs="Times New Roman"/>
                <w:sz w:val="20"/>
              </w:rPr>
            </w:pPr>
            <w:r w:rsidRPr="000A50C7">
              <w:rPr>
                <w:rFonts w:eastAsia="Calibri" w:cs="Times New Roman"/>
                <w:sz w:val="20"/>
              </w:rPr>
              <w:t xml:space="preserve">Tel: 22 608 38 04 </w:t>
            </w:r>
          </w:p>
          <w:p w14:paraId="4F22708B" w14:textId="77777777" w:rsidR="000A50C7" w:rsidRPr="000A50C7" w:rsidRDefault="000A50C7" w:rsidP="000A50C7">
            <w:pPr>
              <w:rPr>
                <w:rFonts w:eastAsia="Calibri" w:cs="Times New Roman"/>
                <w:sz w:val="18"/>
                <w:lang w:val="en-US"/>
              </w:rPr>
            </w:pPr>
            <w:r w:rsidRPr="000A50C7">
              <w:rPr>
                <w:rFonts w:eastAsia="Calibri" w:cs="Times New Roman"/>
                <w:b/>
                <w:sz w:val="20"/>
                <w:lang w:val="en-GB"/>
              </w:rPr>
              <w:t>e-mail:</w:t>
            </w:r>
            <w:r w:rsidRPr="000A50C7">
              <w:rPr>
                <w:rFonts w:eastAsia="Calibri" w:cs="Times New Roman"/>
                <w:sz w:val="20"/>
                <w:lang w:val="en-GB"/>
              </w:rPr>
              <w:t xml:space="preserve"> </w:t>
            </w:r>
            <w:hyperlink r:id="rId22" w:history="1">
              <w:r w:rsidRPr="000A50C7">
                <w:rPr>
                  <w:rFonts w:eastAsia="Times New Roman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5001" w:type="dxa"/>
            <w:vAlign w:val="center"/>
          </w:tcPr>
          <w:p w14:paraId="77446AEC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18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703F8319" wp14:editId="4F955C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50C7">
              <w:rPr>
                <w:rFonts w:eastAsia="Calibri" w:cs="Times New Roman"/>
                <w:sz w:val="20"/>
              </w:rPr>
              <w:t>www.stat.gov.pl</w:t>
            </w:r>
          </w:p>
        </w:tc>
      </w:tr>
      <w:tr w:rsidR="000A50C7" w:rsidRPr="000A50C7" w14:paraId="3CF416AF" w14:textId="77777777" w:rsidTr="00AF7A37">
        <w:trPr>
          <w:trHeight w:val="418"/>
        </w:trPr>
        <w:tc>
          <w:tcPr>
            <w:tcW w:w="4926" w:type="dxa"/>
            <w:vMerge/>
          </w:tcPr>
          <w:p w14:paraId="62879A2D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</w:p>
        </w:tc>
        <w:tc>
          <w:tcPr>
            <w:tcW w:w="5001" w:type="dxa"/>
            <w:vAlign w:val="center"/>
          </w:tcPr>
          <w:p w14:paraId="0732A517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18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3001F5EC" wp14:editId="564428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50C7">
              <w:rPr>
                <w:rFonts w:eastAsia="Calibri" w:cs="Times New Roman"/>
                <w:sz w:val="20"/>
              </w:rPr>
              <w:t>@GUS_STAT</w:t>
            </w:r>
          </w:p>
        </w:tc>
      </w:tr>
      <w:tr w:rsidR="000A50C7" w:rsidRPr="000A50C7" w14:paraId="7FBE756D" w14:textId="77777777" w:rsidTr="00AF7A37">
        <w:trPr>
          <w:trHeight w:val="476"/>
        </w:trPr>
        <w:tc>
          <w:tcPr>
            <w:tcW w:w="4926" w:type="dxa"/>
            <w:vMerge/>
          </w:tcPr>
          <w:p w14:paraId="7B16FB4E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3BB3E755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18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0FCB6D24" wp14:editId="0A26BD0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50C7">
              <w:rPr>
                <w:rFonts w:eastAsia="Calibri" w:cs="Times New Roman"/>
                <w:sz w:val="20"/>
              </w:rPr>
              <w:t>@</w:t>
            </w:r>
            <w:proofErr w:type="spellStart"/>
            <w:r w:rsidRPr="000A50C7">
              <w:rPr>
                <w:rFonts w:eastAsia="Calibri" w:cs="Times New Roman"/>
                <w:sz w:val="20"/>
              </w:rPr>
              <w:t>GlownyUrzadStatystyczny</w:t>
            </w:r>
            <w:proofErr w:type="spellEnd"/>
          </w:p>
        </w:tc>
      </w:tr>
      <w:tr w:rsidR="000A50C7" w:rsidRPr="000A50C7" w14:paraId="1807E2AF" w14:textId="77777777" w:rsidTr="00AF7A37">
        <w:trPr>
          <w:trHeight w:val="476"/>
        </w:trPr>
        <w:tc>
          <w:tcPr>
            <w:tcW w:w="4926" w:type="dxa"/>
          </w:tcPr>
          <w:p w14:paraId="48ABD6BA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0359686D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20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0B2E3279" wp14:editId="065314A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" name="Obraz 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A50C7">
              <w:rPr>
                <w:rFonts w:eastAsia="Calibri" w:cs="Times New Roman"/>
                <w:sz w:val="20"/>
              </w:rPr>
              <w:t>gus_stat</w:t>
            </w:r>
            <w:proofErr w:type="spellEnd"/>
          </w:p>
        </w:tc>
      </w:tr>
      <w:tr w:rsidR="000A50C7" w:rsidRPr="000A50C7" w14:paraId="2761C8A0" w14:textId="77777777" w:rsidTr="00AF7A37">
        <w:trPr>
          <w:trHeight w:val="476"/>
        </w:trPr>
        <w:tc>
          <w:tcPr>
            <w:tcW w:w="4926" w:type="dxa"/>
          </w:tcPr>
          <w:p w14:paraId="01901930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1022F01A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20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3C4B9266" wp14:editId="3A3C1D1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4" name="Obraz 7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A50C7">
              <w:rPr>
                <w:rFonts w:eastAsia="Calibri" w:cs="Times New Roman"/>
                <w:sz w:val="20"/>
              </w:rPr>
              <w:t>glownyurzadstatystycznygus</w:t>
            </w:r>
            <w:proofErr w:type="spellEnd"/>
          </w:p>
        </w:tc>
      </w:tr>
      <w:tr w:rsidR="000A50C7" w:rsidRPr="000A50C7" w14:paraId="3C99C5BA" w14:textId="77777777" w:rsidTr="00AF7A37">
        <w:trPr>
          <w:trHeight w:val="953"/>
        </w:trPr>
        <w:tc>
          <w:tcPr>
            <w:tcW w:w="4926" w:type="dxa"/>
          </w:tcPr>
          <w:p w14:paraId="6D5A636C" w14:textId="77777777" w:rsidR="000A50C7" w:rsidRPr="000A50C7" w:rsidRDefault="000A50C7" w:rsidP="000A50C7">
            <w:pPr>
              <w:rPr>
                <w:rFonts w:eastAsia="Calibri" w:cs="Times New Roman"/>
                <w:b/>
                <w:sz w:val="20"/>
              </w:rPr>
            </w:pPr>
          </w:p>
        </w:tc>
        <w:tc>
          <w:tcPr>
            <w:tcW w:w="5001" w:type="dxa"/>
          </w:tcPr>
          <w:p w14:paraId="3FA51EC2" w14:textId="77777777" w:rsidR="000A50C7" w:rsidRPr="000A50C7" w:rsidRDefault="000A50C7" w:rsidP="000A50C7">
            <w:pPr>
              <w:ind w:firstLine="680"/>
              <w:rPr>
                <w:rFonts w:eastAsia="Calibri" w:cs="Times New Roman"/>
                <w:sz w:val="20"/>
              </w:rPr>
            </w:pP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t>glownyurzadstatystyczny</w:t>
            </w:r>
            <w:r w:rsidRPr="000A50C7">
              <w:rPr>
                <w:rFonts w:eastAsia="Calibri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2F349A27" wp14:editId="100A96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7" name="Obraz 2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0C7" w:rsidRPr="000A50C7" w14:paraId="3874B48E" w14:textId="77777777" w:rsidTr="00AF7A37">
        <w:trPr>
          <w:trHeight w:val="4114"/>
        </w:trPr>
        <w:tc>
          <w:tcPr>
            <w:tcW w:w="9927" w:type="dxa"/>
            <w:gridSpan w:val="2"/>
            <w:shd w:val="clear" w:color="auto" w:fill="D9D9D9"/>
          </w:tcPr>
          <w:p w14:paraId="724354D2" w14:textId="77777777" w:rsidR="000A50C7" w:rsidRPr="000A50C7" w:rsidRDefault="000A50C7" w:rsidP="000A50C7">
            <w:pPr>
              <w:shd w:val="clear" w:color="auto" w:fill="D9D9D9"/>
              <w:rPr>
                <w:rFonts w:eastAsia="Calibri" w:cs="Times New Roman"/>
                <w:b/>
              </w:rPr>
            </w:pPr>
            <w:r w:rsidRPr="000A50C7">
              <w:rPr>
                <w:rFonts w:eastAsia="Calibri" w:cs="Times New Roman"/>
                <w:b/>
              </w:rPr>
              <w:t>Powiązane opracowania</w:t>
            </w:r>
          </w:p>
          <w:p w14:paraId="1C19FDD8" w14:textId="77777777" w:rsidR="000A50C7" w:rsidRPr="000A50C7" w:rsidRDefault="00D67684" w:rsidP="000A50C7">
            <w:pPr>
              <w:rPr>
                <w:color w:val="001D77"/>
                <w:sz w:val="18"/>
                <w:szCs w:val="18"/>
              </w:rPr>
            </w:pPr>
            <w:hyperlink r:id="rId29" w:history="1">
              <w:r w:rsidR="000A50C7" w:rsidRPr="000A50C7">
                <w:rPr>
                  <w:color w:val="0000FF"/>
                  <w:sz w:val="18"/>
                  <w:szCs w:val="18"/>
                  <w:u w:val="single"/>
                </w:rPr>
                <w:t>Rolnictwo</w:t>
              </w:r>
            </w:hyperlink>
            <w:r w:rsidR="000A50C7" w:rsidRPr="000A50C7">
              <w:rPr>
                <w:color w:val="001D77"/>
                <w:sz w:val="18"/>
                <w:szCs w:val="18"/>
              </w:rPr>
              <w:t xml:space="preserve"> </w:t>
            </w:r>
          </w:p>
          <w:p w14:paraId="2C2BFD32" w14:textId="77777777" w:rsidR="000A50C7" w:rsidRPr="000A50C7" w:rsidRDefault="00D67684" w:rsidP="000A50C7">
            <w:pPr>
              <w:rPr>
                <w:rFonts w:eastAsia="Calibri" w:cs="Times New Roman"/>
              </w:rPr>
            </w:pPr>
            <w:hyperlink r:id="rId30" w:history="1">
              <w:r w:rsidR="000A50C7" w:rsidRPr="000A50C7">
                <w:rPr>
                  <w:rFonts w:eastAsia="Calibri" w:cs="Times New Roman"/>
                  <w:color w:val="0000FF"/>
                  <w:u w:val="single"/>
                </w:rPr>
                <w:t>Koniunktura</w:t>
              </w:r>
            </w:hyperlink>
          </w:p>
          <w:p w14:paraId="2E9D23B5" w14:textId="0EB812F9" w:rsidR="000A50C7" w:rsidRPr="000A50C7" w:rsidRDefault="002C604A" w:rsidP="000A50C7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Informacja</w:t>
            </w:r>
            <w:r w:rsidR="000A50C7" w:rsidRPr="000A50C7">
              <w:rPr>
                <w:rFonts w:eastAsia="Calibri" w:cs="Times New Roman"/>
              </w:rPr>
              <w:t xml:space="preserve"> sygnaln</w:t>
            </w:r>
            <w:r>
              <w:rPr>
                <w:rFonts w:eastAsia="Calibri" w:cs="Times New Roman"/>
              </w:rPr>
              <w:t>a</w:t>
            </w:r>
            <w:r w:rsidR="000A50C7" w:rsidRPr="000A50C7">
              <w:rPr>
                <w:rFonts w:eastAsia="Calibri" w:cs="Times New Roman"/>
              </w:rPr>
              <w:t xml:space="preserve"> – opinie formułowane przez użytkowników gospodarstw indywidualnych oraz jednostki prawne i niemające osobowości prawnej</w:t>
            </w:r>
          </w:p>
          <w:p w14:paraId="5D6FA79A" w14:textId="77777777" w:rsidR="000A50C7" w:rsidRPr="000A50C7" w:rsidRDefault="000A50C7" w:rsidP="000A50C7">
            <w:pPr>
              <w:shd w:val="clear" w:color="auto" w:fill="D9D9D9"/>
              <w:spacing w:before="360"/>
              <w:rPr>
                <w:rFonts w:eastAsia="Calibri" w:cs="Times New Roman"/>
                <w:b/>
                <w:color w:val="000000"/>
                <w:szCs w:val="24"/>
              </w:rPr>
            </w:pPr>
            <w:r w:rsidRPr="000A50C7">
              <w:rPr>
                <w:rFonts w:eastAsia="Calibri" w:cs="Times New Roman"/>
                <w:b/>
                <w:color w:val="000000"/>
                <w:szCs w:val="24"/>
              </w:rPr>
              <w:t>Ważniejsze pojęcia dostępne w słowniku</w:t>
            </w:r>
          </w:p>
          <w:p w14:paraId="1F7D9869" w14:textId="77777777" w:rsidR="000A50C7" w:rsidRPr="000A50C7" w:rsidRDefault="00D67684" w:rsidP="000A50C7">
            <w:pPr>
              <w:rPr>
                <w:color w:val="001D77"/>
                <w:sz w:val="18"/>
                <w:szCs w:val="18"/>
              </w:rPr>
            </w:pPr>
            <w:hyperlink r:id="rId31" w:history="1">
              <w:r w:rsidR="000A50C7" w:rsidRPr="000A50C7">
                <w:rPr>
                  <w:color w:val="001D77"/>
                  <w:sz w:val="18"/>
                  <w:szCs w:val="18"/>
                  <w:u w:val="single"/>
                </w:rPr>
                <w:t>Gospodarstwo rolne</w:t>
              </w:r>
            </w:hyperlink>
          </w:p>
          <w:p w14:paraId="304CC957" w14:textId="77777777" w:rsidR="000A50C7" w:rsidRPr="000A50C7" w:rsidRDefault="00D67684" w:rsidP="000A50C7">
            <w:pPr>
              <w:rPr>
                <w:color w:val="001D77"/>
                <w:sz w:val="18"/>
                <w:szCs w:val="18"/>
              </w:rPr>
            </w:pPr>
            <w:hyperlink r:id="rId32" w:history="1">
              <w:r w:rsidR="000A50C7" w:rsidRPr="000A50C7">
                <w:rPr>
                  <w:color w:val="001D77"/>
                  <w:sz w:val="18"/>
                  <w:szCs w:val="18"/>
                  <w:u w:val="single"/>
                </w:rPr>
                <w:t>Działalność rolnicza</w:t>
              </w:r>
            </w:hyperlink>
          </w:p>
          <w:p w14:paraId="0CD4D63E" w14:textId="77777777" w:rsidR="000A50C7" w:rsidRPr="000A50C7" w:rsidRDefault="00D67684" w:rsidP="000A50C7">
            <w:pPr>
              <w:rPr>
                <w:color w:val="001D77"/>
                <w:sz w:val="18"/>
                <w:szCs w:val="18"/>
              </w:rPr>
            </w:pPr>
            <w:hyperlink r:id="rId33" w:history="1">
              <w:r w:rsidR="000A50C7" w:rsidRPr="000A50C7">
                <w:rPr>
                  <w:color w:val="001D77"/>
                  <w:sz w:val="18"/>
                  <w:szCs w:val="18"/>
                  <w:u w:val="single"/>
                </w:rPr>
                <w:t>Koniunktura</w:t>
              </w:r>
            </w:hyperlink>
          </w:p>
          <w:p w14:paraId="5C2BAE83" w14:textId="77777777" w:rsidR="000A50C7" w:rsidRPr="000A50C7" w:rsidRDefault="00D67684" w:rsidP="000A50C7">
            <w:pPr>
              <w:rPr>
                <w:color w:val="001D77"/>
                <w:sz w:val="18"/>
                <w:szCs w:val="18"/>
              </w:rPr>
            </w:pPr>
            <w:hyperlink r:id="rId34" w:history="1">
              <w:r w:rsidR="000A50C7" w:rsidRPr="000A50C7">
                <w:rPr>
                  <w:color w:val="001D77"/>
                  <w:sz w:val="18"/>
                  <w:szCs w:val="18"/>
                  <w:u w:val="single"/>
                </w:rPr>
                <w:t>Popyt</w:t>
              </w:r>
            </w:hyperlink>
          </w:p>
          <w:p w14:paraId="12D2B4F4" w14:textId="77777777" w:rsidR="000A50C7" w:rsidRPr="000A50C7" w:rsidRDefault="000A50C7" w:rsidP="000A50C7">
            <w:pPr>
              <w:rPr>
                <w:rFonts w:eastAsia="Calibri" w:cs="Times New Roman"/>
                <w:b/>
                <w:color w:val="000000"/>
                <w:szCs w:val="24"/>
                <w:lang w:val="en-GB"/>
              </w:rPr>
            </w:pPr>
          </w:p>
        </w:tc>
      </w:tr>
    </w:tbl>
    <w:p w14:paraId="3D1D92A9" w14:textId="69437B74" w:rsidR="002B0C5F" w:rsidRPr="008C5B59" w:rsidRDefault="002B0C5F" w:rsidP="00F14EEA">
      <w:pPr>
        <w:tabs>
          <w:tab w:val="left" w:pos="5685"/>
        </w:tabs>
        <w:spacing w:before="360" w:line="288" w:lineRule="auto"/>
        <w:rPr>
          <w:sz w:val="18"/>
        </w:rPr>
      </w:pPr>
    </w:p>
    <w:sectPr w:rsidR="002B0C5F" w:rsidRPr="008C5B59" w:rsidSect="000A4356">
      <w:footerReference w:type="default" r:id="rId35"/>
      <w:headerReference w:type="first" r:id="rId36"/>
      <w:pgSz w:w="11906" w:h="16838"/>
      <w:pgMar w:top="720" w:right="3119" w:bottom="720" w:left="720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92D06" w14:textId="77777777" w:rsidR="00D67684" w:rsidRDefault="00D67684" w:rsidP="000662E2">
      <w:pPr>
        <w:spacing w:after="0" w:line="240" w:lineRule="auto"/>
      </w:pPr>
      <w:r>
        <w:separator/>
      </w:r>
    </w:p>
  </w:endnote>
  <w:endnote w:type="continuationSeparator" w:id="0">
    <w:p w14:paraId="6B496018" w14:textId="77777777" w:rsidR="00D67684" w:rsidRDefault="00D676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E00B04C-A28D-4FD6-9E12-DB59B0692679}"/>
    <w:embedBold r:id="rId2" w:fontKey="{EE0198B7-1BF5-4741-9E01-2D728AA6B1E5}"/>
    <w:embedItalic r:id="rId3" w:fontKey="{7BB9F5BF-567A-49EF-B310-D85299E57F3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A694832-6231-4520-96E1-5C3D57514AAA}"/>
    <w:embedBold r:id="rId5" w:fontKey="{BAD1603E-0ADB-45FC-AB05-9598611A203E}"/>
    <w:embedItalic r:id="rId6" w:fontKey="{606311C4-BABD-47C4-9E78-9CBA7B8360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4428DE-D754-4403-9D8A-309252118B86}"/>
    <w:embedBold r:id="rId8" w:fontKey="{40045A1A-A29A-4C18-9AF9-32B3C694E5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59BDE73-93DA-4D19-A9FC-500057822625}"/>
    <w:embedItalic r:id="rId10" w:fontKey="{4E2D1073-BC60-479F-B919-5BC04A9645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58CDD33-A16D-49E5-AE0F-EA4E833837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F691390-F22D-4289-B256-9858633432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9080A50-F73C-4049-A75F-EADD982815E4}"/>
    <w:embedBold r:id="rId14" w:fontKey="{4531B067-BC39-487C-B519-3CCC416A53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D67684" w:rsidRDefault="00D6768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9FB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6D6A7" w14:textId="77777777" w:rsidR="00D67684" w:rsidRDefault="00D67684" w:rsidP="000662E2">
      <w:pPr>
        <w:spacing w:after="0" w:line="240" w:lineRule="auto"/>
      </w:pPr>
      <w:r>
        <w:separator/>
      </w:r>
    </w:p>
  </w:footnote>
  <w:footnote w:type="continuationSeparator" w:id="0">
    <w:p w14:paraId="40D701A4" w14:textId="77777777" w:rsidR="00D67684" w:rsidRDefault="00D676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8C0F2" w14:textId="6F8ED4DC" w:rsidR="00D67684" w:rsidRDefault="00D67684" w:rsidP="00744E47">
    <w:pPr>
      <w:pStyle w:val="Nagwek"/>
      <w:tabs>
        <w:tab w:val="clear" w:pos="4536"/>
        <w:tab w:val="clear" w:pos="9072"/>
        <w:tab w:val="left" w:pos="3600"/>
      </w:tabs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93772B7" wp14:editId="79D860B8">
          <wp:simplePos x="0" y="0"/>
          <wp:positionH relativeFrom="column">
            <wp:posOffset>95250</wp:posOffset>
          </wp:positionH>
          <wp:positionV relativeFrom="paragraph">
            <wp:posOffset>-461645</wp:posOffset>
          </wp:positionV>
          <wp:extent cx="942975" cy="588645"/>
          <wp:effectExtent l="0" t="0" r="9525" b="1905"/>
          <wp:wrapSquare wrapText="bothSides"/>
          <wp:docPr id="76" name="Obraz 7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44E4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6935B7" wp14:editId="5588F528">
              <wp:simplePos x="0" y="0"/>
              <wp:positionH relativeFrom="page">
                <wp:align>right</wp:align>
              </wp:positionH>
              <wp:positionV relativeFrom="paragraph">
                <wp:posOffset>-200660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9CF99FF" w14:textId="77777777" w:rsidR="00D67684" w:rsidRPr="003C6C8D" w:rsidRDefault="00D67684" w:rsidP="00744E47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6935B7" id="Schemat blokowy: opóźnienie 6" o:spid="_x0000_s1039" alt="Napis &quot;Informacja sygnalna&quot;" style="position:absolute;margin-left:111.05pt;margin-top:-15.8pt;width:162.25pt;height:28.15pt;flip:x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JJMg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9CF99FF" w14:textId="77777777" w:rsidR="0045322B" w:rsidRPr="003C6C8D" w:rsidRDefault="0045322B" w:rsidP="00744E47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C35E2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5.25pt;visibility:visible" o:bullet="t">
        <v:imagedata r:id="rId1" o:title=""/>
      </v:shape>
    </w:pict>
  </w:numPicBullet>
  <w:numPicBullet w:numPicBulletId="1">
    <w:pict>
      <v:shape id="_x0000_i103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C199C"/>
    <w:multiLevelType w:val="hybridMultilevel"/>
    <w:tmpl w:val="F9CA4E9E"/>
    <w:lvl w:ilvl="0" w:tplc="22FA1C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3EE78CB"/>
    <w:multiLevelType w:val="hybridMultilevel"/>
    <w:tmpl w:val="9280A9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645"/>
    <w:rsid w:val="00006052"/>
    <w:rsid w:val="0000709F"/>
    <w:rsid w:val="0001009C"/>
    <w:rsid w:val="000108B8"/>
    <w:rsid w:val="000152F5"/>
    <w:rsid w:val="0004582E"/>
    <w:rsid w:val="000470AA"/>
    <w:rsid w:val="00050430"/>
    <w:rsid w:val="00057CA1"/>
    <w:rsid w:val="000647A9"/>
    <w:rsid w:val="000662E2"/>
    <w:rsid w:val="00066883"/>
    <w:rsid w:val="00071B39"/>
    <w:rsid w:val="00074DD8"/>
    <w:rsid w:val="00075759"/>
    <w:rsid w:val="0007789A"/>
    <w:rsid w:val="00080174"/>
    <w:rsid w:val="000806F7"/>
    <w:rsid w:val="000808D4"/>
    <w:rsid w:val="00092305"/>
    <w:rsid w:val="0009565E"/>
    <w:rsid w:val="00097840"/>
    <w:rsid w:val="000A3776"/>
    <w:rsid w:val="000A4356"/>
    <w:rsid w:val="000A50C7"/>
    <w:rsid w:val="000B0727"/>
    <w:rsid w:val="000C135D"/>
    <w:rsid w:val="000C3594"/>
    <w:rsid w:val="000D1D43"/>
    <w:rsid w:val="000D225C"/>
    <w:rsid w:val="000D2A5C"/>
    <w:rsid w:val="000D39F0"/>
    <w:rsid w:val="000E0918"/>
    <w:rsid w:val="000E79A9"/>
    <w:rsid w:val="001011C3"/>
    <w:rsid w:val="001049FB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30A2"/>
    <w:rsid w:val="001448A7"/>
    <w:rsid w:val="00146621"/>
    <w:rsid w:val="00147685"/>
    <w:rsid w:val="00151765"/>
    <w:rsid w:val="001617E3"/>
    <w:rsid w:val="00162325"/>
    <w:rsid w:val="00180AA7"/>
    <w:rsid w:val="00190C35"/>
    <w:rsid w:val="0019342C"/>
    <w:rsid w:val="001951DA"/>
    <w:rsid w:val="001A3866"/>
    <w:rsid w:val="001B053D"/>
    <w:rsid w:val="001C3269"/>
    <w:rsid w:val="001D0BDA"/>
    <w:rsid w:val="001D19B6"/>
    <w:rsid w:val="001D1DB4"/>
    <w:rsid w:val="001D23F1"/>
    <w:rsid w:val="001D25F9"/>
    <w:rsid w:val="001D61ED"/>
    <w:rsid w:val="001D77AC"/>
    <w:rsid w:val="001E5B2D"/>
    <w:rsid w:val="0020156C"/>
    <w:rsid w:val="00216634"/>
    <w:rsid w:val="002214CC"/>
    <w:rsid w:val="002425E6"/>
    <w:rsid w:val="00242D31"/>
    <w:rsid w:val="002469D5"/>
    <w:rsid w:val="0025481E"/>
    <w:rsid w:val="002574F9"/>
    <w:rsid w:val="00262B61"/>
    <w:rsid w:val="00262CC6"/>
    <w:rsid w:val="00263E08"/>
    <w:rsid w:val="00276811"/>
    <w:rsid w:val="0027763B"/>
    <w:rsid w:val="00282699"/>
    <w:rsid w:val="002923B8"/>
    <w:rsid w:val="002926DF"/>
    <w:rsid w:val="00296697"/>
    <w:rsid w:val="002A2E23"/>
    <w:rsid w:val="002B0472"/>
    <w:rsid w:val="002B0C5F"/>
    <w:rsid w:val="002B68BA"/>
    <w:rsid w:val="002B6B12"/>
    <w:rsid w:val="002C21F0"/>
    <w:rsid w:val="002C604A"/>
    <w:rsid w:val="002D01DF"/>
    <w:rsid w:val="002D67A4"/>
    <w:rsid w:val="002D6A2F"/>
    <w:rsid w:val="002E3EB3"/>
    <w:rsid w:val="002E6140"/>
    <w:rsid w:val="002E6985"/>
    <w:rsid w:val="002E71B6"/>
    <w:rsid w:val="002F35F6"/>
    <w:rsid w:val="002F77C8"/>
    <w:rsid w:val="00304F22"/>
    <w:rsid w:val="00305FBA"/>
    <w:rsid w:val="00306C7C"/>
    <w:rsid w:val="00312C6A"/>
    <w:rsid w:val="00314F86"/>
    <w:rsid w:val="00317F4D"/>
    <w:rsid w:val="00322EDD"/>
    <w:rsid w:val="0032392F"/>
    <w:rsid w:val="003309FA"/>
    <w:rsid w:val="00331C62"/>
    <w:rsid w:val="00332320"/>
    <w:rsid w:val="003472E7"/>
    <w:rsid w:val="00347D72"/>
    <w:rsid w:val="00350C3A"/>
    <w:rsid w:val="00353F45"/>
    <w:rsid w:val="00354004"/>
    <w:rsid w:val="00357611"/>
    <w:rsid w:val="0036432A"/>
    <w:rsid w:val="00364A29"/>
    <w:rsid w:val="00364AF9"/>
    <w:rsid w:val="00364B08"/>
    <w:rsid w:val="00367237"/>
    <w:rsid w:val="0037077F"/>
    <w:rsid w:val="00372411"/>
    <w:rsid w:val="00373882"/>
    <w:rsid w:val="00375DA5"/>
    <w:rsid w:val="003843DB"/>
    <w:rsid w:val="00393761"/>
    <w:rsid w:val="00394E26"/>
    <w:rsid w:val="00396012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36EC"/>
    <w:rsid w:val="00416EAF"/>
    <w:rsid w:val="004211EB"/>
    <w:rsid w:val="004212E7"/>
    <w:rsid w:val="00423C88"/>
    <w:rsid w:val="0042446D"/>
    <w:rsid w:val="00427BF8"/>
    <w:rsid w:val="00431C02"/>
    <w:rsid w:val="00431D5E"/>
    <w:rsid w:val="00432800"/>
    <w:rsid w:val="00437395"/>
    <w:rsid w:val="00441446"/>
    <w:rsid w:val="00445047"/>
    <w:rsid w:val="00446749"/>
    <w:rsid w:val="0045322B"/>
    <w:rsid w:val="00453EB7"/>
    <w:rsid w:val="00457427"/>
    <w:rsid w:val="00462DFB"/>
    <w:rsid w:val="00463E39"/>
    <w:rsid w:val="004657FC"/>
    <w:rsid w:val="004733F6"/>
    <w:rsid w:val="00474E69"/>
    <w:rsid w:val="00483E9F"/>
    <w:rsid w:val="00485A2C"/>
    <w:rsid w:val="0049621B"/>
    <w:rsid w:val="004A1D19"/>
    <w:rsid w:val="004B714E"/>
    <w:rsid w:val="004C1895"/>
    <w:rsid w:val="004C56BC"/>
    <w:rsid w:val="004C6D40"/>
    <w:rsid w:val="004D13E4"/>
    <w:rsid w:val="004E6AA8"/>
    <w:rsid w:val="004F0C3C"/>
    <w:rsid w:val="004F1477"/>
    <w:rsid w:val="004F2280"/>
    <w:rsid w:val="004F23BB"/>
    <w:rsid w:val="004F63FC"/>
    <w:rsid w:val="00505A92"/>
    <w:rsid w:val="005203F1"/>
    <w:rsid w:val="0052182C"/>
    <w:rsid w:val="00521BC3"/>
    <w:rsid w:val="00533632"/>
    <w:rsid w:val="00534013"/>
    <w:rsid w:val="00540C5C"/>
    <w:rsid w:val="00541E6E"/>
    <w:rsid w:val="0054251F"/>
    <w:rsid w:val="00550A6A"/>
    <w:rsid w:val="005520D8"/>
    <w:rsid w:val="00555CFB"/>
    <w:rsid w:val="00556CF1"/>
    <w:rsid w:val="00567CEA"/>
    <w:rsid w:val="005762A7"/>
    <w:rsid w:val="00585B86"/>
    <w:rsid w:val="00587CEE"/>
    <w:rsid w:val="00590B89"/>
    <w:rsid w:val="005916D7"/>
    <w:rsid w:val="00592726"/>
    <w:rsid w:val="0059427F"/>
    <w:rsid w:val="005A698C"/>
    <w:rsid w:val="005B7816"/>
    <w:rsid w:val="005C0CAC"/>
    <w:rsid w:val="005D062E"/>
    <w:rsid w:val="005E0799"/>
    <w:rsid w:val="005E10F9"/>
    <w:rsid w:val="005E1200"/>
    <w:rsid w:val="005E5521"/>
    <w:rsid w:val="005F45EE"/>
    <w:rsid w:val="005F5A80"/>
    <w:rsid w:val="006044FF"/>
    <w:rsid w:val="00607CC5"/>
    <w:rsid w:val="0061179B"/>
    <w:rsid w:val="006125F9"/>
    <w:rsid w:val="00614F26"/>
    <w:rsid w:val="00633014"/>
    <w:rsid w:val="0063437B"/>
    <w:rsid w:val="0064017E"/>
    <w:rsid w:val="00654BB6"/>
    <w:rsid w:val="00660841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7A45"/>
    <w:rsid w:val="006E02EC"/>
    <w:rsid w:val="006E3C4F"/>
    <w:rsid w:val="006E6F41"/>
    <w:rsid w:val="006E73E6"/>
    <w:rsid w:val="00701013"/>
    <w:rsid w:val="00706BCD"/>
    <w:rsid w:val="007211B1"/>
    <w:rsid w:val="007277DA"/>
    <w:rsid w:val="00731D27"/>
    <w:rsid w:val="00734E4A"/>
    <w:rsid w:val="00744E47"/>
    <w:rsid w:val="00746187"/>
    <w:rsid w:val="0076254F"/>
    <w:rsid w:val="007759A2"/>
    <w:rsid w:val="007801F5"/>
    <w:rsid w:val="00783CA4"/>
    <w:rsid w:val="007842FB"/>
    <w:rsid w:val="00786124"/>
    <w:rsid w:val="00787BF9"/>
    <w:rsid w:val="0079514B"/>
    <w:rsid w:val="00795252"/>
    <w:rsid w:val="007A2DC1"/>
    <w:rsid w:val="007B745E"/>
    <w:rsid w:val="007C2326"/>
    <w:rsid w:val="007D0869"/>
    <w:rsid w:val="007D14C4"/>
    <w:rsid w:val="007D2A4C"/>
    <w:rsid w:val="007D3319"/>
    <w:rsid w:val="007D335D"/>
    <w:rsid w:val="007D3D67"/>
    <w:rsid w:val="007D605C"/>
    <w:rsid w:val="007E3314"/>
    <w:rsid w:val="007E3514"/>
    <w:rsid w:val="007E4B03"/>
    <w:rsid w:val="007E6F11"/>
    <w:rsid w:val="007F324B"/>
    <w:rsid w:val="007F5DD6"/>
    <w:rsid w:val="0080553C"/>
    <w:rsid w:val="00805B46"/>
    <w:rsid w:val="00805DB4"/>
    <w:rsid w:val="008066F4"/>
    <w:rsid w:val="0081230C"/>
    <w:rsid w:val="00823593"/>
    <w:rsid w:val="00825DC2"/>
    <w:rsid w:val="00834AD3"/>
    <w:rsid w:val="00843795"/>
    <w:rsid w:val="00847F0F"/>
    <w:rsid w:val="00852448"/>
    <w:rsid w:val="008741C8"/>
    <w:rsid w:val="008778E6"/>
    <w:rsid w:val="00877F6C"/>
    <w:rsid w:val="0088258A"/>
    <w:rsid w:val="00886332"/>
    <w:rsid w:val="008925F0"/>
    <w:rsid w:val="0089448A"/>
    <w:rsid w:val="00897877"/>
    <w:rsid w:val="008A26D9"/>
    <w:rsid w:val="008A7B5B"/>
    <w:rsid w:val="008B09D7"/>
    <w:rsid w:val="008B12D2"/>
    <w:rsid w:val="008C0C29"/>
    <w:rsid w:val="008C5B59"/>
    <w:rsid w:val="008D02DA"/>
    <w:rsid w:val="008D4390"/>
    <w:rsid w:val="008D76BC"/>
    <w:rsid w:val="008E7DBA"/>
    <w:rsid w:val="008F0829"/>
    <w:rsid w:val="008F2755"/>
    <w:rsid w:val="008F3638"/>
    <w:rsid w:val="008F4441"/>
    <w:rsid w:val="008F489C"/>
    <w:rsid w:val="008F6B20"/>
    <w:rsid w:val="008F6F31"/>
    <w:rsid w:val="008F74DF"/>
    <w:rsid w:val="00902274"/>
    <w:rsid w:val="009127BA"/>
    <w:rsid w:val="00920AAE"/>
    <w:rsid w:val="009227A6"/>
    <w:rsid w:val="009235D4"/>
    <w:rsid w:val="009259D4"/>
    <w:rsid w:val="00926034"/>
    <w:rsid w:val="00933EC1"/>
    <w:rsid w:val="009432A4"/>
    <w:rsid w:val="009442D6"/>
    <w:rsid w:val="009446AD"/>
    <w:rsid w:val="009474A3"/>
    <w:rsid w:val="009530DB"/>
    <w:rsid w:val="00953676"/>
    <w:rsid w:val="00956F30"/>
    <w:rsid w:val="00966C9A"/>
    <w:rsid w:val="00967F76"/>
    <w:rsid w:val="009705EE"/>
    <w:rsid w:val="009719DB"/>
    <w:rsid w:val="00977927"/>
    <w:rsid w:val="0098135C"/>
    <w:rsid w:val="0098156A"/>
    <w:rsid w:val="00991BAC"/>
    <w:rsid w:val="009A6EA0"/>
    <w:rsid w:val="009C1335"/>
    <w:rsid w:val="009C1AB2"/>
    <w:rsid w:val="009C7251"/>
    <w:rsid w:val="009C7BC7"/>
    <w:rsid w:val="009D1F97"/>
    <w:rsid w:val="009E2E91"/>
    <w:rsid w:val="009F6CFA"/>
    <w:rsid w:val="009F7989"/>
    <w:rsid w:val="00A01B40"/>
    <w:rsid w:val="00A139F5"/>
    <w:rsid w:val="00A32E16"/>
    <w:rsid w:val="00A365F4"/>
    <w:rsid w:val="00A417AF"/>
    <w:rsid w:val="00A47D80"/>
    <w:rsid w:val="00A51416"/>
    <w:rsid w:val="00A53132"/>
    <w:rsid w:val="00A563F2"/>
    <w:rsid w:val="00A566E8"/>
    <w:rsid w:val="00A66347"/>
    <w:rsid w:val="00A80178"/>
    <w:rsid w:val="00A810F9"/>
    <w:rsid w:val="00A8143A"/>
    <w:rsid w:val="00A82D31"/>
    <w:rsid w:val="00A82F73"/>
    <w:rsid w:val="00A85AF0"/>
    <w:rsid w:val="00A85E7E"/>
    <w:rsid w:val="00A86ECC"/>
    <w:rsid w:val="00A86FCC"/>
    <w:rsid w:val="00A90A6D"/>
    <w:rsid w:val="00A940C4"/>
    <w:rsid w:val="00A971E5"/>
    <w:rsid w:val="00AA6E10"/>
    <w:rsid w:val="00AA710D"/>
    <w:rsid w:val="00AA73DF"/>
    <w:rsid w:val="00AB64F3"/>
    <w:rsid w:val="00AB6D25"/>
    <w:rsid w:val="00AB7311"/>
    <w:rsid w:val="00AC45B4"/>
    <w:rsid w:val="00AD0E56"/>
    <w:rsid w:val="00AD7D81"/>
    <w:rsid w:val="00AE229B"/>
    <w:rsid w:val="00AE2D4B"/>
    <w:rsid w:val="00AE4F99"/>
    <w:rsid w:val="00AF7A37"/>
    <w:rsid w:val="00B11B69"/>
    <w:rsid w:val="00B12D4A"/>
    <w:rsid w:val="00B14952"/>
    <w:rsid w:val="00B16871"/>
    <w:rsid w:val="00B16AEE"/>
    <w:rsid w:val="00B25B45"/>
    <w:rsid w:val="00B31E5A"/>
    <w:rsid w:val="00B47359"/>
    <w:rsid w:val="00B653AB"/>
    <w:rsid w:val="00B65F9E"/>
    <w:rsid w:val="00B66A31"/>
    <w:rsid w:val="00B66B19"/>
    <w:rsid w:val="00B67BE1"/>
    <w:rsid w:val="00B8199F"/>
    <w:rsid w:val="00B914E9"/>
    <w:rsid w:val="00B93ECF"/>
    <w:rsid w:val="00B942EB"/>
    <w:rsid w:val="00B956EE"/>
    <w:rsid w:val="00B97AAF"/>
    <w:rsid w:val="00BA2BA1"/>
    <w:rsid w:val="00BA2BA7"/>
    <w:rsid w:val="00BA3447"/>
    <w:rsid w:val="00BA3562"/>
    <w:rsid w:val="00BA372A"/>
    <w:rsid w:val="00BB4F09"/>
    <w:rsid w:val="00BC0EDF"/>
    <w:rsid w:val="00BC2B0E"/>
    <w:rsid w:val="00BC2D48"/>
    <w:rsid w:val="00BD4108"/>
    <w:rsid w:val="00BD4E33"/>
    <w:rsid w:val="00BD628E"/>
    <w:rsid w:val="00BE1B76"/>
    <w:rsid w:val="00BF3ABF"/>
    <w:rsid w:val="00BF622E"/>
    <w:rsid w:val="00C030DE"/>
    <w:rsid w:val="00C051A8"/>
    <w:rsid w:val="00C105B5"/>
    <w:rsid w:val="00C22105"/>
    <w:rsid w:val="00C244B6"/>
    <w:rsid w:val="00C27BF1"/>
    <w:rsid w:val="00C3702F"/>
    <w:rsid w:val="00C372E4"/>
    <w:rsid w:val="00C3797D"/>
    <w:rsid w:val="00C37B8A"/>
    <w:rsid w:val="00C42AE7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B76C4"/>
    <w:rsid w:val="00CC2CE0"/>
    <w:rsid w:val="00CC30D8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1B73"/>
    <w:rsid w:val="00D261A2"/>
    <w:rsid w:val="00D36AC2"/>
    <w:rsid w:val="00D616D2"/>
    <w:rsid w:val="00D63B5F"/>
    <w:rsid w:val="00D67684"/>
    <w:rsid w:val="00D70EF7"/>
    <w:rsid w:val="00D8397C"/>
    <w:rsid w:val="00D94EED"/>
    <w:rsid w:val="00D96026"/>
    <w:rsid w:val="00D972F6"/>
    <w:rsid w:val="00DA0870"/>
    <w:rsid w:val="00DA2CC2"/>
    <w:rsid w:val="00DA331D"/>
    <w:rsid w:val="00DA7437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DF713E"/>
    <w:rsid w:val="00E01436"/>
    <w:rsid w:val="00E03E79"/>
    <w:rsid w:val="00E045BD"/>
    <w:rsid w:val="00E04D6C"/>
    <w:rsid w:val="00E07D57"/>
    <w:rsid w:val="00E13A41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0DD9"/>
    <w:rsid w:val="00E5178D"/>
    <w:rsid w:val="00E51AEB"/>
    <w:rsid w:val="00E522A7"/>
    <w:rsid w:val="00E523FB"/>
    <w:rsid w:val="00E5349E"/>
    <w:rsid w:val="00E54452"/>
    <w:rsid w:val="00E559EB"/>
    <w:rsid w:val="00E63B0C"/>
    <w:rsid w:val="00E664C5"/>
    <w:rsid w:val="00E671A2"/>
    <w:rsid w:val="00E725E2"/>
    <w:rsid w:val="00E76D26"/>
    <w:rsid w:val="00E76EE5"/>
    <w:rsid w:val="00E95B8E"/>
    <w:rsid w:val="00E96269"/>
    <w:rsid w:val="00EB1390"/>
    <w:rsid w:val="00EB2C71"/>
    <w:rsid w:val="00EB3333"/>
    <w:rsid w:val="00EB4340"/>
    <w:rsid w:val="00EB556D"/>
    <w:rsid w:val="00EB58A3"/>
    <w:rsid w:val="00EB5A7D"/>
    <w:rsid w:val="00ED55C0"/>
    <w:rsid w:val="00ED682B"/>
    <w:rsid w:val="00EE41D5"/>
    <w:rsid w:val="00EE4CA2"/>
    <w:rsid w:val="00F0166F"/>
    <w:rsid w:val="00F037A4"/>
    <w:rsid w:val="00F049AB"/>
    <w:rsid w:val="00F0723F"/>
    <w:rsid w:val="00F142DB"/>
    <w:rsid w:val="00F14D44"/>
    <w:rsid w:val="00F14EEA"/>
    <w:rsid w:val="00F27C8F"/>
    <w:rsid w:val="00F32749"/>
    <w:rsid w:val="00F33074"/>
    <w:rsid w:val="00F33CBA"/>
    <w:rsid w:val="00F367D0"/>
    <w:rsid w:val="00F36FA0"/>
    <w:rsid w:val="00F37172"/>
    <w:rsid w:val="00F4477E"/>
    <w:rsid w:val="00F46269"/>
    <w:rsid w:val="00F46517"/>
    <w:rsid w:val="00F520C3"/>
    <w:rsid w:val="00F60BA8"/>
    <w:rsid w:val="00F63F02"/>
    <w:rsid w:val="00F67D8F"/>
    <w:rsid w:val="00F802BE"/>
    <w:rsid w:val="00F80E93"/>
    <w:rsid w:val="00F86024"/>
    <w:rsid w:val="00F8611A"/>
    <w:rsid w:val="00FA5128"/>
    <w:rsid w:val="00FA6201"/>
    <w:rsid w:val="00FB42D4"/>
    <w:rsid w:val="00FB5906"/>
    <w:rsid w:val="00FB5B1B"/>
    <w:rsid w:val="00FB762F"/>
    <w:rsid w:val="00FC1AE9"/>
    <w:rsid w:val="00FC2AED"/>
    <w:rsid w:val="00FD5E0D"/>
    <w:rsid w:val="00FD5EA7"/>
    <w:rsid w:val="00FE263A"/>
    <w:rsid w:val="00FE36CF"/>
    <w:rsid w:val="00FF0246"/>
    <w:rsid w:val="00FF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E8CB48E9-757E-4CAB-8892-06AAFBE9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A5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6.png"/><Relationship Id="rId21" Type="http://schemas.openxmlformats.org/officeDocument/2006/relationships/chart" Target="charts/chart12.xml"/><Relationship Id="rId34" Type="http://schemas.openxmlformats.org/officeDocument/2006/relationships/hyperlink" Target="http://stat.gov.pl/metainformacje/slownik-pojec/pojecia-stosowane-w-statystyce-publicznej/313,pojecie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5.png"/><Relationship Id="rId33" Type="http://schemas.openxmlformats.org/officeDocument/2006/relationships/hyperlink" Target="http://stat.gov.pl/metainformacje/slownik-pojec/pojecia-stosowane-w-statystyce-publicznej/2076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yperlink" Target="https://stat.gov.pl/obszary-tematyczne/rolnictwo-lesnictwo/rolnictwo/koniunktura-w-gospodarstwach-rolnych-w-pierwszym-polroczu-2021-roku,10,18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4.png"/><Relationship Id="rId32" Type="http://schemas.openxmlformats.org/officeDocument/2006/relationships/hyperlink" Target="http://stat.gov.pl/metainformacje/slownik-pojec/pojecia-stosowane-w-statystyce-publicznej/1064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yperlink" Target="http://stat.gov.pl/metainformacje/slownik-pojec/pojecia-stosowane-w-statystyce-publicznej/3137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stat.gov.pl/obszary-tematyczne/koniunktura/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Arkusz_programu_Microsoft_Excel10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Arkusz_programu_Microsoft_Excel11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Arkusz_programu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Arkusz_programu_Microsoft_Excel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Arkusz_programu_Microsoft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10337377352703"/>
          <c:y val="9.1198981598690068E-2"/>
          <c:w val="0.70486549436137103"/>
          <c:h val="0.78125598060460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wykres_1!$B$3</c:f>
              <c:strCache>
                <c:ptCount val="1"/>
                <c:pt idx="0">
                  <c:v>bieżąca ogólna sytuacja gospodarstw rolnych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wykres_1!$A$4:$A$13</c:f>
              <c:strCache>
                <c:ptCount val="10"/>
                <c:pt idx="0">
                  <c:v>ogółem </c:v>
                </c:pt>
                <c:pt idx="1">
                  <c:v>do 2 </c:v>
                </c:pt>
                <c:pt idx="2">
                  <c:v>2-5</c:v>
                </c:pt>
                <c:pt idx="3">
                  <c:v>5-10</c:v>
                </c:pt>
                <c:pt idx="4">
                  <c:v>10-15</c:v>
                </c:pt>
                <c:pt idx="5">
                  <c:v>15-20</c:v>
                </c:pt>
                <c:pt idx="6">
                  <c:v>20-30</c:v>
                </c:pt>
                <c:pt idx="7">
                  <c:v>30-50</c:v>
                </c:pt>
                <c:pt idx="8">
                  <c:v>50-100</c:v>
                </c:pt>
                <c:pt idx="9">
                  <c:v>100 i więcej</c:v>
                </c:pt>
              </c:strCache>
            </c:strRef>
          </c:cat>
          <c:val>
            <c:numRef>
              <c:f>wykres_1!$B$4:$B$13</c:f>
              <c:numCache>
                <c:formatCode>0.0</c:formatCode>
                <c:ptCount val="10"/>
                <c:pt idx="0">
                  <c:v>-24.9</c:v>
                </c:pt>
                <c:pt idx="1">
                  <c:v>-24.4</c:v>
                </c:pt>
                <c:pt idx="2">
                  <c:v>-25.1</c:v>
                </c:pt>
                <c:pt idx="3">
                  <c:v>-26.4</c:v>
                </c:pt>
                <c:pt idx="4">
                  <c:v>-25.6</c:v>
                </c:pt>
                <c:pt idx="5">
                  <c:v>-23.5</c:v>
                </c:pt>
                <c:pt idx="6">
                  <c:v>-24.5</c:v>
                </c:pt>
                <c:pt idx="7">
                  <c:v>-21.2</c:v>
                </c:pt>
                <c:pt idx="8">
                  <c:v>-22.3</c:v>
                </c:pt>
                <c:pt idx="9">
                  <c:v>-22.2</c:v>
                </c:pt>
              </c:numCache>
            </c:numRef>
          </c:val>
        </c:ser>
        <c:ser>
          <c:idx val="1"/>
          <c:order val="1"/>
          <c:tx>
            <c:strRef>
              <c:f>wykres_1!$C$3</c:f>
              <c:strCache>
                <c:ptCount val="1"/>
                <c:pt idx="0">
                  <c:v>prognozowana ogólna sytuacja gospodarstw rolnych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6677AD"/>
              </a:solidFill>
            </a:ln>
          </c:spPr>
          <c:invertIfNegative val="0"/>
          <c:cat>
            <c:strRef>
              <c:f>wykres_1!$A$4:$A$13</c:f>
              <c:strCache>
                <c:ptCount val="10"/>
                <c:pt idx="0">
                  <c:v>ogółem </c:v>
                </c:pt>
                <c:pt idx="1">
                  <c:v>do 2 </c:v>
                </c:pt>
                <c:pt idx="2">
                  <c:v>2-5</c:v>
                </c:pt>
                <c:pt idx="3">
                  <c:v>5-10</c:v>
                </c:pt>
                <c:pt idx="4">
                  <c:v>10-15</c:v>
                </c:pt>
                <c:pt idx="5">
                  <c:v>15-20</c:v>
                </c:pt>
                <c:pt idx="6">
                  <c:v>20-30</c:v>
                </c:pt>
                <c:pt idx="7">
                  <c:v>30-50</c:v>
                </c:pt>
                <c:pt idx="8">
                  <c:v>50-100</c:v>
                </c:pt>
                <c:pt idx="9">
                  <c:v>100 i więcej</c:v>
                </c:pt>
              </c:strCache>
            </c:strRef>
          </c:cat>
          <c:val>
            <c:numRef>
              <c:f>wykres_1!$C$4:$C$13</c:f>
              <c:numCache>
                <c:formatCode>0.0</c:formatCode>
                <c:ptCount val="10"/>
                <c:pt idx="0">
                  <c:v>-39.4</c:v>
                </c:pt>
                <c:pt idx="1">
                  <c:v>-37.122487374987628</c:v>
                </c:pt>
                <c:pt idx="2">
                  <c:v>-31.4</c:v>
                </c:pt>
                <c:pt idx="3">
                  <c:v>-37.299999999999997</c:v>
                </c:pt>
                <c:pt idx="4">
                  <c:v>-42.4</c:v>
                </c:pt>
                <c:pt idx="5">
                  <c:v>-45.9</c:v>
                </c:pt>
                <c:pt idx="6">
                  <c:v>-43.4</c:v>
                </c:pt>
                <c:pt idx="7">
                  <c:v>-42.9</c:v>
                </c:pt>
                <c:pt idx="8">
                  <c:v>-42</c:v>
                </c:pt>
                <c:pt idx="9">
                  <c:v>-39.9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axId val="1400195072"/>
        <c:axId val="1400190720"/>
      </c:barChart>
      <c:catAx>
        <c:axId val="1400195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ha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 b="0" i="0" baseline="0">
                <a:latin typeface="Fira Sans" pitchFamily="34" charset="0"/>
              </a:defRPr>
            </a:pPr>
            <a:endParaRPr lang="pl-PL"/>
          </a:p>
        </c:txPr>
        <c:crossAx val="1400190720"/>
        <c:crosses val="autoZero"/>
        <c:auto val="1"/>
        <c:lblAlgn val="ctr"/>
        <c:lblOffset val="0"/>
        <c:noMultiLvlLbl val="0"/>
      </c:catAx>
      <c:valAx>
        <c:axId val="1400190720"/>
        <c:scaling>
          <c:orientation val="minMax"/>
          <c:max val="5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 b="1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="1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 b="1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3.6517432360082099E-2"/>
              <c:y val="9.1564576226337152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Fira Sans" pitchFamily="34" charset="0"/>
              </a:defRPr>
            </a:pPr>
            <a:endParaRPr lang="pl-PL"/>
          </a:p>
        </c:txPr>
        <c:crossAx val="1400195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95889143895262"/>
          <c:y val="7.7962339176267839E-2"/>
          <c:w val="0.1682716698663084"/>
          <c:h val="0.70238566228267785"/>
        </c:manualLayout>
      </c:layout>
      <c:overlay val="0"/>
      <c:txPr>
        <a:bodyPr/>
        <a:lstStyle/>
        <a:p>
          <a:pPr>
            <a:defRPr sz="800" b="0" i="0" baseline="0">
              <a:latin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273005898435254E-2"/>
          <c:y val="0.11691431428214329"/>
          <c:w val="0.92103885861422397"/>
          <c:h val="0.64359597907404442"/>
        </c:manualLayout>
      </c:layout>
      <c:lineChart>
        <c:grouping val="standard"/>
        <c:varyColors val="0"/>
        <c:ser>
          <c:idx val="0"/>
          <c:order val="0"/>
          <c:tx>
            <c:strRef>
              <c:f>opłacalność_bieżąca!$A$4</c:f>
              <c:strCache>
                <c:ptCount val="1"/>
                <c:pt idx="0">
                  <c:v>opłacalna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opłacalność_bieżąca!$B$2:$T$3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opłacalność_bieżąca!$B$4:$T$4</c:f>
              <c:numCache>
                <c:formatCode>0.0</c:formatCode>
                <c:ptCount val="19"/>
                <c:pt idx="0">
                  <c:v>17.2</c:v>
                </c:pt>
                <c:pt idx="1">
                  <c:v>18.2</c:v>
                </c:pt>
                <c:pt idx="2">
                  <c:v>18.7</c:v>
                </c:pt>
                <c:pt idx="3">
                  <c:v>11</c:v>
                </c:pt>
                <c:pt idx="4" formatCode="General">
                  <c:v>9.8000000000000007</c:v>
                </c:pt>
                <c:pt idx="5" formatCode="General">
                  <c:v>10.1</c:v>
                </c:pt>
                <c:pt idx="6">
                  <c:v>13.5</c:v>
                </c:pt>
                <c:pt idx="7" formatCode="General">
                  <c:v>18.7</c:v>
                </c:pt>
                <c:pt idx="8">
                  <c:v>23.3</c:v>
                </c:pt>
                <c:pt idx="9">
                  <c:v>22</c:v>
                </c:pt>
                <c:pt idx="10" formatCode="General">
                  <c:v>12.8</c:v>
                </c:pt>
                <c:pt idx="11">
                  <c:v>14.4</c:v>
                </c:pt>
                <c:pt idx="12" formatCode="General">
                  <c:v>14.5</c:v>
                </c:pt>
                <c:pt idx="13" formatCode="General">
                  <c:v>17.100000000000001</c:v>
                </c:pt>
                <c:pt idx="14">
                  <c:v>17.100000000000001</c:v>
                </c:pt>
                <c:pt idx="15" formatCode="General">
                  <c:v>18.3</c:v>
                </c:pt>
                <c:pt idx="16">
                  <c:v>15</c:v>
                </c:pt>
                <c:pt idx="17">
                  <c:v>13.1</c:v>
                </c:pt>
                <c:pt idx="18">
                  <c:v>12.9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opłacalność_bieżąca!$A$5</c:f>
              <c:strCache>
                <c:ptCount val="1"/>
                <c:pt idx="0">
                  <c:v>brak  opinii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opłacalność_bieżąca!$B$2:$T$3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opłacalność_bieżąca!$B$5:$T$5</c:f>
              <c:numCache>
                <c:formatCode>0.0</c:formatCode>
                <c:ptCount val="19"/>
                <c:pt idx="0">
                  <c:v>56.1</c:v>
                </c:pt>
                <c:pt idx="1">
                  <c:v>59.3</c:v>
                </c:pt>
                <c:pt idx="2">
                  <c:v>58.2</c:v>
                </c:pt>
                <c:pt idx="3" formatCode="General">
                  <c:v>53.7</c:v>
                </c:pt>
                <c:pt idx="4" formatCode="General">
                  <c:v>47.5</c:v>
                </c:pt>
                <c:pt idx="5" formatCode="General">
                  <c:v>49.6</c:v>
                </c:pt>
                <c:pt idx="6">
                  <c:v>53.6</c:v>
                </c:pt>
                <c:pt idx="7" formatCode="General">
                  <c:v>60.1</c:v>
                </c:pt>
                <c:pt idx="8">
                  <c:v>58.7</c:v>
                </c:pt>
                <c:pt idx="9">
                  <c:v>58.5</c:v>
                </c:pt>
                <c:pt idx="10" formatCode="General">
                  <c:v>52.8</c:v>
                </c:pt>
                <c:pt idx="11">
                  <c:v>57</c:v>
                </c:pt>
                <c:pt idx="12" formatCode="General">
                  <c:v>54.6</c:v>
                </c:pt>
                <c:pt idx="13" formatCode="General">
                  <c:v>58.8</c:v>
                </c:pt>
                <c:pt idx="14">
                  <c:v>58.5</c:v>
                </c:pt>
                <c:pt idx="15" formatCode="General">
                  <c:v>56.3</c:v>
                </c:pt>
                <c:pt idx="16">
                  <c:v>58.4</c:v>
                </c:pt>
                <c:pt idx="17">
                  <c:v>55.1</c:v>
                </c:pt>
                <c:pt idx="18">
                  <c:v>55.3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opłacalność_bieżąca!$A$6</c:f>
              <c:strCache>
                <c:ptCount val="1"/>
                <c:pt idx="0">
                  <c:v>nieopłacalna</c:v>
                </c:pt>
              </c:strCache>
            </c:strRef>
          </c:tx>
          <c:spPr>
            <a:ln w="28575"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opłacalność_bieżąca!$B$2:$T$3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opłacalność_bieżąca!$B$6:$T$6</c:f>
              <c:numCache>
                <c:formatCode>0.0</c:formatCode>
                <c:ptCount val="19"/>
                <c:pt idx="0">
                  <c:v>26.7</c:v>
                </c:pt>
                <c:pt idx="1">
                  <c:v>22.5</c:v>
                </c:pt>
                <c:pt idx="2">
                  <c:v>23.1</c:v>
                </c:pt>
                <c:pt idx="3" formatCode="General">
                  <c:v>35.299999999999997</c:v>
                </c:pt>
                <c:pt idx="4" formatCode="General">
                  <c:v>42.7</c:v>
                </c:pt>
                <c:pt idx="5" formatCode="General">
                  <c:v>40.299999999999997</c:v>
                </c:pt>
                <c:pt idx="6">
                  <c:v>32.9</c:v>
                </c:pt>
                <c:pt idx="7" formatCode="General">
                  <c:v>21.2</c:v>
                </c:pt>
                <c:pt idx="8">
                  <c:v>18</c:v>
                </c:pt>
                <c:pt idx="9">
                  <c:v>19.5</c:v>
                </c:pt>
                <c:pt idx="10" formatCode="General">
                  <c:v>34.4</c:v>
                </c:pt>
                <c:pt idx="11">
                  <c:v>28.6</c:v>
                </c:pt>
                <c:pt idx="12" formatCode="General">
                  <c:v>30.9</c:v>
                </c:pt>
                <c:pt idx="13" formatCode="General">
                  <c:v>24.1</c:v>
                </c:pt>
                <c:pt idx="14">
                  <c:v>24.4</c:v>
                </c:pt>
                <c:pt idx="15" formatCode="General">
                  <c:v>25.4</c:v>
                </c:pt>
                <c:pt idx="16">
                  <c:v>26.6</c:v>
                </c:pt>
                <c:pt idx="17">
                  <c:v>31.8</c:v>
                </c:pt>
                <c:pt idx="18">
                  <c:v>31.8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5552"/>
        <c:axId val="1455683920"/>
      </c:lineChart>
      <c:catAx>
        <c:axId val="1455685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3920"/>
        <c:crosses val="autoZero"/>
        <c:auto val="1"/>
        <c:lblAlgn val="ctr"/>
        <c:lblOffset val="100"/>
        <c:noMultiLvlLbl val="0"/>
      </c:catAx>
      <c:valAx>
        <c:axId val="1455683920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5552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058317691706E-3"/>
          <c:y val="0.90898209152427389"/>
          <c:w val="0.96526803976876441"/>
          <c:h val="9.0029117454068233E-2"/>
        </c:manualLayout>
      </c:layout>
      <c:overlay val="0"/>
      <c:txPr>
        <a:bodyPr/>
        <a:lstStyle/>
        <a:p>
          <a:pPr>
            <a:defRPr sz="80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653611607099301E-2"/>
          <c:y val="0.12192888407250704"/>
          <c:w val="0.93221672569739189"/>
          <c:h val="0.54322484945604343"/>
        </c:manualLayout>
      </c:layout>
      <c:lineChart>
        <c:grouping val="standard"/>
        <c:varyColors val="0"/>
        <c:ser>
          <c:idx val="0"/>
          <c:order val="0"/>
          <c:tx>
            <c:strRef>
              <c:f>opłacalność_prognoza!$A$4</c:f>
              <c:strCache>
                <c:ptCount val="1"/>
                <c:pt idx="0">
                  <c:v>poprawi się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opłacalność_prognoza!$B$2:$S$3</c:f>
              <c:multiLvlStrCache>
                <c:ptCount val="18"/>
                <c:lvl>
                  <c:pt idx="0">
                    <c:v>7-12 </c:v>
                  </c:pt>
                  <c:pt idx="1">
                    <c:v>1-6 </c:v>
                  </c:pt>
                  <c:pt idx="2">
                    <c:v>7-12 </c:v>
                  </c:pt>
                  <c:pt idx="3">
                    <c:v>1-6 </c:v>
                  </c:pt>
                  <c:pt idx="4">
                    <c:v>7-12 </c:v>
                  </c:pt>
                  <c:pt idx="5">
                    <c:v>1-6 </c:v>
                  </c:pt>
                  <c:pt idx="6">
                    <c:v>7-12 </c:v>
                  </c:pt>
                  <c:pt idx="7">
                    <c:v>1-6 </c:v>
                  </c:pt>
                  <c:pt idx="8">
                    <c:v>7-12 </c:v>
                  </c:pt>
                  <c:pt idx="9">
                    <c:v>1-6 </c:v>
                  </c:pt>
                  <c:pt idx="10">
                    <c:v>7-12 </c:v>
                  </c:pt>
                  <c:pt idx="11">
                    <c:v>1-6 </c:v>
                  </c:pt>
                  <c:pt idx="12">
                    <c:v>7-12 </c:v>
                  </c:pt>
                  <c:pt idx="13">
                    <c:v>1-6 </c:v>
                  </c:pt>
                  <c:pt idx="14">
                    <c:v>7-12 </c:v>
                  </c:pt>
                  <c:pt idx="15">
                    <c:v>1-6 </c:v>
                  </c:pt>
                  <c:pt idx="16">
                    <c:v>7-12 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opłacalność_prognoza!$B$4:$S$4</c:f>
              <c:numCache>
                <c:formatCode>0.0</c:formatCode>
                <c:ptCount val="18"/>
                <c:pt idx="0">
                  <c:v>8</c:v>
                </c:pt>
                <c:pt idx="1">
                  <c:v>7.4</c:v>
                </c:pt>
                <c:pt idx="2" formatCode="General">
                  <c:v>5.4</c:v>
                </c:pt>
                <c:pt idx="3" formatCode="General">
                  <c:v>7.8</c:v>
                </c:pt>
                <c:pt idx="4" formatCode="General">
                  <c:v>8.5</c:v>
                </c:pt>
                <c:pt idx="5">
                  <c:v>11.2</c:v>
                </c:pt>
                <c:pt idx="6" formatCode="General">
                  <c:v>12.1</c:v>
                </c:pt>
                <c:pt idx="7" formatCode="General">
                  <c:v>13.1</c:v>
                </c:pt>
                <c:pt idx="8" formatCode="General">
                  <c:v>10.3</c:v>
                </c:pt>
                <c:pt idx="9">
                  <c:v>9.1</c:v>
                </c:pt>
                <c:pt idx="10">
                  <c:v>9.6999999999999993</c:v>
                </c:pt>
                <c:pt idx="11">
                  <c:v>9.1</c:v>
                </c:pt>
                <c:pt idx="12" formatCode="General">
                  <c:v>7.8</c:v>
                </c:pt>
                <c:pt idx="13">
                  <c:v>11.2</c:v>
                </c:pt>
                <c:pt idx="14">
                  <c:v>8.4</c:v>
                </c:pt>
                <c:pt idx="15" formatCode="General">
                  <c:v>7.5</c:v>
                </c:pt>
                <c:pt idx="16">
                  <c:v>3.8</c:v>
                </c:pt>
                <c:pt idx="17" formatCode="General">
                  <c:v>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opłacalność_prognoza!$A$5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ln w="28575"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opłacalność_prognoza!$B$2:$S$3</c:f>
              <c:multiLvlStrCache>
                <c:ptCount val="18"/>
                <c:lvl>
                  <c:pt idx="0">
                    <c:v>7-12 </c:v>
                  </c:pt>
                  <c:pt idx="1">
                    <c:v>1-6 </c:v>
                  </c:pt>
                  <c:pt idx="2">
                    <c:v>7-12 </c:v>
                  </c:pt>
                  <c:pt idx="3">
                    <c:v>1-6 </c:v>
                  </c:pt>
                  <c:pt idx="4">
                    <c:v>7-12 </c:v>
                  </c:pt>
                  <c:pt idx="5">
                    <c:v>1-6 </c:v>
                  </c:pt>
                  <c:pt idx="6">
                    <c:v>7-12 </c:v>
                  </c:pt>
                  <c:pt idx="7">
                    <c:v>1-6 </c:v>
                  </c:pt>
                  <c:pt idx="8">
                    <c:v>7-12 </c:v>
                  </c:pt>
                  <c:pt idx="9">
                    <c:v>1-6 </c:v>
                  </c:pt>
                  <c:pt idx="10">
                    <c:v>7-12 </c:v>
                  </c:pt>
                  <c:pt idx="11">
                    <c:v>1-6 </c:v>
                  </c:pt>
                  <c:pt idx="12">
                    <c:v>7-12 </c:v>
                  </c:pt>
                  <c:pt idx="13">
                    <c:v>1-6 </c:v>
                  </c:pt>
                  <c:pt idx="14">
                    <c:v>7-12 </c:v>
                  </c:pt>
                  <c:pt idx="15">
                    <c:v>1-6 </c:v>
                  </c:pt>
                  <c:pt idx="16">
                    <c:v>7-12 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opłacalność_prognoza!$B$5:$S$5</c:f>
              <c:numCache>
                <c:formatCode>0.0</c:formatCode>
                <c:ptCount val="18"/>
                <c:pt idx="0">
                  <c:v>74.3</c:v>
                </c:pt>
                <c:pt idx="1">
                  <c:v>74.400000000000006</c:v>
                </c:pt>
                <c:pt idx="2">
                  <c:v>68</c:v>
                </c:pt>
                <c:pt idx="3" formatCode="General">
                  <c:v>56.6</c:v>
                </c:pt>
                <c:pt idx="4" formatCode="General">
                  <c:v>67.400000000000006</c:v>
                </c:pt>
                <c:pt idx="5">
                  <c:v>61.3</c:v>
                </c:pt>
                <c:pt idx="6" formatCode="General">
                  <c:v>74.599999999999994</c:v>
                </c:pt>
                <c:pt idx="7" formatCode="General">
                  <c:v>69.900000000000006</c:v>
                </c:pt>
                <c:pt idx="8" formatCode="General">
                  <c:v>72.900000000000006</c:v>
                </c:pt>
                <c:pt idx="9">
                  <c:v>55.9</c:v>
                </c:pt>
                <c:pt idx="10">
                  <c:v>70.900000000000006</c:v>
                </c:pt>
                <c:pt idx="11">
                  <c:v>58.6</c:v>
                </c:pt>
                <c:pt idx="12" formatCode="General">
                  <c:v>68.3</c:v>
                </c:pt>
                <c:pt idx="13">
                  <c:v>66</c:v>
                </c:pt>
                <c:pt idx="14">
                  <c:v>70.099999999999994</c:v>
                </c:pt>
                <c:pt idx="15" formatCode="General">
                  <c:v>61.2</c:v>
                </c:pt>
                <c:pt idx="16">
                  <c:v>40.299999999999997</c:v>
                </c:pt>
                <c:pt idx="17" formatCode="General">
                  <c:v>43.4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opłacalność_prognoza!$A$6</c:f>
              <c:strCache>
                <c:ptCount val="1"/>
                <c:pt idx="0">
                  <c:v>pogorszy się</c:v>
                </c:pt>
              </c:strCache>
            </c:strRef>
          </c:tx>
          <c:spPr>
            <a:ln w="28575"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opłacalność_prognoza!$B$2:$S$3</c:f>
              <c:multiLvlStrCache>
                <c:ptCount val="18"/>
                <c:lvl>
                  <c:pt idx="0">
                    <c:v>7-12 </c:v>
                  </c:pt>
                  <c:pt idx="1">
                    <c:v>1-6 </c:v>
                  </c:pt>
                  <c:pt idx="2">
                    <c:v>7-12 </c:v>
                  </c:pt>
                  <c:pt idx="3">
                    <c:v>1-6 </c:v>
                  </c:pt>
                  <c:pt idx="4">
                    <c:v>7-12 </c:v>
                  </c:pt>
                  <c:pt idx="5">
                    <c:v>1-6 </c:v>
                  </c:pt>
                  <c:pt idx="6">
                    <c:v>7-12 </c:v>
                  </c:pt>
                  <c:pt idx="7">
                    <c:v>1-6 </c:v>
                  </c:pt>
                  <c:pt idx="8">
                    <c:v>7-12 </c:v>
                  </c:pt>
                  <c:pt idx="9">
                    <c:v>1-6 </c:v>
                  </c:pt>
                  <c:pt idx="10">
                    <c:v>7-12 </c:v>
                  </c:pt>
                  <c:pt idx="11">
                    <c:v>1-6 </c:v>
                  </c:pt>
                  <c:pt idx="12">
                    <c:v>7-12 </c:v>
                  </c:pt>
                  <c:pt idx="13">
                    <c:v>1-6 </c:v>
                  </c:pt>
                  <c:pt idx="14">
                    <c:v>7-12 </c:v>
                  </c:pt>
                  <c:pt idx="15">
                    <c:v>1-6 </c:v>
                  </c:pt>
                  <c:pt idx="16">
                    <c:v>7-12 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opłacalność_prognoza!$B$6:$S$6</c:f>
              <c:numCache>
                <c:formatCode>0.0</c:formatCode>
                <c:ptCount val="18"/>
                <c:pt idx="0">
                  <c:v>17.7</c:v>
                </c:pt>
                <c:pt idx="1">
                  <c:v>18.2</c:v>
                </c:pt>
                <c:pt idx="2" formatCode="General">
                  <c:v>26.6</c:v>
                </c:pt>
                <c:pt idx="3" formatCode="General">
                  <c:v>35.6</c:v>
                </c:pt>
                <c:pt idx="4" formatCode="General">
                  <c:v>24.1</c:v>
                </c:pt>
                <c:pt idx="5">
                  <c:v>27.5</c:v>
                </c:pt>
                <c:pt idx="6" formatCode="General">
                  <c:v>13.3</c:v>
                </c:pt>
                <c:pt idx="7">
                  <c:v>17</c:v>
                </c:pt>
                <c:pt idx="8" formatCode="General">
                  <c:v>16.8</c:v>
                </c:pt>
                <c:pt idx="9">
                  <c:v>35</c:v>
                </c:pt>
                <c:pt idx="10">
                  <c:v>19.399999999999999</c:v>
                </c:pt>
                <c:pt idx="11">
                  <c:v>32.299999999999997</c:v>
                </c:pt>
                <c:pt idx="12" formatCode="General">
                  <c:v>23.9</c:v>
                </c:pt>
                <c:pt idx="13">
                  <c:v>22.8</c:v>
                </c:pt>
                <c:pt idx="14">
                  <c:v>21.5</c:v>
                </c:pt>
                <c:pt idx="15" formatCode="General">
                  <c:v>31.3</c:v>
                </c:pt>
                <c:pt idx="16">
                  <c:v>55.9</c:v>
                </c:pt>
                <c:pt idx="17" formatCode="General">
                  <c:v>50.9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4464"/>
        <c:axId val="1455691536"/>
      </c:lineChart>
      <c:catAx>
        <c:axId val="1455684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91536"/>
        <c:crosses val="autoZero"/>
        <c:auto val="1"/>
        <c:lblAlgn val="ctr"/>
        <c:lblOffset val="100"/>
        <c:noMultiLvlLbl val="0"/>
      </c:catAx>
      <c:valAx>
        <c:axId val="1455691536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4464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5.4569758705812332E-3"/>
          <c:y val="0.87557441117810497"/>
          <c:w val="0.9891487410659251"/>
          <c:h val="8.4820981346797567E-2"/>
        </c:manualLayout>
      </c:layout>
      <c:overlay val="0"/>
      <c:txPr>
        <a:bodyPr/>
        <a:lstStyle/>
        <a:p>
          <a:pPr>
            <a:defRPr sz="800" spc="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622124725184259E-2"/>
          <c:y val="0.11194737450271521"/>
          <c:w val="0.73010217818713607"/>
          <c:h val="0.738339028376169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Wykres_12!$B$4:$B$7</c:f>
              <c:numCache>
                <c:formatCode>0.0</c:formatCode>
                <c:ptCount val="4"/>
                <c:pt idx="0">
                  <c:v>-39.4</c:v>
                </c:pt>
                <c:pt idx="1">
                  <c:v>-40.299999999999997</c:v>
                </c:pt>
                <c:pt idx="2">
                  <c:v>-33.5</c:v>
                </c:pt>
                <c:pt idx="3">
                  <c:v>-39.6</c:v>
                </c:pt>
              </c:numCache>
            </c:numRef>
          </c:val>
        </c:ser>
        <c:ser>
          <c:idx val="1"/>
          <c:order val="1"/>
          <c:tx>
            <c:strRef>
              <c:f>Wykres_12!$C$3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invertIfNegative val="0"/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Wykres_12!$C$4:$C$7</c:f>
              <c:numCache>
                <c:formatCode>0.0</c:formatCode>
                <c:ptCount val="4"/>
                <c:pt idx="0">
                  <c:v>-45.2</c:v>
                </c:pt>
                <c:pt idx="1">
                  <c:v>-46</c:v>
                </c:pt>
                <c:pt idx="2">
                  <c:v>-41.2</c:v>
                </c:pt>
                <c:pt idx="3">
                  <c:v>-45.3</c:v>
                </c:pt>
              </c:numCache>
            </c:numRef>
          </c:val>
        </c:ser>
        <c:ser>
          <c:idx val="2"/>
          <c:order val="2"/>
          <c:tx>
            <c:strRef>
              <c:f>Wykres_12!$D$3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</c:spPr>
          <c:invertIfNegative val="0"/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Wykres_12!$D$4:$D$7</c:f>
              <c:numCache>
                <c:formatCode>0.0</c:formatCode>
                <c:ptCount val="4"/>
                <c:pt idx="0">
                  <c:v>-16.100000000000001</c:v>
                </c:pt>
                <c:pt idx="1">
                  <c:v>-18.100000000000001</c:v>
                </c:pt>
                <c:pt idx="2">
                  <c:v>-14</c:v>
                </c:pt>
                <c:pt idx="3">
                  <c:v>-13.5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5689360"/>
        <c:axId val="1455692624"/>
      </c:barChart>
      <c:catAx>
        <c:axId val="1455689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55692624"/>
        <c:crosses val="autoZero"/>
        <c:auto val="1"/>
        <c:lblAlgn val="ctr"/>
        <c:lblOffset val="0"/>
        <c:noMultiLvlLbl val="0"/>
      </c:catAx>
      <c:valAx>
        <c:axId val="1455692624"/>
        <c:scaling>
          <c:orientation val="minMax"/>
          <c:max val="0"/>
          <c:min val="-6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4.397071214806636E-2"/>
              <c:y val="2.888305628463108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55689360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3108967467627437"/>
          <c:y val="0.11859190678088422"/>
          <c:w val="0.1421783808389265"/>
          <c:h val="0.63461076980761433"/>
        </c:manualLayout>
      </c:layout>
      <c:overlay val="0"/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475658141171027E-2"/>
          <c:y val="0.10573122501376712"/>
          <c:w val="0.67275837858451082"/>
          <c:h val="0.784904489118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wykres_2!$B$3</c:f>
              <c:strCache>
                <c:ptCount val="1"/>
                <c:pt idx="0">
                  <c:v>bieżąca ogólna sytuacja gospodarstw rolnych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wykres_2!$A$4:$A$9</c:f>
              <c:strCache>
                <c:ptCount val="6"/>
                <c:pt idx="0">
                  <c:v>do 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 i więcej</c:v>
                </c:pt>
              </c:strCache>
            </c:strRef>
          </c:cat>
          <c:val>
            <c:numRef>
              <c:f>wykres_2!$B$4:$B$9</c:f>
              <c:numCache>
                <c:formatCode>0.0</c:formatCode>
                <c:ptCount val="6"/>
                <c:pt idx="0">
                  <c:v>-17.399999999999999</c:v>
                </c:pt>
                <c:pt idx="1">
                  <c:v>-19.2</c:v>
                </c:pt>
                <c:pt idx="2">
                  <c:v>-23.9</c:v>
                </c:pt>
                <c:pt idx="3">
                  <c:v>-27.5</c:v>
                </c:pt>
                <c:pt idx="4">
                  <c:v>-26.1</c:v>
                </c:pt>
                <c:pt idx="5">
                  <c:v>-23.5</c:v>
                </c:pt>
              </c:numCache>
            </c:numRef>
          </c:val>
        </c:ser>
        <c:ser>
          <c:idx val="1"/>
          <c:order val="1"/>
          <c:tx>
            <c:strRef>
              <c:f>wykres_2!$C$3</c:f>
              <c:strCache>
                <c:ptCount val="1"/>
                <c:pt idx="0">
                  <c:v>prognozowana ogólna sytuacja gospodarstw rolnych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6677AD"/>
              </a:solidFill>
            </a:ln>
          </c:spPr>
          <c:invertIfNegative val="0"/>
          <c:cat>
            <c:strRef>
              <c:f>wykres_2!$A$4:$A$9</c:f>
              <c:strCache>
                <c:ptCount val="6"/>
                <c:pt idx="0">
                  <c:v>do 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 i więcej</c:v>
                </c:pt>
              </c:strCache>
            </c:strRef>
          </c:cat>
          <c:val>
            <c:numRef>
              <c:f>wykres_2!$C$4:$C$9</c:f>
              <c:numCache>
                <c:formatCode>0.0</c:formatCode>
                <c:ptCount val="6"/>
                <c:pt idx="0">
                  <c:v>-46.2</c:v>
                </c:pt>
                <c:pt idx="1">
                  <c:v>-33.799999999999997</c:v>
                </c:pt>
                <c:pt idx="2">
                  <c:v>-41.6</c:v>
                </c:pt>
                <c:pt idx="3">
                  <c:v>-39.6</c:v>
                </c:pt>
                <c:pt idx="4">
                  <c:v>-40.299999999999997</c:v>
                </c:pt>
                <c:pt idx="5">
                  <c:v>-36.6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0201056"/>
        <c:axId val="1400192352"/>
      </c:barChart>
      <c:catAx>
        <c:axId val="1400201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r>
                  <a:rPr lang="en-US" sz="800" b="0" baseline="0">
                    <a:latin typeface="Fira Sans" pitchFamily="34" charset="0"/>
                    <a:ea typeface="Fira Sans" pitchFamily="34" charset="0"/>
                  </a:rPr>
                  <a:t>w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iek</a:t>
                </a:r>
                <a:endParaRPr lang="en-US" sz="800" b="0" baseline="0">
                  <a:latin typeface="Fira Sans" pitchFamily="34" charset="0"/>
                  <a:ea typeface="Fira Sans" pitchFamily="34" charset="0"/>
                </a:endParaRP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 b="0" i="0" baseline="0">
                <a:latin typeface="Fira Sans" pitchFamily="34" charset="0"/>
              </a:defRPr>
            </a:pPr>
            <a:endParaRPr lang="pl-PL"/>
          </a:p>
        </c:txPr>
        <c:crossAx val="1400192352"/>
        <c:crosses val="autoZero"/>
        <c:auto val="1"/>
        <c:lblAlgn val="ctr"/>
        <c:lblOffset val="0"/>
        <c:noMultiLvlLbl val="0"/>
      </c:catAx>
      <c:valAx>
        <c:axId val="140019235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proc.</a:t>
                </a:r>
                <a:endParaRPr lang="pl-PL" sz="800" b="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2.5702809077544082E-2"/>
              <c:y val="2.4643881367690072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Fira Sans" pitchFamily="34" charset="0"/>
              </a:defRPr>
            </a:pPr>
            <a:endParaRPr lang="pl-PL"/>
          </a:p>
        </c:txPr>
        <c:crossAx val="1400201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47949450467533"/>
          <c:y val="7.7962339176267839E-2"/>
          <c:w val="0.18378604738862678"/>
          <c:h val="0.72781708825906299"/>
        </c:manualLayout>
      </c:layout>
      <c:overlay val="0"/>
      <c:txPr>
        <a:bodyPr/>
        <a:lstStyle/>
        <a:p>
          <a:pPr>
            <a:defRPr sz="800" b="0" i="0" baseline="0">
              <a:latin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06242278485596"/>
          <c:y val="9.93687581505142E-2"/>
          <c:w val="0.63548692245396055"/>
          <c:h val="0.75091764472837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Wykres_3.!$B$3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Wykres_3.!$B$4:$B$7</c:f>
              <c:numCache>
                <c:formatCode>0.0_ ;\-0.0\ </c:formatCode>
                <c:ptCount val="4"/>
                <c:pt idx="0">
                  <c:v>-46.2</c:v>
                </c:pt>
                <c:pt idx="1">
                  <c:v>-47.4</c:v>
                </c:pt>
                <c:pt idx="2">
                  <c:v>-36.299999999999997</c:v>
                </c:pt>
                <c:pt idx="3">
                  <c:v>-46.9</c:v>
                </c:pt>
              </c:numCache>
            </c:numRef>
          </c:val>
        </c:ser>
        <c:ser>
          <c:idx val="1"/>
          <c:order val="1"/>
          <c:tx>
            <c:strRef>
              <c:f>Wykres_3.!$C$3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Wykres_3.!$C$4:$C$7</c:f>
              <c:numCache>
                <c:formatCode>0.0_ ;\-0.0\ </c:formatCode>
                <c:ptCount val="4"/>
                <c:pt idx="0">
                  <c:v>-54.4</c:v>
                </c:pt>
                <c:pt idx="1">
                  <c:v>-55.6</c:v>
                </c:pt>
                <c:pt idx="2">
                  <c:v>-41.8</c:v>
                </c:pt>
                <c:pt idx="3">
                  <c:v>-55.9</c:v>
                </c:pt>
              </c:numCache>
            </c:numRef>
          </c:val>
        </c:ser>
        <c:ser>
          <c:idx val="2"/>
          <c:order val="2"/>
          <c:tx>
            <c:strRef>
              <c:f>Wykres_3.!$D$3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Wykres_3.!$D$4:$D$7</c:f>
              <c:numCache>
                <c:formatCode>0.0_ ;\-0.0\ </c:formatCode>
                <c:ptCount val="4"/>
                <c:pt idx="0">
                  <c:v>-9.5</c:v>
                </c:pt>
                <c:pt idx="1">
                  <c:v>-13.1</c:v>
                </c:pt>
                <c:pt idx="2">
                  <c:v>-1.1000000000000001</c:v>
                </c:pt>
                <c:pt idx="3">
                  <c:v>-6.7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0188000"/>
        <c:axId val="1400188544"/>
      </c:barChart>
      <c:catAx>
        <c:axId val="1400188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00188544"/>
        <c:crosses val="autoZero"/>
        <c:auto val="1"/>
        <c:lblAlgn val="ctr"/>
        <c:lblOffset val="0"/>
        <c:noMultiLvlLbl val="0"/>
      </c:catAx>
      <c:valAx>
        <c:axId val="1400188544"/>
        <c:scaling>
          <c:orientation val="minMax"/>
          <c:max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2.7666930376697582E-2"/>
              <c:y val="1.9859357202991135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00188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434917188184439"/>
          <c:y val="0.11859190678088415"/>
          <c:w val="0.17169859457026362"/>
          <c:h val="0.63461076980761477"/>
        </c:manualLayout>
      </c:layout>
      <c:overlay val="0"/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06247870931343"/>
          <c:y val="0.11576223054085452"/>
          <c:w val="0.63548692245396055"/>
          <c:h val="0.63559227227744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Wykres_3.!$B$3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Wykres_3.!$B$4:$B$7</c:f>
              <c:numCache>
                <c:formatCode>0.0_ ;\-0.0\ </c:formatCode>
                <c:ptCount val="4"/>
                <c:pt idx="0">
                  <c:v>-46.2</c:v>
                </c:pt>
                <c:pt idx="1">
                  <c:v>-47.4</c:v>
                </c:pt>
                <c:pt idx="2">
                  <c:v>-36.299999999999997</c:v>
                </c:pt>
                <c:pt idx="3">
                  <c:v>-46.9</c:v>
                </c:pt>
              </c:numCache>
            </c:numRef>
          </c:val>
        </c:ser>
        <c:ser>
          <c:idx val="1"/>
          <c:order val="1"/>
          <c:tx>
            <c:strRef>
              <c:f>Wykres_3.!$C$3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Wykres_3.!$C$4:$C$7</c:f>
              <c:numCache>
                <c:formatCode>0.0_ ;\-0.0\ </c:formatCode>
                <c:ptCount val="4"/>
                <c:pt idx="0">
                  <c:v>-54.4</c:v>
                </c:pt>
                <c:pt idx="1">
                  <c:v>-55.6</c:v>
                </c:pt>
                <c:pt idx="2">
                  <c:v>-41.8</c:v>
                </c:pt>
                <c:pt idx="3">
                  <c:v>-55.9</c:v>
                </c:pt>
              </c:numCache>
            </c:numRef>
          </c:val>
        </c:ser>
        <c:ser>
          <c:idx val="2"/>
          <c:order val="2"/>
          <c:tx>
            <c:strRef>
              <c:f>Wykres_3.!$D$3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</c:spPr>
          <c:invertIfNegative val="0"/>
          <c:cat>
            <c:strRef>
              <c:f>Wykres_3.!$A$4:$A$7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Wykres_3.!$D$4:$D$7</c:f>
              <c:numCache>
                <c:formatCode>0.0_ ;\-0.0\ </c:formatCode>
                <c:ptCount val="4"/>
                <c:pt idx="0">
                  <c:v>-9.5</c:v>
                </c:pt>
                <c:pt idx="1">
                  <c:v>-13.1</c:v>
                </c:pt>
                <c:pt idx="2">
                  <c:v>-0.1</c:v>
                </c:pt>
                <c:pt idx="3">
                  <c:v>-6.7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5694800"/>
        <c:axId val="1455688272"/>
      </c:barChart>
      <c:catAx>
        <c:axId val="1455694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55688272"/>
        <c:crosses val="autoZero"/>
        <c:auto val="1"/>
        <c:lblAlgn val="ctr"/>
        <c:lblOffset val="0"/>
        <c:noMultiLvlLbl val="0"/>
      </c:catAx>
      <c:valAx>
        <c:axId val="1455688272"/>
        <c:scaling>
          <c:orientation val="minMax"/>
          <c:max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5.7417748404357601E-2"/>
              <c:y val="3.3282604380334814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455694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434917188184439"/>
          <c:y val="0.11859190678088415"/>
          <c:w val="0.17169859457026362"/>
          <c:h val="0.63461076980761477"/>
        </c:manualLayout>
      </c:layout>
      <c:overlay val="0"/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397334948516047E-2"/>
          <c:y val="0.13075826432640855"/>
          <c:w val="0.8688090046436503"/>
          <c:h val="0.50532588932841582"/>
        </c:manualLayout>
      </c:layout>
      <c:lineChart>
        <c:grouping val="standard"/>
        <c:varyColors val="0"/>
        <c:ser>
          <c:idx val="0"/>
          <c:order val="0"/>
          <c:tx>
            <c:strRef>
              <c:f>'wykres 5'!$A$5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 w="38100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'wykres 5'!$B$3:$V$4</c:f>
              <c:multiLvlStrCache>
                <c:ptCount val="21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</c:v>
                  </c:pt>
                  <c:pt idx="4">
                    <c:v>1-6 </c:v>
                  </c:pt>
                  <c:pt idx="5">
                    <c:v>7-12</c:v>
                  </c:pt>
                  <c:pt idx="6">
                    <c:v>1-6 </c:v>
                  </c:pt>
                  <c:pt idx="7">
                    <c:v>7-12</c:v>
                  </c:pt>
                  <c:pt idx="8">
                    <c:v>1-6 </c:v>
                  </c:pt>
                  <c:pt idx="9">
                    <c:v>7-12</c:v>
                  </c:pt>
                  <c:pt idx="10">
                    <c:v>1-6 </c:v>
                  </c:pt>
                  <c:pt idx="11">
                    <c:v>7-12</c:v>
                  </c:pt>
                  <c:pt idx="12">
                    <c:v>1-6 </c:v>
                  </c:pt>
                  <c:pt idx="13">
                    <c:v>7-12</c:v>
                  </c:pt>
                  <c:pt idx="14">
                    <c:v>1-6 </c:v>
                  </c:pt>
                  <c:pt idx="15">
                    <c:v>7-12</c:v>
                  </c:pt>
                  <c:pt idx="16">
                    <c:v>1-6 </c:v>
                  </c:pt>
                  <c:pt idx="17">
                    <c:v>7-12</c:v>
                  </c:pt>
                  <c:pt idx="18">
                    <c:v>1-6 </c:v>
                  </c:pt>
                  <c:pt idx="19">
                    <c:v>7-12</c:v>
                  </c:pt>
                  <c:pt idx="20">
                    <c:v>1-6 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  <c:pt idx="16">
                    <c:v>2020</c:v>
                  </c:pt>
                  <c:pt idx="18">
                    <c:v>2021</c:v>
                  </c:pt>
                  <c:pt idx="20">
                    <c:v>2022</c:v>
                  </c:pt>
                </c:lvl>
              </c:multiLvlStrCache>
            </c:multiLvlStrRef>
          </c:cat>
          <c:val>
            <c:numRef>
              <c:f>'wykres 5'!$B$5:$V$5</c:f>
              <c:numCache>
                <c:formatCode>0.0</c:formatCode>
                <c:ptCount val="21"/>
                <c:pt idx="0">
                  <c:v>-1.5</c:v>
                </c:pt>
                <c:pt idx="1">
                  <c:v>-2.5</c:v>
                </c:pt>
                <c:pt idx="2">
                  <c:v>-3.1</c:v>
                </c:pt>
                <c:pt idx="3">
                  <c:v>0.6</c:v>
                </c:pt>
                <c:pt idx="4">
                  <c:v>4.0999999999999996</c:v>
                </c:pt>
                <c:pt idx="5" formatCode="General">
                  <c:v>-11.9</c:v>
                </c:pt>
                <c:pt idx="6">
                  <c:v>-25.5</c:v>
                </c:pt>
                <c:pt idx="7" formatCode="General">
                  <c:v>-18.8</c:v>
                </c:pt>
                <c:pt idx="8">
                  <c:v>-11.6</c:v>
                </c:pt>
                <c:pt idx="9" formatCode="General">
                  <c:v>-0.7</c:v>
                </c:pt>
                <c:pt idx="10">
                  <c:v>1.2</c:v>
                </c:pt>
                <c:pt idx="11">
                  <c:v>1</c:v>
                </c:pt>
                <c:pt idx="12" formatCode="General">
                  <c:v>-31.6</c:v>
                </c:pt>
                <c:pt idx="13" formatCode="General">
                  <c:v>-12.1</c:v>
                </c:pt>
                <c:pt idx="14" formatCode="General">
                  <c:v>-27.5</c:v>
                </c:pt>
                <c:pt idx="15" formatCode="General">
                  <c:v>-8.4</c:v>
                </c:pt>
                <c:pt idx="16" formatCode="General">
                  <c:v>-10.3</c:v>
                </c:pt>
                <c:pt idx="17" formatCode="General">
                  <c:v>-12.5</c:v>
                </c:pt>
                <c:pt idx="18">
                  <c:v>-9</c:v>
                </c:pt>
                <c:pt idx="19">
                  <c:v>-18</c:v>
                </c:pt>
                <c:pt idx="20" formatCode="General">
                  <c:v>-24.9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5'!$A$6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'wykres 5'!$B$3:$V$4</c:f>
              <c:multiLvlStrCache>
                <c:ptCount val="21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</c:v>
                  </c:pt>
                  <c:pt idx="4">
                    <c:v>1-6 </c:v>
                  </c:pt>
                  <c:pt idx="5">
                    <c:v>7-12</c:v>
                  </c:pt>
                  <c:pt idx="6">
                    <c:v>1-6 </c:v>
                  </c:pt>
                  <c:pt idx="7">
                    <c:v>7-12</c:v>
                  </c:pt>
                  <c:pt idx="8">
                    <c:v>1-6 </c:v>
                  </c:pt>
                  <c:pt idx="9">
                    <c:v>7-12</c:v>
                  </c:pt>
                  <c:pt idx="10">
                    <c:v>1-6 </c:v>
                  </c:pt>
                  <c:pt idx="11">
                    <c:v>7-12</c:v>
                  </c:pt>
                  <c:pt idx="12">
                    <c:v>1-6 </c:v>
                  </c:pt>
                  <c:pt idx="13">
                    <c:v>7-12</c:v>
                  </c:pt>
                  <c:pt idx="14">
                    <c:v>1-6 </c:v>
                  </c:pt>
                  <c:pt idx="15">
                    <c:v>7-12</c:v>
                  </c:pt>
                  <c:pt idx="16">
                    <c:v>1-6 </c:v>
                  </c:pt>
                  <c:pt idx="17">
                    <c:v>7-12</c:v>
                  </c:pt>
                  <c:pt idx="18">
                    <c:v>1-6 </c:v>
                  </c:pt>
                  <c:pt idx="19">
                    <c:v>7-12</c:v>
                  </c:pt>
                  <c:pt idx="20">
                    <c:v>1-6 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  <c:pt idx="16">
                    <c:v>2020</c:v>
                  </c:pt>
                  <c:pt idx="18">
                    <c:v>2021</c:v>
                  </c:pt>
                  <c:pt idx="20">
                    <c:v>2022</c:v>
                  </c:pt>
                </c:lvl>
              </c:multiLvlStrCache>
            </c:multiLvlStrRef>
          </c:cat>
          <c:val>
            <c:numRef>
              <c:f>'wykres 5'!$B$6:$V$6</c:f>
              <c:numCache>
                <c:formatCode>General</c:formatCode>
                <c:ptCount val="21"/>
                <c:pt idx="0">
                  <c:v>-14.799999999999999</c:v>
                </c:pt>
                <c:pt idx="1">
                  <c:v>-11.400000000000002</c:v>
                </c:pt>
                <c:pt idx="2">
                  <c:v>-9.5</c:v>
                </c:pt>
                <c:pt idx="3">
                  <c:v>-4.3000000000000007</c:v>
                </c:pt>
                <c:pt idx="4">
                  <c:v>-4.4000000000000021</c:v>
                </c:pt>
                <c:pt idx="5">
                  <c:v>-24.3</c:v>
                </c:pt>
                <c:pt idx="6">
                  <c:v>-33.5</c:v>
                </c:pt>
                <c:pt idx="7">
                  <c:v>-30.2</c:v>
                </c:pt>
                <c:pt idx="8">
                  <c:v>-19.399999999999999</c:v>
                </c:pt>
                <c:pt idx="9">
                  <c:v>-2.5</c:v>
                </c:pt>
                <c:pt idx="10">
                  <c:v>5.3</c:v>
                </c:pt>
                <c:pt idx="11">
                  <c:v>2.5</c:v>
                </c:pt>
                <c:pt idx="12">
                  <c:v>-21.6</c:v>
                </c:pt>
                <c:pt idx="13">
                  <c:v>-14.2</c:v>
                </c:pt>
                <c:pt idx="14">
                  <c:v>-16.399999999999999</c:v>
                </c:pt>
                <c:pt idx="15" formatCode="0.0">
                  <c:v>-7</c:v>
                </c:pt>
                <c:pt idx="16">
                  <c:v>-7.3</c:v>
                </c:pt>
                <c:pt idx="17">
                  <c:v>-7.1</c:v>
                </c:pt>
                <c:pt idx="18" formatCode="0.0">
                  <c:v>-11.6</c:v>
                </c:pt>
                <c:pt idx="19" formatCode="0.0">
                  <c:v>-18.7</c:v>
                </c:pt>
                <c:pt idx="20">
                  <c:v>-18.899999999999999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'wykres 5'!$A$7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'wykres 5'!$B$3:$V$4</c:f>
              <c:multiLvlStrCache>
                <c:ptCount val="21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</c:v>
                  </c:pt>
                  <c:pt idx="4">
                    <c:v>1-6 </c:v>
                  </c:pt>
                  <c:pt idx="5">
                    <c:v>7-12</c:v>
                  </c:pt>
                  <c:pt idx="6">
                    <c:v>1-6 </c:v>
                  </c:pt>
                  <c:pt idx="7">
                    <c:v>7-12</c:v>
                  </c:pt>
                  <c:pt idx="8">
                    <c:v>1-6 </c:v>
                  </c:pt>
                  <c:pt idx="9">
                    <c:v>7-12</c:v>
                  </c:pt>
                  <c:pt idx="10">
                    <c:v>1-6 </c:v>
                  </c:pt>
                  <c:pt idx="11">
                    <c:v>7-12</c:v>
                  </c:pt>
                  <c:pt idx="12">
                    <c:v>1-6 </c:v>
                  </c:pt>
                  <c:pt idx="13">
                    <c:v>7-12</c:v>
                  </c:pt>
                  <c:pt idx="14">
                    <c:v>1-6 </c:v>
                  </c:pt>
                  <c:pt idx="15">
                    <c:v>7-12</c:v>
                  </c:pt>
                  <c:pt idx="16">
                    <c:v>1-6 </c:v>
                  </c:pt>
                  <c:pt idx="17">
                    <c:v>7-12</c:v>
                  </c:pt>
                  <c:pt idx="18">
                    <c:v>1-6 </c:v>
                  </c:pt>
                  <c:pt idx="19">
                    <c:v>7-12</c:v>
                  </c:pt>
                  <c:pt idx="20">
                    <c:v>1-6 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  <c:pt idx="8">
                    <c:v>2016</c:v>
                  </c:pt>
                  <c:pt idx="10">
                    <c:v>2017</c:v>
                  </c:pt>
                  <c:pt idx="12">
                    <c:v>2018</c:v>
                  </c:pt>
                  <c:pt idx="14">
                    <c:v>2019</c:v>
                  </c:pt>
                  <c:pt idx="16">
                    <c:v>2020</c:v>
                  </c:pt>
                  <c:pt idx="18">
                    <c:v>2021</c:v>
                  </c:pt>
                  <c:pt idx="20">
                    <c:v>2022</c:v>
                  </c:pt>
                </c:lvl>
              </c:multiLvlStrCache>
            </c:multiLvlStrRef>
          </c:cat>
          <c:val>
            <c:numRef>
              <c:f>'wykres 5'!$B$7:$V$7</c:f>
              <c:numCache>
                <c:formatCode>General</c:formatCode>
                <c:ptCount val="21"/>
                <c:pt idx="0">
                  <c:v>-19</c:v>
                </c:pt>
                <c:pt idx="1">
                  <c:v>-20.5</c:v>
                </c:pt>
                <c:pt idx="2">
                  <c:v>-38.799999999999997</c:v>
                </c:pt>
                <c:pt idx="3">
                  <c:v>-31.4</c:v>
                </c:pt>
                <c:pt idx="4">
                  <c:v>-34.9</c:v>
                </c:pt>
                <c:pt idx="5">
                  <c:v>-48.7</c:v>
                </c:pt>
                <c:pt idx="6">
                  <c:v>-49.2</c:v>
                </c:pt>
                <c:pt idx="7">
                  <c:v>-44.6</c:v>
                </c:pt>
                <c:pt idx="8">
                  <c:v>-38.6</c:v>
                </c:pt>
                <c:pt idx="9">
                  <c:v>-27.2</c:v>
                </c:pt>
                <c:pt idx="10">
                  <c:v>-20.6</c:v>
                </c:pt>
                <c:pt idx="11">
                  <c:v>-22.6</c:v>
                </c:pt>
                <c:pt idx="12">
                  <c:v>-36.799999999999997</c:v>
                </c:pt>
                <c:pt idx="13">
                  <c:v>-29.2</c:v>
                </c:pt>
                <c:pt idx="14">
                  <c:v>-32.700000000000003</c:v>
                </c:pt>
                <c:pt idx="15" formatCode="0.0">
                  <c:v>-28</c:v>
                </c:pt>
                <c:pt idx="16">
                  <c:v>-29.3</c:v>
                </c:pt>
                <c:pt idx="17">
                  <c:v>-29.8</c:v>
                </c:pt>
                <c:pt idx="18" formatCode="0.0">
                  <c:v>-25.4</c:v>
                </c:pt>
                <c:pt idx="19" formatCode="0.0">
                  <c:v>-25.1</c:v>
                </c:pt>
                <c:pt idx="20">
                  <c:v>-27.8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2288"/>
        <c:axId val="1455687728"/>
      </c:lineChart>
      <c:catAx>
        <c:axId val="145568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+mn-ea"/>
                <a:cs typeface="+mn-cs"/>
              </a:defRPr>
            </a:pPr>
            <a:endParaRPr lang="pl-PL"/>
          </a:p>
        </c:txPr>
        <c:crossAx val="1455687728"/>
        <c:crosses val="autoZero"/>
        <c:auto val="1"/>
        <c:lblAlgn val="ctr"/>
        <c:lblOffset val="100"/>
        <c:noMultiLvlLbl val="0"/>
      </c:catAx>
      <c:valAx>
        <c:axId val="1455687728"/>
        <c:scaling>
          <c:orientation val="minMax"/>
          <c:max val="10"/>
        </c:scaling>
        <c:delete val="0"/>
        <c:axPos val="l"/>
        <c:majorGridlines>
          <c:spPr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  <a:cs typeface="+mn-cs"/>
              </a:defRPr>
            </a:pPr>
            <a:endParaRPr lang="pl-PL"/>
          </a:p>
        </c:txPr>
        <c:crossAx val="145568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642221894324537E-2"/>
          <c:y val="0.84086446018760186"/>
          <c:w val="0.86560123766471264"/>
          <c:h val="0.109234239174142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5828332925667827E-2"/>
          <c:y val="0.14677435541145592"/>
          <c:w val="0.88512878872611656"/>
          <c:h val="0.60270186814883431"/>
        </c:manualLayout>
      </c:layout>
      <c:lineChart>
        <c:grouping val="standard"/>
        <c:varyColors val="0"/>
        <c:ser>
          <c:idx val="0"/>
          <c:order val="0"/>
          <c:tx>
            <c:strRef>
              <c:f>'sytuacja-zmiana1'!$A$4</c:f>
              <c:strCache>
                <c:ptCount val="1"/>
                <c:pt idx="0">
                  <c:v>poprawiła się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'sytuacja-zmiana1'!$B$2:$T$3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'sytuacja-zmiana1'!$B$4:$T$4</c:f>
              <c:numCache>
                <c:formatCode>0.0</c:formatCode>
                <c:ptCount val="19"/>
                <c:pt idx="0">
                  <c:v>6.9</c:v>
                </c:pt>
                <c:pt idx="1">
                  <c:v>6.2</c:v>
                </c:pt>
                <c:pt idx="2">
                  <c:v>6.7</c:v>
                </c:pt>
                <c:pt idx="3">
                  <c:v>3.9</c:v>
                </c:pt>
                <c:pt idx="4">
                  <c:v>3.5</c:v>
                </c:pt>
                <c:pt idx="5">
                  <c:v>3.7</c:v>
                </c:pt>
                <c:pt idx="6">
                  <c:v>5.6</c:v>
                </c:pt>
                <c:pt idx="7">
                  <c:v>8.4</c:v>
                </c:pt>
                <c:pt idx="8">
                  <c:v>11.1</c:v>
                </c:pt>
                <c:pt idx="9">
                  <c:v>10.199999999999999</c:v>
                </c:pt>
                <c:pt idx="10">
                  <c:v>4.5</c:v>
                </c:pt>
                <c:pt idx="11">
                  <c:v>5.5</c:v>
                </c:pt>
                <c:pt idx="12">
                  <c:v>6.3</c:v>
                </c:pt>
                <c:pt idx="13">
                  <c:v>6.4</c:v>
                </c:pt>
                <c:pt idx="14">
                  <c:v>6.5</c:v>
                </c:pt>
                <c:pt idx="15">
                  <c:v>5.3</c:v>
                </c:pt>
                <c:pt idx="16">
                  <c:v>5.8</c:v>
                </c:pt>
                <c:pt idx="17">
                  <c:v>4.8</c:v>
                </c:pt>
                <c:pt idx="18" formatCode="General">
                  <c:v>4.0999999999999996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'sytuacja-zmiana1'!$A$5</c:f>
              <c:strCache>
                <c:ptCount val="1"/>
                <c:pt idx="0">
                  <c:v>pozostała bez zmian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'sytuacja-zmiana1'!$B$2:$T$3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'sytuacja-zmiana1'!$B$5:$T$5</c:f>
              <c:numCache>
                <c:formatCode>0.0</c:formatCode>
                <c:ptCount val="19"/>
                <c:pt idx="0">
                  <c:v>68.900000000000006</c:v>
                </c:pt>
                <c:pt idx="1">
                  <c:v>71.2</c:v>
                </c:pt>
                <c:pt idx="2">
                  <c:v>74.5</c:v>
                </c:pt>
                <c:pt idx="3">
                  <c:v>60.6</c:v>
                </c:pt>
                <c:pt idx="4">
                  <c:v>52.5</c:v>
                </c:pt>
                <c:pt idx="5">
                  <c:v>55.4</c:v>
                </c:pt>
                <c:pt idx="6">
                  <c:v>59.8</c:v>
                </c:pt>
                <c:pt idx="7">
                  <c:v>68.400000000000006</c:v>
                </c:pt>
                <c:pt idx="8">
                  <c:v>70</c:v>
                </c:pt>
                <c:pt idx="9">
                  <c:v>69.5</c:v>
                </c:pt>
                <c:pt idx="10">
                  <c:v>58.3</c:v>
                </c:pt>
                <c:pt idx="11">
                  <c:v>60.5</c:v>
                </c:pt>
                <c:pt idx="12">
                  <c:v>58</c:v>
                </c:pt>
                <c:pt idx="13">
                  <c:v>61.7</c:v>
                </c:pt>
                <c:pt idx="14">
                  <c:v>63.2</c:v>
                </c:pt>
                <c:pt idx="15">
                  <c:v>63.5</c:v>
                </c:pt>
                <c:pt idx="16">
                  <c:v>63.2</c:v>
                </c:pt>
                <c:pt idx="17">
                  <c:v>53.1</c:v>
                </c:pt>
                <c:pt idx="18" formatCode="General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'sytuacja-zmiana1'!$A$6</c:f>
              <c:strCache>
                <c:ptCount val="1"/>
                <c:pt idx="0">
                  <c:v>pogorszyła się</c:v>
                </c:pt>
              </c:strCache>
            </c:strRef>
          </c:tx>
          <c:spPr>
            <a:ln w="28575">
              <a:solidFill>
                <a:srgbClr val="6677AD"/>
              </a:solidFill>
              <a:prstDash val="solid"/>
            </a:ln>
          </c:spPr>
          <c:marker>
            <c:symbol val="none"/>
          </c:marker>
          <c:cat>
            <c:multiLvlStrRef>
              <c:f>'sytuacja-zmiana1'!$B$2:$T$3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'sytuacja-zmiana1'!$B$6:$T$6</c:f>
              <c:numCache>
                <c:formatCode>0.0</c:formatCode>
                <c:ptCount val="19"/>
                <c:pt idx="0">
                  <c:v>24.2</c:v>
                </c:pt>
                <c:pt idx="1">
                  <c:v>22.6</c:v>
                </c:pt>
                <c:pt idx="2">
                  <c:v>18.8</c:v>
                </c:pt>
                <c:pt idx="3">
                  <c:v>35.5</c:v>
                </c:pt>
                <c:pt idx="4">
                  <c:v>44</c:v>
                </c:pt>
                <c:pt idx="5">
                  <c:v>40.9</c:v>
                </c:pt>
                <c:pt idx="6">
                  <c:v>34.6</c:v>
                </c:pt>
                <c:pt idx="7">
                  <c:v>23.2</c:v>
                </c:pt>
                <c:pt idx="8">
                  <c:v>18.899999999999999</c:v>
                </c:pt>
                <c:pt idx="9">
                  <c:v>20.3</c:v>
                </c:pt>
                <c:pt idx="10">
                  <c:v>37.200000000000003</c:v>
                </c:pt>
                <c:pt idx="11">
                  <c:v>34</c:v>
                </c:pt>
                <c:pt idx="12">
                  <c:v>35.700000000000003</c:v>
                </c:pt>
                <c:pt idx="13">
                  <c:v>31.9</c:v>
                </c:pt>
                <c:pt idx="14">
                  <c:v>30.3</c:v>
                </c:pt>
                <c:pt idx="15">
                  <c:v>31.2</c:v>
                </c:pt>
                <c:pt idx="16">
                  <c:v>31</c:v>
                </c:pt>
                <c:pt idx="17">
                  <c:v>42.1</c:v>
                </c:pt>
                <c:pt idx="18" formatCode="General">
                  <c:v>50.3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2832"/>
        <c:axId val="1455683376"/>
      </c:lineChart>
      <c:catAx>
        <c:axId val="1455682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3376"/>
        <c:crosses val="autoZero"/>
        <c:auto val="1"/>
        <c:lblAlgn val="ctr"/>
        <c:lblOffset val="100"/>
        <c:noMultiLvlLbl val="0"/>
      </c:catAx>
      <c:valAx>
        <c:axId val="1455683376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2832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"/>
          <c:y val="0.93070746687637496"/>
          <c:w val="1"/>
          <c:h val="6.9195784120734932E-2"/>
        </c:manualLayout>
      </c:layout>
      <c:overlay val="0"/>
      <c:txPr>
        <a:bodyPr/>
        <a:lstStyle/>
        <a:p>
          <a:pPr>
            <a:defRPr sz="80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817921960119052E-2"/>
          <c:y val="0.13567919394691047"/>
          <c:w val="0.88283493233219723"/>
          <c:h val="0.61605558641269431"/>
        </c:manualLayout>
      </c:layout>
      <c:lineChart>
        <c:grouping val="standard"/>
        <c:varyColors val="0"/>
        <c:ser>
          <c:idx val="0"/>
          <c:order val="0"/>
          <c:tx>
            <c:strRef>
              <c:f>'sytuacja-bieżąca'!$A$4</c:f>
              <c:strCache>
                <c:ptCount val="1"/>
                <c:pt idx="0">
                  <c:v>dobra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'sytuacja-bieżąca'!$B$2:$T$3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'sytuacja-bieżąca'!$B$4:$T$4</c:f>
              <c:numCache>
                <c:formatCode>0.0</c:formatCode>
                <c:ptCount val="19"/>
                <c:pt idx="0">
                  <c:v>19.3</c:v>
                </c:pt>
                <c:pt idx="1">
                  <c:v>19.600000000000001</c:v>
                </c:pt>
                <c:pt idx="2">
                  <c:v>20.7</c:v>
                </c:pt>
                <c:pt idx="3" formatCode="General">
                  <c:v>15.7</c:v>
                </c:pt>
                <c:pt idx="4">
                  <c:v>9.1999999999999993</c:v>
                </c:pt>
                <c:pt idx="5" formatCode="General">
                  <c:v>7.6</c:v>
                </c:pt>
                <c:pt idx="6">
                  <c:v>11.5</c:v>
                </c:pt>
                <c:pt idx="7" formatCode="General">
                  <c:v>11.8</c:v>
                </c:pt>
                <c:pt idx="8" formatCode="General">
                  <c:v>15.9</c:v>
                </c:pt>
                <c:pt idx="9">
                  <c:v>13.7</c:v>
                </c:pt>
                <c:pt idx="10">
                  <c:v>7.1</c:v>
                </c:pt>
                <c:pt idx="11">
                  <c:v>8.6</c:v>
                </c:pt>
                <c:pt idx="12" formatCode="General">
                  <c:v>7.8</c:v>
                </c:pt>
                <c:pt idx="13">
                  <c:v>9</c:v>
                </c:pt>
                <c:pt idx="14">
                  <c:v>10.6</c:v>
                </c:pt>
                <c:pt idx="15">
                  <c:v>7.3</c:v>
                </c:pt>
                <c:pt idx="16" formatCode="General">
                  <c:v>9.8000000000000007</c:v>
                </c:pt>
                <c:pt idx="17" formatCode="General">
                  <c:v>6.1</c:v>
                </c:pt>
                <c:pt idx="18" formatCode="General">
                  <c:v>7.2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'sytuacja-bieżąca'!$A$5</c:f>
              <c:strCache>
                <c:ptCount val="1"/>
                <c:pt idx="0">
                  <c:v>normalna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'sytuacja-bieżąca'!$B$2:$T$3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'sytuacja-bieżąca'!$B$5:$T$5</c:f>
              <c:numCache>
                <c:formatCode>0.0</c:formatCode>
                <c:ptCount val="19"/>
                <c:pt idx="0">
                  <c:v>58.3</c:v>
                </c:pt>
                <c:pt idx="1">
                  <c:v>61.4</c:v>
                </c:pt>
                <c:pt idx="2">
                  <c:v>62.7</c:v>
                </c:pt>
                <c:pt idx="3" formatCode="General">
                  <c:v>56.7</c:v>
                </c:pt>
                <c:pt idx="4" formatCode="General">
                  <c:v>56.5</c:v>
                </c:pt>
                <c:pt idx="5">
                  <c:v>66</c:v>
                </c:pt>
                <c:pt idx="6">
                  <c:v>65.400000000000006</c:v>
                </c:pt>
                <c:pt idx="7" formatCode="General">
                  <c:v>75.7</c:v>
                </c:pt>
                <c:pt idx="8" formatCode="General">
                  <c:v>69.400000000000006</c:v>
                </c:pt>
                <c:pt idx="9">
                  <c:v>73.599999999999994</c:v>
                </c:pt>
                <c:pt idx="10">
                  <c:v>54.2</c:v>
                </c:pt>
                <c:pt idx="11">
                  <c:v>70.7</c:v>
                </c:pt>
                <c:pt idx="12" formatCode="General">
                  <c:v>56.9</c:v>
                </c:pt>
                <c:pt idx="13" formatCode="General">
                  <c:v>73.599999999999994</c:v>
                </c:pt>
                <c:pt idx="14">
                  <c:v>68.5</c:v>
                </c:pt>
                <c:pt idx="15">
                  <c:v>72.900000000000006</c:v>
                </c:pt>
                <c:pt idx="16" formatCode="General">
                  <c:v>71.400000000000006</c:v>
                </c:pt>
                <c:pt idx="17" formatCode="General">
                  <c:v>69.8</c:v>
                </c:pt>
                <c:pt idx="18" formatCode="General">
                  <c:v>60.7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'sytuacja-bieżąca'!$A$6</c:f>
              <c:strCache>
                <c:ptCount val="1"/>
                <c:pt idx="0">
                  <c:v>zła</c:v>
                </c:pt>
              </c:strCache>
            </c:strRef>
          </c:tx>
          <c:spPr>
            <a:ln w="28575"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'sytuacja-bieżąca'!$B$2:$T$3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'sytuacja-bieżąca'!$B$6:$T$6</c:f>
              <c:numCache>
                <c:formatCode>0.0</c:formatCode>
                <c:ptCount val="19"/>
                <c:pt idx="0">
                  <c:v>22.4</c:v>
                </c:pt>
                <c:pt idx="1">
                  <c:v>19</c:v>
                </c:pt>
                <c:pt idx="2">
                  <c:v>16.600000000000001</c:v>
                </c:pt>
                <c:pt idx="3" formatCode="General">
                  <c:v>27.6</c:v>
                </c:pt>
                <c:pt idx="4" formatCode="General">
                  <c:v>34.299999999999997</c:v>
                </c:pt>
                <c:pt idx="5" formatCode="General">
                  <c:v>26.4</c:v>
                </c:pt>
                <c:pt idx="6">
                  <c:v>23.1</c:v>
                </c:pt>
                <c:pt idx="7" formatCode="General">
                  <c:v>12.5</c:v>
                </c:pt>
                <c:pt idx="8" formatCode="General">
                  <c:v>14.7</c:v>
                </c:pt>
                <c:pt idx="9">
                  <c:v>12.7</c:v>
                </c:pt>
                <c:pt idx="10">
                  <c:v>38.700000000000003</c:v>
                </c:pt>
                <c:pt idx="11">
                  <c:v>20.7</c:v>
                </c:pt>
                <c:pt idx="12" formatCode="General">
                  <c:v>35.299999999999997</c:v>
                </c:pt>
                <c:pt idx="13" formatCode="General">
                  <c:v>17.399999999999999</c:v>
                </c:pt>
                <c:pt idx="14">
                  <c:v>20.9</c:v>
                </c:pt>
                <c:pt idx="15">
                  <c:v>19.8</c:v>
                </c:pt>
                <c:pt idx="16" formatCode="General">
                  <c:v>18.8</c:v>
                </c:pt>
                <c:pt idx="17" formatCode="General">
                  <c:v>24.1</c:v>
                </c:pt>
                <c:pt idx="18" formatCode="General">
                  <c:v>32.1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96976"/>
        <c:axId val="1455686640"/>
      </c:lineChart>
      <c:catAx>
        <c:axId val="1455696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6640"/>
        <c:crosses val="autoZero"/>
        <c:auto val="1"/>
        <c:lblAlgn val="ctr"/>
        <c:lblOffset val="100"/>
        <c:noMultiLvlLbl val="0"/>
      </c:catAx>
      <c:valAx>
        <c:axId val="1455686640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96976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804025331909E-3"/>
          <c:y val="0.92074516076115487"/>
          <c:w val="0.96526803976876441"/>
          <c:h val="6.3987450787401576E-2"/>
        </c:manualLayout>
      </c:layout>
      <c:overlay val="0"/>
      <c:txPr>
        <a:bodyPr/>
        <a:lstStyle/>
        <a:p>
          <a:pPr>
            <a:defRPr sz="80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436664572772564E-2"/>
          <c:y val="0.13292130150397866"/>
          <c:w val="0.90495526349169164"/>
          <c:h val="0.57405699287589051"/>
        </c:manualLayout>
      </c:layout>
      <c:lineChart>
        <c:grouping val="standard"/>
        <c:varyColors val="0"/>
        <c:ser>
          <c:idx val="0"/>
          <c:order val="0"/>
          <c:tx>
            <c:strRef>
              <c:f>'sytuacja-prognoza'!$A$4</c:f>
              <c:strCache>
                <c:ptCount val="1"/>
                <c:pt idx="0">
                  <c:v>poprawi się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'sytuacja-prognoza'!$B$2:$S$3</c:f>
              <c:multiLvlStrCache>
                <c:ptCount val="18"/>
                <c:lvl>
                  <c:pt idx="0">
                    <c:v>7-12</c:v>
                  </c:pt>
                  <c:pt idx="1">
                    <c:v>1-6 </c:v>
                  </c:pt>
                  <c:pt idx="2">
                    <c:v>7-12</c:v>
                  </c:pt>
                  <c:pt idx="3">
                    <c:v>1-6 </c:v>
                  </c:pt>
                  <c:pt idx="4">
                    <c:v>7-12</c:v>
                  </c:pt>
                  <c:pt idx="5">
                    <c:v>1-6 </c:v>
                  </c:pt>
                  <c:pt idx="6">
                    <c:v>7-12</c:v>
                  </c:pt>
                  <c:pt idx="7">
                    <c:v>1-6 </c:v>
                  </c:pt>
                  <c:pt idx="8">
                    <c:v>7-12</c:v>
                  </c:pt>
                  <c:pt idx="9">
                    <c:v>1-6 </c:v>
                  </c:pt>
                  <c:pt idx="10">
                    <c:v>7-12</c:v>
                  </c:pt>
                  <c:pt idx="11">
                    <c:v>1-6 </c:v>
                  </c:pt>
                  <c:pt idx="12">
                    <c:v>7-12</c:v>
                  </c:pt>
                  <c:pt idx="13">
                    <c:v>1-6 </c:v>
                  </c:pt>
                  <c:pt idx="14">
                    <c:v>7-12</c:v>
                  </c:pt>
                  <c:pt idx="15">
                    <c:v>1-6 </c:v>
                  </c:pt>
                  <c:pt idx="16">
                    <c:v>7-12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'sytuacja-prognoza'!$B$4:$S$4</c:f>
              <c:numCache>
                <c:formatCode>0.0</c:formatCode>
                <c:ptCount val="18"/>
                <c:pt idx="0">
                  <c:v>9</c:v>
                </c:pt>
                <c:pt idx="1">
                  <c:v>9.1</c:v>
                </c:pt>
                <c:pt idx="2" formatCode="General">
                  <c:v>6.1</c:v>
                </c:pt>
                <c:pt idx="3" formatCode="General">
                  <c:v>9.3000000000000007</c:v>
                </c:pt>
                <c:pt idx="4" formatCode="General">
                  <c:v>9.3000000000000007</c:v>
                </c:pt>
                <c:pt idx="5">
                  <c:v>12.6</c:v>
                </c:pt>
                <c:pt idx="6" formatCode="General">
                  <c:v>14.6</c:v>
                </c:pt>
                <c:pt idx="7" formatCode="General">
                  <c:v>14.8</c:v>
                </c:pt>
                <c:pt idx="8">
                  <c:v>12</c:v>
                </c:pt>
                <c:pt idx="9" formatCode="General">
                  <c:v>10.3</c:v>
                </c:pt>
                <c:pt idx="10">
                  <c:v>11.2</c:v>
                </c:pt>
                <c:pt idx="11">
                  <c:v>10.1</c:v>
                </c:pt>
                <c:pt idx="12" formatCode="General">
                  <c:v>9.5</c:v>
                </c:pt>
                <c:pt idx="13">
                  <c:v>12.9</c:v>
                </c:pt>
                <c:pt idx="14">
                  <c:v>9.1</c:v>
                </c:pt>
                <c:pt idx="15" formatCode="General">
                  <c:v>9.6999999999999993</c:v>
                </c:pt>
                <c:pt idx="16" formatCode="General">
                  <c:v>4.0999999999999996</c:v>
                </c:pt>
                <c:pt idx="17" formatCode="General">
                  <c:v>6.6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'sytuacja-prognoza'!$A$5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'sytuacja-prognoza'!$B$2:$S$3</c:f>
              <c:multiLvlStrCache>
                <c:ptCount val="18"/>
                <c:lvl>
                  <c:pt idx="0">
                    <c:v>7-12</c:v>
                  </c:pt>
                  <c:pt idx="1">
                    <c:v>1-6 </c:v>
                  </c:pt>
                  <c:pt idx="2">
                    <c:v>7-12</c:v>
                  </c:pt>
                  <c:pt idx="3">
                    <c:v>1-6 </c:v>
                  </c:pt>
                  <c:pt idx="4">
                    <c:v>7-12</c:v>
                  </c:pt>
                  <c:pt idx="5">
                    <c:v>1-6 </c:v>
                  </c:pt>
                  <c:pt idx="6">
                    <c:v>7-12</c:v>
                  </c:pt>
                  <c:pt idx="7">
                    <c:v>1-6 </c:v>
                  </c:pt>
                  <c:pt idx="8">
                    <c:v>7-12</c:v>
                  </c:pt>
                  <c:pt idx="9">
                    <c:v>1-6 </c:v>
                  </c:pt>
                  <c:pt idx="10">
                    <c:v>7-12</c:v>
                  </c:pt>
                  <c:pt idx="11">
                    <c:v>1-6 </c:v>
                  </c:pt>
                  <c:pt idx="12">
                    <c:v>7-12</c:v>
                  </c:pt>
                  <c:pt idx="13">
                    <c:v>1-6 </c:v>
                  </c:pt>
                  <c:pt idx="14">
                    <c:v>7-12</c:v>
                  </c:pt>
                  <c:pt idx="15">
                    <c:v>1-6 </c:v>
                  </c:pt>
                  <c:pt idx="16">
                    <c:v>7-12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'sytuacja-prognoza'!$B$5:$S$5</c:f>
              <c:numCache>
                <c:formatCode>0.0</c:formatCode>
                <c:ptCount val="18"/>
                <c:pt idx="0">
                  <c:v>77.900000000000006</c:v>
                </c:pt>
                <c:pt idx="1">
                  <c:v>77.400000000000006</c:v>
                </c:pt>
                <c:pt idx="2" formatCode="General">
                  <c:v>71.900000000000006</c:v>
                </c:pt>
                <c:pt idx="3">
                  <c:v>60.1</c:v>
                </c:pt>
                <c:pt idx="4" formatCode="General">
                  <c:v>70.900000000000006</c:v>
                </c:pt>
                <c:pt idx="5">
                  <c:v>64.400000000000006</c:v>
                </c:pt>
                <c:pt idx="6" formatCode="General">
                  <c:v>73.7</c:v>
                </c:pt>
                <c:pt idx="7" formatCode="General">
                  <c:v>69.3</c:v>
                </c:pt>
                <c:pt idx="8">
                  <c:v>73</c:v>
                </c:pt>
                <c:pt idx="9" formatCode="General">
                  <c:v>56.8</c:v>
                </c:pt>
                <c:pt idx="10">
                  <c:v>72.3</c:v>
                </c:pt>
                <c:pt idx="11">
                  <c:v>60.3</c:v>
                </c:pt>
                <c:pt idx="12">
                  <c:v>69.3</c:v>
                </c:pt>
                <c:pt idx="13">
                  <c:v>66.3</c:v>
                </c:pt>
                <c:pt idx="14">
                  <c:v>72.7</c:v>
                </c:pt>
                <c:pt idx="15" formatCode="General">
                  <c:v>65.2</c:v>
                </c:pt>
                <c:pt idx="16" formatCode="General">
                  <c:v>44.6</c:v>
                </c:pt>
                <c:pt idx="17" formatCode="General">
                  <c:v>47.4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'sytuacja-prognoza'!$A$6</c:f>
              <c:strCache>
                <c:ptCount val="1"/>
                <c:pt idx="0">
                  <c:v>pogorszy się</c:v>
                </c:pt>
              </c:strCache>
            </c:strRef>
          </c:tx>
          <c:spPr>
            <a:ln w="28575"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'sytuacja-prognoza'!$B$2:$S$3</c:f>
              <c:multiLvlStrCache>
                <c:ptCount val="18"/>
                <c:lvl>
                  <c:pt idx="0">
                    <c:v>7-12</c:v>
                  </c:pt>
                  <c:pt idx="1">
                    <c:v>1-6 </c:v>
                  </c:pt>
                  <c:pt idx="2">
                    <c:v>7-12</c:v>
                  </c:pt>
                  <c:pt idx="3">
                    <c:v>1-6 </c:v>
                  </c:pt>
                  <c:pt idx="4">
                    <c:v>7-12</c:v>
                  </c:pt>
                  <c:pt idx="5">
                    <c:v>1-6 </c:v>
                  </c:pt>
                  <c:pt idx="6">
                    <c:v>7-12</c:v>
                  </c:pt>
                  <c:pt idx="7">
                    <c:v>1-6 </c:v>
                  </c:pt>
                  <c:pt idx="8">
                    <c:v>7-12</c:v>
                  </c:pt>
                  <c:pt idx="9">
                    <c:v>1-6 </c:v>
                  </c:pt>
                  <c:pt idx="10">
                    <c:v>7-12</c:v>
                  </c:pt>
                  <c:pt idx="11">
                    <c:v>1-6 </c:v>
                  </c:pt>
                  <c:pt idx="12">
                    <c:v>7-12</c:v>
                  </c:pt>
                  <c:pt idx="13">
                    <c:v>1-6 </c:v>
                  </c:pt>
                  <c:pt idx="14">
                    <c:v>7-12</c:v>
                  </c:pt>
                  <c:pt idx="15">
                    <c:v>1-6 </c:v>
                  </c:pt>
                  <c:pt idx="16">
                    <c:v>7-12</c:v>
                  </c:pt>
                  <c:pt idx="17">
                    <c:v>1-6 </c:v>
                  </c:pt>
                </c:lvl>
                <c:lvl>
                  <c:pt idx="0">
                    <c:v>2013</c:v>
                  </c:pt>
                  <c:pt idx="1">
                    <c:v>2014</c:v>
                  </c:pt>
                  <c:pt idx="3">
                    <c:v>2015</c:v>
                  </c:pt>
                  <c:pt idx="5">
                    <c:v>2016</c:v>
                  </c:pt>
                  <c:pt idx="7">
                    <c:v>2017</c:v>
                  </c:pt>
                  <c:pt idx="9">
                    <c:v>2018</c:v>
                  </c:pt>
                  <c:pt idx="11">
                    <c:v>2019</c:v>
                  </c:pt>
                  <c:pt idx="13">
                    <c:v>2020</c:v>
                  </c:pt>
                  <c:pt idx="15">
                    <c:v>2021</c:v>
                  </c:pt>
                  <c:pt idx="17">
                    <c:v>2022</c:v>
                  </c:pt>
                </c:lvl>
              </c:multiLvlStrCache>
            </c:multiLvlStrRef>
          </c:cat>
          <c:val>
            <c:numRef>
              <c:f>'sytuacja-prognoza'!$B$6:$S$6</c:f>
              <c:numCache>
                <c:formatCode>0.0</c:formatCode>
                <c:ptCount val="18"/>
                <c:pt idx="0">
                  <c:v>13.1</c:v>
                </c:pt>
                <c:pt idx="1">
                  <c:v>13.5</c:v>
                </c:pt>
                <c:pt idx="2" formatCode="General">
                  <c:v>22</c:v>
                </c:pt>
                <c:pt idx="3" formatCode="General">
                  <c:v>30.6</c:v>
                </c:pt>
                <c:pt idx="4" formatCode="General">
                  <c:v>19.8</c:v>
                </c:pt>
                <c:pt idx="5">
                  <c:v>23</c:v>
                </c:pt>
                <c:pt idx="6" formatCode="General">
                  <c:v>11.7</c:v>
                </c:pt>
                <c:pt idx="7" formatCode="General">
                  <c:v>15.9</c:v>
                </c:pt>
                <c:pt idx="8">
                  <c:v>15</c:v>
                </c:pt>
                <c:pt idx="9" formatCode="General">
                  <c:v>32.9</c:v>
                </c:pt>
                <c:pt idx="10">
                  <c:v>16.5</c:v>
                </c:pt>
                <c:pt idx="11">
                  <c:v>29.6</c:v>
                </c:pt>
                <c:pt idx="12" formatCode="General">
                  <c:v>21.2</c:v>
                </c:pt>
                <c:pt idx="13">
                  <c:v>20.8</c:v>
                </c:pt>
                <c:pt idx="14">
                  <c:v>18.2</c:v>
                </c:pt>
                <c:pt idx="15" formatCode="General">
                  <c:v>25.1</c:v>
                </c:pt>
                <c:pt idx="16" formatCode="General">
                  <c:v>51.3</c:v>
                </c:pt>
                <c:pt idx="17">
                  <c:v>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5008"/>
        <c:axId val="1455692080"/>
      </c:lineChart>
      <c:catAx>
        <c:axId val="1455685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92080"/>
        <c:crosses val="autoZero"/>
        <c:auto val="1"/>
        <c:lblAlgn val="ctr"/>
        <c:lblOffset val="100"/>
        <c:noMultiLvlLbl val="0"/>
      </c:catAx>
      <c:valAx>
        <c:axId val="1455692080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5008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"/>
          <c:y val="0.91488623524708423"/>
          <c:w val="0.99609667288698744"/>
          <c:h val="8.4820981346797567E-2"/>
        </c:manualLayout>
      </c:layout>
      <c:overlay val="0"/>
      <c:txPr>
        <a:bodyPr/>
        <a:lstStyle/>
        <a:p>
          <a:pPr>
            <a:defRPr sz="80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09106491558685E-2"/>
          <c:y val="0.13523827938970112"/>
          <c:w val="0.92718195939793235"/>
          <c:h val="0.58669537094380042"/>
        </c:manualLayout>
      </c:layout>
      <c:lineChart>
        <c:grouping val="standard"/>
        <c:varyColors val="0"/>
        <c:ser>
          <c:idx val="0"/>
          <c:order val="0"/>
          <c:tx>
            <c:strRef>
              <c:f>opłacalność_zmiana!$A$4</c:f>
              <c:strCache>
                <c:ptCount val="1"/>
                <c:pt idx="0">
                  <c:v>poprawiła się</c:v>
                </c:pt>
              </c:strCache>
            </c:strRef>
          </c:tx>
          <c:spPr>
            <a:ln w="41275">
              <a:solidFill>
                <a:srgbClr val="001D77"/>
              </a:solidFill>
              <a:prstDash val="sysDot"/>
            </a:ln>
          </c:spPr>
          <c:marker>
            <c:symbol val="none"/>
          </c:marker>
          <c:cat>
            <c:multiLvlStrRef>
              <c:f>opłacalność_zmiana!$B$2:$T$3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opłacalność_zmiana!$B$4:$T$4</c:f>
              <c:numCache>
                <c:formatCode>0.0</c:formatCode>
                <c:ptCount val="19"/>
                <c:pt idx="0">
                  <c:v>4.5999999999999996</c:v>
                </c:pt>
                <c:pt idx="1">
                  <c:v>6.4</c:v>
                </c:pt>
                <c:pt idx="2">
                  <c:v>4.5999999999999996</c:v>
                </c:pt>
                <c:pt idx="3" formatCode="General">
                  <c:v>1.8</c:v>
                </c:pt>
                <c:pt idx="4" formatCode="General">
                  <c:v>2.4</c:v>
                </c:pt>
                <c:pt idx="5" formatCode="General">
                  <c:v>3.1</c:v>
                </c:pt>
                <c:pt idx="6">
                  <c:v>4.3</c:v>
                </c:pt>
                <c:pt idx="7" formatCode="General">
                  <c:v>9.1</c:v>
                </c:pt>
                <c:pt idx="8" formatCode="General">
                  <c:v>13.5</c:v>
                </c:pt>
                <c:pt idx="9">
                  <c:v>11.5</c:v>
                </c:pt>
                <c:pt idx="10">
                  <c:v>3.4</c:v>
                </c:pt>
                <c:pt idx="11">
                  <c:v>6</c:v>
                </c:pt>
                <c:pt idx="12">
                  <c:v>6.4</c:v>
                </c:pt>
                <c:pt idx="13" formatCode="General">
                  <c:v>7.3</c:v>
                </c:pt>
                <c:pt idx="14">
                  <c:v>4.5999999999999996</c:v>
                </c:pt>
                <c:pt idx="15">
                  <c:v>6</c:v>
                </c:pt>
                <c:pt idx="16" formatCode="General">
                  <c:v>5.4</c:v>
                </c:pt>
                <c:pt idx="17">
                  <c:v>6.2</c:v>
                </c:pt>
                <c:pt idx="18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opłacalność_zmiana!$A$5</c:f>
              <c:strCache>
                <c:ptCount val="1"/>
                <c:pt idx="0">
                  <c:v>pozostała bez zmian</c:v>
                </c:pt>
              </c:strCache>
            </c:strRef>
          </c:tx>
          <c:spPr>
            <a:ln>
              <a:solidFill>
                <a:srgbClr val="CCD2E4"/>
              </a:solidFill>
              <a:prstDash val="sysDash"/>
            </a:ln>
          </c:spPr>
          <c:marker>
            <c:symbol val="none"/>
          </c:marker>
          <c:cat>
            <c:multiLvlStrRef>
              <c:f>opłacalność_zmiana!$B$2:$T$3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opłacalność_zmiana!$B$5:$T$5</c:f>
              <c:numCache>
                <c:formatCode>0.0</c:formatCode>
                <c:ptCount val="19"/>
                <c:pt idx="0">
                  <c:v>55.1</c:v>
                </c:pt>
                <c:pt idx="1">
                  <c:v>57.4</c:v>
                </c:pt>
                <c:pt idx="2">
                  <c:v>60.2</c:v>
                </c:pt>
                <c:pt idx="3" formatCode="General">
                  <c:v>45</c:v>
                </c:pt>
                <c:pt idx="4" formatCode="General">
                  <c:v>36.1</c:v>
                </c:pt>
                <c:pt idx="5" formatCode="General">
                  <c:v>40.299999999999997</c:v>
                </c:pt>
                <c:pt idx="6">
                  <c:v>44.8</c:v>
                </c:pt>
                <c:pt idx="7" formatCode="General">
                  <c:v>58.4</c:v>
                </c:pt>
                <c:pt idx="8" formatCode="General">
                  <c:v>60.2</c:v>
                </c:pt>
                <c:pt idx="9">
                  <c:v>59.5</c:v>
                </c:pt>
                <c:pt idx="10">
                  <c:v>45.8</c:v>
                </c:pt>
                <c:pt idx="11">
                  <c:v>52</c:v>
                </c:pt>
                <c:pt idx="12">
                  <c:v>47.2</c:v>
                </c:pt>
                <c:pt idx="13" formatCode="General">
                  <c:v>51.1</c:v>
                </c:pt>
                <c:pt idx="14">
                  <c:v>54.3</c:v>
                </c:pt>
                <c:pt idx="15">
                  <c:v>52.9</c:v>
                </c:pt>
                <c:pt idx="16" formatCode="General">
                  <c:v>50.6</c:v>
                </c:pt>
                <c:pt idx="17">
                  <c:v>40.6</c:v>
                </c:pt>
                <c:pt idx="18" formatCode="General">
                  <c:v>37.6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opłacalność_zmiana!$A$6</c:f>
              <c:strCache>
                <c:ptCount val="1"/>
                <c:pt idx="0">
                  <c:v>pogorszyła się</c:v>
                </c:pt>
              </c:strCache>
            </c:strRef>
          </c:tx>
          <c:spPr>
            <a:ln w="28575">
              <a:solidFill>
                <a:srgbClr val="6677AD"/>
              </a:solidFill>
            </a:ln>
          </c:spPr>
          <c:marker>
            <c:symbol val="none"/>
          </c:marker>
          <c:cat>
            <c:multiLvlStrRef>
              <c:f>opłacalność_zmiana!$B$2:$T$3</c:f>
              <c:multiLvlStrCache>
                <c:ptCount val="19"/>
                <c:lvl>
                  <c:pt idx="0">
                    <c:v>1-6 </c:v>
                  </c:pt>
                  <c:pt idx="1">
                    <c:v>7-12 </c:v>
                  </c:pt>
                  <c:pt idx="2">
                    <c:v>1-6 </c:v>
                  </c:pt>
                  <c:pt idx="3">
                    <c:v>7-12 </c:v>
                  </c:pt>
                  <c:pt idx="4">
                    <c:v>1-6 </c:v>
                  </c:pt>
                  <c:pt idx="5">
                    <c:v>7-12 </c:v>
                  </c:pt>
                  <c:pt idx="6">
                    <c:v>1-6 </c:v>
                  </c:pt>
                  <c:pt idx="7">
                    <c:v>7-12 </c:v>
                  </c:pt>
                  <c:pt idx="8">
                    <c:v>1-6 </c:v>
                  </c:pt>
                  <c:pt idx="9">
                    <c:v>7-12 </c:v>
                  </c:pt>
                  <c:pt idx="10">
                    <c:v>1-6 </c:v>
                  </c:pt>
                  <c:pt idx="11">
                    <c:v>7-12 </c:v>
                  </c:pt>
                  <c:pt idx="12">
                    <c:v>1-6 </c:v>
                  </c:pt>
                  <c:pt idx="13">
                    <c:v>7-12 </c:v>
                  </c:pt>
                  <c:pt idx="14">
                    <c:v>1-6 </c:v>
                  </c:pt>
                  <c:pt idx="15">
                    <c:v>7-12 </c:v>
                  </c:pt>
                  <c:pt idx="16">
                    <c:v>1-6 </c:v>
                  </c:pt>
                  <c:pt idx="17">
                    <c:v>7-12 </c:v>
                  </c:pt>
                  <c:pt idx="18">
                    <c:v>1-6 </c:v>
                  </c:pt>
                </c:lvl>
                <c:lvl>
                  <c:pt idx="0">
                    <c:v>2013</c:v>
                  </c:pt>
                  <c:pt idx="2">
                    <c:v>2014</c:v>
                  </c:pt>
                  <c:pt idx="4">
                    <c:v>2015</c:v>
                  </c:pt>
                  <c:pt idx="6">
                    <c:v>2016</c:v>
                  </c:pt>
                  <c:pt idx="8">
                    <c:v>2017</c:v>
                  </c:pt>
                  <c:pt idx="10">
                    <c:v>2018</c:v>
                  </c:pt>
                  <c:pt idx="12">
                    <c:v>2019</c:v>
                  </c:pt>
                  <c:pt idx="14">
                    <c:v>2020</c:v>
                  </c:pt>
                  <c:pt idx="16">
                    <c:v>2021</c:v>
                  </c:pt>
                  <c:pt idx="18">
                    <c:v>2022</c:v>
                  </c:pt>
                </c:lvl>
              </c:multiLvlStrCache>
            </c:multiLvlStrRef>
          </c:cat>
          <c:val>
            <c:numRef>
              <c:f>opłacalność_zmiana!$B$6:$T$6</c:f>
              <c:numCache>
                <c:formatCode>0.0</c:formatCode>
                <c:ptCount val="19"/>
                <c:pt idx="0">
                  <c:v>40.299999999999997</c:v>
                </c:pt>
                <c:pt idx="1">
                  <c:v>36.200000000000003</c:v>
                </c:pt>
                <c:pt idx="2">
                  <c:v>35.200000000000003</c:v>
                </c:pt>
                <c:pt idx="3" formatCode="General">
                  <c:v>53.2</c:v>
                </c:pt>
                <c:pt idx="4" formatCode="General">
                  <c:v>61.5</c:v>
                </c:pt>
                <c:pt idx="5" formatCode="General">
                  <c:v>56.6</c:v>
                </c:pt>
                <c:pt idx="6">
                  <c:v>50.9</c:v>
                </c:pt>
                <c:pt idx="7" formatCode="General">
                  <c:v>32.5</c:v>
                </c:pt>
                <c:pt idx="8" formatCode="General">
                  <c:v>26.3</c:v>
                </c:pt>
                <c:pt idx="9">
                  <c:v>29</c:v>
                </c:pt>
                <c:pt idx="10">
                  <c:v>50.8</c:v>
                </c:pt>
                <c:pt idx="11">
                  <c:v>42</c:v>
                </c:pt>
                <c:pt idx="12">
                  <c:v>46.4</c:v>
                </c:pt>
                <c:pt idx="13" formatCode="General">
                  <c:v>41.6</c:v>
                </c:pt>
                <c:pt idx="14">
                  <c:v>41.1</c:v>
                </c:pt>
                <c:pt idx="15">
                  <c:v>41.1</c:v>
                </c:pt>
                <c:pt idx="16">
                  <c:v>44</c:v>
                </c:pt>
                <c:pt idx="17">
                  <c:v>53.2</c:v>
                </c:pt>
                <c:pt idx="18" formatCode="General">
                  <c:v>58.4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5687184"/>
        <c:axId val="1455688816"/>
      </c:lineChart>
      <c:catAx>
        <c:axId val="145568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8816"/>
        <c:crosses val="autoZero"/>
        <c:auto val="1"/>
        <c:lblAlgn val="ctr"/>
        <c:lblOffset val="100"/>
        <c:noMultiLvlLbl val="0"/>
      </c:catAx>
      <c:valAx>
        <c:axId val="1455688816"/>
        <c:scaling>
          <c:orientation val="minMax"/>
          <c:max val="80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455687184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06878459275E-3"/>
          <c:y val="0.90466056607788892"/>
          <c:w val="0.96526803976876441"/>
          <c:h val="9.5237450787401728E-2"/>
        </c:manualLayout>
      </c:layout>
      <c:overlay val="0"/>
      <c:txPr>
        <a:bodyPr/>
        <a:lstStyle/>
        <a:p>
          <a:pPr>
            <a:defRPr sz="800" spc="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0.02885</cdr:x>
      <cdr:y>0</cdr:y>
    </cdr:from>
    <cdr:to>
      <cdr:x>0.0875</cdr:x>
      <cdr:y>0.07478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42875" y="-1609725"/>
          <a:ext cx="290512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itchFamily="34" charset="0"/>
              <a:ea typeface="Fira Sans" pitchFamily="34" charset="0"/>
            </a:rPr>
            <a:t>%</a:t>
          </a:r>
          <a:endParaRPr lang="pl-PL" sz="10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0.01936</cdr:x>
      <cdr:y>0</cdr:y>
    </cdr:from>
    <cdr:to>
      <cdr:x>0.06131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3013" y="-4676775"/>
          <a:ext cx="201519" cy="1779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  <a:ea typeface="Fira Sans" panose="020B0503050000020004" pitchFamily="34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0.02105</cdr:x>
      <cdr:y>0.00743</cdr:y>
    </cdr:from>
    <cdr:to>
      <cdr:x>0.09462</cdr:x>
      <cdr:y>0.09434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8085" y="19050"/>
          <a:ext cx="377690" cy="2226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  <a:ea typeface="Fira Sans" panose="020B0503050000020004" pitchFamily="34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0.02391</cdr:x>
      <cdr:y>0</cdr:y>
    </cdr:from>
    <cdr:to>
      <cdr:x>0.07607</cdr:x>
      <cdr:y>0.07937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2743" y="-695325"/>
          <a:ext cx="267781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  <a:ea typeface="Fira Sans" panose="020B0503050000020004" pitchFamily="34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  <a:endParaRPr lang="pl-PL" sz="1000">
            <a:latin typeface="Fira Sans" panose="020B0503050000020004" pitchFamily="34" charset="0"/>
            <a:ea typeface="Fira Sans" panose="020B0503050000020004" pitchFamily="34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0.0128</cdr:x>
      <cdr:y>0</cdr:y>
    </cdr:from>
    <cdr:to>
      <cdr:x>0.05475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5554" y="0"/>
          <a:ext cx="214891" cy="192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  <a:ea typeface="Fira Sans" panose="020B0503050000020004" pitchFamily="34" charset="0"/>
              <a:cs typeface="Times New Roman" pitchFamily="18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koniunktura_w_gospodarstwach_rolnych_w_pierwszym_polroczu_2022_roku.docx</NazwaPliku>
    <Odbiorcy2 xmlns="AD3641B4-23D9-4536-AF9E-7D0EADDEB824" xsi:nil="true"/>
    <Osoba xmlns="AD3641B4-23D9-4536-AF9E-7D0EADDEB824">STAT\JANKOWSKAA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96D28F-B171-4099-A944-18FDA1F5A30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15127E5-BB36-425E-9AE6-F98EBEC752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10</Pages>
  <Words>1868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2022-03-31T06:37:00Z</cp:lastPrinted>
  <dcterms:created xsi:type="dcterms:W3CDTF">2022-09-23T05:36:00Z</dcterms:created>
  <dcterms:modified xsi:type="dcterms:W3CDTF">2022-09-29T07:28:00Z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