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5A3ED2">
        <w:rPr>
          <w:shd w:val="clear" w:color="auto" w:fill="FFFFFF"/>
        </w:rPr>
        <w:t>luty</w:t>
      </w:r>
      <w:r w:rsidRPr="00530074">
        <w:rPr>
          <w:shd w:val="clear" w:color="auto" w:fill="FFFFFF"/>
        </w:rPr>
        <w:t xml:space="preserve"> 201</w:t>
      </w:r>
      <w:r w:rsidR="00712785">
        <w:rPr>
          <w:shd w:val="clear" w:color="auto" w:fill="FFFFFF"/>
        </w:rPr>
        <w:t>9</w:t>
      </w:r>
      <w:r w:rsidRPr="00530074">
        <w:rPr>
          <w:shd w:val="clear" w:color="auto" w:fill="FFFFFF"/>
        </w:rPr>
        <w:t xml:space="preserve">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Default="0055798B" w:rsidP="00E85DF9">
                            <w:pPr>
                              <w:pStyle w:val="tekstzboku"/>
                            </w:pPr>
                            <w:r>
                              <w:t>W lutym 2019 r. obecne nastroje</w:t>
                            </w:r>
                            <w:r w:rsidR="00CD189E">
                              <w:t xml:space="preserve"> konsumenckie</w:t>
                            </w:r>
                            <w:r>
                              <w:t xml:space="preserve"> pozostały na podobnym poziomie jak w zeszłym miesiącu, </w:t>
                            </w:r>
                            <w:r w:rsidR="00E85DF9">
                              <w:t xml:space="preserve">a niewielką poprawę </w:t>
                            </w:r>
                            <w:r>
                              <w:t>odnotowano</w:t>
                            </w:r>
                            <w:r w:rsidR="00E85DF9">
                              <w:t xml:space="preserve"> dla</w:t>
                            </w:r>
                            <w:r>
                              <w:t xml:space="preserve"> przysz</w:t>
                            </w:r>
                            <w:r w:rsidR="00E85DF9">
                              <w:t>łych nastrojów konsumenckich.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55798B" w:rsidRDefault="0055798B" w:rsidP="00E85DF9">
                      <w:pPr>
                        <w:pStyle w:val="tekstzboku"/>
                      </w:pPr>
                      <w:r>
                        <w:t>W lutym 2019 r. obecne nastroje</w:t>
                      </w:r>
                      <w:r w:rsidR="00CD189E">
                        <w:t xml:space="preserve"> konsumenckie</w:t>
                      </w:r>
                      <w:bookmarkStart w:id="1" w:name="_GoBack"/>
                      <w:bookmarkEnd w:id="1"/>
                      <w:r>
                        <w:t xml:space="preserve"> pozostały na podobnym poziomie jak w zeszłym miesiącu, </w:t>
                      </w:r>
                      <w:r w:rsidR="00E85DF9">
                        <w:t xml:space="preserve">a </w:t>
                      </w:r>
                      <w:r w:rsidR="00E85DF9">
                        <w:t xml:space="preserve">niewielką poprawę </w:t>
                      </w:r>
                      <w:r>
                        <w:t>odnotowano</w:t>
                      </w:r>
                      <w:r w:rsidR="00E85DF9">
                        <w:t xml:space="preserve"> dla</w:t>
                      </w:r>
                      <w:r>
                        <w:t xml:space="preserve"> przysz</w:t>
                      </w:r>
                      <w:r w:rsidR="00E85DF9">
                        <w:t>łych nastrojów konsumenckich.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3A86" w:rsidRPr="003A3169" w:rsidRDefault="005B3A86" w:rsidP="005B3A86">
      <w:pPr>
        <w:pStyle w:val="LID"/>
      </w:pPr>
      <w:r w:rsidRPr="003A3169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Pr="00BC44E4" w:rsidRDefault="0055798B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5,5</w:t>
                            </w:r>
                          </w:p>
                          <w:p w:rsidR="0055798B" w:rsidRPr="00DD7916" w:rsidRDefault="0055798B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CDF2"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55798B" w:rsidRPr="00BC44E4" w:rsidRDefault="0055798B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5,5</w:t>
                      </w:r>
                    </w:p>
                    <w:p w:rsidR="0055798B" w:rsidRPr="00DD7916" w:rsidRDefault="0055798B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3169">
        <w:t xml:space="preserve">Bieżący wskaźnik ufności konsumenckiej (BWUK), syntetycznie opisujący obecne tendencje konsumpcji indywidualnej ukształtował się na poziomie </w:t>
      </w:r>
      <w:r w:rsidR="00BD0145">
        <w:t>5,</w:t>
      </w:r>
      <w:r w:rsidR="005F6626">
        <w:t>5</w:t>
      </w:r>
      <w:r>
        <w:rPr>
          <w:rStyle w:val="Odwoanieprzypisudolnego"/>
          <w:shd w:val="clear" w:color="auto" w:fill="FFFFFF"/>
        </w:rPr>
        <w:footnoteReference w:id="1"/>
      </w:r>
      <w:r>
        <w:t>.</w:t>
      </w:r>
    </w:p>
    <w:p w:rsidR="005B3A86" w:rsidRDefault="00712785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  <w:r>
        <w:rPr>
          <w:rFonts w:ascii="Fira Sans" w:hAnsi="Fira Sans"/>
          <w:b/>
          <w:color w:val="212492"/>
          <w:spacing w:val="-2"/>
          <w:szCs w:val="19"/>
        </w:rPr>
        <w:t xml:space="preserve"> </w:t>
      </w:r>
    </w:p>
    <w:p w:rsidR="009A5A6D" w:rsidRDefault="009A5A6D" w:rsidP="00074DD8">
      <w:pPr>
        <w:pStyle w:val="Nagwek1"/>
      </w:pPr>
    </w:p>
    <w:p w:rsidR="00A217E6" w:rsidRDefault="00A217E6" w:rsidP="00074DD8">
      <w:pPr>
        <w:pStyle w:val="Nagwek1"/>
      </w:pP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Pr="00380DFD" w:rsidRDefault="0055798B" w:rsidP="00380DFD">
                            <w:pPr>
                              <w:pStyle w:val="tekstzboku"/>
                            </w:pPr>
                            <w:r>
                              <w:t xml:space="preserve">Bieżący wskaźnik ufności konsumenckiej (BWUK) </w:t>
                            </w:r>
                            <w:r w:rsidR="00A72D53">
                              <w:t>pozostał na podobnym poziomie, jak w poprzednim miesiącu.</w:t>
                            </w:r>
                          </w:p>
                          <w:p w:rsidR="0055798B" w:rsidRPr="00D616D2" w:rsidRDefault="0055798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C787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55798B" w:rsidRPr="00380DFD" w:rsidRDefault="0055798B" w:rsidP="00380DFD">
                      <w:pPr>
                        <w:pStyle w:val="tekstzboku"/>
                      </w:pPr>
                      <w:r>
                        <w:t xml:space="preserve">Bieżący wskaźnik ufności konsumenckiej (BWUK) </w:t>
                      </w:r>
                      <w:r w:rsidR="00A72D53">
                        <w:t>pozostał na podobnym poziomie, jak w poprzednim miesiącu.</w:t>
                      </w:r>
                    </w:p>
                    <w:p w:rsidR="0055798B" w:rsidRPr="00D616D2" w:rsidRDefault="0055798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 xml:space="preserve">nik ufności konsumenckiej </w:t>
      </w:r>
      <w:r w:rsidR="00A217E6">
        <w:t xml:space="preserve"> (BWUK) </w:t>
      </w:r>
      <w:r w:rsidR="009A5A6D" w:rsidRPr="009A5A6D">
        <w:t xml:space="preserve">w </w:t>
      </w:r>
      <w:r w:rsidR="006B4CE8">
        <w:t>lutym</w:t>
      </w:r>
      <w:r w:rsidR="00BD0145">
        <w:t xml:space="preserve"> 2019</w:t>
      </w:r>
      <w:r w:rsidR="009A5A6D" w:rsidRPr="009A5A6D">
        <w:t xml:space="preserve"> r.</w:t>
      </w:r>
    </w:p>
    <w:p w:rsidR="00BB1D75" w:rsidRDefault="009A5A6D" w:rsidP="00BB1D75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</w:t>
      </w:r>
      <w:r w:rsidR="00BD0145">
        <w:rPr>
          <w:shd w:val="clear" w:color="auto" w:fill="FFFFFF"/>
        </w:rPr>
        <w:t>wyższy</w:t>
      </w:r>
      <w:r w:rsidR="007B7753">
        <w:rPr>
          <w:shd w:val="clear" w:color="auto" w:fill="FFFFFF"/>
        </w:rPr>
        <w:t xml:space="preserve"> o </w:t>
      </w:r>
      <w:r w:rsidR="006B4CE8">
        <w:rPr>
          <w:shd w:val="clear" w:color="auto" w:fill="FFFFFF"/>
        </w:rPr>
        <w:t>0</w:t>
      </w:r>
      <w:r w:rsidR="0053753D">
        <w:rPr>
          <w:shd w:val="clear" w:color="auto" w:fill="FFFFFF"/>
        </w:rPr>
        <w:t>,</w:t>
      </w:r>
      <w:r w:rsidR="006B4CE8">
        <w:rPr>
          <w:shd w:val="clear" w:color="auto" w:fill="FFFFFF"/>
        </w:rPr>
        <w:t>1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BD0145">
        <w:rPr>
          <w:shd w:val="clear" w:color="auto" w:fill="FFFFFF"/>
        </w:rPr>
        <w:t>5</w:t>
      </w:r>
      <w:r w:rsidR="0053753D">
        <w:rPr>
          <w:shd w:val="clear" w:color="auto" w:fill="FFFFFF"/>
        </w:rPr>
        <w:t>,</w:t>
      </w:r>
      <w:r w:rsidR="006B4CE8">
        <w:rPr>
          <w:shd w:val="clear" w:color="auto" w:fill="FFFFFF"/>
        </w:rPr>
        <w:t>5</w:t>
      </w:r>
      <w:r w:rsidR="00210F89" w:rsidRPr="00210F89">
        <w:rPr>
          <w:shd w:val="clear" w:color="auto" w:fill="FFFFFF"/>
          <w:vertAlign w:val="superscript"/>
        </w:rPr>
        <w:t>*</w:t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801B02" w:rsidRDefault="006F6C7D" w:rsidP="008E75B8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Wśród składowych</w:t>
      </w:r>
      <w:r w:rsidR="00D8019B">
        <w:rPr>
          <w:shd w:val="clear" w:color="auto" w:fill="FFFFFF"/>
        </w:rPr>
        <w:t xml:space="preserve"> wskaźnika</w:t>
      </w:r>
      <w:r>
        <w:rPr>
          <w:shd w:val="clear" w:color="auto" w:fill="FFFFFF"/>
        </w:rPr>
        <w:t>,</w:t>
      </w:r>
      <w:r w:rsidR="00D8019B">
        <w:rPr>
          <w:shd w:val="clear" w:color="auto" w:fill="FFFFFF"/>
        </w:rPr>
        <w:t xml:space="preserve"> </w:t>
      </w:r>
      <w:r>
        <w:rPr>
          <w:shd w:val="clear" w:color="auto" w:fill="FFFFFF"/>
        </w:rPr>
        <w:t>wyższą wartość</w:t>
      </w:r>
      <w:r w:rsidR="00597C1D">
        <w:rPr>
          <w:shd w:val="clear" w:color="auto" w:fill="FFFFFF"/>
        </w:rPr>
        <w:t xml:space="preserve"> odnotowano dla ocen </w:t>
      </w:r>
      <w:r w:rsidR="00331879">
        <w:rPr>
          <w:shd w:val="clear" w:color="auto" w:fill="FFFFFF"/>
        </w:rPr>
        <w:t xml:space="preserve">przyszłej sytuacji finansowej gospodarstwa domowego </w:t>
      </w:r>
      <w:r w:rsidR="00597C1D">
        <w:rPr>
          <w:shd w:val="clear" w:color="auto" w:fill="FFFFFF"/>
        </w:rPr>
        <w:t>i przyszłej sytuacji</w:t>
      </w:r>
      <w:r w:rsidR="00EC1105">
        <w:rPr>
          <w:shd w:val="clear" w:color="auto" w:fill="FFFFFF"/>
        </w:rPr>
        <w:t xml:space="preserve"> ekonomicznej kraju</w:t>
      </w:r>
      <w:r w:rsidR="00597C1D">
        <w:rPr>
          <w:shd w:val="clear" w:color="auto" w:fill="FFFFFF"/>
        </w:rPr>
        <w:t xml:space="preserve"> (</w:t>
      </w:r>
      <w:r w:rsidR="00EC1105">
        <w:rPr>
          <w:shd w:val="clear" w:color="auto" w:fill="FFFFFF"/>
        </w:rPr>
        <w:t>wzrosty</w:t>
      </w:r>
      <w:r w:rsidR="00597C1D">
        <w:rPr>
          <w:shd w:val="clear" w:color="auto" w:fill="FFFFFF"/>
        </w:rPr>
        <w:t xml:space="preserve"> odpowiednio o </w:t>
      </w:r>
      <w:r w:rsidR="00331879">
        <w:rPr>
          <w:shd w:val="clear" w:color="auto" w:fill="FFFFFF"/>
        </w:rPr>
        <w:t>4,1 i 1,2</w:t>
      </w:r>
      <w:r w:rsidR="00597C1D">
        <w:rPr>
          <w:shd w:val="clear" w:color="auto" w:fill="FFFFFF"/>
        </w:rPr>
        <w:t xml:space="preserve"> p. proc.).</w:t>
      </w:r>
      <w:r w:rsidR="00891FF7">
        <w:rPr>
          <w:shd w:val="clear" w:color="auto" w:fill="FFFFFF"/>
        </w:rPr>
        <w:t xml:space="preserve"> </w:t>
      </w:r>
      <w:r w:rsidR="00331879">
        <w:rPr>
          <w:shd w:val="clear" w:color="auto" w:fill="FFFFFF"/>
        </w:rPr>
        <w:t xml:space="preserve">Natomiast pogorszyły się przede wszystkim oceny możliwości obecnego dokonywania ważnych zakupów oraz </w:t>
      </w:r>
      <w:r w:rsidR="00923642">
        <w:rPr>
          <w:shd w:val="clear" w:color="auto" w:fill="FFFFFF"/>
        </w:rPr>
        <w:t>obecnej sytuacji ekonomicznej kraju</w:t>
      </w:r>
      <w:r w:rsidR="00331879">
        <w:rPr>
          <w:shd w:val="clear" w:color="auto" w:fill="FFFFFF"/>
        </w:rPr>
        <w:t xml:space="preserve"> (spadki odpowiednio o 3,0 i 1,6 p. proc.)</w:t>
      </w:r>
      <w:r w:rsidR="00597C1D">
        <w:rPr>
          <w:shd w:val="clear" w:color="auto" w:fill="FFFFFF"/>
        </w:rPr>
        <w:t>.</w:t>
      </w:r>
    </w:p>
    <w:p w:rsidR="00A06A63" w:rsidRPr="00396FC5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porównaniu do </w:t>
      </w:r>
      <w:r w:rsidR="009570BF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lutego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8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A821F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była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4A104D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0,7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C074FD" w:rsidRDefault="00C074FD" w:rsidP="003F6DBB">
      <w:pPr>
        <w:pStyle w:val="Nagwek1"/>
        <w:spacing w:before="120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Pr="00380DFD" w:rsidRDefault="0055798B" w:rsidP="00A217E6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wzrósł o 1,0 p. proc.  w stosunku do poprzedniego miesiąca</w:t>
                            </w:r>
                          </w:p>
                          <w:p w:rsidR="0055798B" w:rsidRPr="00380DFD" w:rsidRDefault="0055798B" w:rsidP="00C074FD">
                            <w:pPr>
                              <w:pStyle w:val="tekstzboku"/>
                            </w:pPr>
                          </w:p>
                          <w:p w:rsidR="0055798B" w:rsidRPr="00D616D2" w:rsidRDefault="0055798B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55798B" w:rsidRPr="00380DFD" w:rsidRDefault="0055798B" w:rsidP="00A217E6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wzrósł o 1,0 p. proc.  w stosunku do poprzedniego miesiąca</w:t>
                      </w:r>
                    </w:p>
                    <w:p w:rsidR="0055798B" w:rsidRPr="00380DFD" w:rsidRDefault="0055798B" w:rsidP="00C074FD">
                      <w:pPr>
                        <w:pStyle w:val="tekstzboku"/>
                      </w:pPr>
                    </w:p>
                    <w:p w:rsidR="0055798B" w:rsidRPr="00D616D2" w:rsidRDefault="0055798B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 </w:t>
      </w:r>
      <w:r w:rsidR="006B4CE8">
        <w:t>lutym</w:t>
      </w:r>
      <w:r w:rsidR="00BD0145">
        <w:t xml:space="preserve"> 2019</w:t>
      </w:r>
      <w:r w:rsidRPr="009A5A6D">
        <w:t xml:space="preserve"> r.</w:t>
      </w:r>
    </w:p>
    <w:p w:rsidR="00BB1D75" w:rsidRDefault="00C074FD" w:rsidP="00BB1D75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BD0145">
        <w:rPr>
          <w:shd w:val="clear" w:color="auto" w:fill="FFFFFF"/>
        </w:rPr>
        <w:t>wzrósł</w:t>
      </w:r>
      <w:r w:rsidR="0090561C">
        <w:rPr>
          <w:shd w:val="clear" w:color="auto" w:fill="FFFFFF"/>
        </w:rPr>
        <w:t xml:space="preserve"> o </w:t>
      </w:r>
      <w:r w:rsidR="006B4CE8">
        <w:rPr>
          <w:shd w:val="clear" w:color="auto" w:fill="FFFFFF"/>
        </w:rPr>
        <w:t>1</w:t>
      </w:r>
      <w:r w:rsidR="00BD0145">
        <w:rPr>
          <w:shd w:val="clear" w:color="auto" w:fill="FFFFFF"/>
        </w:rPr>
        <w:t>,0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6B4CE8">
        <w:rPr>
          <w:shd w:val="clear" w:color="auto" w:fill="FFFFFF"/>
        </w:rPr>
        <w:t>3</w:t>
      </w:r>
      <w:r w:rsidRPr="00396FC5">
        <w:rPr>
          <w:shd w:val="clear" w:color="auto" w:fill="FFFFFF"/>
        </w:rPr>
        <w:t>,</w:t>
      </w:r>
      <w:r w:rsidR="00BD0145">
        <w:rPr>
          <w:shd w:val="clear" w:color="auto" w:fill="FFFFFF"/>
        </w:rPr>
        <w:t>2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  <w:r w:rsidR="00BB1D75">
        <w:rPr>
          <w:shd w:val="clear" w:color="auto" w:fill="FFFFFF"/>
        </w:rPr>
        <w:t xml:space="preserve"> </w:t>
      </w:r>
    </w:p>
    <w:p w:rsidR="004E61ED" w:rsidRDefault="00436D99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Na poprawę wartości</w:t>
      </w:r>
      <w:r w:rsidR="00163353">
        <w:rPr>
          <w:shd w:val="clear" w:color="auto" w:fill="FFFFFF"/>
        </w:rPr>
        <w:t xml:space="preserve"> </w:t>
      </w:r>
      <w:r w:rsidR="00C566A9">
        <w:rPr>
          <w:shd w:val="clear" w:color="auto" w:fill="FFFFFF"/>
        </w:rPr>
        <w:t>wskaźnika</w:t>
      </w:r>
      <w:r w:rsidR="00D96A34">
        <w:rPr>
          <w:shd w:val="clear" w:color="auto" w:fill="FFFFFF"/>
        </w:rPr>
        <w:t xml:space="preserve"> </w:t>
      </w:r>
      <w:r>
        <w:rPr>
          <w:shd w:val="clear" w:color="auto" w:fill="FFFFFF"/>
        </w:rPr>
        <w:t>wpłynęły głównie</w:t>
      </w:r>
      <w:r w:rsidR="008942E6">
        <w:rPr>
          <w:shd w:val="clear" w:color="auto" w:fill="FFFFFF"/>
        </w:rPr>
        <w:t xml:space="preserve"> oceny </w:t>
      </w:r>
      <w:r>
        <w:rPr>
          <w:shd w:val="clear" w:color="auto" w:fill="FFFFFF"/>
        </w:rPr>
        <w:t>przyszłej sytuacji finansowej gospodarstwa domowego oraz przyszłej sytuacji ekonomicznej kraju (wzrosty odpowiednio o 4,1 i</w:t>
      </w:r>
      <w:r w:rsidR="005F41C9">
        <w:rPr>
          <w:shd w:val="clear" w:color="auto" w:fill="FFFFFF"/>
        </w:rPr>
        <w:t> </w:t>
      </w:r>
      <w:r>
        <w:rPr>
          <w:shd w:val="clear" w:color="auto" w:fill="FFFFFF"/>
        </w:rPr>
        <w:t>1,2 p. proc.). Niższą wartość niż przed miesiącem odnotowano dla oceny</w:t>
      </w:r>
      <w:r w:rsidR="008942E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możliwości </w:t>
      </w:r>
      <w:r w:rsidR="008942E6">
        <w:rPr>
          <w:shd w:val="clear" w:color="auto" w:fill="FFFFFF"/>
        </w:rPr>
        <w:t xml:space="preserve">przyszłego </w:t>
      </w:r>
      <w:r>
        <w:rPr>
          <w:shd w:val="clear" w:color="auto" w:fill="FFFFFF"/>
        </w:rPr>
        <w:t>oszczędzania pieniędzy (spadek o 1,8 p. proc.)</w:t>
      </w:r>
      <w:r w:rsidR="008942E6">
        <w:rPr>
          <w:shd w:val="clear" w:color="auto" w:fill="FFFFFF"/>
        </w:rPr>
        <w:t>.</w:t>
      </w:r>
    </w:p>
    <w:p w:rsidR="00A06A63" w:rsidRPr="00655E7E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570BF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lutym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br. WWUK osiągnął wartość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1,0</w:t>
      </w:r>
      <w:r w:rsidR="007E58C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7E58C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niższą niż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w analogicznym miesiącu 2018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r. </w:t>
      </w:r>
    </w:p>
    <w:p w:rsidR="00A06A63" w:rsidRDefault="00A06A63" w:rsidP="003F6DBB">
      <w:pPr>
        <w:spacing w:before="0" w:after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EB616C" w:rsidRDefault="00EB616C" w:rsidP="00EB616C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</w:tr>
      <w:tr w:rsidR="00781A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1AED" w:rsidRPr="004E61ED" w:rsidRDefault="00781A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8D61B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Pr="004E61ED" w:rsidRDefault="004C5E3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4C5E3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</w:tr>
      <w:tr w:rsidR="007316C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16C5" w:rsidRPr="004E61ED" w:rsidRDefault="007316C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7316C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A81127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Pr="004E61ED" w:rsidRDefault="0043489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3489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</w:tr>
      <w:tr w:rsidR="0071278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64D0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64D0E" w:rsidRDefault="00664D0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664D0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Pr="0093660E" w:rsidRDefault="0055798B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55798B" w:rsidRPr="0093660E" w:rsidRDefault="0055798B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724C0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24C09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A81127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Pr="004E61ED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BA728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-1,8</w:t>
            </w:r>
          </w:p>
        </w:tc>
      </w:tr>
      <w:tr w:rsidR="0071278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Pr="0093660E" w:rsidRDefault="0055798B" w:rsidP="0093660E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55798B" w:rsidRPr="0093660E" w:rsidRDefault="0055798B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55798B" w:rsidRPr="0093660E" w:rsidRDefault="0055798B" w:rsidP="0093660E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55798B" w:rsidRPr="0093660E" w:rsidRDefault="0055798B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Pr="003B3271" w:rsidRDefault="0055798B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55798B" w:rsidRPr="003B3271" w:rsidRDefault="0055798B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C223B8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655E7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223B8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e-mail:</w:t>
            </w:r>
            <w:r w:rsidRPr="00530074">
              <w:rPr>
                <w:sz w:val="20"/>
                <w:lang w:val="en-US"/>
              </w:rPr>
              <w:t xml:space="preserve"> </w:t>
            </w:r>
            <w:hyperlink r:id="rId23" w:history="1">
              <w:r w:rsidRPr="00530074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98B" w:rsidRDefault="0055798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55798B" w:rsidRPr="00C51D06" w:rsidRDefault="0055798B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55798B" w:rsidRPr="00F65B91" w:rsidRDefault="00660FB4" w:rsidP="009942D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55798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styczniu 2019 roku</w:t>
                              </w:r>
                            </w:hyperlink>
                          </w:p>
                          <w:p w:rsidR="0055798B" w:rsidRPr="00C51D06" w:rsidRDefault="00660FB4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55798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12/2018</w:t>
                              </w:r>
                            </w:hyperlink>
                          </w:p>
                          <w:p w:rsidR="0055798B" w:rsidRPr="00C51D06" w:rsidRDefault="005579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5798B" w:rsidRPr="00655E7E" w:rsidRDefault="005579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55798B" w:rsidRPr="00E827EF" w:rsidRDefault="00660FB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55798B" w:rsidRPr="00E827E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55798B" w:rsidRPr="00C267CA" w:rsidRDefault="0055798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55798B" w:rsidRDefault="0055798B" w:rsidP="00AB6D25">
                      <w:pPr>
                        <w:rPr>
                          <w:b/>
                        </w:rPr>
                      </w:pPr>
                    </w:p>
                    <w:p w:rsidR="0055798B" w:rsidRPr="00C51D06" w:rsidRDefault="0055798B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55798B" w:rsidRPr="00F65B91" w:rsidRDefault="0055798B" w:rsidP="009942D1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styczniu 2019 roku</w:t>
                        </w:r>
                      </w:hyperlink>
                    </w:p>
                    <w:p w:rsidR="0055798B" w:rsidRPr="00C51D06" w:rsidRDefault="0055798B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Biuletyn Statystyczny Nr 12/2018</w:t>
                        </w:r>
                      </w:hyperlink>
                    </w:p>
                    <w:p w:rsidR="0055798B" w:rsidRPr="00C51D06" w:rsidRDefault="005579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5798B" w:rsidRPr="00655E7E" w:rsidRDefault="005579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55798B" w:rsidRPr="00E827EF" w:rsidRDefault="0055798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Pr="00E827E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55798B" w:rsidRPr="00C267CA" w:rsidRDefault="0055798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B4" w:rsidRDefault="00660FB4" w:rsidP="000662E2">
      <w:pPr>
        <w:spacing w:after="0" w:line="240" w:lineRule="auto"/>
      </w:pPr>
      <w:r>
        <w:separator/>
      </w:r>
    </w:p>
  </w:endnote>
  <w:endnote w:type="continuationSeparator" w:id="0">
    <w:p w:rsidR="00660FB4" w:rsidRDefault="00660FB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55798B" w:rsidRDefault="0055798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8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55798B" w:rsidRDefault="0055798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8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55798B" w:rsidRDefault="0055798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86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B4" w:rsidRDefault="00660FB4" w:rsidP="000662E2">
      <w:pPr>
        <w:spacing w:after="0" w:line="240" w:lineRule="auto"/>
      </w:pPr>
      <w:r>
        <w:separator/>
      </w:r>
    </w:p>
  </w:footnote>
  <w:footnote w:type="continuationSeparator" w:id="0">
    <w:p w:rsidR="00660FB4" w:rsidRDefault="00660FB4" w:rsidP="000662E2">
      <w:pPr>
        <w:spacing w:after="0" w:line="240" w:lineRule="auto"/>
      </w:pPr>
      <w:r>
        <w:continuationSeparator/>
      </w:r>
    </w:p>
  </w:footnote>
  <w:footnote w:id="1">
    <w:p w:rsidR="0055798B" w:rsidRPr="00EC6435" w:rsidRDefault="0055798B" w:rsidP="005B3A86">
      <w:pPr>
        <w:pStyle w:val="Default"/>
        <w:rPr>
          <w:rFonts w:ascii="Fira Sans" w:hAnsi="Fira Sans" w:cs="Fira Sans"/>
        </w:rPr>
      </w:pPr>
      <w:r>
        <w:rPr>
          <w:rStyle w:val="Odwoanieprzypisudolnego"/>
        </w:rPr>
        <w:footnoteRef/>
      </w:r>
      <w:r>
        <w:t xml:space="preserve"> </w:t>
      </w:r>
      <w:r w:rsidRPr="00210F89">
        <w:rPr>
          <w:rFonts w:ascii="Fira Sans" w:hAnsi="Fira Sans" w:cs="Fira Sans"/>
          <w:sz w:val="16"/>
          <w:szCs w:val="19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210F89">
        <w:rPr>
          <w:rFonts w:ascii="Fira Sans" w:hAnsi="Fira Sans"/>
          <w:noProof/>
          <w:sz w:val="16"/>
        </w:rPr>
        <w:t xml:space="preserve">W </w:t>
      </w:r>
      <w:r>
        <w:rPr>
          <w:rFonts w:ascii="Fira Sans" w:hAnsi="Fira Sans"/>
          <w:noProof/>
          <w:sz w:val="16"/>
        </w:rPr>
        <w:t>lutym 2019 r. przeprowadzono 1240 wywiadów</w:t>
      </w:r>
      <w:r w:rsidRPr="00210F89">
        <w:rPr>
          <w:rFonts w:ascii="Fira Sans" w:hAnsi="Fira Sans"/>
          <w:noProof/>
          <w:sz w:val="16"/>
        </w:rPr>
        <w:t xml:space="preserve"> w</w:t>
      </w:r>
      <w:r>
        <w:rPr>
          <w:rFonts w:ascii="Fira Sans" w:hAnsi="Fira Sans"/>
          <w:noProof/>
          <w:sz w:val="16"/>
        </w:rPr>
        <w:t> </w:t>
      </w:r>
      <w:r w:rsidRPr="00210F89">
        <w:rPr>
          <w:rFonts w:ascii="Fira Sans" w:hAnsi="Fira Sans"/>
          <w:noProof/>
          <w:sz w:val="16"/>
        </w:rPr>
        <w:t>ok</w:t>
      </w:r>
      <w:r>
        <w:rPr>
          <w:rFonts w:ascii="Fira Sans" w:hAnsi="Fira Sans"/>
          <w:noProof/>
          <w:sz w:val="16"/>
        </w:rPr>
        <w:t>resie 04-13.02.2019 r. (w tym 88</w:t>
      </w:r>
      <w:r w:rsidRPr="00210F89">
        <w:rPr>
          <w:rFonts w:ascii="Fira Sans" w:hAnsi="Fira Sans"/>
          <w:noProof/>
          <w:sz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8B" w:rsidRDefault="0055798B">
    <w:pPr>
      <w:pStyle w:val="Nagwek"/>
    </w:pPr>
  </w:p>
  <w:p w:rsidR="0055798B" w:rsidRDefault="0055798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8B" w:rsidRDefault="0055798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EB41A1" wp14:editId="214175D6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798B" w:rsidRPr="003C6C8D" w:rsidRDefault="0055798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5798B" w:rsidRPr="003C6C8D" w:rsidRDefault="0055798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55798B" w:rsidRDefault="0055798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98B" w:rsidRPr="00C97596" w:rsidRDefault="0055798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20.02.2019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55798B" w:rsidRPr="00C97596" w:rsidRDefault="0055798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20.02.2019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8B" w:rsidRDefault="0055798B">
    <w:pPr>
      <w:pStyle w:val="Nagwek"/>
    </w:pPr>
  </w:p>
  <w:p w:rsidR="0055798B" w:rsidRDefault="005579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2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85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1798"/>
    <w:rsid w:val="0004582E"/>
    <w:rsid w:val="000470AA"/>
    <w:rsid w:val="00047B35"/>
    <w:rsid w:val="00051607"/>
    <w:rsid w:val="00051E07"/>
    <w:rsid w:val="00053B77"/>
    <w:rsid w:val="00057CA1"/>
    <w:rsid w:val="000662E2"/>
    <w:rsid w:val="00066883"/>
    <w:rsid w:val="00072F74"/>
    <w:rsid w:val="00074DD8"/>
    <w:rsid w:val="000806E2"/>
    <w:rsid w:val="000806F7"/>
    <w:rsid w:val="00082E10"/>
    <w:rsid w:val="00086288"/>
    <w:rsid w:val="00087858"/>
    <w:rsid w:val="00092223"/>
    <w:rsid w:val="00094173"/>
    <w:rsid w:val="00096100"/>
    <w:rsid w:val="00097840"/>
    <w:rsid w:val="000A2240"/>
    <w:rsid w:val="000A296E"/>
    <w:rsid w:val="000A65A9"/>
    <w:rsid w:val="000B0727"/>
    <w:rsid w:val="000B0D27"/>
    <w:rsid w:val="000B5253"/>
    <w:rsid w:val="000B747E"/>
    <w:rsid w:val="000C135D"/>
    <w:rsid w:val="000C5F1F"/>
    <w:rsid w:val="000D0352"/>
    <w:rsid w:val="000D1D43"/>
    <w:rsid w:val="000D225C"/>
    <w:rsid w:val="000D29F7"/>
    <w:rsid w:val="000D2A5C"/>
    <w:rsid w:val="000E0918"/>
    <w:rsid w:val="000E2680"/>
    <w:rsid w:val="000E3CBF"/>
    <w:rsid w:val="000E60B4"/>
    <w:rsid w:val="000E615F"/>
    <w:rsid w:val="000F55BC"/>
    <w:rsid w:val="001011C3"/>
    <w:rsid w:val="00107A73"/>
    <w:rsid w:val="00110D87"/>
    <w:rsid w:val="00113C04"/>
    <w:rsid w:val="00114DB9"/>
    <w:rsid w:val="0011502A"/>
    <w:rsid w:val="00116087"/>
    <w:rsid w:val="001174F6"/>
    <w:rsid w:val="0012106E"/>
    <w:rsid w:val="001258BC"/>
    <w:rsid w:val="00130296"/>
    <w:rsid w:val="00131F96"/>
    <w:rsid w:val="00133BFC"/>
    <w:rsid w:val="001423B6"/>
    <w:rsid w:val="001448A7"/>
    <w:rsid w:val="00146621"/>
    <w:rsid w:val="0015506A"/>
    <w:rsid w:val="00162325"/>
    <w:rsid w:val="00162C4B"/>
    <w:rsid w:val="00163353"/>
    <w:rsid w:val="00181035"/>
    <w:rsid w:val="00181CBC"/>
    <w:rsid w:val="001825B1"/>
    <w:rsid w:val="00183CE4"/>
    <w:rsid w:val="00192832"/>
    <w:rsid w:val="001951DA"/>
    <w:rsid w:val="00197987"/>
    <w:rsid w:val="00197B94"/>
    <w:rsid w:val="001A7D81"/>
    <w:rsid w:val="001C1E98"/>
    <w:rsid w:val="001C3269"/>
    <w:rsid w:val="001C32FE"/>
    <w:rsid w:val="001C42EB"/>
    <w:rsid w:val="001C6EBA"/>
    <w:rsid w:val="001D1DB4"/>
    <w:rsid w:val="001D2AA0"/>
    <w:rsid w:val="001D5FC6"/>
    <w:rsid w:val="001D7E17"/>
    <w:rsid w:val="001F19A3"/>
    <w:rsid w:val="001F2A20"/>
    <w:rsid w:val="00210F89"/>
    <w:rsid w:val="002253F4"/>
    <w:rsid w:val="00227C24"/>
    <w:rsid w:val="002331F6"/>
    <w:rsid w:val="00255158"/>
    <w:rsid w:val="002570E8"/>
    <w:rsid w:val="002574F9"/>
    <w:rsid w:val="00262B61"/>
    <w:rsid w:val="00262E7F"/>
    <w:rsid w:val="00276811"/>
    <w:rsid w:val="00277159"/>
    <w:rsid w:val="00282699"/>
    <w:rsid w:val="002830B9"/>
    <w:rsid w:val="00285ED8"/>
    <w:rsid w:val="002926DF"/>
    <w:rsid w:val="0029516C"/>
    <w:rsid w:val="00296697"/>
    <w:rsid w:val="002971E7"/>
    <w:rsid w:val="002A3665"/>
    <w:rsid w:val="002B0472"/>
    <w:rsid w:val="002B2112"/>
    <w:rsid w:val="002B6B12"/>
    <w:rsid w:val="002C458A"/>
    <w:rsid w:val="002C58BA"/>
    <w:rsid w:val="002D4281"/>
    <w:rsid w:val="002D5918"/>
    <w:rsid w:val="002D77BE"/>
    <w:rsid w:val="002E0940"/>
    <w:rsid w:val="002E14C1"/>
    <w:rsid w:val="002E6140"/>
    <w:rsid w:val="002E6985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EDD"/>
    <w:rsid w:val="00331879"/>
    <w:rsid w:val="00332320"/>
    <w:rsid w:val="003346B1"/>
    <w:rsid w:val="003350E9"/>
    <w:rsid w:val="00341AC1"/>
    <w:rsid w:val="00345AB6"/>
    <w:rsid w:val="00347D72"/>
    <w:rsid w:val="00351316"/>
    <w:rsid w:val="0035420B"/>
    <w:rsid w:val="00357611"/>
    <w:rsid w:val="0036042D"/>
    <w:rsid w:val="00360663"/>
    <w:rsid w:val="00367237"/>
    <w:rsid w:val="003701DE"/>
    <w:rsid w:val="0037077F"/>
    <w:rsid w:val="00372411"/>
    <w:rsid w:val="00373786"/>
    <w:rsid w:val="00373882"/>
    <w:rsid w:val="00377B67"/>
    <w:rsid w:val="00380DFD"/>
    <w:rsid w:val="003843DB"/>
    <w:rsid w:val="00384F1C"/>
    <w:rsid w:val="00386E30"/>
    <w:rsid w:val="00393761"/>
    <w:rsid w:val="00393F64"/>
    <w:rsid w:val="00394115"/>
    <w:rsid w:val="00396FC5"/>
    <w:rsid w:val="00397D18"/>
    <w:rsid w:val="003A0714"/>
    <w:rsid w:val="003A1B36"/>
    <w:rsid w:val="003A3169"/>
    <w:rsid w:val="003B1454"/>
    <w:rsid w:val="003B18B6"/>
    <w:rsid w:val="003B3271"/>
    <w:rsid w:val="003C019D"/>
    <w:rsid w:val="003C59E0"/>
    <w:rsid w:val="003C6C8D"/>
    <w:rsid w:val="003C78F1"/>
    <w:rsid w:val="003D01F8"/>
    <w:rsid w:val="003D4D7F"/>
    <w:rsid w:val="003D4F95"/>
    <w:rsid w:val="003D57EF"/>
    <w:rsid w:val="003D5F42"/>
    <w:rsid w:val="003D60A9"/>
    <w:rsid w:val="003E5F73"/>
    <w:rsid w:val="003F095B"/>
    <w:rsid w:val="003F153D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4891"/>
    <w:rsid w:val="00436D99"/>
    <w:rsid w:val="00437395"/>
    <w:rsid w:val="0044211B"/>
    <w:rsid w:val="00445047"/>
    <w:rsid w:val="00452AE6"/>
    <w:rsid w:val="00454AB8"/>
    <w:rsid w:val="00460614"/>
    <w:rsid w:val="004631AB"/>
    <w:rsid w:val="00463E39"/>
    <w:rsid w:val="004657FC"/>
    <w:rsid w:val="00465D66"/>
    <w:rsid w:val="00466732"/>
    <w:rsid w:val="004733F6"/>
    <w:rsid w:val="00474E69"/>
    <w:rsid w:val="00475774"/>
    <w:rsid w:val="00475BA8"/>
    <w:rsid w:val="00483BB4"/>
    <w:rsid w:val="00486E1D"/>
    <w:rsid w:val="0049621B"/>
    <w:rsid w:val="00496F49"/>
    <w:rsid w:val="0049754B"/>
    <w:rsid w:val="004A104D"/>
    <w:rsid w:val="004B0AE4"/>
    <w:rsid w:val="004B2FF7"/>
    <w:rsid w:val="004B587A"/>
    <w:rsid w:val="004B707D"/>
    <w:rsid w:val="004B7496"/>
    <w:rsid w:val="004C1895"/>
    <w:rsid w:val="004C2109"/>
    <w:rsid w:val="004C515F"/>
    <w:rsid w:val="004C5E33"/>
    <w:rsid w:val="004C6D40"/>
    <w:rsid w:val="004C78A8"/>
    <w:rsid w:val="004C7E9C"/>
    <w:rsid w:val="004D268C"/>
    <w:rsid w:val="004D4078"/>
    <w:rsid w:val="004E312A"/>
    <w:rsid w:val="004E464A"/>
    <w:rsid w:val="004E61ED"/>
    <w:rsid w:val="004E6889"/>
    <w:rsid w:val="004F0C3C"/>
    <w:rsid w:val="004F24C3"/>
    <w:rsid w:val="004F63FC"/>
    <w:rsid w:val="004F7BB4"/>
    <w:rsid w:val="00500308"/>
    <w:rsid w:val="00500D94"/>
    <w:rsid w:val="005049F9"/>
    <w:rsid w:val="00505A92"/>
    <w:rsid w:val="00505EA2"/>
    <w:rsid w:val="0051042A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3632"/>
    <w:rsid w:val="005336B5"/>
    <w:rsid w:val="00534B5E"/>
    <w:rsid w:val="005357E1"/>
    <w:rsid w:val="0053753D"/>
    <w:rsid w:val="00541E6E"/>
    <w:rsid w:val="00542145"/>
    <w:rsid w:val="0054251F"/>
    <w:rsid w:val="00542EAD"/>
    <w:rsid w:val="005479B1"/>
    <w:rsid w:val="005520D8"/>
    <w:rsid w:val="00555B7A"/>
    <w:rsid w:val="00555E43"/>
    <w:rsid w:val="00556CF1"/>
    <w:rsid w:val="0055798B"/>
    <w:rsid w:val="00561BB7"/>
    <w:rsid w:val="00562D79"/>
    <w:rsid w:val="00562F4D"/>
    <w:rsid w:val="0057036A"/>
    <w:rsid w:val="005762A7"/>
    <w:rsid w:val="00581651"/>
    <w:rsid w:val="00586EB0"/>
    <w:rsid w:val="005916D7"/>
    <w:rsid w:val="005930D9"/>
    <w:rsid w:val="00597C1D"/>
    <w:rsid w:val="005A36AA"/>
    <w:rsid w:val="005A3A95"/>
    <w:rsid w:val="005A3ED2"/>
    <w:rsid w:val="005A653B"/>
    <w:rsid w:val="005A698C"/>
    <w:rsid w:val="005A730E"/>
    <w:rsid w:val="005B3A86"/>
    <w:rsid w:val="005B5D8A"/>
    <w:rsid w:val="005C433F"/>
    <w:rsid w:val="005D6D73"/>
    <w:rsid w:val="005E0799"/>
    <w:rsid w:val="005E0B91"/>
    <w:rsid w:val="005F0D73"/>
    <w:rsid w:val="005F40EF"/>
    <w:rsid w:val="005F41C9"/>
    <w:rsid w:val="005F4EA6"/>
    <w:rsid w:val="005F5A80"/>
    <w:rsid w:val="005F6626"/>
    <w:rsid w:val="00600F7B"/>
    <w:rsid w:val="006044FF"/>
    <w:rsid w:val="0060556B"/>
    <w:rsid w:val="00607CC5"/>
    <w:rsid w:val="00617810"/>
    <w:rsid w:val="0062592E"/>
    <w:rsid w:val="006265B8"/>
    <w:rsid w:val="00633014"/>
    <w:rsid w:val="0063437B"/>
    <w:rsid w:val="006404CD"/>
    <w:rsid w:val="0064135C"/>
    <w:rsid w:val="006456D4"/>
    <w:rsid w:val="006508EE"/>
    <w:rsid w:val="00651FDC"/>
    <w:rsid w:val="00655E7E"/>
    <w:rsid w:val="00656AE2"/>
    <w:rsid w:val="00660FB4"/>
    <w:rsid w:val="00661ECB"/>
    <w:rsid w:val="006623F1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4AF0"/>
    <w:rsid w:val="00695B50"/>
    <w:rsid w:val="006962BC"/>
    <w:rsid w:val="006A4686"/>
    <w:rsid w:val="006A745A"/>
    <w:rsid w:val="006B0E9E"/>
    <w:rsid w:val="006B4CE8"/>
    <w:rsid w:val="006B5AE4"/>
    <w:rsid w:val="006B60E1"/>
    <w:rsid w:val="006C105E"/>
    <w:rsid w:val="006C154F"/>
    <w:rsid w:val="006C4C37"/>
    <w:rsid w:val="006D1507"/>
    <w:rsid w:val="006D4054"/>
    <w:rsid w:val="006D6C0E"/>
    <w:rsid w:val="006E02EC"/>
    <w:rsid w:val="006E5948"/>
    <w:rsid w:val="006F05D5"/>
    <w:rsid w:val="006F6C7D"/>
    <w:rsid w:val="007004AD"/>
    <w:rsid w:val="00707207"/>
    <w:rsid w:val="00707B63"/>
    <w:rsid w:val="00712785"/>
    <w:rsid w:val="00712B2A"/>
    <w:rsid w:val="0071553E"/>
    <w:rsid w:val="00715683"/>
    <w:rsid w:val="007211B1"/>
    <w:rsid w:val="00724C09"/>
    <w:rsid w:val="007316C5"/>
    <w:rsid w:val="00733E2E"/>
    <w:rsid w:val="00743028"/>
    <w:rsid w:val="007443DC"/>
    <w:rsid w:val="00744F8A"/>
    <w:rsid w:val="00745D81"/>
    <w:rsid w:val="00746187"/>
    <w:rsid w:val="0076254F"/>
    <w:rsid w:val="00775052"/>
    <w:rsid w:val="00776AD6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706E"/>
    <w:rsid w:val="0079799F"/>
    <w:rsid w:val="007A2DC1"/>
    <w:rsid w:val="007A7B28"/>
    <w:rsid w:val="007B7753"/>
    <w:rsid w:val="007D1F0E"/>
    <w:rsid w:val="007D3319"/>
    <w:rsid w:val="007D335D"/>
    <w:rsid w:val="007D6F6F"/>
    <w:rsid w:val="007E3314"/>
    <w:rsid w:val="007E4B03"/>
    <w:rsid w:val="007E58C7"/>
    <w:rsid w:val="007F324B"/>
    <w:rsid w:val="007F4E3D"/>
    <w:rsid w:val="00801B02"/>
    <w:rsid w:val="008024D9"/>
    <w:rsid w:val="0080553C"/>
    <w:rsid w:val="00805B46"/>
    <w:rsid w:val="008063C9"/>
    <w:rsid w:val="00812A08"/>
    <w:rsid w:val="0082137A"/>
    <w:rsid w:val="0082262A"/>
    <w:rsid w:val="0082543E"/>
    <w:rsid w:val="00825DC2"/>
    <w:rsid w:val="00834AD3"/>
    <w:rsid w:val="00843795"/>
    <w:rsid w:val="00847F0F"/>
    <w:rsid w:val="00852330"/>
    <w:rsid w:val="0085237B"/>
    <w:rsid w:val="00852448"/>
    <w:rsid w:val="00866947"/>
    <w:rsid w:val="008822CB"/>
    <w:rsid w:val="0088258A"/>
    <w:rsid w:val="00886332"/>
    <w:rsid w:val="00886CAB"/>
    <w:rsid w:val="00887A82"/>
    <w:rsid w:val="008908A3"/>
    <w:rsid w:val="00891FF7"/>
    <w:rsid w:val="008942E6"/>
    <w:rsid w:val="00897772"/>
    <w:rsid w:val="008979AA"/>
    <w:rsid w:val="008A1D0D"/>
    <w:rsid w:val="008A26D9"/>
    <w:rsid w:val="008A2F86"/>
    <w:rsid w:val="008B2416"/>
    <w:rsid w:val="008B77C0"/>
    <w:rsid w:val="008C0C29"/>
    <w:rsid w:val="008C2B4B"/>
    <w:rsid w:val="008D61B1"/>
    <w:rsid w:val="008E39CE"/>
    <w:rsid w:val="008E75B8"/>
    <w:rsid w:val="008F3638"/>
    <w:rsid w:val="008F4441"/>
    <w:rsid w:val="008F6F31"/>
    <w:rsid w:val="008F74DF"/>
    <w:rsid w:val="0090176A"/>
    <w:rsid w:val="0090561C"/>
    <w:rsid w:val="00907522"/>
    <w:rsid w:val="009127BA"/>
    <w:rsid w:val="00914E6D"/>
    <w:rsid w:val="009227A6"/>
    <w:rsid w:val="00923642"/>
    <w:rsid w:val="00924F4C"/>
    <w:rsid w:val="00931755"/>
    <w:rsid w:val="00933EC1"/>
    <w:rsid w:val="0093660E"/>
    <w:rsid w:val="00942142"/>
    <w:rsid w:val="009508AE"/>
    <w:rsid w:val="009530DB"/>
    <w:rsid w:val="00953676"/>
    <w:rsid w:val="009570BF"/>
    <w:rsid w:val="009601C9"/>
    <w:rsid w:val="00967DF8"/>
    <w:rsid w:val="009705EE"/>
    <w:rsid w:val="00977927"/>
    <w:rsid w:val="0098135C"/>
    <w:rsid w:val="0098156A"/>
    <w:rsid w:val="00991BAC"/>
    <w:rsid w:val="009942D1"/>
    <w:rsid w:val="00997879"/>
    <w:rsid w:val="009A283D"/>
    <w:rsid w:val="009A2905"/>
    <w:rsid w:val="009A5A6D"/>
    <w:rsid w:val="009A6EA0"/>
    <w:rsid w:val="009B171E"/>
    <w:rsid w:val="009C1335"/>
    <w:rsid w:val="009C162D"/>
    <w:rsid w:val="009C1AB2"/>
    <w:rsid w:val="009C7251"/>
    <w:rsid w:val="009D0AC9"/>
    <w:rsid w:val="009D10D8"/>
    <w:rsid w:val="009D207F"/>
    <w:rsid w:val="009E2E91"/>
    <w:rsid w:val="009F096D"/>
    <w:rsid w:val="009F1339"/>
    <w:rsid w:val="009F1EF8"/>
    <w:rsid w:val="009F5774"/>
    <w:rsid w:val="009F58E6"/>
    <w:rsid w:val="009F5AAF"/>
    <w:rsid w:val="009F7114"/>
    <w:rsid w:val="009F71F6"/>
    <w:rsid w:val="00A0582E"/>
    <w:rsid w:val="00A06A63"/>
    <w:rsid w:val="00A10177"/>
    <w:rsid w:val="00A139F5"/>
    <w:rsid w:val="00A201E6"/>
    <w:rsid w:val="00A217E6"/>
    <w:rsid w:val="00A2214D"/>
    <w:rsid w:val="00A2414C"/>
    <w:rsid w:val="00A33D0D"/>
    <w:rsid w:val="00A35C72"/>
    <w:rsid w:val="00A365F4"/>
    <w:rsid w:val="00A46DF7"/>
    <w:rsid w:val="00A47D09"/>
    <w:rsid w:val="00A47D80"/>
    <w:rsid w:val="00A53132"/>
    <w:rsid w:val="00A563F2"/>
    <w:rsid w:val="00A566E8"/>
    <w:rsid w:val="00A6713B"/>
    <w:rsid w:val="00A72D53"/>
    <w:rsid w:val="00A77879"/>
    <w:rsid w:val="00A810F9"/>
    <w:rsid w:val="00A81127"/>
    <w:rsid w:val="00A821F3"/>
    <w:rsid w:val="00A866F2"/>
    <w:rsid w:val="00A86ECC"/>
    <w:rsid w:val="00A86FCC"/>
    <w:rsid w:val="00A953B9"/>
    <w:rsid w:val="00AA5262"/>
    <w:rsid w:val="00AA57A3"/>
    <w:rsid w:val="00AA710D"/>
    <w:rsid w:val="00AB2C3E"/>
    <w:rsid w:val="00AB6D25"/>
    <w:rsid w:val="00AC2AC4"/>
    <w:rsid w:val="00AC3B8D"/>
    <w:rsid w:val="00AC5371"/>
    <w:rsid w:val="00AC77DC"/>
    <w:rsid w:val="00AD7676"/>
    <w:rsid w:val="00AE06C8"/>
    <w:rsid w:val="00AE2D4B"/>
    <w:rsid w:val="00AE4F99"/>
    <w:rsid w:val="00AE6789"/>
    <w:rsid w:val="00AE6EF2"/>
    <w:rsid w:val="00AF2F1E"/>
    <w:rsid w:val="00AF3780"/>
    <w:rsid w:val="00B00C09"/>
    <w:rsid w:val="00B11B69"/>
    <w:rsid w:val="00B12FBA"/>
    <w:rsid w:val="00B14952"/>
    <w:rsid w:val="00B217DB"/>
    <w:rsid w:val="00B27B18"/>
    <w:rsid w:val="00B27B58"/>
    <w:rsid w:val="00B31E5A"/>
    <w:rsid w:val="00B35A63"/>
    <w:rsid w:val="00B403A1"/>
    <w:rsid w:val="00B412A3"/>
    <w:rsid w:val="00B413B9"/>
    <w:rsid w:val="00B4483E"/>
    <w:rsid w:val="00B46A9F"/>
    <w:rsid w:val="00B6033B"/>
    <w:rsid w:val="00B61924"/>
    <w:rsid w:val="00B653AB"/>
    <w:rsid w:val="00B65F9E"/>
    <w:rsid w:val="00B66B19"/>
    <w:rsid w:val="00B7120E"/>
    <w:rsid w:val="00B722C7"/>
    <w:rsid w:val="00B72F68"/>
    <w:rsid w:val="00B733EE"/>
    <w:rsid w:val="00B77A19"/>
    <w:rsid w:val="00B81262"/>
    <w:rsid w:val="00B81EBE"/>
    <w:rsid w:val="00B85DBF"/>
    <w:rsid w:val="00B86BCA"/>
    <w:rsid w:val="00B914E9"/>
    <w:rsid w:val="00B9163F"/>
    <w:rsid w:val="00B93207"/>
    <w:rsid w:val="00B956EE"/>
    <w:rsid w:val="00B95B90"/>
    <w:rsid w:val="00BA2BA1"/>
    <w:rsid w:val="00BA3562"/>
    <w:rsid w:val="00BA4A0F"/>
    <w:rsid w:val="00BA6359"/>
    <w:rsid w:val="00BA728E"/>
    <w:rsid w:val="00BA76A2"/>
    <w:rsid w:val="00BB1D75"/>
    <w:rsid w:val="00BB4F09"/>
    <w:rsid w:val="00BC2DDB"/>
    <w:rsid w:val="00BC44E4"/>
    <w:rsid w:val="00BD0145"/>
    <w:rsid w:val="00BD1E7E"/>
    <w:rsid w:val="00BD2828"/>
    <w:rsid w:val="00BD4E33"/>
    <w:rsid w:val="00BD5CAF"/>
    <w:rsid w:val="00BE54BD"/>
    <w:rsid w:val="00BF0508"/>
    <w:rsid w:val="00BF61D5"/>
    <w:rsid w:val="00C030DE"/>
    <w:rsid w:val="00C074FD"/>
    <w:rsid w:val="00C15772"/>
    <w:rsid w:val="00C16AEC"/>
    <w:rsid w:val="00C22105"/>
    <w:rsid w:val="00C223B8"/>
    <w:rsid w:val="00C22F79"/>
    <w:rsid w:val="00C244B6"/>
    <w:rsid w:val="00C25087"/>
    <w:rsid w:val="00C267CA"/>
    <w:rsid w:val="00C3702F"/>
    <w:rsid w:val="00C42F6A"/>
    <w:rsid w:val="00C4500A"/>
    <w:rsid w:val="00C51D06"/>
    <w:rsid w:val="00C558C4"/>
    <w:rsid w:val="00C562B2"/>
    <w:rsid w:val="00C566A9"/>
    <w:rsid w:val="00C60D38"/>
    <w:rsid w:val="00C62895"/>
    <w:rsid w:val="00C63004"/>
    <w:rsid w:val="00C63B7B"/>
    <w:rsid w:val="00C64240"/>
    <w:rsid w:val="00C64A37"/>
    <w:rsid w:val="00C7158E"/>
    <w:rsid w:val="00C717C9"/>
    <w:rsid w:val="00C7250B"/>
    <w:rsid w:val="00C7346B"/>
    <w:rsid w:val="00C77050"/>
    <w:rsid w:val="00C77C0E"/>
    <w:rsid w:val="00C813C8"/>
    <w:rsid w:val="00C81487"/>
    <w:rsid w:val="00C91687"/>
    <w:rsid w:val="00C924A8"/>
    <w:rsid w:val="00C945FE"/>
    <w:rsid w:val="00C96FAA"/>
    <w:rsid w:val="00C97A04"/>
    <w:rsid w:val="00CA0641"/>
    <w:rsid w:val="00CA107B"/>
    <w:rsid w:val="00CA484D"/>
    <w:rsid w:val="00CA495C"/>
    <w:rsid w:val="00CA4FB6"/>
    <w:rsid w:val="00CA5C53"/>
    <w:rsid w:val="00CB1737"/>
    <w:rsid w:val="00CB1BA1"/>
    <w:rsid w:val="00CC28D0"/>
    <w:rsid w:val="00CC5415"/>
    <w:rsid w:val="00CC72A6"/>
    <w:rsid w:val="00CC739E"/>
    <w:rsid w:val="00CD178A"/>
    <w:rsid w:val="00CD189E"/>
    <w:rsid w:val="00CD217B"/>
    <w:rsid w:val="00CD49BB"/>
    <w:rsid w:val="00CD58B7"/>
    <w:rsid w:val="00CE5EF2"/>
    <w:rsid w:val="00CF4099"/>
    <w:rsid w:val="00CF6348"/>
    <w:rsid w:val="00D00796"/>
    <w:rsid w:val="00D029DF"/>
    <w:rsid w:val="00D05126"/>
    <w:rsid w:val="00D16D48"/>
    <w:rsid w:val="00D21BB8"/>
    <w:rsid w:val="00D24390"/>
    <w:rsid w:val="00D24C05"/>
    <w:rsid w:val="00D261A2"/>
    <w:rsid w:val="00D54347"/>
    <w:rsid w:val="00D60211"/>
    <w:rsid w:val="00D616D2"/>
    <w:rsid w:val="00D62602"/>
    <w:rsid w:val="00D63B5F"/>
    <w:rsid w:val="00D70EF7"/>
    <w:rsid w:val="00D8019B"/>
    <w:rsid w:val="00D8397C"/>
    <w:rsid w:val="00D90CB4"/>
    <w:rsid w:val="00D94BFD"/>
    <w:rsid w:val="00D94EED"/>
    <w:rsid w:val="00D96026"/>
    <w:rsid w:val="00D96A34"/>
    <w:rsid w:val="00D97CB4"/>
    <w:rsid w:val="00DA0438"/>
    <w:rsid w:val="00DA15B6"/>
    <w:rsid w:val="00DA70BC"/>
    <w:rsid w:val="00DA7C1C"/>
    <w:rsid w:val="00DB147A"/>
    <w:rsid w:val="00DB1B7A"/>
    <w:rsid w:val="00DC0BD7"/>
    <w:rsid w:val="00DC22C3"/>
    <w:rsid w:val="00DC6708"/>
    <w:rsid w:val="00DD01DA"/>
    <w:rsid w:val="00DD7916"/>
    <w:rsid w:val="00DF5320"/>
    <w:rsid w:val="00E01436"/>
    <w:rsid w:val="00E03B38"/>
    <w:rsid w:val="00E045BD"/>
    <w:rsid w:val="00E0762C"/>
    <w:rsid w:val="00E135B1"/>
    <w:rsid w:val="00E165BE"/>
    <w:rsid w:val="00E1667E"/>
    <w:rsid w:val="00E17B77"/>
    <w:rsid w:val="00E23337"/>
    <w:rsid w:val="00E2483C"/>
    <w:rsid w:val="00E259EA"/>
    <w:rsid w:val="00E32061"/>
    <w:rsid w:val="00E37334"/>
    <w:rsid w:val="00E41497"/>
    <w:rsid w:val="00E42FF9"/>
    <w:rsid w:val="00E4714C"/>
    <w:rsid w:val="00E5101C"/>
    <w:rsid w:val="00E51AEB"/>
    <w:rsid w:val="00E522A7"/>
    <w:rsid w:val="00E53C71"/>
    <w:rsid w:val="00E54452"/>
    <w:rsid w:val="00E57ABD"/>
    <w:rsid w:val="00E64BE7"/>
    <w:rsid w:val="00E664C5"/>
    <w:rsid w:val="00E671A2"/>
    <w:rsid w:val="00E76D26"/>
    <w:rsid w:val="00E77E1D"/>
    <w:rsid w:val="00E827EF"/>
    <w:rsid w:val="00E832ED"/>
    <w:rsid w:val="00E85DF9"/>
    <w:rsid w:val="00EA69E1"/>
    <w:rsid w:val="00EB1390"/>
    <w:rsid w:val="00EB2C71"/>
    <w:rsid w:val="00EB4340"/>
    <w:rsid w:val="00EB556D"/>
    <w:rsid w:val="00EB5A7D"/>
    <w:rsid w:val="00EB616C"/>
    <w:rsid w:val="00EB6548"/>
    <w:rsid w:val="00EC1105"/>
    <w:rsid w:val="00EC4951"/>
    <w:rsid w:val="00EC6435"/>
    <w:rsid w:val="00EC76B9"/>
    <w:rsid w:val="00ED55C0"/>
    <w:rsid w:val="00ED682B"/>
    <w:rsid w:val="00EE41D5"/>
    <w:rsid w:val="00EE5223"/>
    <w:rsid w:val="00EF6C6B"/>
    <w:rsid w:val="00F0121F"/>
    <w:rsid w:val="00F0170D"/>
    <w:rsid w:val="00F037A4"/>
    <w:rsid w:val="00F071AC"/>
    <w:rsid w:val="00F154DB"/>
    <w:rsid w:val="00F15F6E"/>
    <w:rsid w:val="00F27C8F"/>
    <w:rsid w:val="00F32323"/>
    <w:rsid w:val="00F32749"/>
    <w:rsid w:val="00F327B3"/>
    <w:rsid w:val="00F344CD"/>
    <w:rsid w:val="00F359FA"/>
    <w:rsid w:val="00F37172"/>
    <w:rsid w:val="00F40194"/>
    <w:rsid w:val="00F4477E"/>
    <w:rsid w:val="00F45AD8"/>
    <w:rsid w:val="00F46013"/>
    <w:rsid w:val="00F478EF"/>
    <w:rsid w:val="00F54466"/>
    <w:rsid w:val="00F65B91"/>
    <w:rsid w:val="00F6684A"/>
    <w:rsid w:val="00F6773E"/>
    <w:rsid w:val="00F67D8F"/>
    <w:rsid w:val="00F726A7"/>
    <w:rsid w:val="00F729F3"/>
    <w:rsid w:val="00F802BE"/>
    <w:rsid w:val="00F80E93"/>
    <w:rsid w:val="00F82CF5"/>
    <w:rsid w:val="00F86024"/>
    <w:rsid w:val="00F8611A"/>
    <w:rsid w:val="00F87A89"/>
    <w:rsid w:val="00FA0634"/>
    <w:rsid w:val="00FA5128"/>
    <w:rsid w:val="00FA5F62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4F5A"/>
    <w:rsid w:val="00FD5EA7"/>
    <w:rsid w:val="00FD69E9"/>
    <w:rsid w:val="00FD7BD2"/>
    <w:rsid w:val="00FE6DF6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inne-opracowania/informacje-o-sytuacji-spoleczno-gospodarczej/biuletyn-statystyczny-nr-122018,4,83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inne-opracowania/informacje-o-sytuacji-spoleczno-gospodarczej/biuletyn-statystyczny-nr-122018,4,83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koniunktura/koniunktura/koniunktura-w-przetworstwie-przemyslowym-budownictwie-handlu-i-uslugach-w-styczniu-2019-roku,3,74.html" TargetMode="External"/><Relationship Id="rId30" Type="http://schemas.openxmlformats.org/officeDocument/2006/relationships/hyperlink" Target="http://stat.gov.pl/obszary-tematyczne/koniunktura/koniunktura/koniunktura-w-przetworstwie-przemyslowym-budownictwie-handlu-i-uslugach-w-styczniu-2019-roku,3,74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38"/>
                <c:pt idx="0">
                  <c:v>-7</c:v>
                </c:pt>
                <c:pt idx="1">
                  <c:v>-6.2</c:v>
                </c:pt>
                <c:pt idx="2">
                  <c:v>-9.3000000000000007</c:v>
                </c:pt>
                <c:pt idx="3">
                  <c:v>-4.7</c:v>
                </c:pt>
                <c:pt idx="4">
                  <c:v>-6.7</c:v>
                </c:pt>
                <c:pt idx="5">
                  <c:v>-6.5</c:v>
                </c:pt>
                <c:pt idx="6">
                  <c:v>-5.6</c:v>
                </c:pt>
                <c:pt idx="7">
                  <c:v>-3.8</c:v>
                </c:pt>
                <c:pt idx="8">
                  <c:v>-2.4</c:v>
                </c:pt>
                <c:pt idx="9">
                  <c:v>-3.7</c:v>
                </c:pt>
                <c:pt idx="10">
                  <c:v>-2.4</c:v>
                </c:pt>
                <c:pt idx="11">
                  <c:v>-3.7</c:v>
                </c:pt>
                <c:pt idx="12">
                  <c:v>-1.2</c:v>
                </c:pt>
                <c:pt idx="13">
                  <c:v>-1.9</c:v>
                </c:pt>
                <c:pt idx="14">
                  <c:v>-2</c:v>
                </c:pt>
                <c:pt idx="15">
                  <c:v>-0.8</c:v>
                </c:pt>
                <c:pt idx="16">
                  <c:v>3.1</c:v>
                </c:pt>
                <c:pt idx="17">
                  <c:v>4.8</c:v>
                </c:pt>
                <c:pt idx="18">
                  <c:v>4</c:v>
                </c:pt>
                <c:pt idx="19">
                  <c:v>5.7</c:v>
                </c:pt>
                <c:pt idx="20">
                  <c:v>5</c:v>
                </c:pt>
                <c:pt idx="21">
                  <c:v>4.5999999999999996</c:v>
                </c:pt>
                <c:pt idx="22">
                  <c:v>5.4</c:v>
                </c:pt>
                <c:pt idx="23">
                  <c:v>2.1</c:v>
                </c:pt>
                <c:pt idx="24">
                  <c:v>6.2</c:v>
                </c:pt>
                <c:pt idx="25">
                  <c:v>6.2</c:v>
                </c:pt>
                <c:pt idx="26" formatCode="0.0_)">
                  <c:v>5.4</c:v>
                </c:pt>
                <c:pt idx="27" formatCode="0.0_)">
                  <c:v>7.8</c:v>
                </c:pt>
                <c:pt idx="28">
                  <c:v>5.9</c:v>
                </c:pt>
                <c:pt idx="29">
                  <c:v>6.1</c:v>
                </c:pt>
                <c:pt idx="30">
                  <c:v>5.2</c:v>
                </c:pt>
                <c:pt idx="31">
                  <c:v>6.2</c:v>
                </c:pt>
                <c:pt idx="32">
                  <c:v>6.9</c:v>
                </c:pt>
                <c:pt idx="33">
                  <c:v>6.1</c:v>
                </c:pt>
                <c:pt idx="34">
                  <c:v>5.2</c:v>
                </c:pt>
                <c:pt idx="35">
                  <c:v>1.1000000000000001</c:v>
                </c:pt>
                <c:pt idx="36">
                  <c:v>5.4</c:v>
                </c:pt>
                <c:pt idx="37">
                  <c:v>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11581152"/>
        <c:axId val="-511579520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38"/>
                <c:pt idx="0">
                  <c:v>-6.2</c:v>
                </c:pt>
                <c:pt idx="1">
                  <c:v>-5</c:v>
                </c:pt>
                <c:pt idx="2">
                  <c:v>-7.5</c:v>
                </c:pt>
                <c:pt idx="3">
                  <c:v>-5.6</c:v>
                </c:pt>
                <c:pt idx="4">
                  <c:v>-5</c:v>
                </c:pt>
                <c:pt idx="5">
                  <c:v>-2.4</c:v>
                </c:pt>
                <c:pt idx="6">
                  <c:v>-3.8</c:v>
                </c:pt>
                <c:pt idx="7">
                  <c:v>-4</c:v>
                </c:pt>
                <c:pt idx="8">
                  <c:v>-1.8</c:v>
                </c:pt>
                <c:pt idx="9">
                  <c:v>-2.7</c:v>
                </c:pt>
                <c:pt idx="10">
                  <c:v>0.4</c:v>
                </c:pt>
                <c:pt idx="11">
                  <c:v>-3.1</c:v>
                </c:pt>
                <c:pt idx="12">
                  <c:v>-1.2</c:v>
                </c:pt>
                <c:pt idx="13">
                  <c:v>-0.9</c:v>
                </c:pt>
                <c:pt idx="14">
                  <c:v>-0.2</c:v>
                </c:pt>
                <c:pt idx="15">
                  <c:v>0.5</c:v>
                </c:pt>
                <c:pt idx="16">
                  <c:v>0.8</c:v>
                </c:pt>
                <c:pt idx="17">
                  <c:v>2.2999999999999998</c:v>
                </c:pt>
                <c:pt idx="18">
                  <c:v>-0.3</c:v>
                </c:pt>
                <c:pt idx="19">
                  <c:v>2</c:v>
                </c:pt>
                <c:pt idx="20">
                  <c:v>0.6</c:v>
                </c:pt>
                <c:pt idx="21">
                  <c:v>-0.3</c:v>
                </c:pt>
                <c:pt idx="22">
                  <c:v>0.2</c:v>
                </c:pt>
                <c:pt idx="23">
                  <c:v>-2.4</c:v>
                </c:pt>
                <c:pt idx="24">
                  <c:v>1.5</c:v>
                </c:pt>
                <c:pt idx="25">
                  <c:v>0.1</c:v>
                </c:pt>
                <c:pt idx="26" formatCode="0.0_)">
                  <c:v>-2.9</c:v>
                </c:pt>
                <c:pt idx="27" formatCode="0.0_)">
                  <c:v>2.4</c:v>
                </c:pt>
                <c:pt idx="28">
                  <c:v>0.7</c:v>
                </c:pt>
                <c:pt idx="29">
                  <c:v>-0.6</c:v>
                </c:pt>
                <c:pt idx="30">
                  <c:v>1</c:v>
                </c:pt>
                <c:pt idx="31">
                  <c:v>2.9</c:v>
                </c:pt>
                <c:pt idx="32">
                  <c:v>1.2</c:v>
                </c:pt>
                <c:pt idx="33">
                  <c:v>-0.2</c:v>
                </c:pt>
                <c:pt idx="34">
                  <c:v>1.9</c:v>
                </c:pt>
                <c:pt idx="35">
                  <c:v>-1.3</c:v>
                </c:pt>
                <c:pt idx="36">
                  <c:v>1.6</c:v>
                </c:pt>
                <c:pt idx="37">
                  <c:v>1.5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38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 formatCode="0.0_)">
                  <c:v>4.2</c:v>
                </c:pt>
                <c:pt idx="27" formatCode="0.0_)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38"/>
                <c:pt idx="0">
                  <c:v>-14.4</c:v>
                </c:pt>
                <c:pt idx="1">
                  <c:v>-14.9</c:v>
                </c:pt>
                <c:pt idx="2">
                  <c:v>-16.7</c:v>
                </c:pt>
                <c:pt idx="3">
                  <c:v>-11.2</c:v>
                </c:pt>
                <c:pt idx="4">
                  <c:v>-15.4</c:v>
                </c:pt>
                <c:pt idx="5">
                  <c:v>-11.7</c:v>
                </c:pt>
                <c:pt idx="6">
                  <c:v>-9.6</c:v>
                </c:pt>
                <c:pt idx="7">
                  <c:v>-8.4</c:v>
                </c:pt>
                <c:pt idx="8">
                  <c:v>-5.9</c:v>
                </c:pt>
                <c:pt idx="9">
                  <c:v>-7.9</c:v>
                </c:pt>
                <c:pt idx="10">
                  <c:v>-6.9</c:v>
                </c:pt>
                <c:pt idx="11">
                  <c:v>-8.8000000000000007</c:v>
                </c:pt>
                <c:pt idx="12">
                  <c:v>-4.2</c:v>
                </c:pt>
                <c:pt idx="13">
                  <c:v>-4.8</c:v>
                </c:pt>
                <c:pt idx="14">
                  <c:v>-6.4</c:v>
                </c:pt>
                <c:pt idx="15">
                  <c:v>-3.8</c:v>
                </c:pt>
                <c:pt idx="16">
                  <c:v>0.2</c:v>
                </c:pt>
                <c:pt idx="17">
                  <c:v>3.8</c:v>
                </c:pt>
                <c:pt idx="18">
                  <c:v>4.5999999999999996</c:v>
                </c:pt>
                <c:pt idx="19">
                  <c:v>6.3</c:v>
                </c:pt>
                <c:pt idx="20">
                  <c:v>6.2</c:v>
                </c:pt>
                <c:pt idx="21">
                  <c:v>8.5</c:v>
                </c:pt>
                <c:pt idx="22">
                  <c:v>6.9</c:v>
                </c:pt>
                <c:pt idx="23">
                  <c:v>4</c:v>
                </c:pt>
                <c:pt idx="24">
                  <c:v>8.9</c:v>
                </c:pt>
                <c:pt idx="25">
                  <c:v>9</c:v>
                </c:pt>
                <c:pt idx="26" formatCode="0.0_)">
                  <c:v>9.5</c:v>
                </c:pt>
                <c:pt idx="27" formatCode="0.0_)">
                  <c:v>13.2</c:v>
                </c:pt>
                <c:pt idx="28">
                  <c:v>6.7</c:v>
                </c:pt>
                <c:pt idx="29">
                  <c:v>9.5</c:v>
                </c:pt>
                <c:pt idx="30">
                  <c:v>9.8000000000000007</c:v>
                </c:pt>
                <c:pt idx="31">
                  <c:v>8</c:v>
                </c:pt>
                <c:pt idx="32">
                  <c:v>10.8</c:v>
                </c:pt>
                <c:pt idx="33">
                  <c:v>7</c:v>
                </c:pt>
                <c:pt idx="34">
                  <c:v>6.7</c:v>
                </c:pt>
                <c:pt idx="35">
                  <c:v>4.9000000000000004</c:v>
                </c:pt>
                <c:pt idx="36">
                  <c:v>6.9</c:v>
                </c:pt>
                <c:pt idx="37">
                  <c:v>5.3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38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 formatCode="0.0_)">
                  <c:v>3.2</c:v>
                </c:pt>
                <c:pt idx="27" formatCode="0.0_)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38"/>
                <c:pt idx="0">
                  <c:v>-5.7</c:v>
                </c:pt>
                <c:pt idx="1">
                  <c:v>-5.9</c:v>
                </c:pt>
                <c:pt idx="2">
                  <c:v>-8.6</c:v>
                </c:pt>
                <c:pt idx="3">
                  <c:v>-4.5</c:v>
                </c:pt>
                <c:pt idx="4">
                  <c:v>-2.6</c:v>
                </c:pt>
                <c:pt idx="5">
                  <c:v>-5.6</c:v>
                </c:pt>
                <c:pt idx="6">
                  <c:v>-5.0999999999999996</c:v>
                </c:pt>
                <c:pt idx="7">
                  <c:v>-0.3</c:v>
                </c:pt>
                <c:pt idx="8">
                  <c:v>2.2999999999999998</c:v>
                </c:pt>
                <c:pt idx="9">
                  <c:v>2.7</c:v>
                </c:pt>
                <c:pt idx="10">
                  <c:v>1.3</c:v>
                </c:pt>
                <c:pt idx="11">
                  <c:v>1.5</c:v>
                </c:pt>
                <c:pt idx="12">
                  <c:v>6.6</c:v>
                </c:pt>
                <c:pt idx="13">
                  <c:v>3.4</c:v>
                </c:pt>
                <c:pt idx="14">
                  <c:v>3.3</c:v>
                </c:pt>
                <c:pt idx="15">
                  <c:v>4.7</c:v>
                </c:pt>
                <c:pt idx="16">
                  <c:v>12.9</c:v>
                </c:pt>
                <c:pt idx="17">
                  <c:v>13.2</c:v>
                </c:pt>
                <c:pt idx="18">
                  <c:v>10.3</c:v>
                </c:pt>
                <c:pt idx="19">
                  <c:v>13</c:v>
                </c:pt>
                <c:pt idx="20">
                  <c:v>13.2</c:v>
                </c:pt>
                <c:pt idx="21">
                  <c:v>10</c:v>
                </c:pt>
                <c:pt idx="22">
                  <c:v>11</c:v>
                </c:pt>
                <c:pt idx="23">
                  <c:v>8.4</c:v>
                </c:pt>
                <c:pt idx="24">
                  <c:v>11.4</c:v>
                </c:pt>
                <c:pt idx="25">
                  <c:v>13</c:v>
                </c:pt>
                <c:pt idx="26">
                  <c:v>12.7</c:v>
                </c:pt>
                <c:pt idx="27">
                  <c:v>11.9</c:v>
                </c:pt>
                <c:pt idx="28">
                  <c:v>14.9</c:v>
                </c:pt>
                <c:pt idx="29">
                  <c:v>14.2</c:v>
                </c:pt>
                <c:pt idx="30">
                  <c:v>10.3</c:v>
                </c:pt>
                <c:pt idx="31">
                  <c:v>14.2</c:v>
                </c:pt>
                <c:pt idx="32">
                  <c:v>15.2</c:v>
                </c:pt>
                <c:pt idx="33">
                  <c:v>17.5</c:v>
                </c:pt>
                <c:pt idx="34">
                  <c:v>10.6</c:v>
                </c:pt>
                <c:pt idx="35">
                  <c:v>7.5</c:v>
                </c:pt>
                <c:pt idx="36">
                  <c:v>14.9</c:v>
                </c:pt>
                <c:pt idx="37">
                  <c:v>11.9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1581152"/>
        <c:axId val="-511579520"/>
      </c:lineChart>
      <c:catAx>
        <c:axId val="-51158115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11579520"/>
        <c:crossesAt val="0"/>
        <c:auto val="1"/>
        <c:lblAlgn val="ctr"/>
        <c:lblOffset val="100"/>
        <c:tickLblSkip val="1"/>
        <c:noMultiLvlLbl val="0"/>
      </c:catAx>
      <c:valAx>
        <c:axId val="-51157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1158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01320912"/>
        <c:axId val="-601321456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2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01320912"/>
        <c:axId val="-601321456"/>
      </c:lineChart>
      <c:catAx>
        <c:axId val="-60132091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01321456"/>
        <c:crossesAt val="0"/>
        <c:auto val="0"/>
        <c:lblAlgn val="ctr"/>
        <c:lblOffset val="100"/>
        <c:tickLblSkip val="1"/>
        <c:noMultiLvlLbl val="0"/>
      </c:catAx>
      <c:valAx>
        <c:axId val="-60132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0132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38"/>
                <c:pt idx="0">
                  <c:v>-10.9</c:v>
                </c:pt>
                <c:pt idx="1">
                  <c:v>-8.1999999999999993</c:v>
                </c:pt>
                <c:pt idx="2">
                  <c:v>-11.5</c:v>
                </c:pt>
                <c:pt idx="3">
                  <c:v>-7.2</c:v>
                </c:pt>
                <c:pt idx="4">
                  <c:v>-7.7</c:v>
                </c:pt>
                <c:pt idx="5">
                  <c:v>-9.6999999999999993</c:v>
                </c:pt>
                <c:pt idx="6">
                  <c:v>-10.6</c:v>
                </c:pt>
                <c:pt idx="7">
                  <c:v>-7.3</c:v>
                </c:pt>
                <c:pt idx="8">
                  <c:v>-7.5</c:v>
                </c:pt>
                <c:pt idx="9">
                  <c:v>-10.3</c:v>
                </c:pt>
                <c:pt idx="10">
                  <c:v>-5.4</c:v>
                </c:pt>
                <c:pt idx="11">
                  <c:v>-6.7</c:v>
                </c:pt>
                <c:pt idx="12">
                  <c:v>-4.4000000000000004</c:v>
                </c:pt>
                <c:pt idx="13">
                  <c:v>-3.6</c:v>
                </c:pt>
                <c:pt idx="14">
                  <c:v>-4.2</c:v>
                </c:pt>
                <c:pt idx="15">
                  <c:v>-3.1</c:v>
                </c:pt>
                <c:pt idx="16">
                  <c:v>0.6</c:v>
                </c:pt>
                <c:pt idx="17">
                  <c:v>1.8</c:v>
                </c:pt>
                <c:pt idx="18">
                  <c:v>1.3</c:v>
                </c:pt>
                <c:pt idx="19">
                  <c:v>2.7</c:v>
                </c:pt>
                <c:pt idx="20">
                  <c:v>0.8</c:v>
                </c:pt>
                <c:pt idx="21">
                  <c:v>1.6</c:v>
                </c:pt>
                <c:pt idx="22">
                  <c:v>3.4</c:v>
                </c:pt>
                <c:pt idx="23">
                  <c:v>-0.2</c:v>
                </c:pt>
                <c:pt idx="24">
                  <c:v>4.3</c:v>
                </c:pt>
                <c:pt idx="25">
                  <c:v>4.2</c:v>
                </c:pt>
                <c:pt idx="26">
                  <c:v>2.9</c:v>
                </c:pt>
                <c:pt idx="27">
                  <c:v>5.7</c:v>
                </c:pt>
                <c:pt idx="28">
                  <c:v>2.8</c:v>
                </c:pt>
                <c:pt idx="29">
                  <c:v>4</c:v>
                </c:pt>
                <c:pt idx="30">
                  <c:v>2.4</c:v>
                </c:pt>
                <c:pt idx="31">
                  <c:v>2.4</c:v>
                </c:pt>
                <c:pt idx="32">
                  <c:v>3.1</c:v>
                </c:pt>
                <c:pt idx="33">
                  <c:v>1.3</c:v>
                </c:pt>
                <c:pt idx="34">
                  <c:v>3.4</c:v>
                </c:pt>
                <c:pt idx="35">
                  <c:v>-1.8</c:v>
                </c:pt>
                <c:pt idx="36">
                  <c:v>2.2000000000000002</c:v>
                </c:pt>
                <c:pt idx="37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01318736"/>
        <c:axId val="-601318192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38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>
                  <c:v>4.2</c:v>
                </c:pt>
                <c:pt idx="27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38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>
                  <c:v>3.2</c:v>
                </c:pt>
                <c:pt idx="27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38"/>
                <c:pt idx="0">
                  <c:v>-13.9</c:v>
                </c:pt>
                <c:pt idx="1">
                  <c:v>-9.6</c:v>
                </c:pt>
                <c:pt idx="2">
                  <c:v>-9.1</c:v>
                </c:pt>
                <c:pt idx="3">
                  <c:v>-7.7</c:v>
                </c:pt>
                <c:pt idx="4">
                  <c:v>-3.9</c:v>
                </c:pt>
                <c:pt idx="5">
                  <c:v>-5.3</c:v>
                </c:pt>
                <c:pt idx="6">
                  <c:v>-13.5</c:v>
                </c:pt>
                <c:pt idx="7">
                  <c:v>-7.1</c:v>
                </c:pt>
                <c:pt idx="8">
                  <c:v>-6.6</c:v>
                </c:pt>
                <c:pt idx="9">
                  <c:v>-11.7</c:v>
                </c:pt>
                <c:pt idx="10">
                  <c:v>-1.1000000000000001</c:v>
                </c:pt>
                <c:pt idx="11">
                  <c:v>-4.0999999999999996</c:v>
                </c:pt>
                <c:pt idx="12">
                  <c:v>-0.1</c:v>
                </c:pt>
                <c:pt idx="13">
                  <c:v>4.4000000000000004</c:v>
                </c:pt>
                <c:pt idx="14">
                  <c:v>4.9000000000000004</c:v>
                </c:pt>
                <c:pt idx="15">
                  <c:v>5.9</c:v>
                </c:pt>
                <c:pt idx="16">
                  <c:v>11</c:v>
                </c:pt>
                <c:pt idx="17">
                  <c:v>11.7</c:v>
                </c:pt>
                <c:pt idx="18">
                  <c:v>10.1</c:v>
                </c:pt>
                <c:pt idx="19">
                  <c:v>11</c:v>
                </c:pt>
                <c:pt idx="20">
                  <c:v>10.199999999999999</c:v>
                </c:pt>
                <c:pt idx="21">
                  <c:v>9.1999999999999993</c:v>
                </c:pt>
                <c:pt idx="22">
                  <c:v>13.5</c:v>
                </c:pt>
                <c:pt idx="23">
                  <c:v>10.8</c:v>
                </c:pt>
                <c:pt idx="24">
                  <c:v>13.6</c:v>
                </c:pt>
                <c:pt idx="25">
                  <c:v>14.1</c:v>
                </c:pt>
                <c:pt idx="26">
                  <c:v>13.4</c:v>
                </c:pt>
                <c:pt idx="27">
                  <c:v>18</c:v>
                </c:pt>
                <c:pt idx="28">
                  <c:v>14.2</c:v>
                </c:pt>
                <c:pt idx="29">
                  <c:v>13.7</c:v>
                </c:pt>
                <c:pt idx="30">
                  <c:v>14.1</c:v>
                </c:pt>
                <c:pt idx="31">
                  <c:v>12.3</c:v>
                </c:pt>
                <c:pt idx="32">
                  <c:v>11.9</c:v>
                </c:pt>
                <c:pt idx="33">
                  <c:v>8.3000000000000007</c:v>
                </c:pt>
                <c:pt idx="34">
                  <c:v>9.4</c:v>
                </c:pt>
                <c:pt idx="35">
                  <c:v>7.6</c:v>
                </c:pt>
                <c:pt idx="36">
                  <c:v>7.2</c:v>
                </c:pt>
                <c:pt idx="37">
                  <c:v>7.6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3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38"/>
                <c:pt idx="0">
                  <c:v>-20.8</c:v>
                </c:pt>
                <c:pt idx="1">
                  <c:v>-17.7</c:v>
                </c:pt>
                <c:pt idx="2">
                  <c:v>-22.9</c:v>
                </c:pt>
                <c:pt idx="3">
                  <c:v>-18.5</c:v>
                </c:pt>
                <c:pt idx="4">
                  <c:v>-16.399999999999999</c:v>
                </c:pt>
                <c:pt idx="5">
                  <c:v>-20.2</c:v>
                </c:pt>
                <c:pt idx="6">
                  <c:v>-19.2</c:v>
                </c:pt>
                <c:pt idx="7">
                  <c:v>-15.6</c:v>
                </c:pt>
                <c:pt idx="8">
                  <c:v>-16.8</c:v>
                </c:pt>
                <c:pt idx="9">
                  <c:v>-18.8</c:v>
                </c:pt>
                <c:pt idx="10">
                  <c:v>-13.8</c:v>
                </c:pt>
                <c:pt idx="11">
                  <c:v>-14.6</c:v>
                </c:pt>
                <c:pt idx="12">
                  <c:v>-10.1</c:v>
                </c:pt>
                <c:pt idx="13">
                  <c:v>-11.8</c:v>
                </c:pt>
                <c:pt idx="14">
                  <c:v>-15</c:v>
                </c:pt>
                <c:pt idx="15">
                  <c:v>-12.9</c:v>
                </c:pt>
                <c:pt idx="16">
                  <c:v>-10</c:v>
                </c:pt>
                <c:pt idx="17">
                  <c:v>-9.4</c:v>
                </c:pt>
                <c:pt idx="18">
                  <c:v>-10.5</c:v>
                </c:pt>
                <c:pt idx="19">
                  <c:v>-7.3</c:v>
                </c:pt>
                <c:pt idx="20">
                  <c:v>-11.7</c:v>
                </c:pt>
                <c:pt idx="21">
                  <c:v>-8</c:v>
                </c:pt>
                <c:pt idx="22">
                  <c:v>-8.8000000000000007</c:v>
                </c:pt>
                <c:pt idx="23">
                  <c:v>-12</c:v>
                </c:pt>
                <c:pt idx="24">
                  <c:v>-5.8</c:v>
                </c:pt>
                <c:pt idx="25">
                  <c:v>-6.4</c:v>
                </c:pt>
                <c:pt idx="26">
                  <c:v>-9.1999999999999993</c:v>
                </c:pt>
                <c:pt idx="27">
                  <c:v>-6.9</c:v>
                </c:pt>
                <c:pt idx="28">
                  <c:v>-10.199999999999999</c:v>
                </c:pt>
                <c:pt idx="29">
                  <c:v>-5.2</c:v>
                </c:pt>
                <c:pt idx="30">
                  <c:v>-9.4</c:v>
                </c:pt>
                <c:pt idx="31">
                  <c:v>-8.6999999999999993</c:v>
                </c:pt>
                <c:pt idx="32">
                  <c:v>-7.2</c:v>
                </c:pt>
                <c:pt idx="33">
                  <c:v>-9.3000000000000007</c:v>
                </c:pt>
                <c:pt idx="34">
                  <c:v>-2.6</c:v>
                </c:pt>
                <c:pt idx="35">
                  <c:v>-9</c:v>
                </c:pt>
                <c:pt idx="36">
                  <c:v>-1.6</c:v>
                </c:pt>
                <c:pt idx="37">
                  <c:v>-3.4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01318736"/>
        <c:axId val="-601318192"/>
      </c:lineChart>
      <c:catAx>
        <c:axId val="-60131873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01318192"/>
        <c:crossesAt val="0"/>
        <c:auto val="1"/>
        <c:lblAlgn val="ctr"/>
        <c:lblOffset val="100"/>
        <c:tickLblSkip val="1"/>
        <c:noMultiLvlLbl val="0"/>
      </c:catAx>
      <c:valAx>
        <c:axId val="-60131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0131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62299440"/>
        <c:axId val="-511582784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462299440"/>
        <c:axId val="-511582784"/>
      </c:lineChart>
      <c:catAx>
        <c:axId val="-46229944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511582784"/>
        <c:crossesAt val="0"/>
        <c:auto val="0"/>
        <c:lblAlgn val="ctr"/>
        <c:lblOffset val="100"/>
        <c:tickLblSkip val="1"/>
        <c:noMultiLvlLbl val="0"/>
      </c:catAx>
      <c:valAx>
        <c:axId val="-51158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46229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9088D-201E-42BF-8523-54D3DAC9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Dziewit Mirosław</cp:lastModifiedBy>
  <cp:revision>2</cp:revision>
  <cp:lastPrinted>2019-02-18T14:04:00Z</cp:lastPrinted>
  <dcterms:created xsi:type="dcterms:W3CDTF">2019-02-20T08:12:00Z</dcterms:created>
  <dcterms:modified xsi:type="dcterms:W3CDTF">2019-02-20T08:12:00Z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