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25784" w14:textId="2AB4274A" w:rsidR="00D701C7" w:rsidRDefault="00D701C7" w:rsidP="00D701C7">
      <w:pPr>
        <w:spacing w:after="360" w:line="260" w:lineRule="exact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UWAGI  METODYCZNE</w:t>
      </w:r>
    </w:p>
    <w:p w14:paraId="23F1688B" w14:textId="77777777" w:rsidR="00F34B6B" w:rsidRPr="00D701C7" w:rsidRDefault="002B473E" w:rsidP="00D701C7">
      <w:pPr>
        <w:pStyle w:val="boczek68"/>
        <w:numPr>
          <w:ilvl w:val="0"/>
          <w:numId w:val="3"/>
        </w:numPr>
        <w:tabs>
          <w:tab w:val="clear" w:pos="3912"/>
        </w:tabs>
        <w:spacing w:before="0" w:after="180" w:line="260" w:lineRule="exact"/>
        <w:ind w:left="397" w:hanging="397"/>
        <w:jc w:val="both"/>
        <w:rPr>
          <w:rFonts w:ascii="Arial" w:hAnsi="Arial" w:cs="Arial"/>
          <w:color w:val="000000"/>
          <w:sz w:val="20"/>
        </w:rPr>
      </w:pPr>
      <w:r w:rsidRPr="00D701C7">
        <w:rPr>
          <w:rFonts w:ascii="Arial" w:hAnsi="Arial" w:cs="Arial"/>
          <w:color w:val="000000"/>
          <w:sz w:val="20"/>
        </w:rPr>
        <w:t>ŹRÓDŁA I ZAKRES DANYCH</w:t>
      </w:r>
    </w:p>
    <w:p w14:paraId="7F4474FC" w14:textId="77777777" w:rsidR="00C70892" w:rsidRPr="00F84FD4" w:rsidRDefault="00C70892" w:rsidP="00D701C7">
      <w:pPr>
        <w:tabs>
          <w:tab w:val="left" w:pos="641"/>
        </w:tabs>
        <w:spacing w:line="256" w:lineRule="exact"/>
        <w:ind w:firstLine="357"/>
        <w:jc w:val="both"/>
        <w:rPr>
          <w:rFonts w:ascii="Arial" w:hAnsi="Arial" w:cs="Arial"/>
          <w:sz w:val="18"/>
          <w:szCs w:val="18"/>
        </w:rPr>
      </w:pPr>
      <w:r w:rsidRPr="008D357E">
        <w:rPr>
          <w:rFonts w:ascii="Arial" w:hAnsi="Arial" w:cs="Arial"/>
          <w:b/>
          <w:bCs/>
          <w:sz w:val="18"/>
          <w:szCs w:val="18"/>
        </w:rPr>
        <w:t>1.</w:t>
      </w:r>
      <w:r w:rsidRPr="008D357E">
        <w:rPr>
          <w:rFonts w:ascii="Arial" w:hAnsi="Arial" w:cs="Arial"/>
          <w:b/>
          <w:bCs/>
          <w:sz w:val="18"/>
          <w:szCs w:val="18"/>
        </w:rPr>
        <w:tab/>
      </w:r>
      <w:r w:rsidRPr="00F84FD4">
        <w:rPr>
          <w:rFonts w:ascii="Arial" w:hAnsi="Arial" w:cs="Arial"/>
          <w:sz w:val="18"/>
          <w:szCs w:val="18"/>
        </w:rPr>
        <w:t>Dane</w:t>
      </w:r>
      <w:r w:rsidR="00821356" w:rsidRPr="00F84FD4">
        <w:rPr>
          <w:rFonts w:ascii="Arial" w:hAnsi="Arial" w:cs="Arial"/>
          <w:sz w:val="18"/>
          <w:szCs w:val="18"/>
        </w:rPr>
        <w:t xml:space="preserve"> w niniejszej publikacji są</w:t>
      </w:r>
      <w:r w:rsidRPr="00F84FD4">
        <w:rPr>
          <w:rFonts w:ascii="Arial" w:hAnsi="Arial" w:cs="Arial"/>
          <w:sz w:val="18"/>
          <w:szCs w:val="18"/>
        </w:rPr>
        <w:t xml:space="preserve"> prezent</w:t>
      </w:r>
      <w:r w:rsidR="00821356" w:rsidRPr="00F84FD4">
        <w:rPr>
          <w:rFonts w:ascii="Arial" w:hAnsi="Arial" w:cs="Arial"/>
          <w:sz w:val="18"/>
          <w:szCs w:val="18"/>
        </w:rPr>
        <w:t>owane</w:t>
      </w:r>
      <w:r w:rsidRPr="00F84FD4">
        <w:rPr>
          <w:rFonts w:ascii="Arial" w:hAnsi="Arial" w:cs="Arial"/>
          <w:sz w:val="18"/>
          <w:szCs w:val="18"/>
        </w:rPr>
        <w:t>:</w:t>
      </w:r>
    </w:p>
    <w:p w14:paraId="0048D53F" w14:textId="2527AEEC" w:rsidR="0006741C" w:rsidRPr="0006741C" w:rsidRDefault="00C70892" w:rsidP="00D701C7">
      <w:pPr>
        <w:numPr>
          <w:ilvl w:val="0"/>
          <w:numId w:val="4"/>
        </w:numPr>
        <w:tabs>
          <w:tab w:val="left" w:pos="255"/>
        </w:tabs>
        <w:spacing w:before="50" w:line="256" w:lineRule="exact"/>
        <w:ind w:left="255" w:hanging="255"/>
        <w:jc w:val="both"/>
        <w:rPr>
          <w:rFonts w:ascii="Arial" w:hAnsi="Arial" w:cs="Arial"/>
          <w:sz w:val="18"/>
          <w:szCs w:val="18"/>
        </w:rPr>
      </w:pPr>
      <w:r w:rsidRPr="0006741C">
        <w:rPr>
          <w:rFonts w:ascii="Arial" w:hAnsi="Arial" w:cs="Arial"/>
          <w:sz w:val="18"/>
          <w:szCs w:val="18"/>
        </w:rPr>
        <w:t xml:space="preserve">w układzie </w:t>
      </w:r>
      <w:r w:rsidRPr="0006741C">
        <w:rPr>
          <w:rFonts w:ascii="Arial" w:hAnsi="Arial" w:cs="Arial"/>
          <w:b/>
          <w:bCs/>
          <w:sz w:val="18"/>
          <w:szCs w:val="18"/>
        </w:rPr>
        <w:t>Polskiej Klasyfikacji Działalności (PKD</w:t>
      </w:r>
      <w:r w:rsidR="00821356" w:rsidRPr="0006741C">
        <w:rPr>
          <w:rFonts w:ascii="Arial" w:hAnsi="Arial" w:cs="Arial"/>
          <w:b/>
          <w:bCs/>
          <w:sz w:val="18"/>
          <w:szCs w:val="18"/>
        </w:rPr>
        <w:t xml:space="preserve"> 2007</w:t>
      </w:r>
      <w:r w:rsidRPr="0006741C">
        <w:rPr>
          <w:rFonts w:ascii="Arial" w:hAnsi="Arial" w:cs="Arial"/>
          <w:b/>
          <w:bCs/>
          <w:sz w:val="18"/>
          <w:szCs w:val="18"/>
        </w:rPr>
        <w:t>)</w:t>
      </w:r>
      <w:r w:rsidR="006A21C5" w:rsidRPr="0006741C">
        <w:rPr>
          <w:rFonts w:ascii="Arial" w:hAnsi="Arial" w:cs="Arial"/>
          <w:b/>
          <w:bCs/>
          <w:sz w:val="18"/>
          <w:szCs w:val="18"/>
        </w:rPr>
        <w:t xml:space="preserve"> </w:t>
      </w:r>
      <w:r w:rsidR="006A21C5" w:rsidRPr="0006741C">
        <w:rPr>
          <w:rFonts w:ascii="Arial" w:hAnsi="Arial" w:cs="Arial"/>
          <w:sz w:val="18"/>
          <w:szCs w:val="18"/>
        </w:rPr>
        <w:t>– opracowanej na podstawie  Statystycznej Klasyfikacji Działalności Gospodarczej we Wspólnocie Europejskiej</w:t>
      </w:r>
      <w:r w:rsidR="002456CD" w:rsidRPr="0006741C">
        <w:rPr>
          <w:rFonts w:ascii="Arial" w:hAnsi="Arial" w:cs="Arial"/>
          <w:sz w:val="18"/>
          <w:szCs w:val="18"/>
        </w:rPr>
        <w:t xml:space="preserve"> – </w:t>
      </w:r>
      <w:r w:rsidR="002456CD" w:rsidRPr="0006741C">
        <w:rPr>
          <w:rFonts w:ascii="Arial" w:hAnsi="Arial" w:cs="Arial"/>
          <w:i/>
          <w:sz w:val="18"/>
          <w:szCs w:val="18"/>
        </w:rPr>
        <w:t xml:space="preserve">Statistical </w:t>
      </w:r>
      <w:proofErr w:type="spellStart"/>
      <w:r w:rsidR="002456CD" w:rsidRPr="0006741C">
        <w:rPr>
          <w:rFonts w:ascii="Arial" w:hAnsi="Arial" w:cs="Arial"/>
          <w:i/>
          <w:sz w:val="18"/>
          <w:szCs w:val="18"/>
        </w:rPr>
        <w:t>Classification</w:t>
      </w:r>
      <w:proofErr w:type="spellEnd"/>
      <w:r w:rsidR="002456CD" w:rsidRPr="0006741C">
        <w:rPr>
          <w:rFonts w:ascii="Arial" w:hAnsi="Arial" w:cs="Arial"/>
          <w:i/>
          <w:sz w:val="18"/>
          <w:szCs w:val="18"/>
        </w:rPr>
        <w:t xml:space="preserve"> of </w:t>
      </w:r>
      <w:proofErr w:type="spellStart"/>
      <w:r w:rsidR="002456CD" w:rsidRPr="0006741C">
        <w:rPr>
          <w:rFonts w:ascii="Arial" w:hAnsi="Arial" w:cs="Arial"/>
          <w:i/>
          <w:sz w:val="18"/>
          <w:szCs w:val="18"/>
        </w:rPr>
        <w:t>Economic</w:t>
      </w:r>
      <w:proofErr w:type="spellEnd"/>
      <w:r w:rsidR="002456CD" w:rsidRPr="0006741C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2456CD" w:rsidRPr="0006741C">
        <w:rPr>
          <w:rFonts w:ascii="Arial" w:hAnsi="Arial" w:cs="Arial"/>
          <w:i/>
          <w:sz w:val="18"/>
          <w:szCs w:val="18"/>
        </w:rPr>
        <w:t>Activities</w:t>
      </w:r>
      <w:proofErr w:type="spellEnd"/>
      <w:r w:rsidR="002456CD" w:rsidRPr="0006741C">
        <w:rPr>
          <w:rFonts w:ascii="Arial" w:hAnsi="Arial" w:cs="Arial"/>
          <w:i/>
          <w:sz w:val="18"/>
          <w:szCs w:val="18"/>
        </w:rPr>
        <w:t xml:space="preserve"> in the </w:t>
      </w:r>
      <w:proofErr w:type="spellStart"/>
      <w:r w:rsidR="002456CD" w:rsidRPr="0006741C">
        <w:rPr>
          <w:rFonts w:ascii="Arial" w:hAnsi="Arial" w:cs="Arial"/>
          <w:i/>
          <w:sz w:val="18"/>
          <w:szCs w:val="18"/>
        </w:rPr>
        <w:t>European</w:t>
      </w:r>
      <w:proofErr w:type="spellEnd"/>
      <w:r w:rsidR="002456CD" w:rsidRPr="0006741C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2456CD" w:rsidRPr="0006741C">
        <w:rPr>
          <w:rFonts w:ascii="Arial" w:hAnsi="Arial" w:cs="Arial"/>
          <w:i/>
          <w:sz w:val="18"/>
          <w:szCs w:val="18"/>
        </w:rPr>
        <w:t>Community</w:t>
      </w:r>
      <w:proofErr w:type="spellEnd"/>
      <w:r w:rsidR="002456CD" w:rsidRPr="0006741C">
        <w:rPr>
          <w:rFonts w:ascii="Arial" w:hAnsi="Arial" w:cs="Arial"/>
          <w:i/>
          <w:sz w:val="18"/>
          <w:szCs w:val="18"/>
        </w:rPr>
        <w:t xml:space="preserve"> – </w:t>
      </w:r>
      <w:r w:rsidR="0039560F" w:rsidRPr="0006741C">
        <w:rPr>
          <w:rFonts w:ascii="Arial" w:hAnsi="Arial" w:cs="Arial"/>
          <w:i/>
          <w:sz w:val="18"/>
          <w:szCs w:val="18"/>
        </w:rPr>
        <w:t xml:space="preserve">NACE </w:t>
      </w:r>
      <w:proofErr w:type="spellStart"/>
      <w:r w:rsidR="0039560F" w:rsidRPr="0006741C">
        <w:rPr>
          <w:rFonts w:ascii="Arial" w:hAnsi="Arial" w:cs="Arial"/>
          <w:i/>
          <w:sz w:val="18"/>
          <w:szCs w:val="18"/>
        </w:rPr>
        <w:t>Rev</w:t>
      </w:r>
      <w:proofErr w:type="spellEnd"/>
      <w:r w:rsidR="0039560F" w:rsidRPr="0006741C">
        <w:rPr>
          <w:rFonts w:ascii="Arial" w:hAnsi="Arial" w:cs="Arial"/>
          <w:i/>
          <w:sz w:val="18"/>
          <w:szCs w:val="18"/>
        </w:rPr>
        <w:t>. 2</w:t>
      </w:r>
      <w:r w:rsidR="0039560F" w:rsidRPr="0006741C">
        <w:rPr>
          <w:rFonts w:ascii="Arial" w:hAnsi="Arial" w:cs="Arial"/>
          <w:sz w:val="18"/>
          <w:szCs w:val="18"/>
        </w:rPr>
        <w:t xml:space="preserve">. PKD 2007 wprowadzona została z dniem 1 stycznia 2008 r. rozporządzeniem Rady Ministrów </w:t>
      </w:r>
      <w:r w:rsidR="002961D6">
        <w:rPr>
          <w:rFonts w:ascii="Arial" w:hAnsi="Arial" w:cs="Arial"/>
          <w:sz w:val="18"/>
          <w:szCs w:val="18"/>
        </w:rPr>
        <w:br/>
      </w:r>
      <w:r w:rsidR="0039560F" w:rsidRPr="0006741C">
        <w:rPr>
          <w:rFonts w:ascii="Arial" w:hAnsi="Arial" w:cs="Arial"/>
          <w:sz w:val="18"/>
          <w:szCs w:val="18"/>
        </w:rPr>
        <w:t>z dnia 24</w:t>
      </w:r>
      <w:r w:rsidR="001C793D" w:rsidRPr="0006741C">
        <w:rPr>
          <w:rFonts w:ascii="Arial" w:hAnsi="Arial" w:cs="Arial"/>
          <w:sz w:val="18"/>
          <w:szCs w:val="18"/>
        </w:rPr>
        <w:t xml:space="preserve"> grudnia </w:t>
      </w:r>
      <w:r w:rsidR="0039560F" w:rsidRPr="0006741C">
        <w:rPr>
          <w:rFonts w:ascii="Arial" w:hAnsi="Arial" w:cs="Arial"/>
          <w:sz w:val="18"/>
          <w:szCs w:val="18"/>
        </w:rPr>
        <w:t>2007 r. w sprawie Polskiej Klasyfikacji Działalności (Dz. U. Nr 251, poz. 1885</w:t>
      </w:r>
      <w:r w:rsidR="009D50C7" w:rsidRPr="0006741C">
        <w:rPr>
          <w:rFonts w:ascii="Arial" w:hAnsi="Arial" w:cs="Arial"/>
          <w:sz w:val="18"/>
          <w:szCs w:val="18"/>
        </w:rPr>
        <w:t xml:space="preserve"> z późniejszymi zmianami</w:t>
      </w:r>
      <w:r w:rsidR="0039560F" w:rsidRPr="0006741C">
        <w:rPr>
          <w:rFonts w:ascii="Arial" w:hAnsi="Arial" w:cs="Arial"/>
          <w:sz w:val="18"/>
          <w:szCs w:val="18"/>
        </w:rPr>
        <w:t>)</w:t>
      </w:r>
      <w:r w:rsidR="00D21A4F">
        <w:rPr>
          <w:rFonts w:ascii="Arial" w:hAnsi="Arial" w:cs="Arial"/>
          <w:sz w:val="18"/>
          <w:szCs w:val="18"/>
        </w:rPr>
        <w:t>,</w:t>
      </w:r>
    </w:p>
    <w:p w14:paraId="0529825F" w14:textId="6960C0C2" w:rsidR="002C17E2" w:rsidRPr="002961D6" w:rsidRDefault="002D1E3F" w:rsidP="00D701C7">
      <w:pPr>
        <w:numPr>
          <w:ilvl w:val="0"/>
          <w:numId w:val="4"/>
        </w:numPr>
        <w:tabs>
          <w:tab w:val="left" w:pos="255"/>
        </w:tabs>
        <w:spacing w:before="50" w:line="256" w:lineRule="exact"/>
        <w:ind w:left="255" w:hanging="255"/>
        <w:jc w:val="both"/>
        <w:rPr>
          <w:rFonts w:ascii="Arial" w:hAnsi="Arial" w:cs="Arial"/>
          <w:sz w:val="18"/>
          <w:szCs w:val="18"/>
        </w:rPr>
      </w:pPr>
      <w:r w:rsidRPr="0006741C">
        <w:rPr>
          <w:rFonts w:ascii="Arial" w:hAnsi="Arial" w:cs="Arial"/>
          <w:sz w:val="18"/>
          <w:szCs w:val="18"/>
        </w:rPr>
        <w:t>w układzie</w:t>
      </w:r>
      <w:r w:rsidRPr="0006741C">
        <w:rPr>
          <w:rFonts w:ascii="Arial" w:hAnsi="Arial" w:cs="Arial"/>
          <w:b/>
          <w:bCs/>
          <w:sz w:val="18"/>
          <w:szCs w:val="18"/>
        </w:rPr>
        <w:t xml:space="preserve"> Klasyfikacji Zawodów i Specjalności, </w:t>
      </w:r>
      <w:r w:rsidRPr="0006741C">
        <w:rPr>
          <w:rFonts w:ascii="Arial" w:hAnsi="Arial" w:cs="Arial"/>
          <w:sz w:val="18"/>
          <w:szCs w:val="18"/>
        </w:rPr>
        <w:t>wprowadzonej rozporządzeniem Ministra Pracy i Polityki Społecznej</w:t>
      </w:r>
      <w:r w:rsidR="0038243F" w:rsidRPr="0006741C">
        <w:rPr>
          <w:rFonts w:ascii="Arial" w:hAnsi="Arial" w:cs="Arial"/>
          <w:sz w:val="18"/>
          <w:szCs w:val="18"/>
        </w:rPr>
        <w:t xml:space="preserve"> z dnia </w:t>
      </w:r>
      <w:r w:rsidR="00D92081">
        <w:rPr>
          <w:rFonts w:ascii="Arial" w:hAnsi="Arial" w:cs="Arial"/>
          <w:sz w:val="18"/>
          <w:szCs w:val="18"/>
        </w:rPr>
        <w:t>2</w:t>
      </w:r>
      <w:r w:rsidR="005C5D85">
        <w:rPr>
          <w:rFonts w:ascii="Arial" w:hAnsi="Arial" w:cs="Arial"/>
          <w:sz w:val="18"/>
          <w:szCs w:val="18"/>
        </w:rPr>
        <w:t>7 sierpnia 2014 r.</w:t>
      </w:r>
      <w:r w:rsidR="0038243F" w:rsidRPr="0006741C">
        <w:rPr>
          <w:rFonts w:ascii="Arial" w:hAnsi="Arial" w:cs="Arial"/>
          <w:sz w:val="18"/>
          <w:szCs w:val="18"/>
        </w:rPr>
        <w:t xml:space="preserve"> w sprawie klasyfikacji zawodów i specjalności dla potrzeb rynku pracy oraz zakresu jej stosowania (</w:t>
      </w:r>
      <w:r w:rsidR="001D1D0E" w:rsidRPr="002961D6">
        <w:rPr>
          <w:rFonts w:ascii="Arial" w:hAnsi="Arial" w:cs="Arial"/>
          <w:sz w:val="18"/>
          <w:szCs w:val="18"/>
        </w:rPr>
        <w:t xml:space="preserve">Dz. U. 2014, poz. </w:t>
      </w:r>
      <w:r w:rsidR="005C5D85" w:rsidRPr="002961D6">
        <w:rPr>
          <w:rFonts w:ascii="Arial" w:hAnsi="Arial" w:cs="Arial"/>
          <w:sz w:val="18"/>
          <w:szCs w:val="18"/>
        </w:rPr>
        <w:t>1145</w:t>
      </w:r>
      <w:r w:rsidR="001D1D0E" w:rsidRPr="002961D6">
        <w:rPr>
          <w:rFonts w:ascii="Arial" w:hAnsi="Arial" w:cs="Arial"/>
          <w:sz w:val="18"/>
          <w:szCs w:val="18"/>
        </w:rPr>
        <w:t>)</w:t>
      </w:r>
      <w:r w:rsidR="005C5D85" w:rsidRPr="002961D6">
        <w:rPr>
          <w:rFonts w:ascii="Arial" w:hAnsi="Arial" w:cs="Arial"/>
          <w:sz w:val="18"/>
          <w:szCs w:val="18"/>
        </w:rPr>
        <w:t>.</w:t>
      </w:r>
      <w:r w:rsidR="0038243F" w:rsidRPr="002961D6">
        <w:rPr>
          <w:rFonts w:ascii="Arial" w:hAnsi="Arial" w:cs="Arial"/>
          <w:sz w:val="18"/>
          <w:szCs w:val="18"/>
        </w:rPr>
        <w:t xml:space="preserve"> Klasyfikacja oparta jest na Międzynarodowej Klasyfikacji Zawodów ISCO-08, zalecanej do stosowania przez Międzynarodową Organizację Pracy. Klasyfikacja Zawodów i Specjalności jest pięciopoziomowym, hierarchicznie usystematyzowanym zbiorem zawodów i specjalności występujących na rynku pracy. Grupuje poszczególne zawody</w:t>
      </w:r>
      <w:r w:rsidR="00F912CC" w:rsidRPr="002961D6">
        <w:rPr>
          <w:rFonts w:ascii="Arial" w:hAnsi="Arial" w:cs="Arial"/>
          <w:sz w:val="18"/>
          <w:szCs w:val="18"/>
        </w:rPr>
        <w:t xml:space="preserve"> (specjalności) w coraz bardziej zagregowane grupy oraz ustala ich symbole i nazwy (w ramach wielkich grup zawodów wyodrębnia się grupy duże, w ramach dużych</w:t>
      </w:r>
      <w:r w:rsidR="00095CD7" w:rsidRPr="002961D6">
        <w:rPr>
          <w:rFonts w:ascii="Arial" w:hAnsi="Arial" w:cs="Arial"/>
          <w:sz w:val="18"/>
          <w:szCs w:val="18"/>
        </w:rPr>
        <w:t xml:space="preserve"> </w:t>
      </w:r>
      <w:r w:rsidR="00D1425A" w:rsidRPr="002961D6">
        <w:rPr>
          <w:rFonts w:ascii="Arial" w:hAnsi="Arial" w:cs="Arial"/>
          <w:sz w:val="18"/>
          <w:szCs w:val="18"/>
        </w:rPr>
        <w:t>–</w:t>
      </w:r>
      <w:r w:rsidR="00F912CC" w:rsidRPr="002961D6">
        <w:rPr>
          <w:rFonts w:ascii="Arial" w:hAnsi="Arial" w:cs="Arial"/>
          <w:sz w:val="18"/>
          <w:szCs w:val="18"/>
        </w:rPr>
        <w:t xml:space="preserve"> średnie, w ramach średnich</w:t>
      </w:r>
      <w:r w:rsidR="00AF564F" w:rsidRPr="002961D6">
        <w:rPr>
          <w:rFonts w:ascii="Arial" w:hAnsi="Arial" w:cs="Arial"/>
          <w:sz w:val="18"/>
          <w:szCs w:val="18"/>
        </w:rPr>
        <w:t xml:space="preserve"> </w:t>
      </w:r>
      <w:r w:rsidR="00D1425A" w:rsidRPr="002961D6">
        <w:rPr>
          <w:rFonts w:ascii="Arial" w:hAnsi="Arial" w:cs="Arial"/>
          <w:sz w:val="18"/>
          <w:szCs w:val="18"/>
        </w:rPr>
        <w:t>–</w:t>
      </w:r>
      <w:r w:rsidR="00F912CC" w:rsidRPr="002961D6">
        <w:rPr>
          <w:rFonts w:ascii="Arial" w:hAnsi="Arial" w:cs="Arial"/>
          <w:sz w:val="18"/>
          <w:szCs w:val="18"/>
        </w:rPr>
        <w:t xml:space="preserve"> elementarne, a w ramach elementarnych</w:t>
      </w:r>
      <w:r w:rsidR="00095CD7" w:rsidRPr="002961D6">
        <w:rPr>
          <w:rFonts w:ascii="Arial" w:hAnsi="Arial" w:cs="Arial"/>
          <w:sz w:val="18"/>
          <w:szCs w:val="18"/>
        </w:rPr>
        <w:t xml:space="preserve"> </w:t>
      </w:r>
      <w:r w:rsidR="00D1425A" w:rsidRPr="002961D6">
        <w:rPr>
          <w:rFonts w:ascii="Arial" w:hAnsi="Arial" w:cs="Arial"/>
          <w:sz w:val="18"/>
          <w:szCs w:val="18"/>
        </w:rPr>
        <w:t>–</w:t>
      </w:r>
      <w:r w:rsidR="00D21A4F">
        <w:rPr>
          <w:rFonts w:ascii="Arial" w:hAnsi="Arial" w:cs="Arial"/>
          <w:sz w:val="18"/>
          <w:szCs w:val="18"/>
        </w:rPr>
        <w:t xml:space="preserve"> poszczególne specjalności),</w:t>
      </w:r>
    </w:p>
    <w:p w14:paraId="247B17A2" w14:textId="77777777" w:rsidR="00C70892" w:rsidRPr="00F84FD4" w:rsidRDefault="00C70892" w:rsidP="00D701C7">
      <w:pPr>
        <w:numPr>
          <w:ilvl w:val="0"/>
          <w:numId w:val="4"/>
        </w:numPr>
        <w:tabs>
          <w:tab w:val="left" w:pos="255"/>
        </w:tabs>
        <w:spacing w:before="50" w:line="256" w:lineRule="exact"/>
        <w:ind w:left="255" w:hanging="255"/>
        <w:jc w:val="both"/>
        <w:rPr>
          <w:rFonts w:ascii="Arial" w:hAnsi="Arial" w:cs="Arial"/>
          <w:sz w:val="18"/>
          <w:szCs w:val="18"/>
        </w:rPr>
      </w:pPr>
      <w:r w:rsidRPr="00F84FD4">
        <w:rPr>
          <w:rFonts w:ascii="Arial" w:hAnsi="Arial" w:cs="Arial"/>
          <w:sz w:val="18"/>
          <w:szCs w:val="18"/>
        </w:rPr>
        <w:t xml:space="preserve">według </w:t>
      </w:r>
      <w:r w:rsidRPr="00F84FD4">
        <w:rPr>
          <w:rFonts w:ascii="Arial" w:hAnsi="Arial" w:cs="Arial"/>
          <w:b/>
          <w:sz w:val="18"/>
          <w:szCs w:val="18"/>
        </w:rPr>
        <w:t>sektorów własności</w:t>
      </w:r>
      <w:r w:rsidRPr="00F84FD4">
        <w:rPr>
          <w:rFonts w:ascii="Arial" w:hAnsi="Arial" w:cs="Arial"/>
          <w:sz w:val="18"/>
          <w:szCs w:val="18"/>
        </w:rPr>
        <w:t>:</w:t>
      </w:r>
    </w:p>
    <w:p w14:paraId="21466EA4" w14:textId="217EFE25" w:rsidR="00C70892" w:rsidRPr="00F84FD4" w:rsidRDefault="00C70892" w:rsidP="00D701C7">
      <w:pPr>
        <w:tabs>
          <w:tab w:val="left" w:pos="510"/>
        </w:tabs>
        <w:spacing w:before="20" w:line="256" w:lineRule="exact"/>
        <w:ind w:left="510" w:hanging="255"/>
        <w:jc w:val="both"/>
        <w:rPr>
          <w:rFonts w:ascii="Arial" w:hAnsi="Arial" w:cs="Arial"/>
          <w:sz w:val="18"/>
          <w:szCs w:val="18"/>
        </w:rPr>
      </w:pPr>
      <w:r w:rsidRPr="00F84FD4">
        <w:rPr>
          <w:rFonts w:ascii="Arial" w:hAnsi="Arial" w:cs="Arial"/>
          <w:bCs/>
          <w:sz w:val="18"/>
          <w:szCs w:val="18"/>
        </w:rPr>
        <w:t>a)</w:t>
      </w:r>
      <w:r w:rsidRPr="00F84FD4">
        <w:rPr>
          <w:rFonts w:ascii="Arial" w:hAnsi="Arial" w:cs="Arial"/>
          <w:b/>
          <w:bCs/>
          <w:sz w:val="18"/>
          <w:szCs w:val="18"/>
        </w:rPr>
        <w:tab/>
      </w:r>
      <w:r w:rsidRPr="00F84FD4">
        <w:rPr>
          <w:rFonts w:ascii="Arial" w:hAnsi="Arial" w:cs="Arial"/>
          <w:bCs/>
          <w:sz w:val="18"/>
          <w:szCs w:val="18"/>
        </w:rPr>
        <w:t>sektor</w:t>
      </w:r>
      <w:r w:rsidR="00172778" w:rsidRPr="00F84FD4">
        <w:rPr>
          <w:rFonts w:ascii="Arial" w:hAnsi="Arial" w:cs="Arial"/>
          <w:bCs/>
          <w:sz w:val="18"/>
          <w:szCs w:val="18"/>
        </w:rPr>
        <w:t>a</w:t>
      </w:r>
      <w:r w:rsidRPr="00F84FD4">
        <w:rPr>
          <w:rFonts w:ascii="Arial" w:hAnsi="Arial" w:cs="Arial"/>
          <w:bCs/>
          <w:sz w:val="18"/>
          <w:szCs w:val="18"/>
        </w:rPr>
        <w:t xml:space="preserve"> publiczn</w:t>
      </w:r>
      <w:r w:rsidR="00172778" w:rsidRPr="00F84FD4">
        <w:rPr>
          <w:rFonts w:ascii="Arial" w:hAnsi="Arial" w:cs="Arial"/>
          <w:bCs/>
          <w:sz w:val="18"/>
          <w:szCs w:val="18"/>
        </w:rPr>
        <w:t>ego</w:t>
      </w:r>
      <w:r w:rsidRPr="00F84FD4">
        <w:rPr>
          <w:rFonts w:ascii="Arial" w:hAnsi="Arial" w:cs="Arial"/>
          <w:sz w:val="18"/>
          <w:szCs w:val="18"/>
        </w:rPr>
        <w:t xml:space="preserve"> – grupując</w:t>
      </w:r>
      <w:r w:rsidR="00172778" w:rsidRPr="00F84FD4">
        <w:rPr>
          <w:rFonts w:ascii="Arial" w:hAnsi="Arial" w:cs="Arial"/>
          <w:sz w:val="18"/>
          <w:szCs w:val="18"/>
        </w:rPr>
        <w:t>ego</w:t>
      </w:r>
      <w:r w:rsidRPr="00F84FD4">
        <w:rPr>
          <w:rFonts w:ascii="Arial" w:hAnsi="Arial" w:cs="Arial"/>
          <w:sz w:val="18"/>
          <w:szCs w:val="18"/>
        </w:rPr>
        <w:t xml:space="preserve"> własność państwową (Skarbu Państwa i państwowych osób prawnych), własność jednostek samorządu terytorialnego oraz „własność mieszaną” z przewagą kapitału (mienia</w:t>
      </w:r>
      <w:r w:rsidR="00D21A4F">
        <w:rPr>
          <w:rFonts w:ascii="Arial" w:hAnsi="Arial" w:cs="Arial"/>
          <w:sz w:val="18"/>
          <w:szCs w:val="18"/>
        </w:rPr>
        <w:t>) podmiotów sektora publicznego;</w:t>
      </w:r>
      <w:bookmarkStart w:id="0" w:name="_GoBack"/>
      <w:bookmarkEnd w:id="0"/>
    </w:p>
    <w:p w14:paraId="260F537F" w14:textId="77777777" w:rsidR="00C70892" w:rsidRPr="00F84FD4" w:rsidRDefault="00C70892" w:rsidP="00D701C7">
      <w:pPr>
        <w:tabs>
          <w:tab w:val="left" w:pos="510"/>
        </w:tabs>
        <w:spacing w:before="20" w:line="256" w:lineRule="exact"/>
        <w:ind w:left="510" w:hanging="255"/>
        <w:jc w:val="both"/>
        <w:rPr>
          <w:rFonts w:ascii="Arial" w:hAnsi="Arial" w:cs="Arial"/>
          <w:sz w:val="18"/>
          <w:szCs w:val="18"/>
        </w:rPr>
      </w:pPr>
      <w:r w:rsidRPr="00F84FD4">
        <w:rPr>
          <w:rFonts w:ascii="Arial" w:hAnsi="Arial" w:cs="Arial"/>
          <w:bCs/>
          <w:sz w:val="18"/>
          <w:szCs w:val="18"/>
        </w:rPr>
        <w:t>b)</w:t>
      </w:r>
      <w:r w:rsidRPr="00F84FD4">
        <w:rPr>
          <w:rFonts w:ascii="Arial" w:hAnsi="Arial" w:cs="Arial"/>
          <w:b/>
          <w:bCs/>
          <w:sz w:val="18"/>
          <w:szCs w:val="18"/>
        </w:rPr>
        <w:tab/>
      </w:r>
      <w:r w:rsidRPr="00F84FD4">
        <w:rPr>
          <w:rFonts w:ascii="Arial" w:hAnsi="Arial" w:cs="Arial"/>
          <w:bCs/>
          <w:sz w:val="18"/>
          <w:szCs w:val="18"/>
        </w:rPr>
        <w:t>sektor</w:t>
      </w:r>
      <w:r w:rsidR="00172778" w:rsidRPr="00F84FD4">
        <w:rPr>
          <w:rFonts w:ascii="Arial" w:hAnsi="Arial" w:cs="Arial"/>
          <w:bCs/>
          <w:sz w:val="18"/>
          <w:szCs w:val="18"/>
        </w:rPr>
        <w:t>a</w:t>
      </w:r>
      <w:r w:rsidRPr="00F84FD4">
        <w:rPr>
          <w:rFonts w:ascii="Arial" w:hAnsi="Arial" w:cs="Arial"/>
          <w:bCs/>
          <w:sz w:val="18"/>
          <w:szCs w:val="18"/>
        </w:rPr>
        <w:t xml:space="preserve"> prywatn</w:t>
      </w:r>
      <w:r w:rsidR="00172778" w:rsidRPr="00F84FD4">
        <w:rPr>
          <w:rFonts w:ascii="Arial" w:hAnsi="Arial" w:cs="Arial"/>
          <w:bCs/>
          <w:sz w:val="18"/>
          <w:szCs w:val="18"/>
        </w:rPr>
        <w:t>ego</w:t>
      </w:r>
      <w:r w:rsidRPr="00F84FD4">
        <w:rPr>
          <w:rFonts w:ascii="Arial" w:hAnsi="Arial" w:cs="Arial"/>
          <w:sz w:val="18"/>
          <w:szCs w:val="18"/>
        </w:rPr>
        <w:t xml:space="preserve"> – grupując</w:t>
      </w:r>
      <w:r w:rsidR="00172778" w:rsidRPr="00F84FD4">
        <w:rPr>
          <w:rFonts w:ascii="Arial" w:hAnsi="Arial" w:cs="Arial"/>
          <w:sz w:val="18"/>
          <w:szCs w:val="18"/>
        </w:rPr>
        <w:t>ego</w:t>
      </w:r>
      <w:r w:rsidRPr="00F84FD4">
        <w:rPr>
          <w:rFonts w:ascii="Arial" w:hAnsi="Arial" w:cs="Arial"/>
          <w:sz w:val="18"/>
          <w:szCs w:val="18"/>
        </w:rPr>
        <w:t xml:space="preserve"> własność prywatną krajową (osób fizycznych i pozostałych jednostek prywatnych), własność zagraniczną (osób zagranicznych) oraz „własność mieszaną” z przewagą kapitału (mienia) podmiotów sektora prywatnego.</w:t>
      </w:r>
    </w:p>
    <w:p w14:paraId="3502FD07" w14:textId="77777777" w:rsidR="00C70892" w:rsidRPr="00F84FD4" w:rsidRDefault="00C70892" w:rsidP="00D701C7">
      <w:pPr>
        <w:spacing w:before="20" w:line="256" w:lineRule="exact"/>
        <w:ind w:left="255"/>
        <w:jc w:val="both"/>
        <w:rPr>
          <w:rFonts w:ascii="Arial" w:hAnsi="Arial" w:cs="Arial"/>
          <w:sz w:val="18"/>
          <w:szCs w:val="18"/>
        </w:rPr>
      </w:pPr>
      <w:r w:rsidRPr="00F84FD4">
        <w:rPr>
          <w:rFonts w:ascii="Arial" w:hAnsi="Arial" w:cs="Arial"/>
          <w:sz w:val="18"/>
          <w:szCs w:val="18"/>
        </w:rPr>
        <w:t>„Własność mieszana” określana jest dla spółek i wyznaczana na podstawie struktury kapitału (mienia) deklarowanego we wniosku rejestracyjnym spółki.</w:t>
      </w:r>
    </w:p>
    <w:p w14:paraId="4EB1B51E" w14:textId="77777777" w:rsidR="00892522" w:rsidRPr="00F84FD4" w:rsidRDefault="00892522" w:rsidP="00D701C7">
      <w:pPr>
        <w:numPr>
          <w:ilvl w:val="0"/>
          <w:numId w:val="2"/>
        </w:numPr>
        <w:spacing w:before="50" w:line="256" w:lineRule="exact"/>
        <w:jc w:val="both"/>
        <w:rPr>
          <w:rFonts w:ascii="Arial" w:hAnsi="Arial"/>
          <w:sz w:val="18"/>
          <w:szCs w:val="18"/>
        </w:rPr>
      </w:pPr>
      <w:r w:rsidRPr="00F84FD4">
        <w:rPr>
          <w:rFonts w:ascii="Arial" w:hAnsi="Arial"/>
          <w:sz w:val="18"/>
          <w:szCs w:val="18"/>
        </w:rPr>
        <w:t xml:space="preserve">według </w:t>
      </w:r>
      <w:r w:rsidR="00C34F71" w:rsidRPr="00F84FD4">
        <w:rPr>
          <w:rFonts w:ascii="Arial" w:hAnsi="Arial" w:cs="Arial"/>
          <w:b/>
          <w:sz w:val="18"/>
          <w:szCs w:val="18"/>
        </w:rPr>
        <w:t>rodzajów działalności</w:t>
      </w:r>
      <w:r w:rsidR="008F1562" w:rsidRPr="00F84FD4">
        <w:t>:</w:t>
      </w:r>
      <w:r w:rsidRPr="00F84FD4">
        <w:rPr>
          <w:rFonts w:ascii="Arial" w:hAnsi="Arial"/>
          <w:sz w:val="18"/>
          <w:szCs w:val="18"/>
        </w:rPr>
        <w:t xml:space="preserve"> </w:t>
      </w:r>
    </w:p>
    <w:p w14:paraId="127E319B" w14:textId="77777777" w:rsidR="00892522" w:rsidRPr="00F84FD4" w:rsidRDefault="00892522" w:rsidP="00D701C7">
      <w:pPr>
        <w:numPr>
          <w:ilvl w:val="0"/>
          <w:numId w:val="1"/>
        </w:numPr>
        <w:spacing w:before="20" w:line="256" w:lineRule="exact"/>
        <w:jc w:val="both"/>
        <w:rPr>
          <w:rFonts w:ascii="Arial" w:hAnsi="Arial"/>
          <w:sz w:val="18"/>
          <w:szCs w:val="18"/>
        </w:rPr>
      </w:pPr>
      <w:r w:rsidRPr="00F84FD4">
        <w:rPr>
          <w:rFonts w:ascii="Arial" w:hAnsi="Arial"/>
          <w:sz w:val="18"/>
          <w:szCs w:val="18"/>
        </w:rPr>
        <w:t xml:space="preserve">„Rolnictwo, leśnictwo, łowiectwo i rybactwo”; </w:t>
      </w:r>
    </w:p>
    <w:p w14:paraId="0E41C01C" w14:textId="77777777" w:rsidR="00892522" w:rsidRPr="00F84FD4" w:rsidRDefault="00892522" w:rsidP="00D701C7">
      <w:pPr>
        <w:numPr>
          <w:ilvl w:val="0"/>
          <w:numId w:val="1"/>
        </w:numPr>
        <w:spacing w:before="20" w:line="256" w:lineRule="exact"/>
        <w:jc w:val="both"/>
        <w:rPr>
          <w:rFonts w:ascii="Arial" w:hAnsi="Arial"/>
          <w:sz w:val="18"/>
          <w:szCs w:val="18"/>
        </w:rPr>
      </w:pPr>
      <w:r w:rsidRPr="00F84FD4">
        <w:rPr>
          <w:rFonts w:ascii="Arial" w:hAnsi="Arial"/>
          <w:sz w:val="18"/>
          <w:szCs w:val="18"/>
        </w:rPr>
        <w:t>„</w:t>
      </w:r>
      <w:r w:rsidRPr="00C27CED">
        <w:rPr>
          <w:rFonts w:ascii="Arial" w:hAnsi="Arial"/>
          <w:sz w:val="18"/>
          <w:szCs w:val="18"/>
        </w:rPr>
        <w:t>Przemysł</w:t>
      </w:r>
      <w:r w:rsidR="002961D6" w:rsidRPr="00C27CED">
        <w:rPr>
          <w:rFonts w:ascii="Arial" w:hAnsi="Arial"/>
          <w:sz w:val="18"/>
          <w:szCs w:val="18"/>
        </w:rPr>
        <w:t>”,</w:t>
      </w:r>
      <w:r w:rsidRPr="00C27CED">
        <w:rPr>
          <w:rFonts w:ascii="Arial" w:hAnsi="Arial"/>
          <w:sz w:val="18"/>
          <w:szCs w:val="18"/>
        </w:rPr>
        <w:t xml:space="preserve"> </w:t>
      </w:r>
      <w:r w:rsidR="002961D6" w:rsidRPr="00C27CED">
        <w:rPr>
          <w:rFonts w:ascii="Arial" w:hAnsi="Arial"/>
          <w:sz w:val="18"/>
          <w:szCs w:val="18"/>
        </w:rPr>
        <w:t>„</w:t>
      </w:r>
      <w:r w:rsidRPr="00C27CED">
        <w:rPr>
          <w:rFonts w:ascii="Arial" w:hAnsi="Arial"/>
          <w:sz w:val="18"/>
          <w:szCs w:val="18"/>
        </w:rPr>
        <w:t>Budownictwo</w:t>
      </w:r>
      <w:r w:rsidRPr="00F84FD4">
        <w:rPr>
          <w:rFonts w:ascii="Arial" w:hAnsi="Arial"/>
          <w:sz w:val="18"/>
          <w:szCs w:val="18"/>
        </w:rPr>
        <w:t>”;</w:t>
      </w:r>
    </w:p>
    <w:p w14:paraId="0B739983" w14:textId="77777777" w:rsidR="00892522" w:rsidRPr="00F84FD4" w:rsidRDefault="00892522" w:rsidP="00D701C7">
      <w:pPr>
        <w:numPr>
          <w:ilvl w:val="0"/>
          <w:numId w:val="1"/>
        </w:numPr>
        <w:spacing w:before="20" w:line="256" w:lineRule="exact"/>
        <w:jc w:val="both"/>
        <w:rPr>
          <w:rFonts w:ascii="Arial" w:hAnsi="Arial"/>
          <w:sz w:val="18"/>
          <w:szCs w:val="18"/>
        </w:rPr>
      </w:pPr>
      <w:r w:rsidRPr="00F84FD4">
        <w:rPr>
          <w:rFonts w:ascii="Arial" w:hAnsi="Arial"/>
          <w:sz w:val="18"/>
          <w:szCs w:val="18"/>
        </w:rPr>
        <w:t>„Handel hurtowy i detaliczny; naprawa pojazdów samochodowych, włączając motocykle”, „Transport i gospodarka magazynowa”, „Działalność związana z zakwaterowaniem i usługami gastronomiczny</w:t>
      </w:r>
      <w:r w:rsidR="00766A25">
        <w:rPr>
          <w:rFonts w:ascii="Arial" w:hAnsi="Arial"/>
          <w:sz w:val="18"/>
          <w:szCs w:val="18"/>
        </w:rPr>
        <w:t>mi”, „Informacja i komunikacja”;</w:t>
      </w:r>
      <w:r w:rsidRPr="00F84FD4">
        <w:rPr>
          <w:rFonts w:ascii="Arial" w:hAnsi="Arial"/>
          <w:sz w:val="18"/>
          <w:szCs w:val="18"/>
        </w:rPr>
        <w:t xml:space="preserve"> </w:t>
      </w:r>
    </w:p>
    <w:p w14:paraId="6CD4F7ED" w14:textId="77777777" w:rsidR="00892522" w:rsidRPr="00F84FD4" w:rsidRDefault="00892522" w:rsidP="00D701C7">
      <w:pPr>
        <w:numPr>
          <w:ilvl w:val="0"/>
          <w:numId w:val="1"/>
        </w:numPr>
        <w:spacing w:before="20" w:line="256" w:lineRule="exact"/>
        <w:jc w:val="both"/>
        <w:rPr>
          <w:rFonts w:ascii="Arial" w:hAnsi="Arial"/>
          <w:sz w:val="18"/>
          <w:szCs w:val="18"/>
        </w:rPr>
      </w:pPr>
      <w:r w:rsidRPr="00F84FD4">
        <w:rPr>
          <w:rFonts w:ascii="Arial" w:hAnsi="Arial"/>
          <w:sz w:val="18"/>
          <w:szCs w:val="18"/>
        </w:rPr>
        <w:t>„Działalność finansowa i ubezpieczeniowa”, „Działalność związana z obsługą rynku nie</w:t>
      </w:r>
      <w:r w:rsidR="00766A25">
        <w:rPr>
          <w:rFonts w:ascii="Arial" w:hAnsi="Arial"/>
          <w:sz w:val="18"/>
          <w:szCs w:val="18"/>
        </w:rPr>
        <w:t>ruchomości”;</w:t>
      </w:r>
    </w:p>
    <w:p w14:paraId="413827EC" w14:textId="0FC28A69" w:rsidR="00892522" w:rsidRPr="00F84FD4" w:rsidRDefault="00892522" w:rsidP="00D701C7">
      <w:pPr>
        <w:numPr>
          <w:ilvl w:val="0"/>
          <w:numId w:val="1"/>
        </w:numPr>
        <w:spacing w:before="20" w:line="256" w:lineRule="exact"/>
        <w:jc w:val="both"/>
        <w:rPr>
          <w:rFonts w:ascii="Arial" w:hAnsi="Arial"/>
          <w:sz w:val="18"/>
          <w:szCs w:val="18"/>
        </w:rPr>
      </w:pPr>
      <w:r w:rsidRPr="00F84FD4">
        <w:rPr>
          <w:rFonts w:ascii="Arial" w:hAnsi="Arial"/>
          <w:sz w:val="18"/>
          <w:szCs w:val="18"/>
        </w:rPr>
        <w:t>Pozostałe usługi</w:t>
      </w:r>
      <w:r w:rsidR="00114D98" w:rsidRPr="00F84FD4">
        <w:rPr>
          <w:rFonts w:ascii="Arial" w:hAnsi="Arial"/>
          <w:sz w:val="18"/>
          <w:szCs w:val="18"/>
        </w:rPr>
        <w:t xml:space="preserve"> obejmują</w:t>
      </w:r>
      <w:r w:rsidRPr="00F84FD4">
        <w:rPr>
          <w:rFonts w:ascii="Arial" w:hAnsi="Arial"/>
          <w:sz w:val="18"/>
          <w:szCs w:val="18"/>
        </w:rPr>
        <w:t xml:space="preserve">: </w:t>
      </w:r>
      <w:r w:rsidR="002961D6">
        <w:rPr>
          <w:rFonts w:ascii="Arial" w:hAnsi="Arial"/>
          <w:sz w:val="18"/>
          <w:szCs w:val="18"/>
        </w:rPr>
        <w:t>„</w:t>
      </w:r>
      <w:r w:rsidRPr="00F84FD4">
        <w:rPr>
          <w:rFonts w:ascii="Arial" w:hAnsi="Arial"/>
          <w:sz w:val="18"/>
          <w:szCs w:val="18"/>
        </w:rPr>
        <w:t>Działalność profesjonaln</w:t>
      </w:r>
      <w:r w:rsidR="00D52DD7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>, naukow</w:t>
      </w:r>
      <w:r w:rsidR="00D52DD7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 xml:space="preserve"> i techniczn</w:t>
      </w:r>
      <w:r w:rsidR="00D52DD7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>”, „Działalność w zakresie usług administrowania i działalność wspierając</w:t>
      </w:r>
      <w:r w:rsidR="00D52DD7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>”, „Administracj</w:t>
      </w:r>
      <w:r w:rsidR="00D52DD7" w:rsidRPr="00F84FD4">
        <w:rPr>
          <w:rFonts w:ascii="Arial" w:hAnsi="Arial"/>
          <w:sz w:val="18"/>
          <w:szCs w:val="18"/>
        </w:rPr>
        <w:t>ę</w:t>
      </w:r>
      <w:r w:rsidRPr="00F84FD4">
        <w:rPr>
          <w:rFonts w:ascii="Arial" w:hAnsi="Arial"/>
          <w:sz w:val="18"/>
          <w:szCs w:val="18"/>
        </w:rPr>
        <w:t xml:space="preserve"> publiczn</w:t>
      </w:r>
      <w:r w:rsidR="00D52DD7" w:rsidRPr="00F84FD4">
        <w:rPr>
          <w:rFonts w:ascii="Arial" w:hAnsi="Arial"/>
          <w:sz w:val="18"/>
          <w:szCs w:val="18"/>
        </w:rPr>
        <w:t>ą</w:t>
      </w:r>
      <w:r w:rsidR="00F90755" w:rsidRPr="00F84FD4">
        <w:rPr>
          <w:rFonts w:ascii="Arial" w:hAnsi="Arial"/>
          <w:sz w:val="18"/>
          <w:szCs w:val="18"/>
        </w:rPr>
        <w:t xml:space="preserve"> </w:t>
      </w:r>
      <w:r w:rsidRPr="00F84FD4">
        <w:rPr>
          <w:rFonts w:ascii="Arial" w:hAnsi="Arial"/>
          <w:sz w:val="18"/>
          <w:szCs w:val="18"/>
        </w:rPr>
        <w:t>i obron</w:t>
      </w:r>
      <w:r w:rsidR="00D52DD7" w:rsidRPr="00F84FD4">
        <w:rPr>
          <w:rFonts w:ascii="Arial" w:hAnsi="Arial"/>
          <w:sz w:val="18"/>
          <w:szCs w:val="18"/>
        </w:rPr>
        <w:t>ę</w:t>
      </w:r>
      <w:r w:rsidRPr="00F84FD4">
        <w:rPr>
          <w:rFonts w:ascii="Arial" w:hAnsi="Arial"/>
          <w:sz w:val="18"/>
          <w:szCs w:val="18"/>
        </w:rPr>
        <w:t xml:space="preserve"> narodow</w:t>
      </w:r>
      <w:r w:rsidR="00D52DD7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>; obowiązkowe zabezpieczenia społeczne”, „Edukacj</w:t>
      </w:r>
      <w:r w:rsidR="004C4EC6" w:rsidRPr="00F84FD4">
        <w:rPr>
          <w:rFonts w:ascii="Arial" w:hAnsi="Arial"/>
          <w:sz w:val="18"/>
          <w:szCs w:val="18"/>
        </w:rPr>
        <w:t>ę</w:t>
      </w:r>
      <w:r w:rsidRPr="00F84FD4">
        <w:rPr>
          <w:rFonts w:ascii="Arial" w:hAnsi="Arial"/>
          <w:sz w:val="18"/>
          <w:szCs w:val="18"/>
        </w:rPr>
        <w:t>”, „Opiek</w:t>
      </w:r>
      <w:r w:rsidR="004C4EC6" w:rsidRPr="00F84FD4">
        <w:rPr>
          <w:rFonts w:ascii="Arial" w:hAnsi="Arial"/>
          <w:sz w:val="18"/>
          <w:szCs w:val="18"/>
        </w:rPr>
        <w:t>ę</w:t>
      </w:r>
      <w:r w:rsidRPr="00F84FD4">
        <w:rPr>
          <w:rFonts w:ascii="Arial" w:hAnsi="Arial"/>
          <w:sz w:val="18"/>
          <w:szCs w:val="18"/>
        </w:rPr>
        <w:t xml:space="preserve"> zdrowotn</w:t>
      </w:r>
      <w:r w:rsidR="004C4EC6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 xml:space="preserve"> i pomoc społeczn</w:t>
      </w:r>
      <w:r w:rsidR="004C4EC6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>”, „Działalność związan</w:t>
      </w:r>
      <w:r w:rsidR="004C4EC6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 xml:space="preserve"> z kulturą, rozrywką </w:t>
      </w:r>
      <w:r w:rsidR="00D1425A">
        <w:rPr>
          <w:rFonts w:ascii="Arial" w:hAnsi="Arial"/>
          <w:sz w:val="18"/>
          <w:szCs w:val="18"/>
        </w:rPr>
        <w:br/>
      </w:r>
      <w:r w:rsidRPr="00F84FD4">
        <w:rPr>
          <w:rFonts w:ascii="Arial" w:hAnsi="Arial"/>
          <w:sz w:val="18"/>
          <w:szCs w:val="18"/>
        </w:rPr>
        <w:lastRenderedPageBreak/>
        <w:t>i rekreacją”, „Pozostał</w:t>
      </w:r>
      <w:r w:rsidR="004C4EC6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 xml:space="preserve"> działalność usługow</w:t>
      </w:r>
      <w:r w:rsidR="004C4EC6" w:rsidRPr="00F84FD4">
        <w:rPr>
          <w:rFonts w:ascii="Arial" w:hAnsi="Arial"/>
          <w:sz w:val="18"/>
          <w:szCs w:val="18"/>
        </w:rPr>
        <w:t>ą</w:t>
      </w:r>
      <w:r w:rsidRPr="00F84FD4">
        <w:rPr>
          <w:rFonts w:ascii="Arial" w:hAnsi="Arial"/>
          <w:sz w:val="18"/>
          <w:szCs w:val="18"/>
        </w:rPr>
        <w:t>”</w:t>
      </w:r>
      <w:r w:rsidR="004756CE">
        <w:rPr>
          <w:rFonts w:ascii="Arial" w:hAnsi="Arial"/>
          <w:sz w:val="18"/>
          <w:szCs w:val="18"/>
        </w:rPr>
        <w:t xml:space="preserve">, </w:t>
      </w:r>
      <w:r w:rsidR="00C27CED">
        <w:rPr>
          <w:rFonts w:ascii="Arial" w:hAnsi="Arial"/>
          <w:sz w:val="18"/>
          <w:szCs w:val="18"/>
        </w:rPr>
        <w:t xml:space="preserve">„Gospodarstwa domowe zatrudniające pracowników, gospodarstwa domowe produkujące wyroby i świadczące usługi na własne potrzeby”, </w:t>
      </w:r>
      <w:r w:rsidR="004756CE">
        <w:rPr>
          <w:rFonts w:ascii="Arial" w:hAnsi="Arial"/>
          <w:sz w:val="18"/>
          <w:szCs w:val="18"/>
        </w:rPr>
        <w:t>„Organizacje i zespoły eksterytorialne”.</w:t>
      </w:r>
      <w:r w:rsidR="00C842EF">
        <w:rPr>
          <w:rFonts w:ascii="Arial" w:hAnsi="Arial"/>
          <w:sz w:val="18"/>
          <w:szCs w:val="18"/>
        </w:rPr>
        <w:t xml:space="preserve"> </w:t>
      </w:r>
    </w:p>
    <w:p w14:paraId="22606712" w14:textId="77777777" w:rsidR="00892522" w:rsidRPr="00F84FD4" w:rsidRDefault="00892522" w:rsidP="00D701C7">
      <w:pPr>
        <w:spacing w:line="260" w:lineRule="exact"/>
        <w:ind w:left="255"/>
        <w:jc w:val="both"/>
        <w:rPr>
          <w:rFonts w:ascii="Arial" w:hAnsi="Arial"/>
          <w:sz w:val="18"/>
          <w:szCs w:val="18"/>
        </w:rPr>
      </w:pPr>
      <w:r w:rsidRPr="00F84FD4">
        <w:rPr>
          <w:rFonts w:ascii="Arial" w:hAnsi="Arial"/>
          <w:sz w:val="18"/>
          <w:szCs w:val="18"/>
        </w:rPr>
        <w:t xml:space="preserve">Pod pojęciem </w:t>
      </w:r>
      <w:r w:rsidRPr="00F84FD4">
        <w:rPr>
          <w:rFonts w:ascii="Arial" w:hAnsi="Arial"/>
          <w:b/>
          <w:sz w:val="18"/>
          <w:szCs w:val="18"/>
        </w:rPr>
        <w:t>„Przemysł”</w:t>
      </w:r>
      <w:r w:rsidRPr="00F84FD4">
        <w:rPr>
          <w:rFonts w:ascii="Arial" w:hAnsi="Arial"/>
          <w:sz w:val="18"/>
          <w:szCs w:val="18"/>
        </w:rPr>
        <w:t xml:space="preserve"> należy rozumieć sekcje: „Górnictwo i wydobywanie”, „Przetwórstwo przemysłowe”, „Wytwarzanie i zaopatrywanie w energię elektryczną, gaz, parę wodną, gorącą wodę i powietrze do układów klimatyzacyjnych” oraz „Dostawa wody; gospodarowanie ściekami i odpadami oraz działalność związana z rekultywacją”. </w:t>
      </w:r>
    </w:p>
    <w:p w14:paraId="675EEB50" w14:textId="77777777" w:rsidR="006F5B88" w:rsidRPr="00F84FD4" w:rsidRDefault="00C70892" w:rsidP="00D701C7">
      <w:pPr>
        <w:autoSpaceDE w:val="0"/>
        <w:autoSpaceDN w:val="0"/>
        <w:adjustRightInd w:val="0"/>
        <w:spacing w:before="120" w:line="260" w:lineRule="exact"/>
        <w:ind w:firstLine="357"/>
        <w:jc w:val="both"/>
        <w:rPr>
          <w:rFonts w:ascii="Arial" w:hAnsi="Arial" w:cs="Arial"/>
          <w:sz w:val="18"/>
          <w:szCs w:val="18"/>
        </w:rPr>
      </w:pPr>
      <w:r w:rsidRPr="00F84FD4">
        <w:rPr>
          <w:rFonts w:ascii="Arial" w:hAnsi="Arial" w:cs="Arial"/>
          <w:b/>
          <w:bCs/>
          <w:sz w:val="18"/>
          <w:szCs w:val="18"/>
        </w:rPr>
        <w:t>2.</w:t>
      </w:r>
      <w:r w:rsidRPr="00F84FD4">
        <w:rPr>
          <w:rFonts w:ascii="Arial" w:hAnsi="Arial" w:cs="Arial"/>
          <w:b/>
          <w:bCs/>
          <w:sz w:val="18"/>
          <w:szCs w:val="18"/>
        </w:rPr>
        <w:tab/>
      </w:r>
      <w:r w:rsidR="006F5B88" w:rsidRPr="00F84FD4">
        <w:rPr>
          <w:rFonts w:ascii="Arial" w:hAnsi="Arial" w:cs="Arial"/>
          <w:sz w:val="18"/>
          <w:szCs w:val="18"/>
        </w:rPr>
        <w:t xml:space="preserve">Dane prezentowane dla regionów i województw odpowiadają poziomowi 1 i 2 </w:t>
      </w:r>
      <w:r w:rsidR="006F5B88" w:rsidRPr="00F84FD4">
        <w:rPr>
          <w:rFonts w:ascii="Arial" w:hAnsi="Arial" w:cs="Arial"/>
          <w:b/>
          <w:sz w:val="18"/>
          <w:szCs w:val="18"/>
        </w:rPr>
        <w:t>Nomenklatury Jednostek Terytorialnych do Celów Statystycznych (NTS)</w:t>
      </w:r>
      <w:r w:rsidR="006F5B88" w:rsidRPr="00F84FD4">
        <w:rPr>
          <w:rFonts w:ascii="Arial" w:hAnsi="Arial" w:cs="Arial"/>
          <w:sz w:val="18"/>
          <w:szCs w:val="18"/>
        </w:rPr>
        <w:t xml:space="preserve">, opracowanej na podstawie </w:t>
      </w:r>
      <w:proofErr w:type="spellStart"/>
      <w:r w:rsidR="006F5B88" w:rsidRPr="00F84FD4">
        <w:rPr>
          <w:rFonts w:ascii="Arial" w:hAnsi="Arial" w:cs="Arial"/>
          <w:i/>
          <w:sz w:val="18"/>
          <w:szCs w:val="18"/>
        </w:rPr>
        <w:t>Nomenclature</w:t>
      </w:r>
      <w:proofErr w:type="spellEnd"/>
      <w:r w:rsidR="006F5B88" w:rsidRPr="00F84FD4">
        <w:rPr>
          <w:rFonts w:ascii="Arial" w:hAnsi="Arial" w:cs="Arial"/>
          <w:i/>
          <w:sz w:val="18"/>
          <w:szCs w:val="18"/>
        </w:rPr>
        <w:t xml:space="preserve"> of </w:t>
      </w:r>
      <w:proofErr w:type="spellStart"/>
      <w:r w:rsidR="006F5B88" w:rsidRPr="00F84FD4">
        <w:rPr>
          <w:rFonts w:ascii="Arial" w:hAnsi="Arial" w:cs="Arial"/>
          <w:i/>
          <w:sz w:val="18"/>
          <w:szCs w:val="18"/>
        </w:rPr>
        <w:t>Territorial</w:t>
      </w:r>
      <w:proofErr w:type="spellEnd"/>
      <w:r w:rsidR="006F5B88" w:rsidRPr="00F84FD4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6F5B88" w:rsidRPr="00F84FD4">
        <w:rPr>
          <w:rFonts w:ascii="Arial" w:hAnsi="Arial" w:cs="Arial"/>
          <w:i/>
          <w:sz w:val="18"/>
          <w:szCs w:val="18"/>
        </w:rPr>
        <w:t>Units</w:t>
      </w:r>
      <w:proofErr w:type="spellEnd"/>
      <w:r w:rsidR="006F5B88" w:rsidRPr="00F84FD4">
        <w:rPr>
          <w:rFonts w:ascii="Arial" w:hAnsi="Arial" w:cs="Arial"/>
          <w:i/>
          <w:sz w:val="18"/>
          <w:szCs w:val="18"/>
        </w:rPr>
        <w:t xml:space="preserve"> for </w:t>
      </w:r>
      <w:proofErr w:type="spellStart"/>
      <w:r w:rsidR="006F5B88" w:rsidRPr="00F84FD4">
        <w:rPr>
          <w:rFonts w:ascii="Arial" w:hAnsi="Arial" w:cs="Arial"/>
          <w:i/>
          <w:sz w:val="18"/>
          <w:szCs w:val="18"/>
        </w:rPr>
        <w:t>Statistics</w:t>
      </w:r>
      <w:proofErr w:type="spellEnd"/>
      <w:r w:rsidR="006F5B88" w:rsidRPr="00F84FD4">
        <w:rPr>
          <w:rFonts w:ascii="Arial" w:hAnsi="Arial" w:cs="Arial"/>
          <w:i/>
          <w:sz w:val="18"/>
          <w:szCs w:val="18"/>
        </w:rPr>
        <w:t xml:space="preserve"> (NUTS)</w:t>
      </w:r>
      <w:r w:rsidR="006F5B88" w:rsidRPr="00F84FD4">
        <w:rPr>
          <w:rFonts w:ascii="Arial" w:hAnsi="Arial" w:cs="Arial"/>
          <w:sz w:val="18"/>
          <w:szCs w:val="18"/>
        </w:rPr>
        <w:t xml:space="preserve"> obowiązującej w krajach Unii Europejskiej. NTS obowiązująca od 1 I </w:t>
      </w:r>
      <w:r w:rsidR="004756CE">
        <w:rPr>
          <w:rFonts w:ascii="Arial" w:hAnsi="Arial" w:cs="Arial"/>
          <w:sz w:val="18"/>
          <w:szCs w:val="18"/>
        </w:rPr>
        <w:t>2015 r.</w:t>
      </w:r>
      <w:r w:rsidR="006F5B88" w:rsidRPr="00F84FD4">
        <w:rPr>
          <w:rFonts w:ascii="Arial" w:hAnsi="Arial" w:cs="Arial"/>
          <w:sz w:val="18"/>
          <w:szCs w:val="18"/>
        </w:rPr>
        <w:t xml:space="preserve"> wprowadzona została rozporządzeniem Rady Ministrów z dnia </w:t>
      </w:r>
      <w:r w:rsidR="004756CE">
        <w:rPr>
          <w:rFonts w:ascii="Arial" w:hAnsi="Arial" w:cs="Arial"/>
          <w:sz w:val="18"/>
          <w:szCs w:val="18"/>
        </w:rPr>
        <w:t xml:space="preserve">3 XII 2014 r. (Dz. U.2014, poz. 1922) </w:t>
      </w:r>
      <w:r w:rsidR="006F5B88" w:rsidRPr="00F84FD4">
        <w:rPr>
          <w:rFonts w:ascii="Arial" w:hAnsi="Arial" w:cs="Arial"/>
          <w:sz w:val="18"/>
          <w:szCs w:val="18"/>
        </w:rPr>
        <w:t xml:space="preserve"> w </w:t>
      </w:r>
      <w:r w:rsidR="006F5B88" w:rsidRPr="00482A8B">
        <w:rPr>
          <w:rFonts w:ascii="Arial" w:hAnsi="Arial" w:cs="Arial"/>
          <w:sz w:val="18"/>
          <w:szCs w:val="18"/>
        </w:rPr>
        <w:t xml:space="preserve">miejsce obowiązującej do </w:t>
      </w:r>
      <w:r w:rsidR="00F9142E">
        <w:rPr>
          <w:rFonts w:ascii="Arial" w:hAnsi="Arial" w:cs="Arial"/>
          <w:sz w:val="18"/>
          <w:szCs w:val="18"/>
        </w:rPr>
        <w:t xml:space="preserve">31 XII 2014 r. na podstawie rozporządzenia Rady Ministrów z dnia 13 VII 2000 r. (Dz. U. Nr 58, poz. 685) </w:t>
      </w:r>
      <w:r w:rsidR="002961D6">
        <w:rPr>
          <w:rFonts w:ascii="Arial" w:hAnsi="Arial" w:cs="Arial"/>
          <w:sz w:val="18"/>
          <w:szCs w:val="18"/>
        </w:rPr>
        <w:br/>
      </w:r>
      <w:r w:rsidR="00F9142E">
        <w:rPr>
          <w:rFonts w:ascii="Arial" w:hAnsi="Arial" w:cs="Arial"/>
          <w:sz w:val="18"/>
          <w:szCs w:val="18"/>
        </w:rPr>
        <w:t xml:space="preserve">z późniejszymi zmianami. </w:t>
      </w:r>
      <w:r w:rsidR="00F9142E">
        <w:rPr>
          <w:rFonts w:ascii="Arial" w:hAnsi="Arial" w:cs="Arial"/>
          <w:b/>
          <w:sz w:val="18"/>
          <w:szCs w:val="18"/>
        </w:rPr>
        <w:t>Regiony</w:t>
      </w:r>
      <w:r w:rsidR="00F9142E">
        <w:rPr>
          <w:rFonts w:ascii="Arial" w:hAnsi="Arial" w:cs="Arial"/>
          <w:sz w:val="18"/>
          <w:szCs w:val="18"/>
        </w:rPr>
        <w:t xml:space="preserve"> (poziom 1) grupują jednostki szczebla wojewódzkiego, </w:t>
      </w:r>
      <w:r w:rsidR="002961D6">
        <w:rPr>
          <w:rFonts w:ascii="Arial" w:hAnsi="Arial" w:cs="Arial"/>
          <w:sz w:val="18"/>
          <w:szCs w:val="18"/>
        </w:rPr>
        <w:br/>
      </w:r>
      <w:r w:rsidR="00F9142E">
        <w:rPr>
          <w:rFonts w:ascii="Arial" w:hAnsi="Arial" w:cs="Arial"/>
          <w:sz w:val="18"/>
          <w:szCs w:val="18"/>
        </w:rPr>
        <w:t>tj. centralny (łódzkie, mazowieckie), południowy (małopolskie, śląskie), wschodni (lubelskie, podkarpackie, podlaskie, świętokrzyskie), północ</w:t>
      </w:r>
      <w:r w:rsidR="000E66D6" w:rsidRPr="00482A8B">
        <w:rPr>
          <w:rFonts w:ascii="Arial" w:hAnsi="Arial" w:cs="Arial"/>
          <w:sz w:val="18"/>
          <w:szCs w:val="18"/>
        </w:rPr>
        <w:t>no-zachodni (lubuskie, wielkopolskie, zachodniopomorskie), południowo-za</w:t>
      </w:r>
      <w:r w:rsidR="00F9142E">
        <w:rPr>
          <w:rFonts w:ascii="Arial" w:hAnsi="Arial" w:cs="Arial"/>
          <w:sz w:val="18"/>
          <w:szCs w:val="18"/>
        </w:rPr>
        <w:t>chodni (dolnoślą</w:t>
      </w:r>
      <w:r w:rsidR="000E66D6" w:rsidRPr="00482A8B">
        <w:rPr>
          <w:rFonts w:ascii="Arial" w:hAnsi="Arial" w:cs="Arial"/>
          <w:sz w:val="18"/>
          <w:szCs w:val="18"/>
        </w:rPr>
        <w:t>skie, opolskie), północny (kujawsko-pomorskie, pomorskie, warmińsko-mazurskie).</w:t>
      </w:r>
    </w:p>
    <w:p w14:paraId="3F764ABB" w14:textId="77777777" w:rsidR="00A77E4E" w:rsidRPr="00F84FD4" w:rsidRDefault="00C70892" w:rsidP="00D701C7">
      <w:pPr>
        <w:tabs>
          <w:tab w:val="left" w:pos="641"/>
        </w:tabs>
        <w:autoSpaceDE w:val="0"/>
        <w:autoSpaceDN w:val="0"/>
        <w:adjustRightInd w:val="0"/>
        <w:spacing w:before="120" w:line="260" w:lineRule="exact"/>
        <w:ind w:firstLine="357"/>
        <w:jc w:val="both"/>
        <w:rPr>
          <w:rFonts w:ascii="Arial" w:hAnsi="Arial" w:cs="Arial"/>
          <w:spacing w:val="-3"/>
          <w:sz w:val="18"/>
          <w:szCs w:val="18"/>
        </w:rPr>
      </w:pPr>
      <w:r w:rsidRPr="00F84FD4">
        <w:rPr>
          <w:rFonts w:ascii="Arial" w:hAnsi="Arial" w:cs="Arial"/>
          <w:b/>
          <w:bCs/>
          <w:spacing w:val="-3"/>
          <w:sz w:val="18"/>
          <w:szCs w:val="18"/>
        </w:rPr>
        <w:t>3</w:t>
      </w:r>
      <w:r w:rsidRPr="00F84FD4">
        <w:rPr>
          <w:rFonts w:ascii="Arial" w:hAnsi="Arial" w:cs="Arial"/>
          <w:b/>
          <w:bCs/>
          <w:spacing w:val="-3"/>
          <w:sz w:val="16"/>
          <w:szCs w:val="16"/>
        </w:rPr>
        <w:t>.</w:t>
      </w:r>
      <w:r w:rsidRPr="00F84FD4">
        <w:rPr>
          <w:rFonts w:ascii="Arial" w:hAnsi="Arial" w:cs="Arial"/>
          <w:b/>
          <w:bCs/>
          <w:spacing w:val="-3"/>
          <w:sz w:val="16"/>
          <w:szCs w:val="16"/>
        </w:rPr>
        <w:tab/>
      </w:r>
      <w:r w:rsidR="004C0743">
        <w:rPr>
          <w:rFonts w:ascii="Arial" w:hAnsi="Arial" w:cs="Arial"/>
          <w:spacing w:val="-3"/>
          <w:sz w:val="18"/>
          <w:szCs w:val="18"/>
        </w:rPr>
        <w:t>Dane</w:t>
      </w:r>
      <w:r w:rsidR="00F90755" w:rsidRPr="00F84FD4">
        <w:rPr>
          <w:rFonts w:ascii="Arial" w:hAnsi="Arial" w:cs="Arial"/>
          <w:spacing w:val="-3"/>
          <w:sz w:val="18"/>
          <w:szCs w:val="18"/>
        </w:rPr>
        <w:t xml:space="preserve"> </w:t>
      </w:r>
      <w:r w:rsidRPr="00F84FD4">
        <w:rPr>
          <w:rFonts w:ascii="Arial" w:hAnsi="Arial" w:cs="Arial"/>
          <w:spacing w:val="-3"/>
          <w:sz w:val="18"/>
          <w:szCs w:val="18"/>
        </w:rPr>
        <w:t xml:space="preserve">dotyczące </w:t>
      </w:r>
      <w:r w:rsidRPr="00F84FD4">
        <w:rPr>
          <w:rFonts w:ascii="Arial" w:hAnsi="Arial" w:cs="Arial"/>
          <w:b/>
          <w:bCs/>
          <w:spacing w:val="-3"/>
          <w:sz w:val="18"/>
          <w:szCs w:val="18"/>
        </w:rPr>
        <w:t>aktywności ekonomicznej ludności</w:t>
      </w:r>
      <w:r w:rsidRPr="00F84FD4">
        <w:rPr>
          <w:rFonts w:ascii="Arial" w:hAnsi="Arial" w:cs="Arial"/>
          <w:spacing w:val="-3"/>
          <w:sz w:val="18"/>
          <w:szCs w:val="18"/>
        </w:rPr>
        <w:t xml:space="preserve"> opracowano na podstawie reprezentacyjnego Badania </w:t>
      </w:r>
      <w:r w:rsidR="00B82188" w:rsidRPr="00F84FD4">
        <w:rPr>
          <w:rFonts w:ascii="Arial" w:hAnsi="Arial" w:cs="Arial"/>
          <w:spacing w:val="-3"/>
          <w:sz w:val="18"/>
          <w:szCs w:val="18"/>
        </w:rPr>
        <w:t>A</w:t>
      </w:r>
      <w:r w:rsidRPr="00F84FD4">
        <w:rPr>
          <w:rFonts w:ascii="Arial" w:hAnsi="Arial" w:cs="Arial"/>
          <w:spacing w:val="-3"/>
          <w:sz w:val="18"/>
          <w:szCs w:val="18"/>
        </w:rPr>
        <w:t xml:space="preserve">ktywności </w:t>
      </w:r>
      <w:r w:rsidR="00B82188" w:rsidRPr="00F84FD4">
        <w:rPr>
          <w:rFonts w:ascii="Arial" w:hAnsi="Arial" w:cs="Arial"/>
          <w:spacing w:val="-3"/>
          <w:sz w:val="18"/>
          <w:szCs w:val="18"/>
        </w:rPr>
        <w:t>E</w:t>
      </w:r>
      <w:r w:rsidRPr="00F84FD4">
        <w:rPr>
          <w:rFonts w:ascii="Arial" w:hAnsi="Arial" w:cs="Arial"/>
          <w:spacing w:val="-3"/>
          <w:sz w:val="18"/>
          <w:szCs w:val="18"/>
        </w:rPr>
        <w:t xml:space="preserve">konomicznej </w:t>
      </w:r>
      <w:r w:rsidR="00B82188" w:rsidRPr="00F84FD4">
        <w:rPr>
          <w:rFonts w:ascii="Arial" w:hAnsi="Arial" w:cs="Arial"/>
          <w:spacing w:val="-3"/>
          <w:sz w:val="18"/>
          <w:szCs w:val="18"/>
        </w:rPr>
        <w:t>L</w:t>
      </w:r>
      <w:r w:rsidRPr="00F84FD4">
        <w:rPr>
          <w:rFonts w:ascii="Arial" w:hAnsi="Arial" w:cs="Arial"/>
          <w:spacing w:val="-3"/>
          <w:sz w:val="18"/>
          <w:szCs w:val="18"/>
        </w:rPr>
        <w:t>u</w:t>
      </w:r>
      <w:r w:rsidR="00C46B76" w:rsidRPr="00F84FD4">
        <w:rPr>
          <w:rFonts w:ascii="Arial" w:hAnsi="Arial" w:cs="Arial"/>
          <w:spacing w:val="-3"/>
          <w:sz w:val="18"/>
          <w:szCs w:val="18"/>
        </w:rPr>
        <w:t>dności (BAEL)</w:t>
      </w:r>
      <w:r w:rsidR="00E45E2C">
        <w:rPr>
          <w:rFonts w:ascii="Arial" w:hAnsi="Arial" w:cs="Arial"/>
          <w:spacing w:val="-3"/>
          <w:sz w:val="18"/>
          <w:szCs w:val="18"/>
        </w:rPr>
        <w:t>.</w:t>
      </w:r>
      <w:r w:rsidR="00C46B76" w:rsidRPr="00F84FD4">
        <w:rPr>
          <w:rFonts w:ascii="Arial" w:hAnsi="Arial" w:cs="Arial"/>
          <w:spacing w:val="-3"/>
          <w:sz w:val="18"/>
          <w:szCs w:val="18"/>
        </w:rPr>
        <w:t xml:space="preserve"> </w:t>
      </w:r>
      <w:r w:rsidRPr="00F84FD4">
        <w:rPr>
          <w:rFonts w:ascii="Arial" w:hAnsi="Arial" w:cs="Arial"/>
          <w:spacing w:val="-3"/>
          <w:sz w:val="18"/>
          <w:szCs w:val="18"/>
        </w:rPr>
        <w:t xml:space="preserve">Przeprowadzane jest ono </w:t>
      </w:r>
      <w:r w:rsidR="00F8132C">
        <w:rPr>
          <w:rFonts w:ascii="Arial" w:hAnsi="Arial" w:cs="Arial"/>
          <w:spacing w:val="-3"/>
          <w:sz w:val="18"/>
          <w:szCs w:val="18"/>
        </w:rPr>
        <w:br/>
      </w:r>
      <w:r w:rsidRPr="00F84FD4">
        <w:rPr>
          <w:rFonts w:ascii="Arial" w:hAnsi="Arial" w:cs="Arial"/>
          <w:spacing w:val="-3"/>
          <w:sz w:val="18"/>
          <w:szCs w:val="18"/>
        </w:rPr>
        <w:t xml:space="preserve">w cyklu kwartalnym metodą obserwacji ciągłej, tj. aktywność ekonomiczną </w:t>
      </w:r>
      <w:r w:rsidR="000A4164" w:rsidRPr="00F84FD4">
        <w:rPr>
          <w:rFonts w:ascii="Arial" w:hAnsi="Arial" w:cs="Arial"/>
          <w:spacing w:val="-3"/>
          <w:sz w:val="18"/>
          <w:szCs w:val="18"/>
        </w:rPr>
        <w:t xml:space="preserve">osób w wieku 15 lat </w:t>
      </w:r>
      <w:r w:rsidR="00F8132C">
        <w:rPr>
          <w:rFonts w:ascii="Arial" w:hAnsi="Arial" w:cs="Arial"/>
          <w:spacing w:val="-3"/>
          <w:sz w:val="18"/>
          <w:szCs w:val="18"/>
        </w:rPr>
        <w:br/>
      </w:r>
      <w:r w:rsidR="000A4164" w:rsidRPr="00F84FD4">
        <w:rPr>
          <w:rFonts w:ascii="Arial" w:hAnsi="Arial" w:cs="Arial"/>
          <w:spacing w:val="-3"/>
          <w:sz w:val="18"/>
          <w:szCs w:val="18"/>
        </w:rPr>
        <w:t xml:space="preserve">i więcej </w:t>
      </w:r>
      <w:r w:rsidRPr="00F84FD4">
        <w:rPr>
          <w:rFonts w:ascii="Arial" w:hAnsi="Arial" w:cs="Arial"/>
          <w:spacing w:val="-3"/>
          <w:sz w:val="18"/>
          <w:szCs w:val="18"/>
        </w:rPr>
        <w:t xml:space="preserve">bada się w każdym tygodniu w ciągu całego kwartału, a jego wyniki uogólniane są </w:t>
      </w:r>
      <w:r w:rsidR="00F8132C">
        <w:rPr>
          <w:rFonts w:ascii="Arial" w:hAnsi="Arial" w:cs="Arial"/>
          <w:spacing w:val="-3"/>
          <w:sz w:val="18"/>
          <w:szCs w:val="18"/>
        </w:rPr>
        <w:br/>
      </w:r>
      <w:r w:rsidRPr="00F84FD4">
        <w:rPr>
          <w:rFonts w:ascii="Arial" w:hAnsi="Arial" w:cs="Arial"/>
          <w:spacing w:val="-3"/>
          <w:sz w:val="18"/>
          <w:szCs w:val="18"/>
        </w:rPr>
        <w:t xml:space="preserve">na populację generalną. </w:t>
      </w:r>
      <w:r w:rsidR="000A4164" w:rsidRPr="00F84FD4">
        <w:rPr>
          <w:rFonts w:ascii="Arial" w:hAnsi="Arial" w:cs="Arial"/>
          <w:spacing w:val="-3"/>
          <w:sz w:val="18"/>
          <w:szCs w:val="18"/>
        </w:rPr>
        <w:t xml:space="preserve">Szczegółowe informacje dotyczące zarówno sposobu doboru próby, </w:t>
      </w:r>
      <w:r w:rsidR="00A93F23">
        <w:rPr>
          <w:rFonts w:ascii="Arial" w:hAnsi="Arial" w:cs="Arial"/>
          <w:spacing w:val="-3"/>
          <w:sz w:val="18"/>
          <w:szCs w:val="18"/>
        </w:rPr>
        <w:br/>
      </w:r>
      <w:r w:rsidR="000A4164" w:rsidRPr="00F84FD4">
        <w:rPr>
          <w:rFonts w:ascii="Arial" w:hAnsi="Arial" w:cs="Arial"/>
          <w:spacing w:val="-3"/>
          <w:sz w:val="18"/>
          <w:szCs w:val="18"/>
        </w:rPr>
        <w:t>jak i uogólniania wyników badania można znaleźć w publikacjach kwartalnych „Aktywność ekonomiczna ludności Polski…” dostępnych na stronie internetowej GUS (</w:t>
      </w:r>
      <w:hyperlink r:id="rId8" w:history="1">
        <w:r w:rsidR="005D4E28" w:rsidRPr="00F84FD4">
          <w:rPr>
            <w:rStyle w:val="Hipercze"/>
            <w:rFonts w:ascii="Arial" w:hAnsi="Arial" w:cs="Arial"/>
            <w:color w:val="auto"/>
            <w:spacing w:val="-3"/>
            <w:sz w:val="18"/>
            <w:szCs w:val="18"/>
          </w:rPr>
          <w:t>www.stat.gov.pl</w:t>
        </w:r>
      </w:hyperlink>
      <w:r w:rsidR="000A4164" w:rsidRPr="00F84FD4">
        <w:rPr>
          <w:rFonts w:ascii="Arial" w:hAnsi="Arial" w:cs="Arial"/>
          <w:spacing w:val="-3"/>
          <w:sz w:val="18"/>
          <w:szCs w:val="18"/>
        </w:rPr>
        <w:t>).</w:t>
      </w:r>
    </w:p>
    <w:p w14:paraId="381DCCA3" w14:textId="730E689E" w:rsidR="005D4E28" w:rsidRPr="00C1742A" w:rsidRDefault="002961D6" w:rsidP="00D701C7">
      <w:pPr>
        <w:tabs>
          <w:tab w:val="left" w:pos="641"/>
        </w:tabs>
        <w:autoSpaceDE w:val="0"/>
        <w:autoSpaceDN w:val="0"/>
        <w:adjustRightInd w:val="0"/>
        <w:spacing w:before="120" w:line="260" w:lineRule="exact"/>
        <w:ind w:firstLine="357"/>
        <w:jc w:val="both"/>
        <w:rPr>
          <w:rFonts w:ascii="Arial" w:hAnsi="Arial" w:cs="Arial"/>
          <w:spacing w:val="-3"/>
          <w:sz w:val="18"/>
          <w:szCs w:val="18"/>
        </w:rPr>
      </w:pPr>
      <w:r w:rsidRPr="00C27CED">
        <w:rPr>
          <w:rFonts w:ascii="Arial" w:hAnsi="Arial" w:cs="Arial"/>
          <w:spacing w:val="-3"/>
          <w:sz w:val="18"/>
          <w:szCs w:val="18"/>
        </w:rPr>
        <w:t>Od 2010 r. d</w:t>
      </w:r>
      <w:r w:rsidR="005D4E28" w:rsidRPr="00C27CED">
        <w:rPr>
          <w:rFonts w:ascii="Arial" w:hAnsi="Arial" w:cs="Arial"/>
          <w:spacing w:val="-3"/>
          <w:sz w:val="18"/>
          <w:szCs w:val="18"/>
        </w:rPr>
        <w:t>o</w:t>
      </w:r>
      <w:r w:rsidR="005D4E28" w:rsidRPr="00C1742A">
        <w:rPr>
          <w:rFonts w:ascii="Arial" w:hAnsi="Arial" w:cs="Arial"/>
          <w:spacing w:val="-3"/>
          <w:sz w:val="18"/>
          <w:szCs w:val="18"/>
        </w:rPr>
        <w:t xml:space="preserve"> uogólniania wyników badania na populację generalną zastosowano dane o ludności Polski w wieku 15 lat i więcej, pochodzące z bilansów opracowanych na podstawie wyników Narodowego Spisu Powszechnego Ludności i Mieszkań 2011.</w:t>
      </w:r>
      <w:r w:rsidR="00BC217B" w:rsidRPr="00C1742A">
        <w:rPr>
          <w:rFonts w:ascii="Arial" w:hAnsi="Arial" w:cs="Arial"/>
          <w:spacing w:val="-3"/>
          <w:sz w:val="18"/>
          <w:szCs w:val="18"/>
        </w:rPr>
        <w:t xml:space="preserve"> Ponadto nastąpiły zmiany metodologiczne mające na celu dostosowanie populacji </w:t>
      </w:r>
      <w:r w:rsidR="00D1425A" w:rsidRPr="00C1742A">
        <w:rPr>
          <w:rFonts w:ascii="Arial" w:hAnsi="Arial" w:cs="Arial"/>
          <w:spacing w:val="-3"/>
          <w:sz w:val="18"/>
          <w:szCs w:val="18"/>
        </w:rPr>
        <w:t>objętej</w:t>
      </w:r>
      <w:r w:rsidR="00BC217B" w:rsidRPr="00C1742A">
        <w:rPr>
          <w:rFonts w:ascii="Arial" w:hAnsi="Arial" w:cs="Arial"/>
          <w:spacing w:val="-3"/>
          <w:sz w:val="18"/>
          <w:szCs w:val="18"/>
        </w:rPr>
        <w:t xml:space="preserve"> badaniem do zaleceń Eurostat: poza zakresem badania pozostają osoby przebywające poza gospodarstwem domowym, tj. za granicą lub w gospodarstwach zbiorowego zakwaterowania 12 </w:t>
      </w:r>
      <w:r w:rsidR="00276310" w:rsidRPr="00C1742A">
        <w:rPr>
          <w:rFonts w:ascii="Arial" w:hAnsi="Arial" w:cs="Arial"/>
          <w:spacing w:val="-3"/>
          <w:sz w:val="18"/>
          <w:szCs w:val="18"/>
        </w:rPr>
        <w:t>miesięcy</w:t>
      </w:r>
      <w:r w:rsidR="00BC217B" w:rsidRPr="00C1742A">
        <w:rPr>
          <w:rFonts w:ascii="Arial" w:hAnsi="Arial" w:cs="Arial"/>
          <w:spacing w:val="-3"/>
          <w:sz w:val="18"/>
          <w:szCs w:val="18"/>
        </w:rPr>
        <w:t xml:space="preserve"> lub więcej. </w:t>
      </w:r>
    </w:p>
    <w:p w14:paraId="6A4067D9" w14:textId="77777777" w:rsidR="00682036" w:rsidRPr="002961D6" w:rsidRDefault="00441D0D" w:rsidP="00D701C7">
      <w:pPr>
        <w:tabs>
          <w:tab w:val="left" w:pos="641"/>
        </w:tabs>
        <w:autoSpaceDE w:val="0"/>
        <w:autoSpaceDN w:val="0"/>
        <w:adjustRightInd w:val="0"/>
        <w:spacing w:before="120" w:line="260" w:lineRule="exact"/>
        <w:ind w:firstLine="357"/>
        <w:jc w:val="both"/>
        <w:rPr>
          <w:rFonts w:ascii="Arial" w:hAnsi="Arial" w:cs="Arial"/>
          <w:sz w:val="18"/>
          <w:szCs w:val="18"/>
        </w:rPr>
      </w:pPr>
      <w:r w:rsidRPr="002961D6">
        <w:rPr>
          <w:rFonts w:ascii="Arial" w:hAnsi="Arial" w:cs="Arial"/>
          <w:b/>
          <w:bCs/>
          <w:sz w:val="18"/>
          <w:szCs w:val="18"/>
        </w:rPr>
        <w:t>4</w:t>
      </w:r>
      <w:r w:rsidR="000A5909" w:rsidRPr="002961D6">
        <w:rPr>
          <w:rFonts w:ascii="Arial" w:hAnsi="Arial" w:cs="Arial"/>
          <w:b/>
          <w:bCs/>
          <w:sz w:val="18"/>
          <w:szCs w:val="18"/>
        </w:rPr>
        <w:t>.</w:t>
      </w:r>
      <w:r w:rsidR="000A5909" w:rsidRPr="002961D6">
        <w:rPr>
          <w:rFonts w:ascii="Arial" w:hAnsi="Arial" w:cs="Arial"/>
          <w:b/>
          <w:bCs/>
          <w:sz w:val="16"/>
          <w:szCs w:val="16"/>
        </w:rPr>
        <w:tab/>
      </w:r>
      <w:r w:rsidR="00C70892" w:rsidRPr="002961D6">
        <w:rPr>
          <w:rFonts w:ascii="Arial" w:hAnsi="Arial" w:cs="Arial"/>
          <w:sz w:val="18"/>
          <w:szCs w:val="18"/>
        </w:rPr>
        <w:t xml:space="preserve">Informacje zawarte w dziale </w:t>
      </w:r>
      <w:r w:rsidR="00C70892" w:rsidRPr="002961D6">
        <w:rPr>
          <w:rFonts w:ascii="Arial" w:hAnsi="Arial" w:cs="Arial"/>
          <w:b/>
          <w:bCs/>
          <w:sz w:val="18"/>
          <w:szCs w:val="18"/>
        </w:rPr>
        <w:t xml:space="preserve">Pracujący </w:t>
      </w:r>
      <w:r w:rsidR="00C70892" w:rsidRPr="002961D6">
        <w:rPr>
          <w:rFonts w:ascii="Arial" w:hAnsi="Arial" w:cs="Arial"/>
          <w:sz w:val="18"/>
          <w:szCs w:val="18"/>
        </w:rPr>
        <w:t xml:space="preserve">opracowano na podstawie reprezentacyjnego Badania </w:t>
      </w:r>
      <w:r w:rsidR="007E1A37" w:rsidRPr="002961D6">
        <w:rPr>
          <w:rFonts w:ascii="Arial" w:hAnsi="Arial" w:cs="Arial"/>
          <w:sz w:val="18"/>
          <w:szCs w:val="18"/>
        </w:rPr>
        <w:t>A</w:t>
      </w:r>
      <w:r w:rsidR="00C70892" w:rsidRPr="002961D6">
        <w:rPr>
          <w:rFonts w:ascii="Arial" w:hAnsi="Arial" w:cs="Arial"/>
          <w:sz w:val="18"/>
          <w:szCs w:val="18"/>
        </w:rPr>
        <w:t xml:space="preserve">ktywności </w:t>
      </w:r>
      <w:r w:rsidR="007E1A37" w:rsidRPr="002961D6">
        <w:rPr>
          <w:rFonts w:ascii="Arial" w:hAnsi="Arial" w:cs="Arial"/>
          <w:sz w:val="18"/>
          <w:szCs w:val="18"/>
        </w:rPr>
        <w:t>E</w:t>
      </w:r>
      <w:r w:rsidR="00C70892" w:rsidRPr="002961D6">
        <w:rPr>
          <w:rFonts w:ascii="Arial" w:hAnsi="Arial" w:cs="Arial"/>
          <w:sz w:val="18"/>
          <w:szCs w:val="18"/>
        </w:rPr>
        <w:t xml:space="preserve">konomicznej </w:t>
      </w:r>
      <w:r w:rsidR="007E1A37" w:rsidRPr="002961D6">
        <w:rPr>
          <w:rFonts w:ascii="Arial" w:hAnsi="Arial" w:cs="Arial"/>
          <w:sz w:val="18"/>
          <w:szCs w:val="18"/>
        </w:rPr>
        <w:t>L</w:t>
      </w:r>
      <w:r w:rsidR="00C70892" w:rsidRPr="002961D6">
        <w:rPr>
          <w:rFonts w:ascii="Arial" w:hAnsi="Arial" w:cs="Arial"/>
          <w:sz w:val="18"/>
          <w:szCs w:val="18"/>
        </w:rPr>
        <w:t>udnoś</w:t>
      </w:r>
      <w:r w:rsidR="00C46B76" w:rsidRPr="002961D6">
        <w:rPr>
          <w:rFonts w:ascii="Arial" w:hAnsi="Arial" w:cs="Arial"/>
          <w:sz w:val="18"/>
          <w:szCs w:val="18"/>
        </w:rPr>
        <w:t xml:space="preserve">ci za IV kwartał </w:t>
      </w:r>
      <w:r w:rsidR="00CE27DD" w:rsidRPr="002961D6">
        <w:rPr>
          <w:rFonts w:ascii="Arial" w:hAnsi="Arial" w:cs="Arial"/>
          <w:sz w:val="18"/>
          <w:szCs w:val="18"/>
        </w:rPr>
        <w:t>2015 r.</w:t>
      </w:r>
      <w:r w:rsidR="00F62F56" w:rsidRPr="002961D6">
        <w:rPr>
          <w:rFonts w:ascii="Arial" w:hAnsi="Arial" w:cs="Arial"/>
          <w:sz w:val="18"/>
          <w:szCs w:val="18"/>
        </w:rPr>
        <w:t xml:space="preserve"> (BAEL)</w:t>
      </w:r>
      <w:r w:rsidR="00682036" w:rsidRPr="002961D6">
        <w:rPr>
          <w:rFonts w:ascii="Arial" w:hAnsi="Arial" w:cs="Arial"/>
          <w:sz w:val="18"/>
          <w:szCs w:val="18"/>
        </w:rPr>
        <w:t>.</w:t>
      </w:r>
    </w:p>
    <w:p w14:paraId="43DCD97B" w14:textId="77777777" w:rsidR="00C56169" w:rsidRDefault="00F62F56" w:rsidP="00D701C7">
      <w:pPr>
        <w:tabs>
          <w:tab w:val="left" w:pos="641"/>
        </w:tabs>
        <w:autoSpaceDE w:val="0"/>
        <w:autoSpaceDN w:val="0"/>
        <w:adjustRightInd w:val="0"/>
        <w:spacing w:before="160" w:line="260" w:lineRule="exact"/>
        <w:ind w:firstLine="357"/>
        <w:jc w:val="both"/>
        <w:rPr>
          <w:rFonts w:ascii="Arial" w:hAnsi="Arial" w:cs="Arial"/>
          <w:sz w:val="18"/>
          <w:szCs w:val="18"/>
        </w:rPr>
      </w:pPr>
      <w:r w:rsidRPr="00F84FD4">
        <w:rPr>
          <w:rFonts w:ascii="Arial" w:hAnsi="Arial" w:cs="Arial"/>
          <w:b/>
          <w:spacing w:val="-2"/>
          <w:sz w:val="18"/>
          <w:szCs w:val="18"/>
        </w:rPr>
        <w:t>5.</w:t>
      </w:r>
      <w:r w:rsidRPr="00F84FD4">
        <w:rPr>
          <w:rFonts w:ascii="Arial" w:hAnsi="Arial" w:cs="Arial"/>
          <w:b/>
          <w:spacing w:val="-2"/>
          <w:sz w:val="16"/>
          <w:szCs w:val="16"/>
        </w:rPr>
        <w:tab/>
      </w:r>
      <w:r w:rsidRPr="00F84FD4">
        <w:rPr>
          <w:rFonts w:ascii="Arial" w:hAnsi="Arial" w:cs="Arial"/>
          <w:sz w:val="18"/>
          <w:szCs w:val="18"/>
        </w:rPr>
        <w:t xml:space="preserve">Informacje zawarte w dziale </w:t>
      </w:r>
      <w:r w:rsidRPr="00F84FD4">
        <w:rPr>
          <w:rFonts w:ascii="Arial" w:hAnsi="Arial" w:cs="Arial"/>
          <w:b/>
          <w:bCs/>
          <w:sz w:val="18"/>
          <w:szCs w:val="18"/>
        </w:rPr>
        <w:t xml:space="preserve">Bezrobotni </w:t>
      </w:r>
      <w:r w:rsidRPr="00F84FD4">
        <w:rPr>
          <w:rFonts w:ascii="Arial" w:hAnsi="Arial" w:cs="Arial"/>
          <w:sz w:val="18"/>
          <w:szCs w:val="18"/>
        </w:rPr>
        <w:t xml:space="preserve">opracowano na podstawie reprezentacyjnego </w:t>
      </w:r>
      <w:r w:rsidRPr="00F84FD4">
        <w:rPr>
          <w:rFonts w:ascii="Arial" w:hAnsi="Arial" w:cs="Arial"/>
          <w:spacing w:val="-2"/>
          <w:sz w:val="18"/>
          <w:szCs w:val="18"/>
        </w:rPr>
        <w:t xml:space="preserve">Badania </w:t>
      </w:r>
      <w:r w:rsidR="009A6017" w:rsidRPr="00F84FD4">
        <w:rPr>
          <w:rFonts w:ascii="Arial" w:hAnsi="Arial" w:cs="Arial"/>
          <w:spacing w:val="-2"/>
          <w:sz w:val="18"/>
          <w:szCs w:val="18"/>
        </w:rPr>
        <w:t>A</w:t>
      </w:r>
      <w:r w:rsidRPr="00F84FD4">
        <w:rPr>
          <w:rFonts w:ascii="Arial" w:hAnsi="Arial" w:cs="Arial"/>
          <w:spacing w:val="-2"/>
          <w:sz w:val="18"/>
          <w:szCs w:val="18"/>
        </w:rPr>
        <w:t xml:space="preserve">ktywności </w:t>
      </w:r>
      <w:r w:rsidR="009A6017" w:rsidRPr="00F84FD4">
        <w:rPr>
          <w:rFonts w:ascii="Arial" w:hAnsi="Arial" w:cs="Arial"/>
          <w:spacing w:val="-2"/>
          <w:sz w:val="18"/>
          <w:szCs w:val="18"/>
        </w:rPr>
        <w:t>E</w:t>
      </w:r>
      <w:r w:rsidRPr="00F84FD4">
        <w:rPr>
          <w:rFonts w:ascii="Arial" w:hAnsi="Arial" w:cs="Arial"/>
          <w:spacing w:val="-2"/>
          <w:sz w:val="18"/>
          <w:szCs w:val="18"/>
        </w:rPr>
        <w:t xml:space="preserve">konomicznej </w:t>
      </w:r>
      <w:r w:rsidR="009A6017" w:rsidRPr="00F84FD4">
        <w:rPr>
          <w:rFonts w:ascii="Arial" w:hAnsi="Arial" w:cs="Arial"/>
          <w:spacing w:val="-2"/>
          <w:sz w:val="18"/>
          <w:szCs w:val="18"/>
        </w:rPr>
        <w:t>L</w:t>
      </w:r>
      <w:r w:rsidRPr="00F84FD4">
        <w:rPr>
          <w:rFonts w:ascii="Arial" w:hAnsi="Arial" w:cs="Arial"/>
          <w:spacing w:val="-2"/>
          <w:sz w:val="18"/>
          <w:szCs w:val="18"/>
        </w:rPr>
        <w:t>udnoś</w:t>
      </w:r>
      <w:r w:rsidR="00C46B76" w:rsidRPr="00F84FD4">
        <w:rPr>
          <w:rFonts w:ascii="Arial" w:hAnsi="Arial" w:cs="Arial"/>
          <w:spacing w:val="-2"/>
          <w:sz w:val="18"/>
          <w:szCs w:val="18"/>
        </w:rPr>
        <w:t xml:space="preserve">ci za IV kwartał </w:t>
      </w:r>
      <w:r w:rsidR="00CE27DD">
        <w:rPr>
          <w:rFonts w:ascii="Arial" w:hAnsi="Arial" w:cs="Arial"/>
          <w:spacing w:val="-2"/>
          <w:sz w:val="18"/>
          <w:szCs w:val="18"/>
        </w:rPr>
        <w:t>2015 r.</w:t>
      </w:r>
      <w:r w:rsidRPr="00F84FD4">
        <w:rPr>
          <w:rFonts w:ascii="Arial" w:hAnsi="Arial" w:cs="Arial"/>
          <w:spacing w:val="-2"/>
          <w:sz w:val="18"/>
          <w:szCs w:val="18"/>
        </w:rPr>
        <w:t xml:space="preserve"> (BAEL).</w:t>
      </w:r>
      <w:r w:rsidRPr="00F84FD4">
        <w:rPr>
          <w:rFonts w:ascii="Arial" w:hAnsi="Arial" w:cs="Arial"/>
          <w:b/>
          <w:spacing w:val="-2"/>
          <w:sz w:val="16"/>
          <w:szCs w:val="16"/>
        </w:rPr>
        <w:t xml:space="preserve"> </w:t>
      </w:r>
      <w:r w:rsidRPr="00F84FD4">
        <w:rPr>
          <w:rFonts w:ascii="Arial" w:hAnsi="Arial" w:cs="Arial"/>
          <w:spacing w:val="-2"/>
          <w:sz w:val="18"/>
          <w:szCs w:val="18"/>
        </w:rPr>
        <w:t xml:space="preserve">Natomiast </w:t>
      </w:r>
      <w:r w:rsidRPr="00F84FD4">
        <w:rPr>
          <w:rFonts w:ascii="Arial" w:hAnsi="Arial" w:cs="Arial"/>
          <w:sz w:val="18"/>
          <w:szCs w:val="18"/>
        </w:rPr>
        <w:t xml:space="preserve">dane </w:t>
      </w:r>
      <w:r w:rsidR="00C70892" w:rsidRPr="00F84FD4">
        <w:rPr>
          <w:rFonts w:ascii="Arial" w:hAnsi="Arial" w:cs="Arial"/>
          <w:sz w:val="18"/>
          <w:szCs w:val="18"/>
        </w:rPr>
        <w:t xml:space="preserve">dotyczące osób </w:t>
      </w:r>
      <w:r w:rsidR="00C70892" w:rsidRPr="00F84FD4">
        <w:rPr>
          <w:rFonts w:ascii="Arial" w:hAnsi="Arial" w:cs="Arial"/>
          <w:b/>
          <w:bCs/>
          <w:sz w:val="18"/>
          <w:szCs w:val="18"/>
        </w:rPr>
        <w:t>bezrobotnych</w:t>
      </w:r>
      <w:r w:rsidR="00C70892" w:rsidRPr="00F84FD4">
        <w:rPr>
          <w:rFonts w:ascii="Arial" w:hAnsi="Arial" w:cs="Arial"/>
          <w:sz w:val="18"/>
          <w:szCs w:val="18"/>
        </w:rPr>
        <w:t xml:space="preserve"> </w:t>
      </w:r>
      <w:r w:rsidR="00C70892" w:rsidRPr="00F84FD4">
        <w:rPr>
          <w:rFonts w:ascii="Arial" w:hAnsi="Arial" w:cs="Arial"/>
          <w:b/>
          <w:bCs/>
          <w:sz w:val="18"/>
          <w:szCs w:val="18"/>
        </w:rPr>
        <w:t xml:space="preserve">zarejestrowanych </w:t>
      </w:r>
      <w:r w:rsidR="00C70892" w:rsidRPr="00F84FD4">
        <w:rPr>
          <w:rFonts w:ascii="Arial" w:hAnsi="Arial" w:cs="Arial"/>
          <w:sz w:val="18"/>
          <w:szCs w:val="18"/>
        </w:rPr>
        <w:t xml:space="preserve">w powiatowych urzędach pracy, opracowane zostały z uwzględnieniem danych zawartych w sprawozdawczości </w:t>
      </w:r>
      <w:r w:rsidR="00F9142E" w:rsidRPr="00D6336C">
        <w:rPr>
          <w:rFonts w:ascii="Arial" w:hAnsi="Arial" w:cs="Arial"/>
          <w:sz w:val="18"/>
          <w:szCs w:val="18"/>
        </w:rPr>
        <w:t>Ministerstwa Pracy i Polityki Społecznej (sprawozdanie o rynku pracy MPiPS-01 wraz z załącznikami).</w:t>
      </w:r>
    </w:p>
    <w:p w14:paraId="0A9021DF" w14:textId="77777777" w:rsidR="00B347DB" w:rsidRPr="002961D6" w:rsidRDefault="00B347DB" w:rsidP="00D701C7">
      <w:pPr>
        <w:tabs>
          <w:tab w:val="left" w:pos="641"/>
        </w:tabs>
        <w:autoSpaceDE w:val="0"/>
        <w:autoSpaceDN w:val="0"/>
        <w:adjustRightInd w:val="0"/>
        <w:spacing w:before="160" w:line="262" w:lineRule="exact"/>
        <w:ind w:firstLine="357"/>
        <w:jc w:val="both"/>
        <w:rPr>
          <w:rFonts w:ascii="Arial" w:hAnsi="Arial" w:cs="Arial"/>
          <w:sz w:val="18"/>
          <w:szCs w:val="18"/>
        </w:rPr>
      </w:pPr>
      <w:r w:rsidRPr="002961D6">
        <w:rPr>
          <w:rFonts w:ascii="Arial" w:hAnsi="Arial" w:cs="Arial"/>
          <w:b/>
          <w:sz w:val="18"/>
          <w:szCs w:val="18"/>
        </w:rPr>
        <w:lastRenderedPageBreak/>
        <w:t>6.</w:t>
      </w:r>
      <w:r w:rsidRPr="002961D6">
        <w:rPr>
          <w:rFonts w:ascii="Arial" w:hAnsi="Arial" w:cs="Arial"/>
          <w:sz w:val="18"/>
          <w:szCs w:val="18"/>
        </w:rPr>
        <w:tab/>
      </w:r>
      <w:r w:rsidRPr="002961D6">
        <w:rPr>
          <w:rFonts w:ascii="Arial" w:hAnsi="Arial" w:cs="Arial"/>
          <w:color w:val="000000"/>
          <w:sz w:val="18"/>
          <w:szCs w:val="18"/>
        </w:rPr>
        <w:t xml:space="preserve">Informacje zawarte w dziale </w:t>
      </w:r>
      <w:r w:rsidRPr="002961D6">
        <w:rPr>
          <w:rFonts w:ascii="Arial" w:hAnsi="Arial" w:cs="Arial"/>
          <w:b/>
          <w:color w:val="000000"/>
          <w:sz w:val="18"/>
          <w:szCs w:val="18"/>
        </w:rPr>
        <w:t>Wynagrodzenia</w:t>
      </w:r>
      <w:r w:rsidRPr="002961D6">
        <w:rPr>
          <w:rFonts w:ascii="Arial" w:hAnsi="Arial" w:cs="Arial"/>
          <w:color w:val="000000"/>
          <w:sz w:val="18"/>
          <w:szCs w:val="18"/>
        </w:rPr>
        <w:t xml:space="preserve"> opracowano na podstawie wyników </w:t>
      </w:r>
      <w:r w:rsidR="002961D6">
        <w:rPr>
          <w:rFonts w:ascii="Arial" w:hAnsi="Arial" w:cs="Arial"/>
          <w:color w:val="000000"/>
          <w:sz w:val="18"/>
          <w:szCs w:val="18"/>
        </w:rPr>
        <w:br/>
      </w:r>
      <w:r w:rsidRPr="002961D6">
        <w:rPr>
          <w:rFonts w:ascii="Arial" w:hAnsi="Arial" w:cs="Arial"/>
          <w:color w:val="000000"/>
          <w:sz w:val="18"/>
          <w:szCs w:val="18"/>
        </w:rPr>
        <w:t xml:space="preserve">reprezentacyjnego badania </w:t>
      </w:r>
      <w:r w:rsidRPr="002961D6">
        <w:rPr>
          <w:rFonts w:ascii="Arial" w:hAnsi="Arial" w:cs="Arial"/>
          <w:i/>
          <w:color w:val="000000"/>
          <w:sz w:val="18"/>
          <w:szCs w:val="18"/>
        </w:rPr>
        <w:t>Struktura wynagrodzeń według zawodów</w:t>
      </w:r>
      <w:r w:rsidRPr="002961D6">
        <w:rPr>
          <w:rFonts w:ascii="Arial" w:hAnsi="Arial" w:cs="Arial"/>
          <w:color w:val="000000"/>
          <w:sz w:val="18"/>
          <w:szCs w:val="18"/>
        </w:rPr>
        <w:t>.</w:t>
      </w:r>
    </w:p>
    <w:p w14:paraId="567027D9" w14:textId="77777777" w:rsidR="00441D0D" w:rsidRDefault="00B347DB" w:rsidP="00D701C7">
      <w:pPr>
        <w:tabs>
          <w:tab w:val="left" w:pos="641"/>
        </w:tabs>
        <w:autoSpaceDE w:val="0"/>
        <w:autoSpaceDN w:val="0"/>
        <w:adjustRightInd w:val="0"/>
        <w:spacing w:before="120" w:line="262" w:lineRule="exact"/>
        <w:ind w:firstLine="357"/>
        <w:jc w:val="both"/>
        <w:rPr>
          <w:rFonts w:ascii="Arial" w:hAnsi="Arial" w:cs="Arial"/>
          <w:spacing w:val="-1"/>
          <w:sz w:val="18"/>
          <w:szCs w:val="18"/>
        </w:rPr>
      </w:pPr>
      <w:r w:rsidRPr="00C27CED">
        <w:rPr>
          <w:rFonts w:ascii="Arial" w:hAnsi="Arial" w:cs="Arial"/>
          <w:b/>
          <w:bCs/>
          <w:spacing w:val="-2"/>
          <w:sz w:val="18"/>
          <w:szCs w:val="18"/>
        </w:rPr>
        <w:t>7</w:t>
      </w:r>
      <w:r w:rsidR="00441D0D" w:rsidRPr="00C27CED">
        <w:rPr>
          <w:rFonts w:ascii="Arial" w:hAnsi="Arial" w:cs="Arial"/>
          <w:b/>
          <w:bCs/>
          <w:spacing w:val="-2"/>
          <w:sz w:val="18"/>
          <w:szCs w:val="18"/>
        </w:rPr>
        <w:t>.</w:t>
      </w:r>
      <w:r w:rsidR="00441D0D" w:rsidRPr="00C27CED">
        <w:rPr>
          <w:rFonts w:ascii="Arial" w:hAnsi="Arial" w:cs="Arial"/>
          <w:b/>
          <w:bCs/>
          <w:spacing w:val="-2"/>
          <w:sz w:val="18"/>
          <w:szCs w:val="18"/>
        </w:rPr>
        <w:tab/>
      </w:r>
      <w:r w:rsidR="00BC217B" w:rsidRPr="00C27CED">
        <w:rPr>
          <w:rFonts w:ascii="Arial" w:hAnsi="Arial" w:cs="Arial"/>
          <w:bCs/>
          <w:spacing w:val="-2"/>
          <w:sz w:val="18"/>
          <w:szCs w:val="18"/>
        </w:rPr>
        <w:t xml:space="preserve">W </w:t>
      </w:r>
      <w:r w:rsidR="00BC217B" w:rsidRPr="00C27CED">
        <w:rPr>
          <w:rFonts w:ascii="Arial" w:hAnsi="Arial" w:cs="Arial"/>
          <w:bCs/>
          <w:color w:val="000000"/>
          <w:spacing w:val="-2"/>
          <w:sz w:val="18"/>
          <w:szCs w:val="18"/>
        </w:rPr>
        <w:t>tablic</w:t>
      </w:r>
      <w:r w:rsidR="002961D6" w:rsidRPr="00C27CED">
        <w:rPr>
          <w:rFonts w:ascii="Arial" w:hAnsi="Arial" w:cs="Arial"/>
          <w:bCs/>
          <w:color w:val="000000"/>
          <w:spacing w:val="-2"/>
          <w:sz w:val="18"/>
          <w:szCs w:val="18"/>
        </w:rPr>
        <w:t>ach</w:t>
      </w:r>
      <w:r w:rsidR="00BC217B" w:rsidRPr="00C27CED">
        <w:rPr>
          <w:rFonts w:ascii="Arial" w:hAnsi="Arial" w:cs="Arial"/>
          <w:bCs/>
          <w:color w:val="000000"/>
          <w:spacing w:val="-2"/>
          <w:sz w:val="18"/>
          <w:szCs w:val="18"/>
        </w:rPr>
        <w:t xml:space="preserve"> </w:t>
      </w:r>
      <w:r w:rsidR="00CD4F3C" w:rsidRPr="00C27CED">
        <w:rPr>
          <w:rFonts w:ascii="Arial" w:hAnsi="Arial" w:cs="Arial"/>
          <w:bCs/>
          <w:color w:val="000000"/>
          <w:spacing w:val="-2"/>
          <w:sz w:val="18"/>
          <w:szCs w:val="18"/>
        </w:rPr>
        <w:t>X</w:t>
      </w:r>
      <w:r w:rsidR="00BC217B" w:rsidRPr="00C27CED">
        <w:rPr>
          <w:rFonts w:ascii="Arial" w:hAnsi="Arial" w:cs="Arial"/>
          <w:bCs/>
          <w:color w:val="000000"/>
          <w:spacing w:val="-2"/>
          <w:sz w:val="18"/>
          <w:szCs w:val="18"/>
        </w:rPr>
        <w:t>V</w:t>
      </w:r>
      <w:r w:rsidR="003C4407" w:rsidRPr="00C27CED">
        <w:rPr>
          <w:rFonts w:ascii="Arial" w:hAnsi="Arial" w:cs="Arial"/>
          <w:bCs/>
          <w:color w:val="000000"/>
          <w:spacing w:val="-2"/>
          <w:sz w:val="18"/>
          <w:szCs w:val="18"/>
        </w:rPr>
        <w:t>–</w:t>
      </w:r>
      <w:r w:rsidR="00BC217B" w:rsidRPr="00C27CED">
        <w:rPr>
          <w:rFonts w:ascii="Arial" w:hAnsi="Arial" w:cs="Arial"/>
          <w:bCs/>
          <w:color w:val="000000"/>
          <w:spacing w:val="-2"/>
          <w:sz w:val="18"/>
          <w:szCs w:val="18"/>
        </w:rPr>
        <w:t>XV</w:t>
      </w:r>
      <w:r w:rsidR="002961D6" w:rsidRPr="00C27CED">
        <w:rPr>
          <w:rFonts w:ascii="Arial" w:hAnsi="Arial" w:cs="Arial"/>
          <w:bCs/>
          <w:color w:val="000000"/>
          <w:spacing w:val="-2"/>
          <w:sz w:val="18"/>
          <w:szCs w:val="18"/>
        </w:rPr>
        <w:t>II</w:t>
      </w:r>
      <w:r w:rsidR="00BC217B" w:rsidRPr="00C27CED">
        <w:rPr>
          <w:rFonts w:ascii="Arial" w:hAnsi="Arial" w:cs="Arial"/>
          <w:bCs/>
          <w:color w:val="000000"/>
          <w:spacing w:val="-2"/>
          <w:sz w:val="18"/>
          <w:szCs w:val="18"/>
        </w:rPr>
        <w:t>I</w:t>
      </w:r>
      <w:r w:rsidR="00BC217B" w:rsidRPr="00C27CED">
        <w:rPr>
          <w:rFonts w:ascii="Arial" w:hAnsi="Arial" w:cs="Arial"/>
          <w:bCs/>
          <w:spacing w:val="-2"/>
          <w:sz w:val="18"/>
          <w:szCs w:val="18"/>
        </w:rPr>
        <w:t xml:space="preserve"> w</w:t>
      </w:r>
      <w:r w:rsidR="00441D0D" w:rsidRPr="00C27CED">
        <w:rPr>
          <w:rFonts w:ascii="Arial" w:hAnsi="Arial" w:cs="Arial"/>
          <w:spacing w:val="-2"/>
          <w:sz w:val="18"/>
          <w:szCs w:val="18"/>
        </w:rPr>
        <w:t>skaźniki strukturalne dla krajów</w:t>
      </w:r>
      <w:r w:rsidR="0030073F" w:rsidRPr="00C27CED">
        <w:rPr>
          <w:rFonts w:ascii="Arial" w:hAnsi="Arial" w:cs="Arial"/>
          <w:spacing w:val="-2"/>
          <w:sz w:val="18"/>
          <w:szCs w:val="18"/>
        </w:rPr>
        <w:t xml:space="preserve"> Wspólnoty Europejskiej (EU 15</w:t>
      </w:r>
      <w:r w:rsidR="00441D0D" w:rsidRPr="00C27CED">
        <w:rPr>
          <w:rFonts w:ascii="Arial" w:hAnsi="Arial" w:cs="Arial"/>
          <w:spacing w:val="-2"/>
          <w:sz w:val="18"/>
          <w:szCs w:val="18"/>
        </w:rPr>
        <w:t xml:space="preserve">, </w:t>
      </w:r>
      <w:r w:rsidR="00D1425A" w:rsidRPr="00C27CED">
        <w:rPr>
          <w:rFonts w:ascii="Arial" w:hAnsi="Arial" w:cs="Arial"/>
          <w:spacing w:val="-2"/>
          <w:sz w:val="18"/>
          <w:szCs w:val="18"/>
        </w:rPr>
        <w:br/>
      </w:r>
      <w:r w:rsidR="00441D0D" w:rsidRPr="00C27CED">
        <w:rPr>
          <w:rFonts w:ascii="Arial" w:hAnsi="Arial" w:cs="Arial"/>
          <w:spacing w:val="-2"/>
          <w:sz w:val="18"/>
          <w:szCs w:val="18"/>
        </w:rPr>
        <w:t xml:space="preserve">EU 27) </w:t>
      </w:r>
      <w:r w:rsidR="00441D0D" w:rsidRPr="00C27CED">
        <w:rPr>
          <w:rFonts w:ascii="Arial" w:hAnsi="Arial" w:cs="Arial"/>
          <w:spacing w:val="-1"/>
          <w:sz w:val="18"/>
          <w:szCs w:val="18"/>
        </w:rPr>
        <w:t xml:space="preserve">opracowano na podstawie </w:t>
      </w:r>
      <w:r w:rsidR="00DB5964" w:rsidRPr="00C27CED">
        <w:rPr>
          <w:rFonts w:ascii="Arial" w:hAnsi="Arial" w:cs="Arial"/>
          <w:spacing w:val="-1"/>
          <w:sz w:val="18"/>
          <w:szCs w:val="18"/>
        </w:rPr>
        <w:t>wyników europejskiego badania siły roboczej (</w:t>
      </w:r>
      <w:proofErr w:type="spellStart"/>
      <w:r w:rsidR="00DB5964" w:rsidRPr="00C27CED">
        <w:rPr>
          <w:rFonts w:ascii="Arial" w:hAnsi="Arial" w:cs="Arial"/>
          <w:spacing w:val="-1"/>
          <w:sz w:val="18"/>
          <w:szCs w:val="18"/>
        </w:rPr>
        <w:t>European</w:t>
      </w:r>
      <w:proofErr w:type="spellEnd"/>
      <w:r w:rsidR="00DB5964" w:rsidRPr="00C27CED">
        <w:rPr>
          <w:rFonts w:ascii="Arial" w:hAnsi="Arial" w:cs="Arial"/>
          <w:spacing w:val="-1"/>
          <w:sz w:val="18"/>
          <w:szCs w:val="18"/>
        </w:rPr>
        <w:t xml:space="preserve"> </w:t>
      </w:r>
      <w:proofErr w:type="spellStart"/>
      <w:r w:rsidR="00DB5964" w:rsidRPr="00C27CED">
        <w:rPr>
          <w:rFonts w:ascii="Arial" w:hAnsi="Arial" w:cs="Arial"/>
          <w:spacing w:val="-1"/>
          <w:sz w:val="18"/>
          <w:szCs w:val="18"/>
        </w:rPr>
        <w:t>Labour</w:t>
      </w:r>
      <w:proofErr w:type="spellEnd"/>
      <w:r w:rsidR="00DB5964" w:rsidRPr="00C27CED">
        <w:rPr>
          <w:rFonts w:ascii="Arial" w:hAnsi="Arial" w:cs="Arial"/>
          <w:spacing w:val="-1"/>
          <w:sz w:val="18"/>
          <w:szCs w:val="18"/>
        </w:rPr>
        <w:t xml:space="preserve"> Force </w:t>
      </w:r>
      <w:proofErr w:type="spellStart"/>
      <w:r w:rsidR="00DB5964" w:rsidRPr="00C27CED">
        <w:rPr>
          <w:rFonts w:ascii="Arial" w:hAnsi="Arial" w:cs="Arial"/>
          <w:spacing w:val="-1"/>
          <w:sz w:val="18"/>
          <w:szCs w:val="18"/>
        </w:rPr>
        <w:t>Survey</w:t>
      </w:r>
      <w:proofErr w:type="spellEnd"/>
      <w:r w:rsidR="00DB5964" w:rsidRPr="00C27CED">
        <w:rPr>
          <w:rFonts w:ascii="Arial" w:hAnsi="Arial" w:cs="Arial"/>
          <w:spacing w:val="-1"/>
          <w:sz w:val="18"/>
          <w:szCs w:val="18"/>
        </w:rPr>
        <w:t xml:space="preserve"> – LFS), w Polsce </w:t>
      </w:r>
      <w:r w:rsidR="00441D0D" w:rsidRPr="00C27CED">
        <w:rPr>
          <w:rFonts w:ascii="Arial" w:hAnsi="Arial" w:cs="Arial"/>
          <w:spacing w:val="-1"/>
          <w:sz w:val="18"/>
          <w:szCs w:val="18"/>
        </w:rPr>
        <w:t>BAEL.</w:t>
      </w:r>
      <w:r w:rsidR="00B94FFA" w:rsidRPr="00C27CED">
        <w:rPr>
          <w:rFonts w:ascii="Arial" w:hAnsi="Arial" w:cs="Arial"/>
          <w:spacing w:val="-1"/>
          <w:sz w:val="18"/>
          <w:szCs w:val="18"/>
        </w:rPr>
        <w:t xml:space="preserve"> W tablicy XVII</w:t>
      </w:r>
      <w:r w:rsidR="002961D6" w:rsidRPr="00C27CED">
        <w:rPr>
          <w:rFonts w:ascii="Arial" w:hAnsi="Arial" w:cs="Arial"/>
          <w:spacing w:val="-1"/>
          <w:sz w:val="18"/>
          <w:szCs w:val="18"/>
        </w:rPr>
        <w:t>I</w:t>
      </w:r>
      <w:r w:rsidR="00B94FFA" w:rsidRPr="00C27CED">
        <w:rPr>
          <w:rFonts w:ascii="Arial" w:hAnsi="Arial" w:cs="Arial"/>
          <w:spacing w:val="-1"/>
          <w:sz w:val="18"/>
          <w:szCs w:val="18"/>
        </w:rPr>
        <w:t xml:space="preserve"> wskaźniki strukturalne za IV kwartał </w:t>
      </w:r>
      <w:r w:rsidR="009217C2" w:rsidRPr="00C27CED">
        <w:rPr>
          <w:rFonts w:ascii="Arial" w:hAnsi="Arial" w:cs="Arial"/>
          <w:spacing w:val="-1"/>
          <w:sz w:val="18"/>
          <w:szCs w:val="18"/>
        </w:rPr>
        <w:t>2015 r.</w:t>
      </w:r>
      <w:r w:rsidR="00B94FFA" w:rsidRPr="00C27CED">
        <w:rPr>
          <w:rFonts w:ascii="Arial" w:hAnsi="Arial" w:cs="Arial"/>
          <w:spacing w:val="-1"/>
          <w:sz w:val="18"/>
          <w:szCs w:val="18"/>
        </w:rPr>
        <w:t xml:space="preserve"> </w:t>
      </w:r>
      <w:r w:rsidR="00F9142E" w:rsidRPr="00C27CED">
        <w:rPr>
          <w:rFonts w:ascii="Arial" w:hAnsi="Arial" w:cs="Arial"/>
          <w:spacing w:val="-1"/>
          <w:sz w:val="18"/>
          <w:szCs w:val="18"/>
        </w:rPr>
        <w:t>przedstawiono dla 2</w:t>
      </w:r>
      <w:r w:rsidR="00031990" w:rsidRPr="00C27CED">
        <w:rPr>
          <w:rFonts w:ascii="Arial" w:hAnsi="Arial" w:cs="Arial"/>
          <w:spacing w:val="-1"/>
          <w:sz w:val="18"/>
          <w:szCs w:val="18"/>
        </w:rPr>
        <w:t>8 krajów Wspólnoty Europejskiej</w:t>
      </w:r>
      <w:r w:rsidR="00F9142E" w:rsidRPr="00C27CED">
        <w:rPr>
          <w:rFonts w:ascii="Arial" w:hAnsi="Arial" w:cs="Arial"/>
          <w:spacing w:val="-1"/>
          <w:sz w:val="18"/>
          <w:szCs w:val="18"/>
        </w:rPr>
        <w:t>.</w:t>
      </w:r>
      <w:r w:rsidR="00441D0D" w:rsidRPr="00C27CED">
        <w:rPr>
          <w:rFonts w:ascii="Arial" w:hAnsi="Arial" w:cs="Arial"/>
          <w:spacing w:val="-1"/>
          <w:sz w:val="18"/>
          <w:szCs w:val="18"/>
        </w:rPr>
        <w:t xml:space="preserve"> Ze względu na jednakową metodo</w:t>
      </w:r>
      <w:r w:rsidR="00441D0D" w:rsidRPr="00F84FD4">
        <w:rPr>
          <w:rFonts w:ascii="Arial" w:hAnsi="Arial" w:cs="Arial"/>
          <w:spacing w:val="-1"/>
          <w:sz w:val="18"/>
          <w:szCs w:val="18"/>
        </w:rPr>
        <w:t xml:space="preserve">logię ich wyznaczania dla poszczególnych krajów przyjętą przez </w:t>
      </w:r>
      <w:r w:rsidR="0044306A" w:rsidRPr="00F84FD4">
        <w:rPr>
          <w:rFonts w:ascii="Arial" w:hAnsi="Arial" w:cs="Arial"/>
          <w:spacing w:val="-1"/>
          <w:sz w:val="18"/>
          <w:szCs w:val="18"/>
        </w:rPr>
        <w:t xml:space="preserve">EUROSTAT </w:t>
      </w:r>
      <w:r w:rsidR="00441D0D" w:rsidRPr="00F84FD4">
        <w:rPr>
          <w:rFonts w:ascii="Arial" w:hAnsi="Arial" w:cs="Arial"/>
          <w:spacing w:val="-1"/>
          <w:sz w:val="18"/>
          <w:szCs w:val="18"/>
        </w:rPr>
        <w:t xml:space="preserve">dane te są porównywalne dla krajów należących do Unii Europejskiej. Zestaw wskaźników strukturalnych opracowanych dla poszczególnych krajów UE ustalany jest przez Komisję Europejską oraz Radę Europejską. </w:t>
      </w:r>
    </w:p>
    <w:p w14:paraId="27B5A6BF" w14:textId="77777777" w:rsidR="004328F7" w:rsidRPr="004328F7" w:rsidRDefault="00B347DB" w:rsidP="00D701C7">
      <w:pPr>
        <w:tabs>
          <w:tab w:val="left" w:pos="641"/>
        </w:tabs>
        <w:autoSpaceDE w:val="0"/>
        <w:autoSpaceDN w:val="0"/>
        <w:adjustRightInd w:val="0"/>
        <w:spacing w:before="120" w:line="262" w:lineRule="exact"/>
        <w:ind w:firstLine="357"/>
        <w:jc w:val="both"/>
        <w:rPr>
          <w:rFonts w:ascii="Arial" w:hAnsi="Arial" w:cs="Arial"/>
          <w:bCs/>
          <w:strike/>
          <w:spacing w:val="-2"/>
          <w:sz w:val="18"/>
          <w:szCs w:val="18"/>
        </w:rPr>
      </w:pPr>
      <w:r>
        <w:rPr>
          <w:rFonts w:ascii="Arial" w:hAnsi="Arial" w:cs="Arial"/>
          <w:b/>
          <w:spacing w:val="-1"/>
          <w:sz w:val="18"/>
          <w:szCs w:val="18"/>
        </w:rPr>
        <w:t>8</w:t>
      </w:r>
      <w:r w:rsidR="00F9142E" w:rsidRPr="00F9142E">
        <w:rPr>
          <w:rFonts w:ascii="Arial" w:hAnsi="Arial" w:cs="Arial"/>
          <w:b/>
          <w:spacing w:val="-1"/>
          <w:sz w:val="18"/>
          <w:szCs w:val="18"/>
        </w:rPr>
        <w:t>.</w:t>
      </w:r>
      <w:r w:rsidR="004328F7">
        <w:rPr>
          <w:rFonts w:ascii="Arial" w:hAnsi="Arial" w:cs="Arial"/>
          <w:b/>
          <w:spacing w:val="-1"/>
          <w:sz w:val="18"/>
          <w:szCs w:val="18"/>
        </w:rPr>
        <w:t xml:space="preserve"> </w:t>
      </w:r>
      <w:r w:rsidR="004328F7">
        <w:rPr>
          <w:rFonts w:ascii="Arial" w:hAnsi="Arial" w:cs="Arial"/>
          <w:spacing w:val="-1"/>
          <w:sz w:val="18"/>
          <w:szCs w:val="18"/>
        </w:rPr>
        <w:t xml:space="preserve">Dane o </w:t>
      </w:r>
      <w:r w:rsidR="00F9142E" w:rsidRPr="00F9142E">
        <w:rPr>
          <w:rFonts w:ascii="Arial" w:hAnsi="Arial" w:cs="Arial"/>
          <w:b/>
          <w:spacing w:val="-1"/>
          <w:sz w:val="18"/>
          <w:szCs w:val="18"/>
        </w:rPr>
        <w:t>wypadkach przy pracy</w:t>
      </w:r>
      <w:r w:rsidR="004328F7">
        <w:rPr>
          <w:rFonts w:ascii="Arial" w:hAnsi="Arial" w:cs="Arial"/>
          <w:spacing w:val="-1"/>
          <w:sz w:val="18"/>
          <w:szCs w:val="18"/>
        </w:rPr>
        <w:t xml:space="preserve">, poza indywidualnymi gospodarstwami rolnymi, opracowano na podstawie statystycznej karty wypadku przy pracy (formularz Z-KW). Badaniem statystycznym objęte są wszystkie wypadki przy pracy, jak również wypadki traktowane na równi </w:t>
      </w:r>
      <w:r w:rsidR="002961D6">
        <w:rPr>
          <w:rFonts w:ascii="Arial" w:hAnsi="Arial" w:cs="Arial"/>
          <w:spacing w:val="-1"/>
          <w:sz w:val="18"/>
          <w:szCs w:val="18"/>
        </w:rPr>
        <w:br/>
      </w:r>
      <w:r w:rsidR="004328F7">
        <w:rPr>
          <w:rFonts w:ascii="Arial" w:hAnsi="Arial" w:cs="Arial"/>
          <w:spacing w:val="-1"/>
          <w:sz w:val="18"/>
          <w:szCs w:val="18"/>
        </w:rPr>
        <w:t>z wypadkami przy pracy.</w:t>
      </w:r>
    </w:p>
    <w:p w14:paraId="7ECAAAF9" w14:textId="77777777" w:rsidR="00F23C27" w:rsidRPr="002961D6" w:rsidRDefault="00D6336C" w:rsidP="00D701C7">
      <w:pPr>
        <w:autoSpaceDE w:val="0"/>
        <w:autoSpaceDN w:val="0"/>
        <w:adjustRightInd w:val="0"/>
        <w:spacing w:before="160" w:line="262" w:lineRule="exact"/>
        <w:ind w:firstLine="357"/>
        <w:jc w:val="both"/>
        <w:rPr>
          <w:rFonts w:ascii="Arial" w:hAnsi="Arial" w:cs="Arial"/>
          <w:b/>
          <w:bCs/>
          <w:sz w:val="18"/>
          <w:szCs w:val="18"/>
        </w:rPr>
      </w:pPr>
      <w:r w:rsidRPr="002961D6">
        <w:rPr>
          <w:rFonts w:ascii="Arial" w:hAnsi="Arial" w:cs="Arial"/>
          <w:b/>
          <w:bCs/>
          <w:i/>
          <w:iCs/>
          <w:sz w:val="18"/>
          <w:szCs w:val="18"/>
        </w:rPr>
        <w:t>Uwaga.</w:t>
      </w:r>
      <w:r w:rsidR="00F23C27" w:rsidRPr="002961D6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F23C27" w:rsidRPr="002961D6">
        <w:rPr>
          <w:rFonts w:ascii="Arial" w:hAnsi="Arial" w:cs="Arial"/>
          <w:b/>
          <w:bCs/>
          <w:iCs/>
          <w:sz w:val="18"/>
          <w:szCs w:val="18"/>
        </w:rPr>
        <w:t xml:space="preserve">W danych naliczonych na podstawie BAEL </w:t>
      </w:r>
      <w:r w:rsidR="00ED7925" w:rsidRPr="002961D6">
        <w:rPr>
          <w:rFonts w:ascii="Arial" w:hAnsi="Arial" w:cs="Arial"/>
          <w:b/>
          <w:bCs/>
          <w:iCs/>
          <w:sz w:val="18"/>
          <w:szCs w:val="18"/>
        </w:rPr>
        <w:t>ze</w:t>
      </w:r>
      <w:r w:rsidR="00F23C27" w:rsidRPr="002961D6">
        <w:rPr>
          <w:rFonts w:ascii="Arial" w:hAnsi="Arial" w:cs="Arial"/>
          <w:b/>
          <w:bCs/>
          <w:sz w:val="18"/>
          <w:szCs w:val="18"/>
        </w:rPr>
        <w:t xml:space="preserve"> względu na zaokrąglenia </w:t>
      </w:r>
      <w:r w:rsidR="002961D6">
        <w:rPr>
          <w:rFonts w:ascii="Arial" w:hAnsi="Arial" w:cs="Arial"/>
          <w:b/>
          <w:bCs/>
          <w:sz w:val="18"/>
          <w:szCs w:val="18"/>
        </w:rPr>
        <w:br/>
      </w:r>
      <w:r w:rsidR="00F23C27" w:rsidRPr="002961D6">
        <w:rPr>
          <w:rFonts w:ascii="Arial" w:hAnsi="Arial" w:cs="Arial"/>
          <w:b/>
          <w:bCs/>
          <w:sz w:val="18"/>
          <w:szCs w:val="18"/>
        </w:rPr>
        <w:t xml:space="preserve">dokonywane przy uogólnianiu wyników badania, w niektórych przypadkach sumy </w:t>
      </w:r>
      <w:r w:rsidR="002961D6">
        <w:rPr>
          <w:rFonts w:ascii="Arial" w:hAnsi="Arial" w:cs="Arial"/>
          <w:b/>
          <w:bCs/>
          <w:sz w:val="18"/>
          <w:szCs w:val="18"/>
        </w:rPr>
        <w:br/>
      </w:r>
      <w:r w:rsidR="00F23C27" w:rsidRPr="002961D6">
        <w:rPr>
          <w:rFonts w:ascii="Arial" w:hAnsi="Arial" w:cs="Arial"/>
          <w:b/>
          <w:bCs/>
          <w:sz w:val="18"/>
          <w:szCs w:val="18"/>
        </w:rPr>
        <w:t>z niższych poziomów klasyfikacji mogą się różnić od wielkości „ogółem” na wyższych poziomach klasyfikacji.</w:t>
      </w:r>
    </w:p>
    <w:p w14:paraId="400E1E80" w14:textId="77777777" w:rsidR="00F23C27" w:rsidRDefault="00F23C27" w:rsidP="00D701C7">
      <w:pPr>
        <w:spacing w:before="120" w:line="262" w:lineRule="exact"/>
        <w:ind w:firstLine="397"/>
        <w:jc w:val="both"/>
        <w:rPr>
          <w:rFonts w:ascii="Arial" w:hAnsi="Arial" w:cs="Arial"/>
          <w:b/>
          <w:bCs/>
          <w:spacing w:val="-2"/>
          <w:sz w:val="18"/>
          <w:szCs w:val="18"/>
        </w:rPr>
      </w:pPr>
      <w:r w:rsidRPr="00F84FD4">
        <w:rPr>
          <w:rFonts w:ascii="Arial" w:hAnsi="Arial" w:cs="Arial"/>
          <w:b/>
          <w:bCs/>
          <w:spacing w:val="-2"/>
          <w:sz w:val="18"/>
          <w:szCs w:val="18"/>
        </w:rPr>
        <w:t>Z uwagi na reprezentacyjną metodę badania</w:t>
      </w:r>
      <w:r w:rsidR="006925B5" w:rsidRPr="00F84FD4">
        <w:rPr>
          <w:rFonts w:ascii="Arial" w:hAnsi="Arial" w:cs="Arial"/>
          <w:b/>
          <w:bCs/>
          <w:spacing w:val="-2"/>
          <w:sz w:val="18"/>
          <w:szCs w:val="18"/>
        </w:rPr>
        <w:t xml:space="preserve"> aktywności ekonomicznej ludności</w:t>
      </w:r>
      <w:r w:rsidRPr="00F84FD4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="00531D5D" w:rsidRPr="00F84FD4">
        <w:rPr>
          <w:rFonts w:ascii="Arial" w:hAnsi="Arial" w:cs="Arial"/>
          <w:b/>
          <w:bCs/>
          <w:spacing w:val="-2"/>
          <w:sz w:val="18"/>
          <w:szCs w:val="18"/>
        </w:rPr>
        <w:br/>
      </w:r>
      <w:r w:rsidRPr="00F84FD4">
        <w:rPr>
          <w:rFonts w:ascii="Arial" w:hAnsi="Arial" w:cs="Arial"/>
          <w:b/>
          <w:bCs/>
          <w:spacing w:val="-3"/>
          <w:sz w:val="18"/>
          <w:szCs w:val="18"/>
        </w:rPr>
        <w:t>zalecana jest ostrożność w posługiwaniu się danymi w tych przypadkach, gdy zastosowano bardziej szczegółowe p</w:t>
      </w:r>
      <w:r w:rsidR="00EC0B1B" w:rsidRPr="00F84FD4">
        <w:rPr>
          <w:rFonts w:ascii="Arial" w:hAnsi="Arial" w:cs="Arial"/>
          <w:b/>
          <w:bCs/>
          <w:spacing w:val="-3"/>
          <w:sz w:val="18"/>
          <w:szCs w:val="18"/>
        </w:rPr>
        <w:t>o</w:t>
      </w:r>
      <w:r w:rsidRPr="00F84FD4">
        <w:rPr>
          <w:rFonts w:ascii="Arial" w:hAnsi="Arial" w:cs="Arial"/>
          <w:b/>
          <w:bCs/>
          <w:spacing w:val="-3"/>
          <w:sz w:val="18"/>
          <w:szCs w:val="18"/>
        </w:rPr>
        <w:t>działy i występują liczby niższego rzędu, mniejsze niż 15 tys.</w:t>
      </w:r>
      <w:r w:rsidRPr="00F84FD4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</w:p>
    <w:p w14:paraId="4F6F3BC5" w14:textId="4C3FC4E7" w:rsidR="00C27CED" w:rsidRPr="00F06EC6" w:rsidRDefault="00C27CED" w:rsidP="00D701C7">
      <w:pPr>
        <w:spacing w:before="120" w:line="262" w:lineRule="exact"/>
        <w:ind w:firstLine="397"/>
        <w:jc w:val="both"/>
        <w:rPr>
          <w:rFonts w:ascii="Arial" w:hAnsi="Arial" w:cs="Arial"/>
          <w:b/>
          <w:bCs/>
          <w:spacing w:val="-2"/>
          <w:sz w:val="18"/>
          <w:szCs w:val="18"/>
        </w:rPr>
      </w:pPr>
      <w:r w:rsidRPr="00F06EC6">
        <w:rPr>
          <w:rFonts w:ascii="Arial" w:hAnsi="Arial" w:cs="Arial"/>
          <w:b/>
          <w:sz w:val="18"/>
          <w:szCs w:val="18"/>
        </w:rPr>
        <w:t>W przypadku, gdy liczby po uogólnieniu wyników z próby wynoszą poniżej 5 tys., zostały one zastąpione znakiem (.), co oznacza, że konkretna wartość nie może być pokazana z uwagi na losowy błąd próby.</w:t>
      </w:r>
    </w:p>
    <w:p w14:paraId="78B4DAB4" w14:textId="77777777" w:rsidR="00AB654E" w:rsidRPr="00F84FD4" w:rsidRDefault="00AB654E" w:rsidP="00D701C7">
      <w:pPr>
        <w:spacing w:line="262" w:lineRule="exact"/>
        <w:ind w:firstLine="397"/>
        <w:jc w:val="both"/>
        <w:rPr>
          <w:rFonts w:ascii="Arial" w:hAnsi="Arial" w:cs="Arial"/>
          <w:sz w:val="18"/>
          <w:szCs w:val="18"/>
        </w:rPr>
      </w:pPr>
    </w:p>
    <w:p w14:paraId="4D373329" w14:textId="77777777" w:rsidR="00C70892" w:rsidRPr="008D357E" w:rsidRDefault="00C70892" w:rsidP="00D701C7">
      <w:pPr>
        <w:spacing w:line="262" w:lineRule="exact"/>
        <w:ind w:firstLine="397"/>
        <w:jc w:val="both"/>
        <w:rPr>
          <w:rFonts w:ascii="Arial" w:hAnsi="Arial" w:cs="Arial"/>
          <w:sz w:val="16"/>
          <w:szCs w:val="16"/>
        </w:rPr>
      </w:pPr>
      <w:r w:rsidRPr="00F84FD4">
        <w:rPr>
          <w:rFonts w:ascii="Arial" w:hAnsi="Arial" w:cs="Arial"/>
          <w:sz w:val="18"/>
          <w:szCs w:val="18"/>
        </w:rPr>
        <w:t>Zgodnie z obowiązującą Polską Klasyfikacją Działalności (PKD</w:t>
      </w:r>
      <w:r w:rsidR="0064493B" w:rsidRPr="00F84FD4">
        <w:rPr>
          <w:rFonts w:ascii="Arial" w:hAnsi="Arial" w:cs="Arial"/>
          <w:sz w:val="18"/>
          <w:szCs w:val="18"/>
        </w:rPr>
        <w:t xml:space="preserve"> 2007</w:t>
      </w:r>
      <w:r w:rsidRPr="00F84FD4">
        <w:rPr>
          <w:rFonts w:ascii="Arial" w:hAnsi="Arial" w:cs="Arial"/>
          <w:sz w:val="18"/>
          <w:szCs w:val="18"/>
        </w:rPr>
        <w:t>), w niniejszej publikacji wprowadzono skróty, których nazwy oznaczone zostały w tablicach znakiem „∆”. Zestawienie zastosowanych skrótów i pełnych nazw podaje się poniżej</w:t>
      </w:r>
      <w:r w:rsidR="00EB284B" w:rsidRPr="00F84FD4">
        <w:rPr>
          <w:rFonts w:ascii="Arial" w:hAnsi="Arial" w:cs="Arial"/>
          <w:sz w:val="18"/>
          <w:szCs w:val="18"/>
        </w:rPr>
        <w:t>:</w:t>
      </w:r>
    </w:p>
    <w:p w14:paraId="59B28AD4" w14:textId="77777777" w:rsidR="00EE4778" w:rsidRPr="008D357E" w:rsidRDefault="00EE4778" w:rsidP="00A95F20">
      <w:pPr>
        <w:ind w:left="357"/>
        <w:rPr>
          <w:rFonts w:ascii="Arial" w:hAnsi="Arial" w:cs="Arial"/>
          <w:sz w:val="10"/>
          <w:szCs w:val="10"/>
        </w:rPr>
      </w:pPr>
    </w:p>
    <w:tbl>
      <w:tblPr>
        <w:tblW w:w="7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3839"/>
        <w:gridCol w:w="3789"/>
        <w:gridCol w:w="10"/>
      </w:tblGrid>
      <w:tr w:rsidR="00C70892" w:rsidRPr="008D357E" w14:paraId="795E060F" w14:textId="77777777">
        <w:trPr>
          <w:trHeight w:val="280"/>
        </w:trPr>
        <w:tc>
          <w:tcPr>
            <w:tcW w:w="38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4C62D" w14:textId="77777777" w:rsidR="00C70892" w:rsidRPr="008D357E" w:rsidRDefault="007C77BD" w:rsidP="00D701C7">
            <w:pPr>
              <w:spacing w:before="120" w:after="40"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57E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="00C70892" w:rsidRPr="008D357E">
              <w:rPr>
                <w:rFonts w:ascii="Arial" w:hAnsi="Arial" w:cs="Arial"/>
                <w:b/>
                <w:bCs/>
                <w:sz w:val="18"/>
                <w:szCs w:val="18"/>
              </w:rPr>
              <w:t>krót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37A0C" w14:textId="77777777" w:rsidR="00C70892" w:rsidRPr="008D357E" w:rsidRDefault="007C77BD" w:rsidP="00D701C7">
            <w:pPr>
              <w:spacing w:before="120" w:after="40"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57E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C70892" w:rsidRPr="008D357E">
              <w:rPr>
                <w:rFonts w:ascii="Arial" w:hAnsi="Arial" w:cs="Arial"/>
                <w:b/>
                <w:bCs/>
                <w:sz w:val="18"/>
                <w:szCs w:val="18"/>
              </w:rPr>
              <w:t>ełna nazwa</w:t>
            </w:r>
          </w:p>
        </w:tc>
      </w:tr>
      <w:tr w:rsidR="00C70892" w:rsidRPr="008D357E" w14:paraId="5EC999C3" w14:textId="77777777">
        <w:trPr>
          <w:gridAfter w:val="1"/>
          <w:wAfter w:w="10" w:type="dxa"/>
          <w:trHeight w:val="300"/>
        </w:trPr>
        <w:tc>
          <w:tcPr>
            <w:tcW w:w="76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B5647" w14:textId="77777777" w:rsidR="00C70892" w:rsidRPr="008D357E" w:rsidRDefault="00C70892" w:rsidP="006F1287">
            <w:pPr>
              <w:spacing w:before="120" w:after="120"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57E">
              <w:rPr>
                <w:rFonts w:ascii="Arial" w:hAnsi="Arial" w:cs="Arial"/>
                <w:b/>
                <w:bCs/>
                <w:sz w:val="18"/>
                <w:szCs w:val="18"/>
              </w:rPr>
              <w:t>sekcje PKD</w:t>
            </w:r>
          </w:p>
        </w:tc>
      </w:tr>
      <w:tr w:rsidR="00C70892" w:rsidRPr="008D357E" w14:paraId="367CDA31" w14:textId="77777777">
        <w:trPr>
          <w:trHeight w:val="240"/>
        </w:trPr>
        <w:tc>
          <w:tcPr>
            <w:tcW w:w="38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CC1FA" w14:textId="77777777" w:rsidR="00C70892" w:rsidRPr="008D357E" w:rsidRDefault="00C70892" w:rsidP="00D701C7">
            <w:pPr>
              <w:spacing w:after="50" w:line="220" w:lineRule="exact"/>
              <w:ind w:left="170" w:right="113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8D357E">
              <w:rPr>
                <w:rFonts w:ascii="Arial" w:hAnsi="Arial" w:cs="Arial"/>
                <w:spacing w:val="-3"/>
                <w:sz w:val="18"/>
                <w:szCs w:val="18"/>
              </w:rPr>
              <w:t>wytwarzanie i zaopatrywanie w energię elektryczną, gaz, parę wodną i gorącą wodę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A827E" w14:textId="77777777" w:rsidR="00C70892" w:rsidRPr="008D357E" w:rsidRDefault="00C70892" w:rsidP="00D701C7">
            <w:pPr>
              <w:spacing w:after="50" w:line="220" w:lineRule="exact"/>
              <w:ind w:left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357E">
              <w:rPr>
                <w:rFonts w:ascii="Arial" w:hAnsi="Arial" w:cs="Arial"/>
                <w:sz w:val="18"/>
                <w:szCs w:val="18"/>
              </w:rPr>
              <w:t xml:space="preserve">wytwarzanie i zaopatrywanie w energię elektryczną, gaz, parę wodną, gorącą wodę </w:t>
            </w:r>
            <w:r w:rsidR="00E97972" w:rsidRPr="008D357E">
              <w:rPr>
                <w:rFonts w:ascii="Arial" w:hAnsi="Arial" w:cs="Arial"/>
                <w:sz w:val="18"/>
                <w:szCs w:val="18"/>
              </w:rPr>
              <w:br/>
            </w:r>
            <w:r w:rsidRPr="008D357E">
              <w:rPr>
                <w:rFonts w:ascii="Arial" w:hAnsi="Arial" w:cs="Arial"/>
                <w:sz w:val="18"/>
                <w:szCs w:val="18"/>
              </w:rPr>
              <w:t>i powietrze do układów klimatyzacyjnych</w:t>
            </w:r>
          </w:p>
        </w:tc>
      </w:tr>
      <w:tr w:rsidR="00C70892" w:rsidRPr="008D357E" w14:paraId="1BCD0588" w14:textId="77777777">
        <w:trPr>
          <w:gridBefore w:val="1"/>
          <w:wBefore w:w="10" w:type="dxa"/>
          <w:trHeight w:val="240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14:paraId="6ECB490A" w14:textId="77777777" w:rsidR="00C70892" w:rsidRPr="008D357E" w:rsidRDefault="00C70892" w:rsidP="00D701C7">
            <w:pPr>
              <w:spacing w:after="50" w:line="220" w:lineRule="exact"/>
              <w:ind w:left="170" w:right="113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8D357E">
              <w:rPr>
                <w:rFonts w:ascii="Arial" w:hAnsi="Arial" w:cs="Arial"/>
                <w:spacing w:val="-3"/>
                <w:sz w:val="18"/>
                <w:szCs w:val="18"/>
              </w:rPr>
              <w:t xml:space="preserve">dostawa wody; gospodarowanie ściekami </w:t>
            </w:r>
            <w:r w:rsidR="00E97972" w:rsidRPr="008D357E">
              <w:rPr>
                <w:rFonts w:ascii="Arial" w:hAnsi="Arial" w:cs="Arial"/>
                <w:spacing w:val="-3"/>
                <w:sz w:val="18"/>
                <w:szCs w:val="18"/>
              </w:rPr>
              <w:br/>
            </w:r>
            <w:r w:rsidRPr="008D357E">
              <w:rPr>
                <w:rFonts w:ascii="Arial" w:hAnsi="Arial" w:cs="Arial"/>
                <w:spacing w:val="-3"/>
                <w:sz w:val="18"/>
                <w:szCs w:val="18"/>
              </w:rPr>
              <w:t>i odpadami; rekultywacja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DEA2A" w14:textId="77777777" w:rsidR="00C70892" w:rsidRPr="008D357E" w:rsidRDefault="00C70892" w:rsidP="00D701C7">
            <w:pPr>
              <w:spacing w:after="50" w:line="220" w:lineRule="exact"/>
              <w:ind w:left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357E">
              <w:rPr>
                <w:rFonts w:ascii="Arial" w:hAnsi="Arial" w:cs="Arial"/>
                <w:spacing w:val="-3"/>
                <w:sz w:val="18"/>
                <w:szCs w:val="18"/>
              </w:rPr>
              <w:t xml:space="preserve">dostawa wody; gospodarowanie ściekami </w:t>
            </w:r>
            <w:r w:rsidR="00E97972" w:rsidRPr="008D357E">
              <w:rPr>
                <w:rFonts w:ascii="Arial" w:hAnsi="Arial" w:cs="Arial"/>
                <w:spacing w:val="-3"/>
                <w:sz w:val="18"/>
                <w:szCs w:val="18"/>
              </w:rPr>
              <w:br/>
            </w:r>
            <w:r w:rsidRPr="008D357E">
              <w:rPr>
                <w:rFonts w:ascii="Arial" w:hAnsi="Arial" w:cs="Arial"/>
                <w:spacing w:val="-3"/>
                <w:sz w:val="18"/>
                <w:szCs w:val="18"/>
              </w:rPr>
              <w:t>i odpadami oraz działalność związana z rekultywacją</w:t>
            </w:r>
          </w:p>
        </w:tc>
      </w:tr>
      <w:tr w:rsidR="00C70892" w:rsidRPr="008D357E" w14:paraId="47C92C40" w14:textId="77777777">
        <w:trPr>
          <w:gridBefore w:val="1"/>
          <w:wBefore w:w="10" w:type="dxa"/>
          <w:trHeight w:val="240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14:paraId="2359F5B2" w14:textId="77777777" w:rsidR="00C70892" w:rsidRPr="008D357E" w:rsidRDefault="00C70892" w:rsidP="00D701C7">
            <w:pPr>
              <w:spacing w:after="50" w:line="220" w:lineRule="exact"/>
              <w:ind w:left="170" w:right="113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8D357E">
              <w:rPr>
                <w:rFonts w:ascii="Arial" w:hAnsi="Arial" w:cs="Arial"/>
                <w:spacing w:val="-3"/>
                <w:sz w:val="18"/>
                <w:szCs w:val="18"/>
              </w:rPr>
              <w:t>handel; naprawa pojazdów samochodowych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3657C" w14:textId="77777777" w:rsidR="00C70892" w:rsidRPr="008D357E" w:rsidRDefault="00C70892" w:rsidP="00D701C7">
            <w:pPr>
              <w:spacing w:after="50" w:line="220" w:lineRule="exact"/>
              <w:ind w:left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357E">
              <w:rPr>
                <w:rFonts w:ascii="Arial" w:hAnsi="Arial" w:cs="Arial"/>
                <w:sz w:val="18"/>
                <w:szCs w:val="18"/>
              </w:rPr>
              <w:t>handel hurtowy i detaliczny; naprawa pojazdów samochodowych, włączając motocykle</w:t>
            </w:r>
          </w:p>
        </w:tc>
      </w:tr>
      <w:tr w:rsidR="00B347DB" w:rsidRPr="008D357E" w14:paraId="4FF4D8CA" w14:textId="77777777" w:rsidTr="005A7E09">
        <w:trPr>
          <w:trHeight w:val="280"/>
        </w:trPr>
        <w:tc>
          <w:tcPr>
            <w:tcW w:w="38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67BFC" w14:textId="77777777" w:rsidR="00B347DB" w:rsidRPr="008D357E" w:rsidRDefault="00B347DB" w:rsidP="005A7E09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57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skrót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F2D96" w14:textId="77777777" w:rsidR="00B347DB" w:rsidRPr="008D357E" w:rsidRDefault="00B347DB" w:rsidP="005A7E09">
            <w:pPr>
              <w:spacing w:before="40" w:after="40"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57E">
              <w:rPr>
                <w:rFonts w:ascii="Arial" w:hAnsi="Arial" w:cs="Arial"/>
                <w:b/>
                <w:bCs/>
                <w:sz w:val="18"/>
                <w:szCs w:val="18"/>
              </w:rPr>
              <w:t>pełna nazwa</w:t>
            </w:r>
          </w:p>
        </w:tc>
      </w:tr>
      <w:tr w:rsidR="00B347DB" w:rsidRPr="008D357E" w14:paraId="13DE2E12" w14:textId="77777777" w:rsidTr="005A7E09">
        <w:trPr>
          <w:gridAfter w:val="1"/>
          <w:wAfter w:w="10" w:type="dxa"/>
          <w:trHeight w:val="300"/>
        </w:trPr>
        <w:tc>
          <w:tcPr>
            <w:tcW w:w="76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D9C9D" w14:textId="77777777" w:rsidR="00B347DB" w:rsidRPr="008D357E" w:rsidRDefault="00B347DB" w:rsidP="005A7E09">
            <w:pPr>
              <w:spacing w:before="120" w:after="120" w:line="24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357E">
              <w:rPr>
                <w:rFonts w:ascii="Arial" w:hAnsi="Arial" w:cs="Arial"/>
                <w:b/>
                <w:bCs/>
                <w:sz w:val="18"/>
                <w:szCs w:val="18"/>
              </w:rPr>
              <w:t>sekcje PKD</w:t>
            </w:r>
          </w:p>
        </w:tc>
      </w:tr>
      <w:tr w:rsidR="00C70892" w:rsidRPr="008D357E" w14:paraId="61CE1995" w14:textId="77777777">
        <w:trPr>
          <w:gridBefore w:val="1"/>
          <w:wBefore w:w="10" w:type="dxa"/>
          <w:trHeight w:val="240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14:paraId="4D9A25E8" w14:textId="77777777" w:rsidR="00C70892" w:rsidRPr="008D357E" w:rsidRDefault="00C70892" w:rsidP="006F1287">
            <w:pPr>
              <w:spacing w:after="21" w:line="220" w:lineRule="exact"/>
              <w:ind w:left="170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8D357E">
              <w:rPr>
                <w:rFonts w:ascii="Arial" w:hAnsi="Arial" w:cs="Arial"/>
                <w:spacing w:val="-3"/>
                <w:sz w:val="18"/>
                <w:szCs w:val="18"/>
              </w:rPr>
              <w:t>zakwaterowanie i gastronomia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D060E" w14:textId="77777777" w:rsidR="00C70892" w:rsidRPr="008D357E" w:rsidRDefault="00C70892" w:rsidP="006F1287">
            <w:pPr>
              <w:spacing w:after="21" w:line="220" w:lineRule="exact"/>
              <w:ind w:left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357E">
              <w:rPr>
                <w:rFonts w:ascii="Arial" w:hAnsi="Arial" w:cs="Arial"/>
                <w:sz w:val="18"/>
                <w:szCs w:val="18"/>
              </w:rPr>
              <w:t xml:space="preserve">działalność związana z zakwaterowaniem </w:t>
            </w:r>
            <w:r w:rsidR="00E97972" w:rsidRPr="008D357E">
              <w:rPr>
                <w:rFonts w:ascii="Arial" w:hAnsi="Arial" w:cs="Arial"/>
                <w:sz w:val="18"/>
                <w:szCs w:val="18"/>
              </w:rPr>
              <w:br/>
            </w:r>
            <w:r w:rsidRPr="008D357E">
              <w:rPr>
                <w:rFonts w:ascii="Arial" w:hAnsi="Arial" w:cs="Arial"/>
                <w:sz w:val="18"/>
                <w:szCs w:val="18"/>
              </w:rPr>
              <w:t>i usługami gastronomicznymi</w:t>
            </w:r>
          </w:p>
        </w:tc>
      </w:tr>
      <w:tr w:rsidR="00C70892" w:rsidRPr="008D357E" w14:paraId="450D545C" w14:textId="77777777">
        <w:trPr>
          <w:gridBefore w:val="1"/>
          <w:wBefore w:w="10" w:type="dxa"/>
          <w:trHeight w:val="240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14:paraId="3AB84272" w14:textId="77777777" w:rsidR="00C70892" w:rsidRPr="008D357E" w:rsidRDefault="00C70892" w:rsidP="006F1287">
            <w:pPr>
              <w:spacing w:after="21" w:line="220" w:lineRule="exact"/>
              <w:ind w:left="170"/>
              <w:jc w:val="both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8D357E">
              <w:rPr>
                <w:rFonts w:ascii="Arial" w:hAnsi="Arial" w:cs="Arial"/>
                <w:spacing w:val="-3"/>
                <w:sz w:val="18"/>
                <w:szCs w:val="18"/>
              </w:rPr>
              <w:t>obsługa rynku nieruchomości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9D6AC" w14:textId="77777777" w:rsidR="00C70892" w:rsidRPr="008D357E" w:rsidRDefault="00C70892" w:rsidP="006F1287">
            <w:pPr>
              <w:spacing w:after="21" w:line="220" w:lineRule="exact"/>
              <w:ind w:left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357E">
              <w:rPr>
                <w:rFonts w:ascii="Arial" w:hAnsi="Arial" w:cs="Arial"/>
                <w:sz w:val="18"/>
                <w:szCs w:val="18"/>
              </w:rPr>
              <w:t>działalność związana z obsługą rynku nieruchomości</w:t>
            </w:r>
          </w:p>
        </w:tc>
      </w:tr>
      <w:tr w:rsidR="00C70892" w:rsidRPr="00440438" w14:paraId="0CE44042" w14:textId="77777777">
        <w:trPr>
          <w:gridBefore w:val="1"/>
          <w:wBefore w:w="10" w:type="dxa"/>
          <w:trHeight w:val="240"/>
        </w:trPr>
        <w:tc>
          <w:tcPr>
            <w:tcW w:w="3839" w:type="dxa"/>
            <w:tcBorders>
              <w:top w:val="nil"/>
              <w:left w:val="nil"/>
              <w:bottom w:val="nil"/>
              <w:right w:val="nil"/>
            </w:tcBorders>
          </w:tcPr>
          <w:p w14:paraId="2B6A1907" w14:textId="77777777" w:rsidR="00C70892" w:rsidRPr="00440438" w:rsidRDefault="00C70892" w:rsidP="006F1287">
            <w:pPr>
              <w:spacing w:after="21" w:line="220" w:lineRule="exact"/>
              <w:ind w:left="170"/>
              <w:jc w:val="both"/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</w:pPr>
            <w:r w:rsidRPr="00440438">
              <w:rPr>
                <w:rFonts w:ascii="Arial" w:hAnsi="Arial" w:cs="Arial"/>
                <w:color w:val="000000"/>
                <w:spacing w:val="-3"/>
                <w:sz w:val="18"/>
                <w:szCs w:val="18"/>
              </w:rPr>
              <w:t>administrowanie i działalność wspierająca</w:t>
            </w: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EDF96" w14:textId="77777777" w:rsidR="00C70892" w:rsidRPr="00440438" w:rsidRDefault="00C70892" w:rsidP="006F1287">
            <w:pPr>
              <w:spacing w:after="21" w:line="220" w:lineRule="exact"/>
              <w:ind w:left="17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40438">
              <w:rPr>
                <w:rFonts w:ascii="Arial" w:hAnsi="Arial" w:cs="Arial"/>
                <w:color w:val="000000"/>
                <w:sz w:val="18"/>
                <w:szCs w:val="18"/>
              </w:rPr>
              <w:t>działalność w zakresie usług administrowania i działalność wspierająca</w:t>
            </w:r>
          </w:p>
        </w:tc>
      </w:tr>
    </w:tbl>
    <w:p w14:paraId="2B81D162" w14:textId="77777777" w:rsidR="00B347DB" w:rsidRDefault="00B347DB" w:rsidP="00F77495">
      <w:pPr>
        <w:pStyle w:val="Nagwek1"/>
        <w:rPr>
          <w:rFonts w:ascii="Arial" w:hAnsi="Arial" w:cs="Arial"/>
          <w:sz w:val="20"/>
        </w:rPr>
      </w:pPr>
    </w:p>
    <w:sectPr w:rsidR="00B347DB" w:rsidSect="00C51BD6">
      <w:headerReference w:type="even" r:id="rId9"/>
      <w:headerReference w:type="default" r:id="rId10"/>
      <w:footnotePr>
        <w:numFmt w:val="lowerLetter"/>
      </w:footnotePr>
      <w:type w:val="continuous"/>
      <w:pgSz w:w="11906" w:h="16838" w:code="9"/>
      <w:pgMar w:top="2835" w:right="2183" w:bottom="2835" w:left="2183" w:header="2381" w:footer="709" w:gutter="0"/>
      <w:pgNumType w:start="15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72D51" w14:textId="77777777" w:rsidR="002153C5" w:rsidRDefault="002153C5">
      <w:r>
        <w:separator/>
      </w:r>
    </w:p>
  </w:endnote>
  <w:endnote w:type="continuationSeparator" w:id="0">
    <w:p w14:paraId="037D6285" w14:textId="77777777" w:rsidR="002153C5" w:rsidRDefault="0021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D27B5" w14:textId="77777777" w:rsidR="002153C5" w:rsidRDefault="002153C5">
      <w:r>
        <w:separator/>
      </w:r>
    </w:p>
  </w:footnote>
  <w:footnote w:type="continuationSeparator" w:id="0">
    <w:p w14:paraId="3580D77B" w14:textId="77777777" w:rsidR="002153C5" w:rsidRDefault="00215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61946" w14:textId="77777777" w:rsidR="00E97972" w:rsidRPr="00423C33" w:rsidRDefault="00391465" w:rsidP="00C51048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423C33">
      <w:rPr>
        <w:rStyle w:val="Numerstrony"/>
        <w:rFonts w:ascii="Arial" w:hAnsi="Arial" w:cs="Arial"/>
        <w:sz w:val="16"/>
        <w:szCs w:val="16"/>
      </w:rPr>
      <w:fldChar w:fldCharType="begin"/>
    </w:r>
    <w:r w:rsidR="00E97972" w:rsidRPr="00423C33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423C33">
      <w:rPr>
        <w:rStyle w:val="Numerstrony"/>
        <w:rFonts w:ascii="Arial" w:hAnsi="Arial" w:cs="Arial"/>
        <w:sz w:val="16"/>
        <w:szCs w:val="16"/>
      </w:rPr>
      <w:fldChar w:fldCharType="separate"/>
    </w:r>
    <w:r w:rsidR="00D21A4F">
      <w:rPr>
        <w:rStyle w:val="Numerstrony"/>
        <w:rFonts w:ascii="Arial" w:hAnsi="Arial" w:cs="Arial"/>
        <w:noProof/>
        <w:sz w:val="16"/>
        <w:szCs w:val="16"/>
      </w:rPr>
      <w:t>18</w:t>
    </w:r>
    <w:r w:rsidRPr="00423C33">
      <w:rPr>
        <w:rStyle w:val="Numerstrony"/>
        <w:rFonts w:ascii="Arial" w:hAnsi="Arial" w:cs="Arial"/>
        <w:sz w:val="16"/>
        <w:szCs w:val="16"/>
      </w:rPr>
      <w:fldChar w:fldCharType="end"/>
    </w:r>
  </w:p>
  <w:p w14:paraId="68943FE9" w14:textId="77777777" w:rsidR="00E97972" w:rsidRPr="00DD5088" w:rsidRDefault="00E97972" w:rsidP="00423C33">
    <w:pPr>
      <w:pStyle w:val="Nagwek"/>
      <w:pBdr>
        <w:bottom w:val="single" w:sz="4" w:space="1" w:color="auto"/>
      </w:pBdr>
      <w:tabs>
        <w:tab w:val="left" w:pos="3402"/>
      </w:tabs>
      <w:jc w:val="center"/>
      <w:rPr>
        <w:rFonts w:ascii="Arial" w:hAnsi="Arial"/>
        <w:i/>
        <w:sz w:val="16"/>
      </w:rPr>
    </w:pPr>
    <w:r>
      <w:rPr>
        <w:rFonts w:ascii="Arial" w:hAnsi="Arial"/>
        <w:i/>
        <w:sz w:val="16"/>
      </w:rPr>
      <w:t xml:space="preserve">Osoby </w:t>
    </w:r>
    <w:r w:rsidR="00E45E2C">
      <w:rPr>
        <w:rFonts w:ascii="Arial" w:hAnsi="Arial"/>
        <w:i/>
        <w:sz w:val="16"/>
      </w:rPr>
      <w:t>powyżej 50 roku życia</w:t>
    </w:r>
    <w:r>
      <w:rPr>
        <w:rFonts w:ascii="Arial" w:hAnsi="Arial"/>
        <w:i/>
        <w:sz w:val="16"/>
      </w:rPr>
      <w:t xml:space="preserve"> na rynku pracy w 20</w:t>
    </w:r>
    <w:r w:rsidR="00093E8C">
      <w:rPr>
        <w:rFonts w:ascii="Arial" w:hAnsi="Arial"/>
        <w:i/>
        <w:sz w:val="16"/>
      </w:rPr>
      <w:t>1</w:t>
    </w:r>
    <w:r w:rsidR="00B347DB">
      <w:rPr>
        <w:rFonts w:ascii="Arial" w:hAnsi="Arial"/>
        <w:i/>
        <w:sz w:val="16"/>
      </w:rPr>
      <w:t>5</w:t>
    </w:r>
    <w:r>
      <w:rPr>
        <w:rFonts w:ascii="Arial" w:hAnsi="Arial"/>
        <w:i/>
        <w:sz w:val="16"/>
      </w:rPr>
      <w:t xml:space="preserve"> r.</w:t>
    </w:r>
  </w:p>
  <w:p w14:paraId="1A64C84E" w14:textId="77777777" w:rsidR="00E97972" w:rsidRDefault="00E97972" w:rsidP="00423C33">
    <w:pPr>
      <w:pStyle w:val="Nagwek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FC557" w14:textId="77777777" w:rsidR="00E97972" w:rsidRDefault="00391465" w:rsidP="007C2D9C">
    <w:pPr>
      <w:pStyle w:val="Nagwek"/>
      <w:framePr w:wrap="around" w:vAnchor="text" w:hAnchor="margin" w:xAlign="outside" w:y="1"/>
      <w:rPr>
        <w:rStyle w:val="Numerstrony"/>
        <w:rFonts w:ascii="Arial" w:hAnsi="Arial"/>
        <w:sz w:val="16"/>
      </w:rPr>
    </w:pPr>
    <w:r>
      <w:rPr>
        <w:rStyle w:val="Numerstrony"/>
        <w:rFonts w:ascii="Arial" w:hAnsi="Arial"/>
        <w:sz w:val="16"/>
      </w:rPr>
      <w:fldChar w:fldCharType="begin"/>
    </w:r>
    <w:r w:rsidR="00E97972">
      <w:rPr>
        <w:rStyle w:val="Numerstrony"/>
        <w:rFonts w:ascii="Arial" w:hAnsi="Arial"/>
        <w:sz w:val="16"/>
      </w:rPr>
      <w:instrText xml:space="preserve">PAGE  </w:instrText>
    </w:r>
    <w:r>
      <w:rPr>
        <w:rStyle w:val="Numerstrony"/>
        <w:rFonts w:ascii="Arial" w:hAnsi="Arial"/>
        <w:sz w:val="16"/>
      </w:rPr>
      <w:fldChar w:fldCharType="separate"/>
    </w:r>
    <w:r w:rsidR="00D21A4F">
      <w:rPr>
        <w:rStyle w:val="Numerstrony"/>
        <w:rFonts w:ascii="Arial" w:hAnsi="Arial"/>
        <w:noProof/>
        <w:sz w:val="16"/>
      </w:rPr>
      <w:t>17</w:t>
    </w:r>
    <w:r>
      <w:rPr>
        <w:rStyle w:val="Numerstrony"/>
        <w:rFonts w:ascii="Arial" w:hAnsi="Arial"/>
        <w:sz w:val="16"/>
      </w:rPr>
      <w:fldChar w:fldCharType="end"/>
    </w:r>
  </w:p>
  <w:p w14:paraId="7CC299D5" w14:textId="77777777" w:rsidR="00E97972" w:rsidRDefault="00E97972" w:rsidP="00BF40B6">
    <w:pPr>
      <w:pStyle w:val="Nagwek"/>
      <w:pBdr>
        <w:bottom w:val="single" w:sz="4" w:space="0" w:color="auto"/>
      </w:pBdr>
      <w:tabs>
        <w:tab w:val="left" w:pos="3402"/>
      </w:tabs>
      <w:jc w:val="center"/>
      <w:rPr>
        <w:rFonts w:ascii="Arial" w:hAnsi="Arial"/>
        <w:i/>
        <w:sz w:val="16"/>
      </w:rPr>
    </w:pPr>
    <w:r>
      <w:rPr>
        <w:rFonts w:ascii="Arial" w:hAnsi="Arial"/>
        <w:i/>
        <w:sz w:val="16"/>
      </w:rPr>
      <w:t>Źródła i zakres danych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20D43"/>
    <w:multiLevelType w:val="hybridMultilevel"/>
    <w:tmpl w:val="D3F4B274"/>
    <w:lvl w:ilvl="0" w:tplc="D89C78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D1BF0"/>
    <w:multiLevelType w:val="hybridMultilevel"/>
    <w:tmpl w:val="471C7E8C"/>
    <w:lvl w:ilvl="0" w:tplc="271CB0DC">
      <w:start w:val="1"/>
      <w:numFmt w:val="bullet"/>
      <w:lvlText w:val="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1" w:tplc="8578C62A">
      <w:start w:val="1"/>
      <w:numFmt w:val="bullet"/>
      <w:lvlText w:val="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2" w:tplc="90A0B1EC">
      <w:start w:val="1"/>
      <w:numFmt w:val="bullet"/>
      <w:lvlText w:val=""/>
      <w:lvlJc w:val="left"/>
      <w:pPr>
        <w:tabs>
          <w:tab w:val="num" w:pos="255"/>
        </w:tabs>
        <w:ind w:left="255" w:hanging="255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2D75C5"/>
    <w:multiLevelType w:val="hybridMultilevel"/>
    <w:tmpl w:val="B052E6D4"/>
    <w:lvl w:ilvl="0" w:tplc="9EF8F714">
      <w:start w:val="1"/>
      <w:numFmt w:val="lowerLetter"/>
      <w:lvlText w:val="%1)"/>
      <w:lvlJc w:val="left"/>
      <w:pPr>
        <w:tabs>
          <w:tab w:val="num" w:pos="510"/>
        </w:tabs>
        <w:ind w:left="510" w:hanging="2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3">
    <w:nsid w:val="459D59FB"/>
    <w:multiLevelType w:val="hybridMultilevel"/>
    <w:tmpl w:val="560466C4"/>
    <w:lvl w:ilvl="0" w:tplc="30B285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26906"/>
    <w:multiLevelType w:val="hybridMultilevel"/>
    <w:tmpl w:val="46F47EA8"/>
    <w:lvl w:ilvl="0" w:tplc="8B2221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74"/>
    <w:rsid w:val="00006F44"/>
    <w:rsid w:val="00013BA0"/>
    <w:rsid w:val="00015168"/>
    <w:rsid w:val="000168AE"/>
    <w:rsid w:val="00020365"/>
    <w:rsid w:val="00026070"/>
    <w:rsid w:val="00026A01"/>
    <w:rsid w:val="00026B85"/>
    <w:rsid w:val="00031990"/>
    <w:rsid w:val="00044042"/>
    <w:rsid w:val="00051DC0"/>
    <w:rsid w:val="00056744"/>
    <w:rsid w:val="0006741C"/>
    <w:rsid w:val="000700E5"/>
    <w:rsid w:val="0007036A"/>
    <w:rsid w:val="00071955"/>
    <w:rsid w:val="00072315"/>
    <w:rsid w:val="00074002"/>
    <w:rsid w:val="0007408C"/>
    <w:rsid w:val="000762CE"/>
    <w:rsid w:val="00077537"/>
    <w:rsid w:val="00080581"/>
    <w:rsid w:val="00081677"/>
    <w:rsid w:val="00082115"/>
    <w:rsid w:val="000858E8"/>
    <w:rsid w:val="00087284"/>
    <w:rsid w:val="000934BA"/>
    <w:rsid w:val="00093E8C"/>
    <w:rsid w:val="00095CD7"/>
    <w:rsid w:val="000A1BF6"/>
    <w:rsid w:val="000A4164"/>
    <w:rsid w:val="000A5909"/>
    <w:rsid w:val="000B0833"/>
    <w:rsid w:val="000B38CB"/>
    <w:rsid w:val="000B6444"/>
    <w:rsid w:val="000C2608"/>
    <w:rsid w:val="000C3107"/>
    <w:rsid w:val="000C5655"/>
    <w:rsid w:val="000D1B85"/>
    <w:rsid w:val="000D310D"/>
    <w:rsid w:val="000D5BDF"/>
    <w:rsid w:val="000E4EB2"/>
    <w:rsid w:val="000E66D6"/>
    <w:rsid w:val="000E6939"/>
    <w:rsid w:val="000F0472"/>
    <w:rsid w:val="000F1F86"/>
    <w:rsid w:val="000F4ED7"/>
    <w:rsid w:val="000F5A5B"/>
    <w:rsid w:val="000F73F8"/>
    <w:rsid w:val="00111AC1"/>
    <w:rsid w:val="00112912"/>
    <w:rsid w:val="00114D98"/>
    <w:rsid w:val="001159DB"/>
    <w:rsid w:val="00117386"/>
    <w:rsid w:val="00121904"/>
    <w:rsid w:val="00121EE2"/>
    <w:rsid w:val="00122199"/>
    <w:rsid w:val="00122871"/>
    <w:rsid w:val="00123092"/>
    <w:rsid w:val="00126139"/>
    <w:rsid w:val="00132E1F"/>
    <w:rsid w:val="00135637"/>
    <w:rsid w:val="0014301A"/>
    <w:rsid w:val="001433C2"/>
    <w:rsid w:val="00152FCD"/>
    <w:rsid w:val="00155481"/>
    <w:rsid w:val="001606DB"/>
    <w:rsid w:val="001619E3"/>
    <w:rsid w:val="00172778"/>
    <w:rsid w:val="00174B7C"/>
    <w:rsid w:val="001807EE"/>
    <w:rsid w:val="00190076"/>
    <w:rsid w:val="00191040"/>
    <w:rsid w:val="001A027B"/>
    <w:rsid w:val="001A14F3"/>
    <w:rsid w:val="001A57D2"/>
    <w:rsid w:val="001A7365"/>
    <w:rsid w:val="001B25EE"/>
    <w:rsid w:val="001B6EB3"/>
    <w:rsid w:val="001C2F70"/>
    <w:rsid w:val="001C4FD9"/>
    <w:rsid w:val="001C793D"/>
    <w:rsid w:val="001D1D0E"/>
    <w:rsid w:val="001E2335"/>
    <w:rsid w:val="001E76FF"/>
    <w:rsid w:val="001F03AB"/>
    <w:rsid w:val="001F30E9"/>
    <w:rsid w:val="001F4258"/>
    <w:rsid w:val="001F5CA2"/>
    <w:rsid w:val="00200033"/>
    <w:rsid w:val="0020145D"/>
    <w:rsid w:val="00204F3D"/>
    <w:rsid w:val="00211CED"/>
    <w:rsid w:val="00213496"/>
    <w:rsid w:val="00213A43"/>
    <w:rsid w:val="002153C5"/>
    <w:rsid w:val="00220792"/>
    <w:rsid w:val="00226035"/>
    <w:rsid w:val="0023280B"/>
    <w:rsid w:val="002373D9"/>
    <w:rsid w:val="00240A03"/>
    <w:rsid w:val="002456CD"/>
    <w:rsid w:val="00252BB2"/>
    <w:rsid w:val="00253CE3"/>
    <w:rsid w:val="0026485F"/>
    <w:rsid w:val="00276310"/>
    <w:rsid w:val="002769F8"/>
    <w:rsid w:val="002866BC"/>
    <w:rsid w:val="00287314"/>
    <w:rsid w:val="002909E0"/>
    <w:rsid w:val="002961D6"/>
    <w:rsid w:val="002B473E"/>
    <w:rsid w:val="002B5583"/>
    <w:rsid w:val="002B6005"/>
    <w:rsid w:val="002C09AB"/>
    <w:rsid w:val="002C17E2"/>
    <w:rsid w:val="002D09B3"/>
    <w:rsid w:val="002D1E3F"/>
    <w:rsid w:val="002D2B21"/>
    <w:rsid w:val="002E0F66"/>
    <w:rsid w:val="002E40BA"/>
    <w:rsid w:val="002E792C"/>
    <w:rsid w:val="002E7C18"/>
    <w:rsid w:val="002E7E0D"/>
    <w:rsid w:val="002F0F77"/>
    <w:rsid w:val="002F1425"/>
    <w:rsid w:val="002F35ED"/>
    <w:rsid w:val="002F49FD"/>
    <w:rsid w:val="0030073F"/>
    <w:rsid w:val="00301DC3"/>
    <w:rsid w:val="003144C7"/>
    <w:rsid w:val="00317B3A"/>
    <w:rsid w:val="003217F9"/>
    <w:rsid w:val="00323750"/>
    <w:rsid w:val="00330329"/>
    <w:rsid w:val="00332ABA"/>
    <w:rsid w:val="00334525"/>
    <w:rsid w:val="0034350C"/>
    <w:rsid w:val="0035006C"/>
    <w:rsid w:val="003526C2"/>
    <w:rsid w:val="003537EE"/>
    <w:rsid w:val="00361ACC"/>
    <w:rsid w:val="00372BB7"/>
    <w:rsid w:val="0037719A"/>
    <w:rsid w:val="0038243F"/>
    <w:rsid w:val="00382F62"/>
    <w:rsid w:val="00384211"/>
    <w:rsid w:val="00386BF4"/>
    <w:rsid w:val="00386D9D"/>
    <w:rsid w:val="003912A4"/>
    <w:rsid w:val="00391465"/>
    <w:rsid w:val="0039560F"/>
    <w:rsid w:val="003A1D97"/>
    <w:rsid w:val="003A428B"/>
    <w:rsid w:val="003B1B90"/>
    <w:rsid w:val="003B20BD"/>
    <w:rsid w:val="003B26E0"/>
    <w:rsid w:val="003B5E50"/>
    <w:rsid w:val="003C0570"/>
    <w:rsid w:val="003C39A3"/>
    <w:rsid w:val="003C4407"/>
    <w:rsid w:val="003C65C5"/>
    <w:rsid w:val="003C6C41"/>
    <w:rsid w:val="003D2C39"/>
    <w:rsid w:val="003D393B"/>
    <w:rsid w:val="003D49AD"/>
    <w:rsid w:val="003D56FE"/>
    <w:rsid w:val="003E4A49"/>
    <w:rsid w:val="003F2D0D"/>
    <w:rsid w:val="003F3E82"/>
    <w:rsid w:val="003F796B"/>
    <w:rsid w:val="00401471"/>
    <w:rsid w:val="004020B0"/>
    <w:rsid w:val="004033E5"/>
    <w:rsid w:val="00403BF9"/>
    <w:rsid w:val="00405EAF"/>
    <w:rsid w:val="00410AB9"/>
    <w:rsid w:val="004121DF"/>
    <w:rsid w:val="0041338F"/>
    <w:rsid w:val="0042333A"/>
    <w:rsid w:val="00423C33"/>
    <w:rsid w:val="004328F7"/>
    <w:rsid w:val="0043321D"/>
    <w:rsid w:val="00435418"/>
    <w:rsid w:val="0043730A"/>
    <w:rsid w:val="00440438"/>
    <w:rsid w:val="00441D0D"/>
    <w:rsid w:val="0044306A"/>
    <w:rsid w:val="00444E7D"/>
    <w:rsid w:val="00445B25"/>
    <w:rsid w:val="0045596A"/>
    <w:rsid w:val="00457A47"/>
    <w:rsid w:val="00457EEE"/>
    <w:rsid w:val="00460CD4"/>
    <w:rsid w:val="00464D4D"/>
    <w:rsid w:val="00473F83"/>
    <w:rsid w:val="004756CE"/>
    <w:rsid w:val="00482A8B"/>
    <w:rsid w:val="00485B4E"/>
    <w:rsid w:val="00486B12"/>
    <w:rsid w:val="004912B9"/>
    <w:rsid w:val="00491DA3"/>
    <w:rsid w:val="004967F1"/>
    <w:rsid w:val="004A0FD5"/>
    <w:rsid w:val="004A3070"/>
    <w:rsid w:val="004A50F6"/>
    <w:rsid w:val="004A6EEB"/>
    <w:rsid w:val="004B20B7"/>
    <w:rsid w:val="004B3243"/>
    <w:rsid w:val="004B328C"/>
    <w:rsid w:val="004B3449"/>
    <w:rsid w:val="004B538E"/>
    <w:rsid w:val="004B5C02"/>
    <w:rsid w:val="004B7E2A"/>
    <w:rsid w:val="004B7EEE"/>
    <w:rsid w:val="004C0743"/>
    <w:rsid w:val="004C1DA6"/>
    <w:rsid w:val="004C4EC6"/>
    <w:rsid w:val="004D7C9A"/>
    <w:rsid w:val="004E0295"/>
    <w:rsid w:val="004E2A00"/>
    <w:rsid w:val="004E3B7B"/>
    <w:rsid w:val="004E5DEC"/>
    <w:rsid w:val="004E7933"/>
    <w:rsid w:val="004F3C55"/>
    <w:rsid w:val="004F5BA9"/>
    <w:rsid w:val="00501A59"/>
    <w:rsid w:val="00502237"/>
    <w:rsid w:val="0050622A"/>
    <w:rsid w:val="00514020"/>
    <w:rsid w:val="00515508"/>
    <w:rsid w:val="0051562C"/>
    <w:rsid w:val="00520B5F"/>
    <w:rsid w:val="00521959"/>
    <w:rsid w:val="00523583"/>
    <w:rsid w:val="005236C7"/>
    <w:rsid w:val="00524F6F"/>
    <w:rsid w:val="005277EC"/>
    <w:rsid w:val="005302A1"/>
    <w:rsid w:val="00531D5D"/>
    <w:rsid w:val="00535F1E"/>
    <w:rsid w:val="005628A3"/>
    <w:rsid w:val="00566EBE"/>
    <w:rsid w:val="00571DC4"/>
    <w:rsid w:val="0057343C"/>
    <w:rsid w:val="00576DD4"/>
    <w:rsid w:val="005826D0"/>
    <w:rsid w:val="00584E30"/>
    <w:rsid w:val="005860C2"/>
    <w:rsid w:val="00586E5F"/>
    <w:rsid w:val="00592B54"/>
    <w:rsid w:val="00592D11"/>
    <w:rsid w:val="0059352A"/>
    <w:rsid w:val="00594F15"/>
    <w:rsid w:val="00595CC0"/>
    <w:rsid w:val="005978F5"/>
    <w:rsid w:val="005A267A"/>
    <w:rsid w:val="005A3BE4"/>
    <w:rsid w:val="005B3851"/>
    <w:rsid w:val="005C4CBB"/>
    <w:rsid w:val="005C5D85"/>
    <w:rsid w:val="005C5F64"/>
    <w:rsid w:val="005D402A"/>
    <w:rsid w:val="005D4E28"/>
    <w:rsid w:val="005D4E83"/>
    <w:rsid w:val="005D633D"/>
    <w:rsid w:val="005D6710"/>
    <w:rsid w:val="005E07A3"/>
    <w:rsid w:val="005E1772"/>
    <w:rsid w:val="005E2B4F"/>
    <w:rsid w:val="005E6699"/>
    <w:rsid w:val="005E6983"/>
    <w:rsid w:val="005F2A62"/>
    <w:rsid w:val="005F3B33"/>
    <w:rsid w:val="0060145A"/>
    <w:rsid w:val="00601CE2"/>
    <w:rsid w:val="00603659"/>
    <w:rsid w:val="00604969"/>
    <w:rsid w:val="00605A9C"/>
    <w:rsid w:val="00620249"/>
    <w:rsid w:val="00620BD5"/>
    <w:rsid w:val="006223ED"/>
    <w:rsid w:val="00623122"/>
    <w:rsid w:val="00627C39"/>
    <w:rsid w:val="00631F4B"/>
    <w:rsid w:val="00632528"/>
    <w:rsid w:val="0063330E"/>
    <w:rsid w:val="00635512"/>
    <w:rsid w:val="00640410"/>
    <w:rsid w:val="00642BB4"/>
    <w:rsid w:val="0064493B"/>
    <w:rsid w:val="00647965"/>
    <w:rsid w:val="00650ADF"/>
    <w:rsid w:val="006530AB"/>
    <w:rsid w:val="00653F7D"/>
    <w:rsid w:val="006550C9"/>
    <w:rsid w:val="006634D2"/>
    <w:rsid w:val="00666AC2"/>
    <w:rsid w:val="00667E91"/>
    <w:rsid w:val="00671251"/>
    <w:rsid w:val="006731C2"/>
    <w:rsid w:val="0067764A"/>
    <w:rsid w:val="00681E46"/>
    <w:rsid w:val="00682036"/>
    <w:rsid w:val="00684662"/>
    <w:rsid w:val="00686163"/>
    <w:rsid w:val="00686180"/>
    <w:rsid w:val="00686274"/>
    <w:rsid w:val="00687C60"/>
    <w:rsid w:val="00691132"/>
    <w:rsid w:val="00691156"/>
    <w:rsid w:val="006925B5"/>
    <w:rsid w:val="00694672"/>
    <w:rsid w:val="006961BA"/>
    <w:rsid w:val="00696BEE"/>
    <w:rsid w:val="006A21C5"/>
    <w:rsid w:val="006A33F9"/>
    <w:rsid w:val="006A7D58"/>
    <w:rsid w:val="006B2AC7"/>
    <w:rsid w:val="006B36B0"/>
    <w:rsid w:val="006B4F01"/>
    <w:rsid w:val="006B5854"/>
    <w:rsid w:val="006B7BFB"/>
    <w:rsid w:val="006C239D"/>
    <w:rsid w:val="006C4471"/>
    <w:rsid w:val="006D14B4"/>
    <w:rsid w:val="006D3CF8"/>
    <w:rsid w:val="006D4599"/>
    <w:rsid w:val="006D4EC1"/>
    <w:rsid w:val="006E1DC4"/>
    <w:rsid w:val="006F1287"/>
    <w:rsid w:val="006F32D6"/>
    <w:rsid w:val="006F467E"/>
    <w:rsid w:val="006F5B88"/>
    <w:rsid w:val="006F6270"/>
    <w:rsid w:val="006F7C8B"/>
    <w:rsid w:val="00700499"/>
    <w:rsid w:val="007065E5"/>
    <w:rsid w:val="007079E2"/>
    <w:rsid w:val="0072384B"/>
    <w:rsid w:val="00731918"/>
    <w:rsid w:val="00731D01"/>
    <w:rsid w:val="00732351"/>
    <w:rsid w:val="00734984"/>
    <w:rsid w:val="0074328D"/>
    <w:rsid w:val="00743D26"/>
    <w:rsid w:val="007463E7"/>
    <w:rsid w:val="0075000B"/>
    <w:rsid w:val="0075298D"/>
    <w:rsid w:val="007555E4"/>
    <w:rsid w:val="00755CCF"/>
    <w:rsid w:val="007569AB"/>
    <w:rsid w:val="00760EE6"/>
    <w:rsid w:val="00763D56"/>
    <w:rsid w:val="00764210"/>
    <w:rsid w:val="007645E4"/>
    <w:rsid w:val="00766A25"/>
    <w:rsid w:val="0076765F"/>
    <w:rsid w:val="007705A5"/>
    <w:rsid w:val="00772068"/>
    <w:rsid w:val="00774CE0"/>
    <w:rsid w:val="007760E0"/>
    <w:rsid w:val="00777994"/>
    <w:rsid w:val="0078238A"/>
    <w:rsid w:val="00784BC5"/>
    <w:rsid w:val="007873FF"/>
    <w:rsid w:val="00787885"/>
    <w:rsid w:val="00787E23"/>
    <w:rsid w:val="00791F0C"/>
    <w:rsid w:val="00795CAC"/>
    <w:rsid w:val="007A547D"/>
    <w:rsid w:val="007C2D9C"/>
    <w:rsid w:val="007C77BD"/>
    <w:rsid w:val="007D1D15"/>
    <w:rsid w:val="007D288B"/>
    <w:rsid w:val="007D42DD"/>
    <w:rsid w:val="007D519D"/>
    <w:rsid w:val="007E1A37"/>
    <w:rsid w:val="007E2EE8"/>
    <w:rsid w:val="007F1AAC"/>
    <w:rsid w:val="007F76AE"/>
    <w:rsid w:val="0080217D"/>
    <w:rsid w:val="008138ED"/>
    <w:rsid w:val="0082107B"/>
    <w:rsid w:val="00821356"/>
    <w:rsid w:val="0082487A"/>
    <w:rsid w:val="008357F7"/>
    <w:rsid w:val="00840856"/>
    <w:rsid w:val="00841587"/>
    <w:rsid w:val="0084472E"/>
    <w:rsid w:val="008469D3"/>
    <w:rsid w:val="00847174"/>
    <w:rsid w:val="00854E42"/>
    <w:rsid w:val="008569E5"/>
    <w:rsid w:val="00864120"/>
    <w:rsid w:val="00867E57"/>
    <w:rsid w:val="00870FE3"/>
    <w:rsid w:val="00872EB2"/>
    <w:rsid w:val="00874B1D"/>
    <w:rsid w:val="00874C20"/>
    <w:rsid w:val="008752DF"/>
    <w:rsid w:val="00875D59"/>
    <w:rsid w:val="00881A08"/>
    <w:rsid w:val="00892522"/>
    <w:rsid w:val="00892689"/>
    <w:rsid w:val="0089509E"/>
    <w:rsid w:val="00897652"/>
    <w:rsid w:val="008A270C"/>
    <w:rsid w:val="008A48C1"/>
    <w:rsid w:val="008A5DD7"/>
    <w:rsid w:val="008B097A"/>
    <w:rsid w:val="008B32AD"/>
    <w:rsid w:val="008B3E32"/>
    <w:rsid w:val="008B7142"/>
    <w:rsid w:val="008B789E"/>
    <w:rsid w:val="008C2E8D"/>
    <w:rsid w:val="008D09D4"/>
    <w:rsid w:val="008D357E"/>
    <w:rsid w:val="008D417E"/>
    <w:rsid w:val="008D502F"/>
    <w:rsid w:val="008D518C"/>
    <w:rsid w:val="008D582E"/>
    <w:rsid w:val="008D7F22"/>
    <w:rsid w:val="008E23B3"/>
    <w:rsid w:val="008E3128"/>
    <w:rsid w:val="008E4A7B"/>
    <w:rsid w:val="008E60C6"/>
    <w:rsid w:val="008E665D"/>
    <w:rsid w:val="008E6C81"/>
    <w:rsid w:val="008E7540"/>
    <w:rsid w:val="008F0CAE"/>
    <w:rsid w:val="008F1562"/>
    <w:rsid w:val="008F4409"/>
    <w:rsid w:val="008F6439"/>
    <w:rsid w:val="008F6BAF"/>
    <w:rsid w:val="00901B49"/>
    <w:rsid w:val="00901FF0"/>
    <w:rsid w:val="00902C44"/>
    <w:rsid w:val="0091153D"/>
    <w:rsid w:val="00912686"/>
    <w:rsid w:val="00912B87"/>
    <w:rsid w:val="0091571F"/>
    <w:rsid w:val="00920BBE"/>
    <w:rsid w:val="00921145"/>
    <w:rsid w:val="009217C2"/>
    <w:rsid w:val="00922F59"/>
    <w:rsid w:val="00930E63"/>
    <w:rsid w:val="009315E3"/>
    <w:rsid w:val="009331A7"/>
    <w:rsid w:val="009351DF"/>
    <w:rsid w:val="00936DB3"/>
    <w:rsid w:val="00937456"/>
    <w:rsid w:val="00940A78"/>
    <w:rsid w:val="0094184F"/>
    <w:rsid w:val="00942E6F"/>
    <w:rsid w:val="00952CE8"/>
    <w:rsid w:val="00956F5B"/>
    <w:rsid w:val="00964E55"/>
    <w:rsid w:val="00966CED"/>
    <w:rsid w:val="00971B29"/>
    <w:rsid w:val="00975064"/>
    <w:rsid w:val="00981B3F"/>
    <w:rsid w:val="0098325E"/>
    <w:rsid w:val="009853DA"/>
    <w:rsid w:val="00992BC5"/>
    <w:rsid w:val="0099679A"/>
    <w:rsid w:val="009A6017"/>
    <w:rsid w:val="009A7CB7"/>
    <w:rsid w:val="009B0B4E"/>
    <w:rsid w:val="009B4CD6"/>
    <w:rsid w:val="009C1B5A"/>
    <w:rsid w:val="009C5261"/>
    <w:rsid w:val="009C5D88"/>
    <w:rsid w:val="009C6B08"/>
    <w:rsid w:val="009C6EA5"/>
    <w:rsid w:val="009D3218"/>
    <w:rsid w:val="009D4092"/>
    <w:rsid w:val="009D430D"/>
    <w:rsid w:val="009D50C7"/>
    <w:rsid w:val="009D783B"/>
    <w:rsid w:val="009D7C2C"/>
    <w:rsid w:val="009E19B6"/>
    <w:rsid w:val="009E2848"/>
    <w:rsid w:val="009E2857"/>
    <w:rsid w:val="009E2A71"/>
    <w:rsid w:val="009E2EB6"/>
    <w:rsid w:val="009E77BA"/>
    <w:rsid w:val="009F2A0C"/>
    <w:rsid w:val="009F2A1A"/>
    <w:rsid w:val="009F5B1C"/>
    <w:rsid w:val="00A06AE6"/>
    <w:rsid w:val="00A144AE"/>
    <w:rsid w:val="00A17257"/>
    <w:rsid w:val="00A22E8A"/>
    <w:rsid w:val="00A23F4E"/>
    <w:rsid w:val="00A34EC7"/>
    <w:rsid w:val="00A45AA2"/>
    <w:rsid w:val="00A47BDF"/>
    <w:rsid w:val="00A50B6E"/>
    <w:rsid w:val="00A51807"/>
    <w:rsid w:val="00A53DF8"/>
    <w:rsid w:val="00A53E14"/>
    <w:rsid w:val="00A56174"/>
    <w:rsid w:val="00A57616"/>
    <w:rsid w:val="00A62B74"/>
    <w:rsid w:val="00A632D6"/>
    <w:rsid w:val="00A634F9"/>
    <w:rsid w:val="00A66D42"/>
    <w:rsid w:val="00A676D0"/>
    <w:rsid w:val="00A730DE"/>
    <w:rsid w:val="00A77E4E"/>
    <w:rsid w:val="00A80982"/>
    <w:rsid w:val="00A85E0E"/>
    <w:rsid w:val="00A92EDA"/>
    <w:rsid w:val="00A93CBF"/>
    <w:rsid w:val="00A93F23"/>
    <w:rsid w:val="00A958E0"/>
    <w:rsid w:val="00A95C54"/>
    <w:rsid w:val="00A95F20"/>
    <w:rsid w:val="00A977FB"/>
    <w:rsid w:val="00AA195E"/>
    <w:rsid w:val="00AA2073"/>
    <w:rsid w:val="00AA3102"/>
    <w:rsid w:val="00AA3BE7"/>
    <w:rsid w:val="00AA4AFE"/>
    <w:rsid w:val="00AA6551"/>
    <w:rsid w:val="00AA712A"/>
    <w:rsid w:val="00AB0B15"/>
    <w:rsid w:val="00AB27F6"/>
    <w:rsid w:val="00AB56FC"/>
    <w:rsid w:val="00AB654E"/>
    <w:rsid w:val="00AB6859"/>
    <w:rsid w:val="00AB712C"/>
    <w:rsid w:val="00AB7588"/>
    <w:rsid w:val="00AC032D"/>
    <w:rsid w:val="00AC3625"/>
    <w:rsid w:val="00AD1BBB"/>
    <w:rsid w:val="00AD4DD2"/>
    <w:rsid w:val="00AE434F"/>
    <w:rsid w:val="00AE4802"/>
    <w:rsid w:val="00AE665D"/>
    <w:rsid w:val="00AE7169"/>
    <w:rsid w:val="00AF1E81"/>
    <w:rsid w:val="00AF218C"/>
    <w:rsid w:val="00AF564F"/>
    <w:rsid w:val="00AF5AB1"/>
    <w:rsid w:val="00B00699"/>
    <w:rsid w:val="00B01023"/>
    <w:rsid w:val="00B05E6E"/>
    <w:rsid w:val="00B21D74"/>
    <w:rsid w:val="00B25A88"/>
    <w:rsid w:val="00B318CA"/>
    <w:rsid w:val="00B3295F"/>
    <w:rsid w:val="00B347DB"/>
    <w:rsid w:val="00B36FC7"/>
    <w:rsid w:val="00B42007"/>
    <w:rsid w:val="00B455C4"/>
    <w:rsid w:val="00B45787"/>
    <w:rsid w:val="00B531B4"/>
    <w:rsid w:val="00B628DA"/>
    <w:rsid w:val="00B638EA"/>
    <w:rsid w:val="00B6480D"/>
    <w:rsid w:val="00B71099"/>
    <w:rsid w:val="00B82188"/>
    <w:rsid w:val="00B83505"/>
    <w:rsid w:val="00B9079D"/>
    <w:rsid w:val="00B9182A"/>
    <w:rsid w:val="00B92592"/>
    <w:rsid w:val="00B94097"/>
    <w:rsid w:val="00B94FFA"/>
    <w:rsid w:val="00BA5551"/>
    <w:rsid w:val="00BB0165"/>
    <w:rsid w:val="00BB1494"/>
    <w:rsid w:val="00BB4A79"/>
    <w:rsid w:val="00BB6056"/>
    <w:rsid w:val="00BC0880"/>
    <w:rsid w:val="00BC217B"/>
    <w:rsid w:val="00BC28E9"/>
    <w:rsid w:val="00BC4758"/>
    <w:rsid w:val="00BC4F70"/>
    <w:rsid w:val="00BD04FE"/>
    <w:rsid w:val="00BD517A"/>
    <w:rsid w:val="00BE71C9"/>
    <w:rsid w:val="00BF0D8F"/>
    <w:rsid w:val="00BF40B6"/>
    <w:rsid w:val="00BF6F63"/>
    <w:rsid w:val="00C01EA8"/>
    <w:rsid w:val="00C04ADE"/>
    <w:rsid w:val="00C1742A"/>
    <w:rsid w:val="00C23D28"/>
    <w:rsid w:val="00C242B8"/>
    <w:rsid w:val="00C27CED"/>
    <w:rsid w:val="00C310AB"/>
    <w:rsid w:val="00C34F71"/>
    <w:rsid w:val="00C42468"/>
    <w:rsid w:val="00C44417"/>
    <w:rsid w:val="00C46B76"/>
    <w:rsid w:val="00C46F96"/>
    <w:rsid w:val="00C47D36"/>
    <w:rsid w:val="00C51048"/>
    <w:rsid w:val="00C51676"/>
    <w:rsid w:val="00C51BD6"/>
    <w:rsid w:val="00C56169"/>
    <w:rsid w:val="00C60056"/>
    <w:rsid w:val="00C610E6"/>
    <w:rsid w:val="00C65BF0"/>
    <w:rsid w:val="00C65D0C"/>
    <w:rsid w:val="00C70892"/>
    <w:rsid w:val="00C7218F"/>
    <w:rsid w:val="00C73438"/>
    <w:rsid w:val="00C756B4"/>
    <w:rsid w:val="00C83699"/>
    <w:rsid w:val="00C841AE"/>
    <w:rsid w:val="00C842EF"/>
    <w:rsid w:val="00C932A4"/>
    <w:rsid w:val="00C93C24"/>
    <w:rsid w:val="00C94C9C"/>
    <w:rsid w:val="00CA3096"/>
    <w:rsid w:val="00CA674F"/>
    <w:rsid w:val="00CB11BA"/>
    <w:rsid w:val="00CB3B07"/>
    <w:rsid w:val="00CC29D9"/>
    <w:rsid w:val="00CC4C43"/>
    <w:rsid w:val="00CC68AA"/>
    <w:rsid w:val="00CD2B47"/>
    <w:rsid w:val="00CD3079"/>
    <w:rsid w:val="00CD4F3C"/>
    <w:rsid w:val="00CD5716"/>
    <w:rsid w:val="00CE27DD"/>
    <w:rsid w:val="00CE43DD"/>
    <w:rsid w:val="00CE5894"/>
    <w:rsid w:val="00CE6C4A"/>
    <w:rsid w:val="00CF0E70"/>
    <w:rsid w:val="00CF1982"/>
    <w:rsid w:val="00CF7F68"/>
    <w:rsid w:val="00D0055C"/>
    <w:rsid w:val="00D015C4"/>
    <w:rsid w:val="00D01CB9"/>
    <w:rsid w:val="00D06DA0"/>
    <w:rsid w:val="00D11651"/>
    <w:rsid w:val="00D11C5A"/>
    <w:rsid w:val="00D12BBE"/>
    <w:rsid w:val="00D1425A"/>
    <w:rsid w:val="00D172F4"/>
    <w:rsid w:val="00D2180F"/>
    <w:rsid w:val="00D21A4F"/>
    <w:rsid w:val="00D25A27"/>
    <w:rsid w:val="00D26190"/>
    <w:rsid w:val="00D3437A"/>
    <w:rsid w:val="00D35F07"/>
    <w:rsid w:val="00D401FB"/>
    <w:rsid w:val="00D4055A"/>
    <w:rsid w:val="00D426C1"/>
    <w:rsid w:val="00D46B8C"/>
    <w:rsid w:val="00D52BF9"/>
    <w:rsid w:val="00D52DD7"/>
    <w:rsid w:val="00D52EF1"/>
    <w:rsid w:val="00D52F9E"/>
    <w:rsid w:val="00D55F43"/>
    <w:rsid w:val="00D56B7D"/>
    <w:rsid w:val="00D57394"/>
    <w:rsid w:val="00D62330"/>
    <w:rsid w:val="00D6336C"/>
    <w:rsid w:val="00D645D2"/>
    <w:rsid w:val="00D701C7"/>
    <w:rsid w:val="00D70F7A"/>
    <w:rsid w:val="00D7424F"/>
    <w:rsid w:val="00D7656D"/>
    <w:rsid w:val="00D85E6F"/>
    <w:rsid w:val="00D92081"/>
    <w:rsid w:val="00D92C69"/>
    <w:rsid w:val="00DA0032"/>
    <w:rsid w:val="00DA0D24"/>
    <w:rsid w:val="00DB5964"/>
    <w:rsid w:val="00DB7F01"/>
    <w:rsid w:val="00DC21DD"/>
    <w:rsid w:val="00DC3393"/>
    <w:rsid w:val="00DC34A2"/>
    <w:rsid w:val="00DD0E7C"/>
    <w:rsid w:val="00DD2620"/>
    <w:rsid w:val="00DE2101"/>
    <w:rsid w:val="00DE4774"/>
    <w:rsid w:val="00DE4AB3"/>
    <w:rsid w:val="00DF35D2"/>
    <w:rsid w:val="00DF4D78"/>
    <w:rsid w:val="00DF5397"/>
    <w:rsid w:val="00E045D8"/>
    <w:rsid w:val="00E05628"/>
    <w:rsid w:val="00E066B6"/>
    <w:rsid w:val="00E13BA2"/>
    <w:rsid w:val="00E14847"/>
    <w:rsid w:val="00E22D12"/>
    <w:rsid w:val="00E24ECD"/>
    <w:rsid w:val="00E271B3"/>
    <w:rsid w:val="00E352E7"/>
    <w:rsid w:val="00E36B34"/>
    <w:rsid w:val="00E37D41"/>
    <w:rsid w:val="00E37EAE"/>
    <w:rsid w:val="00E41C51"/>
    <w:rsid w:val="00E45E2C"/>
    <w:rsid w:val="00E55E52"/>
    <w:rsid w:val="00E57573"/>
    <w:rsid w:val="00E57EBD"/>
    <w:rsid w:val="00E63AD0"/>
    <w:rsid w:val="00E63F5C"/>
    <w:rsid w:val="00E64D29"/>
    <w:rsid w:val="00E65D1F"/>
    <w:rsid w:val="00E70851"/>
    <w:rsid w:val="00E74CD7"/>
    <w:rsid w:val="00E76711"/>
    <w:rsid w:val="00E834E8"/>
    <w:rsid w:val="00E83C67"/>
    <w:rsid w:val="00E85776"/>
    <w:rsid w:val="00E857D8"/>
    <w:rsid w:val="00E86073"/>
    <w:rsid w:val="00E97972"/>
    <w:rsid w:val="00EA3887"/>
    <w:rsid w:val="00EB0C8C"/>
    <w:rsid w:val="00EB2532"/>
    <w:rsid w:val="00EB284B"/>
    <w:rsid w:val="00EC0B1B"/>
    <w:rsid w:val="00EC471C"/>
    <w:rsid w:val="00ED326C"/>
    <w:rsid w:val="00ED3B07"/>
    <w:rsid w:val="00ED542F"/>
    <w:rsid w:val="00ED75CB"/>
    <w:rsid w:val="00ED7925"/>
    <w:rsid w:val="00EE09DE"/>
    <w:rsid w:val="00EE1930"/>
    <w:rsid w:val="00EE1C97"/>
    <w:rsid w:val="00EE4778"/>
    <w:rsid w:val="00EE5E29"/>
    <w:rsid w:val="00EF5844"/>
    <w:rsid w:val="00F0077B"/>
    <w:rsid w:val="00F045B8"/>
    <w:rsid w:val="00F058B3"/>
    <w:rsid w:val="00F06EC6"/>
    <w:rsid w:val="00F23C27"/>
    <w:rsid w:val="00F27E19"/>
    <w:rsid w:val="00F34B6B"/>
    <w:rsid w:val="00F43B2D"/>
    <w:rsid w:val="00F514EB"/>
    <w:rsid w:val="00F52E4A"/>
    <w:rsid w:val="00F5356A"/>
    <w:rsid w:val="00F62F56"/>
    <w:rsid w:val="00F712BC"/>
    <w:rsid w:val="00F7268E"/>
    <w:rsid w:val="00F76CF5"/>
    <w:rsid w:val="00F77495"/>
    <w:rsid w:val="00F8132C"/>
    <w:rsid w:val="00F81E2F"/>
    <w:rsid w:val="00F84FD4"/>
    <w:rsid w:val="00F85B1C"/>
    <w:rsid w:val="00F87350"/>
    <w:rsid w:val="00F90755"/>
    <w:rsid w:val="00F912CC"/>
    <w:rsid w:val="00F9142E"/>
    <w:rsid w:val="00F93DFC"/>
    <w:rsid w:val="00F94333"/>
    <w:rsid w:val="00F94FCD"/>
    <w:rsid w:val="00FA3333"/>
    <w:rsid w:val="00FA3931"/>
    <w:rsid w:val="00FA5AAA"/>
    <w:rsid w:val="00FA690F"/>
    <w:rsid w:val="00FB0A5B"/>
    <w:rsid w:val="00FB2A66"/>
    <w:rsid w:val="00FB3264"/>
    <w:rsid w:val="00FB495E"/>
    <w:rsid w:val="00FB5676"/>
    <w:rsid w:val="00FB61EC"/>
    <w:rsid w:val="00FC3EA8"/>
    <w:rsid w:val="00FC50B0"/>
    <w:rsid w:val="00FD3C2B"/>
    <w:rsid w:val="00FD4FB7"/>
    <w:rsid w:val="00FD5741"/>
    <w:rsid w:val="00FD6BE9"/>
    <w:rsid w:val="00FE0D98"/>
    <w:rsid w:val="00FE3E03"/>
    <w:rsid w:val="00FE40F6"/>
    <w:rsid w:val="00FE55F3"/>
    <w:rsid w:val="00FF213C"/>
    <w:rsid w:val="00FF2770"/>
    <w:rsid w:val="00FF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921532"/>
  <w15:docId w15:val="{6C5AEC1A-1790-422D-8357-8288B31C5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5854"/>
  </w:style>
  <w:style w:type="paragraph" w:styleId="Nagwek1">
    <w:name w:val="heading 1"/>
    <w:basedOn w:val="Normalny"/>
    <w:next w:val="Normalny"/>
    <w:qFormat/>
    <w:rsid w:val="004B20B7"/>
    <w:pPr>
      <w:keepNext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4B20B7"/>
    <w:pPr>
      <w:keepNext/>
      <w:spacing w:before="120"/>
      <w:jc w:val="center"/>
      <w:outlineLvl w:val="1"/>
    </w:pPr>
    <w:rPr>
      <w:rFonts w:ascii="Arial" w:hAnsi="Arial"/>
      <w:b/>
      <w:sz w:val="16"/>
    </w:rPr>
  </w:style>
  <w:style w:type="paragraph" w:styleId="Nagwek3">
    <w:name w:val="heading 3"/>
    <w:basedOn w:val="Normalny"/>
    <w:next w:val="Normalny"/>
    <w:qFormat/>
    <w:rsid w:val="004B20B7"/>
    <w:pPr>
      <w:keepNext/>
      <w:tabs>
        <w:tab w:val="right" w:leader="dot" w:pos="1773"/>
      </w:tabs>
      <w:spacing w:before="120"/>
      <w:outlineLvl w:val="2"/>
    </w:pPr>
    <w:rPr>
      <w:rFonts w:ascii="Arial" w:hAnsi="Arial"/>
      <w:b/>
      <w:sz w:val="16"/>
    </w:rPr>
  </w:style>
  <w:style w:type="paragraph" w:styleId="Nagwek4">
    <w:name w:val="heading 4"/>
    <w:basedOn w:val="Normalny"/>
    <w:next w:val="Normalny"/>
    <w:qFormat/>
    <w:rsid w:val="004B20B7"/>
    <w:pPr>
      <w:keepNext/>
      <w:tabs>
        <w:tab w:val="left" w:leader="dot" w:pos="1701"/>
      </w:tabs>
      <w:spacing w:before="40"/>
      <w:outlineLvl w:val="3"/>
    </w:pPr>
    <w:rPr>
      <w:b/>
      <w:caps/>
      <w:snapToGrid w:val="0"/>
      <w:color w:val="000000"/>
      <w:sz w:val="16"/>
    </w:rPr>
  </w:style>
  <w:style w:type="paragraph" w:styleId="Nagwek5">
    <w:name w:val="heading 5"/>
    <w:basedOn w:val="Normalny"/>
    <w:next w:val="Normalny"/>
    <w:qFormat/>
    <w:rsid w:val="004B20B7"/>
    <w:pPr>
      <w:keepNext/>
      <w:tabs>
        <w:tab w:val="left" w:leader="dot" w:pos="1701"/>
      </w:tabs>
      <w:spacing w:before="80"/>
      <w:outlineLvl w:val="4"/>
    </w:pPr>
    <w:rPr>
      <w:i/>
      <w:snapToGrid w:val="0"/>
      <w:color w:val="000000"/>
      <w:sz w:val="16"/>
    </w:rPr>
  </w:style>
  <w:style w:type="paragraph" w:styleId="Nagwek6">
    <w:name w:val="heading 6"/>
    <w:basedOn w:val="Normalny"/>
    <w:next w:val="Normalny"/>
    <w:qFormat/>
    <w:rsid w:val="004B20B7"/>
    <w:pPr>
      <w:keepNext/>
      <w:spacing w:before="180" w:after="180"/>
      <w:jc w:val="both"/>
      <w:outlineLvl w:val="5"/>
    </w:pPr>
    <w:rPr>
      <w:b/>
      <w:i/>
      <w:sz w:val="16"/>
    </w:rPr>
  </w:style>
  <w:style w:type="paragraph" w:styleId="Nagwek7">
    <w:name w:val="heading 7"/>
    <w:basedOn w:val="Normalny"/>
    <w:next w:val="Normalny"/>
    <w:qFormat/>
    <w:rsid w:val="004B20B7"/>
    <w:pPr>
      <w:keepNext/>
      <w:outlineLvl w:val="6"/>
    </w:pPr>
    <w:rPr>
      <w:rFonts w:ascii="Arial" w:hAnsi="Arial"/>
      <w:b/>
    </w:rPr>
  </w:style>
  <w:style w:type="paragraph" w:styleId="Nagwek8">
    <w:name w:val="heading 8"/>
    <w:basedOn w:val="Normalny"/>
    <w:next w:val="Normalny"/>
    <w:qFormat/>
    <w:rsid w:val="004B20B7"/>
    <w:pPr>
      <w:keepNext/>
      <w:spacing w:before="240" w:after="240"/>
      <w:jc w:val="both"/>
      <w:outlineLvl w:val="7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B20B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B20B7"/>
  </w:style>
  <w:style w:type="paragraph" w:styleId="Stopka">
    <w:name w:val="footer"/>
    <w:basedOn w:val="Normalny"/>
    <w:rsid w:val="004B20B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B20B7"/>
    <w:pPr>
      <w:spacing w:after="60"/>
    </w:pPr>
    <w:rPr>
      <w:b/>
      <w:sz w:val="18"/>
    </w:rPr>
  </w:style>
  <w:style w:type="paragraph" w:customStyle="1" w:styleId="Tytutabeli">
    <w:name w:val="Tytuł tabeli"/>
    <w:basedOn w:val="Normalny"/>
    <w:rsid w:val="004B20B7"/>
    <w:pPr>
      <w:ind w:left="907" w:hanging="907"/>
    </w:pPr>
    <w:rPr>
      <w:b/>
    </w:rPr>
  </w:style>
  <w:style w:type="paragraph" w:customStyle="1" w:styleId="glowka1ang">
    <w:name w:val="glowka1 ang"/>
    <w:basedOn w:val="Gwkaang"/>
    <w:rsid w:val="004B20B7"/>
    <w:pPr>
      <w:spacing w:line="180" w:lineRule="exact"/>
      <w:ind w:left="284"/>
      <w:jc w:val="left"/>
    </w:pPr>
  </w:style>
  <w:style w:type="paragraph" w:customStyle="1" w:styleId="Gwkaang">
    <w:name w:val="Główka ang"/>
    <w:basedOn w:val="Gwka"/>
    <w:rsid w:val="004B20B7"/>
    <w:rPr>
      <w:i/>
      <w:lang w:val="en-GB"/>
    </w:rPr>
  </w:style>
  <w:style w:type="paragraph" w:customStyle="1" w:styleId="Gwka">
    <w:name w:val="Główka"/>
    <w:basedOn w:val="Normalny"/>
    <w:rsid w:val="004B20B7"/>
    <w:pPr>
      <w:spacing w:before="40" w:after="40"/>
      <w:jc w:val="center"/>
    </w:pPr>
    <w:rPr>
      <w:sz w:val="16"/>
    </w:rPr>
  </w:style>
  <w:style w:type="paragraph" w:customStyle="1" w:styleId="bocz3">
    <w:name w:val="bocz3"/>
    <w:aliases w:val="5"/>
    <w:basedOn w:val="Boczek"/>
    <w:rsid w:val="004B20B7"/>
    <w:pPr>
      <w:tabs>
        <w:tab w:val="clear" w:pos="1064"/>
        <w:tab w:val="clear" w:pos="1247"/>
        <w:tab w:val="clear" w:pos="1474"/>
        <w:tab w:val="left" w:leader="dot" w:pos="1985"/>
      </w:tabs>
    </w:pPr>
  </w:style>
  <w:style w:type="paragraph" w:customStyle="1" w:styleId="Boczek">
    <w:name w:val="Boczek ..."/>
    <w:basedOn w:val="Boczek0"/>
    <w:rsid w:val="004B20B7"/>
    <w:pPr>
      <w:tabs>
        <w:tab w:val="left" w:leader="dot" w:pos="1064"/>
        <w:tab w:val="left" w:leader="dot" w:pos="1247"/>
        <w:tab w:val="left" w:leader="dot" w:pos="1474"/>
      </w:tabs>
    </w:pPr>
  </w:style>
  <w:style w:type="paragraph" w:customStyle="1" w:styleId="Boczek0">
    <w:name w:val="Boczek"/>
    <w:basedOn w:val="Normalny"/>
    <w:rsid w:val="004B20B7"/>
    <w:pPr>
      <w:spacing w:before="20" w:after="20"/>
      <w:ind w:left="57"/>
    </w:pPr>
    <w:rPr>
      <w:sz w:val="16"/>
    </w:rPr>
  </w:style>
  <w:style w:type="paragraph" w:customStyle="1" w:styleId="boczek68">
    <w:name w:val="boczek6.8"/>
    <w:basedOn w:val="Boczek"/>
    <w:rsid w:val="004B20B7"/>
    <w:pPr>
      <w:tabs>
        <w:tab w:val="clear" w:pos="1064"/>
        <w:tab w:val="clear" w:pos="1247"/>
        <w:tab w:val="clear" w:pos="1474"/>
        <w:tab w:val="left" w:leader="dot" w:pos="3912"/>
      </w:tabs>
      <w:ind w:left="0"/>
    </w:pPr>
  </w:style>
  <w:style w:type="character" w:styleId="Odwoaniedokomentarza">
    <w:name w:val="annotation reference"/>
    <w:basedOn w:val="Domylnaczcionkaakapitu"/>
    <w:semiHidden/>
    <w:rsid w:val="004B20B7"/>
    <w:rPr>
      <w:sz w:val="16"/>
    </w:rPr>
  </w:style>
  <w:style w:type="paragraph" w:styleId="Tekstpodstawowywcity">
    <w:name w:val="Body Text Indent"/>
    <w:basedOn w:val="Normalny"/>
    <w:rsid w:val="004B20B7"/>
    <w:pPr>
      <w:spacing w:before="100" w:after="100"/>
      <w:ind w:left="227" w:hanging="227"/>
    </w:pPr>
    <w:rPr>
      <w:sz w:val="14"/>
    </w:rPr>
  </w:style>
  <w:style w:type="paragraph" w:styleId="Tekstkomentarza">
    <w:name w:val="annotation text"/>
    <w:basedOn w:val="Normalny"/>
    <w:link w:val="TekstkomentarzaZnak"/>
    <w:semiHidden/>
    <w:rsid w:val="004B20B7"/>
  </w:style>
  <w:style w:type="paragraph" w:styleId="Tekstpodstawowy2">
    <w:name w:val="Body Text 2"/>
    <w:basedOn w:val="Normalny"/>
    <w:rsid w:val="004B20B7"/>
    <w:pPr>
      <w:spacing w:line="360" w:lineRule="auto"/>
      <w:jc w:val="both"/>
    </w:pPr>
    <w:rPr>
      <w:sz w:val="16"/>
    </w:rPr>
  </w:style>
  <w:style w:type="paragraph" w:styleId="Tekstpodstawowywcity2">
    <w:name w:val="Body Text Indent 2"/>
    <w:basedOn w:val="Normalny"/>
    <w:rsid w:val="004B20B7"/>
    <w:pPr>
      <w:spacing w:line="360" w:lineRule="auto"/>
      <w:ind w:firstLine="284"/>
      <w:jc w:val="both"/>
    </w:pPr>
    <w:rPr>
      <w:sz w:val="18"/>
    </w:rPr>
  </w:style>
  <w:style w:type="paragraph" w:styleId="Tekstpodstawowywcity3">
    <w:name w:val="Body Text Indent 3"/>
    <w:basedOn w:val="Normalny"/>
    <w:rsid w:val="004B20B7"/>
    <w:pPr>
      <w:tabs>
        <w:tab w:val="num" w:pos="284"/>
      </w:tabs>
      <w:spacing w:line="360" w:lineRule="auto"/>
      <w:ind w:left="284" w:hanging="284"/>
      <w:jc w:val="both"/>
    </w:pPr>
    <w:rPr>
      <w:sz w:val="18"/>
    </w:rPr>
  </w:style>
  <w:style w:type="paragraph" w:styleId="Tekstpodstawowy3">
    <w:name w:val="Body Text 3"/>
    <w:basedOn w:val="Normalny"/>
    <w:rsid w:val="004B20B7"/>
    <w:pPr>
      <w:spacing w:before="240" w:line="360" w:lineRule="auto"/>
      <w:jc w:val="both"/>
    </w:pPr>
    <w:rPr>
      <w:sz w:val="18"/>
    </w:rPr>
  </w:style>
  <w:style w:type="paragraph" w:customStyle="1" w:styleId="stopkatabeli">
    <w:name w:val="stopka tabeli"/>
    <w:basedOn w:val="Normalny"/>
    <w:rsid w:val="004B20B7"/>
    <w:pPr>
      <w:spacing w:before="120"/>
    </w:pPr>
    <w:rPr>
      <w:rFonts w:ascii="Arial" w:hAnsi="Arial"/>
      <w:sz w:val="16"/>
    </w:rPr>
  </w:style>
  <w:style w:type="paragraph" w:customStyle="1" w:styleId="glowka">
    <w:name w:val="glowka"/>
    <w:basedOn w:val="Normalny"/>
    <w:rsid w:val="004B20B7"/>
    <w:pPr>
      <w:spacing w:before="60" w:after="60"/>
      <w:jc w:val="center"/>
    </w:pPr>
    <w:rPr>
      <w:rFonts w:ascii="Arial" w:hAnsi="Arial"/>
      <w:b/>
      <w:snapToGrid w:val="0"/>
      <w:sz w:val="16"/>
    </w:rPr>
  </w:style>
  <w:style w:type="paragraph" w:styleId="Tekstblokowy">
    <w:name w:val="Block Text"/>
    <w:basedOn w:val="Normalny"/>
    <w:rsid w:val="004B20B7"/>
    <w:pPr>
      <w:spacing w:before="120" w:line="280" w:lineRule="exact"/>
      <w:ind w:left="-68" w:right="57" w:firstLine="284"/>
      <w:jc w:val="both"/>
    </w:pPr>
    <w:rPr>
      <w:rFonts w:ascii="Arial" w:hAnsi="Arial"/>
      <w:sz w:val="16"/>
    </w:rPr>
  </w:style>
  <w:style w:type="paragraph" w:customStyle="1" w:styleId="1od1do9">
    <w:name w:val="1 od 1 do 9"/>
    <w:basedOn w:val="Normalny"/>
    <w:rsid w:val="00403BF9"/>
    <w:pPr>
      <w:tabs>
        <w:tab w:val="left" w:pos="340"/>
      </w:tabs>
      <w:ind w:firstLine="113"/>
      <w:jc w:val="both"/>
    </w:pPr>
    <w:rPr>
      <w:rFonts w:ascii="Arial" w:hAnsi="Arial"/>
      <w:sz w:val="16"/>
    </w:rPr>
  </w:style>
  <w:style w:type="paragraph" w:customStyle="1" w:styleId="1">
    <w:name w:val="1)"/>
    <w:basedOn w:val="Normalny"/>
    <w:rsid w:val="006D14B4"/>
    <w:pPr>
      <w:tabs>
        <w:tab w:val="left" w:pos="227"/>
      </w:tabs>
      <w:ind w:left="227" w:hanging="227"/>
      <w:jc w:val="both"/>
    </w:pPr>
    <w:rPr>
      <w:rFonts w:ascii="Arial" w:hAnsi="Arial"/>
      <w:sz w:val="16"/>
    </w:rPr>
  </w:style>
  <w:style w:type="paragraph" w:customStyle="1" w:styleId="10">
    <w:name w:val="1"/>
    <w:basedOn w:val="1"/>
    <w:rsid w:val="006D14B4"/>
    <w:pPr>
      <w:tabs>
        <w:tab w:val="clear" w:pos="227"/>
        <w:tab w:val="left" w:pos="397"/>
      </w:tabs>
      <w:ind w:left="0" w:firstLine="113"/>
    </w:pPr>
  </w:style>
  <w:style w:type="paragraph" w:customStyle="1" w:styleId="a">
    <w:name w:val="a)"/>
    <w:basedOn w:val="1"/>
    <w:rsid w:val="006D14B4"/>
    <w:pPr>
      <w:tabs>
        <w:tab w:val="clear" w:pos="227"/>
        <w:tab w:val="left" w:pos="454"/>
      </w:tabs>
      <w:ind w:left="454"/>
    </w:pPr>
  </w:style>
  <w:style w:type="table" w:styleId="Tabela-Siatka">
    <w:name w:val="Table Grid"/>
    <w:basedOn w:val="Standardowy"/>
    <w:rsid w:val="00502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D57394"/>
  </w:style>
  <w:style w:type="character" w:styleId="Odwoanieprzypisudolnego">
    <w:name w:val="footnote reference"/>
    <w:basedOn w:val="Domylnaczcionkaakapitu"/>
    <w:semiHidden/>
    <w:rsid w:val="00D57394"/>
    <w:rPr>
      <w:vertAlign w:val="superscript"/>
    </w:rPr>
  </w:style>
  <w:style w:type="paragraph" w:styleId="NormalnyWeb">
    <w:name w:val="Normal (Web)"/>
    <w:basedOn w:val="Normalny"/>
    <w:rsid w:val="00E24ECD"/>
    <w:pPr>
      <w:spacing w:before="100" w:beforeAutospacing="1" w:after="100" w:afterAutospacing="1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667E91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67E91"/>
  </w:style>
  <w:style w:type="character" w:customStyle="1" w:styleId="TematkomentarzaZnak">
    <w:name w:val="Temat komentarza Znak"/>
    <w:basedOn w:val="TekstkomentarzaZnak"/>
    <w:link w:val="Tematkomentarza"/>
    <w:rsid w:val="00667E91"/>
  </w:style>
  <w:style w:type="paragraph" w:styleId="Tekstdymka">
    <w:name w:val="Balloon Text"/>
    <w:basedOn w:val="Normalny"/>
    <w:link w:val="TekstdymkaZnak"/>
    <w:rsid w:val="00667E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67E91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C56169"/>
    <w:rPr>
      <w:rFonts w:ascii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D4E28"/>
    <w:rPr>
      <w:color w:val="0000FF"/>
      <w:u w:val="single"/>
    </w:rPr>
  </w:style>
  <w:style w:type="paragraph" w:styleId="Poprawka">
    <w:name w:val="Revision"/>
    <w:hidden/>
    <w:uiPriority w:val="99"/>
    <w:semiHidden/>
    <w:rsid w:val="000E4EB2"/>
  </w:style>
  <w:style w:type="paragraph" w:customStyle="1" w:styleId="Rocznik1999">
    <w:name w:val="Rocznik1999"/>
    <w:basedOn w:val="Normalny"/>
    <w:rsid w:val="006F1287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9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59238-3098-41F4-B25E-A06F8822A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1264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miejscowości</vt:lpstr>
    </vt:vector>
  </TitlesOfParts>
  <Company>US_BYDGOSZCZ</Company>
  <LinksUpToDate>false</LinksUpToDate>
  <CharactersWithSpaces>8837</CharactersWithSpaces>
  <SharedDoc>false</SharedDoc>
  <HLinks>
    <vt:vector size="6" baseType="variant">
      <vt:variant>
        <vt:i4>3801137</vt:i4>
      </vt:variant>
      <vt:variant>
        <vt:i4>0</vt:i4>
      </vt:variant>
      <vt:variant>
        <vt:i4>0</vt:i4>
      </vt:variant>
      <vt:variant>
        <vt:i4>5</vt:i4>
      </vt:variant>
      <vt:variant>
        <vt:lpwstr>http://www.stat.gov.pl/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miejscowości</dc:title>
  <dc:creator>Adam Mańkowski</dc:creator>
  <cp:lastModifiedBy>Mańkowski Adam</cp:lastModifiedBy>
  <cp:revision>4</cp:revision>
  <cp:lastPrinted>2017-03-16T07:58:00Z</cp:lastPrinted>
  <dcterms:created xsi:type="dcterms:W3CDTF">2017-03-15T10:48:00Z</dcterms:created>
  <dcterms:modified xsi:type="dcterms:W3CDTF">2017-03-20T12:50:00Z</dcterms:modified>
</cp:coreProperties>
</file>